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DA" w:rsidRPr="001825C9" w:rsidRDefault="00AE46DA" w:rsidP="00AE46DA">
      <w:pPr>
        <w:spacing w:before="0" w:after="0"/>
        <w:rPr>
          <w:b/>
          <w:sz w:val="36"/>
          <w:szCs w:val="36"/>
        </w:rPr>
      </w:pPr>
      <w:bookmarkStart w:id="0" w:name="_Toc61968383"/>
      <w:r w:rsidRPr="001825C9">
        <w:rPr>
          <w:b/>
          <w:sz w:val="36"/>
          <w:szCs w:val="36"/>
        </w:rPr>
        <w:t>6.04 ENCORAFENIB</w:t>
      </w:r>
    </w:p>
    <w:p w:rsidR="00AE46DA" w:rsidRPr="001825C9" w:rsidRDefault="00AE46DA" w:rsidP="00AE46DA">
      <w:pPr>
        <w:spacing w:before="0" w:after="0"/>
        <w:ind w:left="720"/>
        <w:rPr>
          <w:rFonts w:eastAsiaTheme="majorEastAsia" w:cstheme="majorBidi"/>
          <w:b/>
          <w:sz w:val="36"/>
          <w:szCs w:val="36"/>
        </w:rPr>
      </w:pPr>
      <w:r w:rsidRPr="001825C9">
        <w:rPr>
          <w:rFonts w:eastAsiaTheme="majorEastAsia" w:cstheme="majorBidi"/>
          <w:b/>
          <w:sz w:val="36"/>
          <w:szCs w:val="36"/>
        </w:rPr>
        <w:t>Tablet 50 mg, Tablet 75 mg,</w:t>
      </w:r>
    </w:p>
    <w:p w:rsidR="00AE46DA" w:rsidRPr="001825C9" w:rsidRDefault="00AE46DA" w:rsidP="00AE46DA">
      <w:pPr>
        <w:spacing w:before="0" w:after="0"/>
        <w:ind w:left="720"/>
        <w:rPr>
          <w:rFonts w:eastAsiaTheme="majorEastAsia" w:cstheme="majorBidi"/>
          <w:b/>
          <w:sz w:val="36"/>
          <w:szCs w:val="36"/>
        </w:rPr>
      </w:pPr>
      <w:r w:rsidRPr="001825C9">
        <w:rPr>
          <w:rFonts w:eastAsiaTheme="majorEastAsia" w:cstheme="majorBidi"/>
          <w:b/>
          <w:sz w:val="36"/>
          <w:szCs w:val="36"/>
        </w:rPr>
        <w:t>Braftovi®,</w:t>
      </w:r>
    </w:p>
    <w:p w:rsidR="00AE46DA" w:rsidRPr="001825C9" w:rsidRDefault="00AE46DA" w:rsidP="00AE46DA">
      <w:pPr>
        <w:spacing w:before="0" w:after="0"/>
        <w:ind w:left="720"/>
        <w:rPr>
          <w:rFonts w:eastAsiaTheme="majorEastAsia" w:cstheme="majorBidi"/>
          <w:b/>
          <w:sz w:val="36"/>
          <w:szCs w:val="36"/>
        </w:rPr>
      </w:pPr>
      <w:r w:rsidRPr="001825C9">
        <w:rPr>
          <w:rFonts w:eastAsiaTheme="majorEastAsia" w:cstheme="majorBidi"/>
          <w:b/>
          <w:sz w:val="36"/>
          <w:szCs w:val="36"/>
        </w:rPr>
        <w:t>Pierre-Fabre Australia Pty Ltd.</w:t>
      </w:r>
    </w:p>
    <w:p w:rsidR="00AE46DA" w:rsidRPr="001825C9" w:rsidRDefault="00AE46DA" w:rsidP="00CF5EEB">
      <w:pPr>
        <w:pStyle w:val="PBACESHeading1"/>
        <w:numPr>
          <w:ilvl w:val="0"/>
          <w:numId w:val="10"/>
        </w:numPr>
      </w:pPr>
      <w:bookmarkStart w:id="1" w:name="_Toc413139271"/>
      <w:bookmarkStart w:id="2" w:name="_Toc61968404"/>
      <w:bookmarkEnd w:id="0"/>
      <w:r w:rsidRPr="001825C9">
        <w:t xml:space="preserve">Purpose of </w:t>
      </w:r>
      <w:bookmarkEnd w:id="1"/>
      <w:bookmarkEnd w:id="2"/>
      <w:r w:rsidRPr="001825C9">
        <w:t>Application</w:t>
      </w:r>
    </w:p>
    <w:p w:rsidR="00AE46DA" w:rsidRPr="001825C9" w:rsidRDefault="00AE46DA" w:rsidP="00AE46DA">
      <w:pPr>
        <w:pStyle w:val="ListParagraph"/>
      </w:pPr>
      <w:r w:rsidRPr="001825C9">
        <w:t xml:space="preserve">The application requested MBS listing of </w:t>
      </w:r>
      <w:r w:rsidRPr="001825C9">
        <w:rPr>
          <w:i/>
        </w:rPr>
        <w:t xml:space="preserve">BRAF </w:t>
      </w:r>
      <w:r w:rsidR="0090484C" w:rsidRPr="001825C9">
        <w:t>V600E</w:t>
      </w:r>
      <w:r w:rsidRPr="001825C9">
        <w:rPr>
          <w:i/>
        </w:rPr>
        <w:t xml:space="preserve"> </w:t>
      </w:r>
      <w:r w:rsidRPr="001825C9">
        <w:t xml:space="preserve">testing and PBS listing of encorafenib with an EGFR inhibitor such as cetuximab for the targeted treatment of patients with </w:t>
      </w:r>
      <w:r w:rsidRPr="001825C9">
        <w:rPr>
          <w:i/>
        </w:rPr>
        <w:t xml:space="preserve">BRAF </w:t>
      </w:r>
      <w:r w:rsidR="0090484C" w:rsidRPr="001825C9">
        <w:t>V600E</w:t>
      </w:r>
      <w:r w:rsidRPr="001825C9">
        <w:rPr>
          <w:i/>
        </w:rPr>
        <w:t xml:space="preserve"> </w:t>
      </w:r>
      <w:r w:rsidRPr="001825C9">
        <w:t xml:space="preserve">variant metastatic CRC (mCRC) who have received prior systemic therapy. </w:t>
      </w:r>
      <w:r w:rsidR="00937442" w:rsidRPr="001825C9">
        <w:t xml:space="preserve">The </w:t>
      </w:r>
      <w:r w:rsidRPr="001825C9">
        <w:rPr>
          <w:iCs/>
        </w:rPr>
        <w:t>PICO Confirmation Advisory Sub-Committee (PASC) confirmed that the appropriate economic evaluation would be a cost-utility (or cost-effectiveness) analysis (Rati</w:t>
      </w:r>
      <w:r w:rsidR="00A13A3B">
        <w:rPr>
          <w:iCs/>
        </w:rPr>
        <w:t>fied PICO, Application 1617</w:t>
      </w:r>
      <w:r w:rsidRPr="001825C9">
        <w:rPr>
          <w:iCs/>
        </w:rPr>
        <w:t>).</w:t>
      </w:r>
      <w:r w:rsidRPr="001825C9">
        <w:rPr>
          <w:i/>
          <w:iCs/>
        </w:rPr>
        <w:t xml:space="preserve"> </w:t>
      </w:r>
      <w:r w:rsidRPr="001825C9">
        <w:t xml:space="preserve">The integrated </w:t>
      </w:r>
      <w:r w:rsidR="00823CBD" w:rsidRPr="001825C9">
        <w:t>co-dependent</w:t>
      </w:r>
      <w:r w:rsidRPr="001825C9">
        <w:t xml:space="preserve"> submission was received from Pierre Fabre Australia Pty Ltd by the Departm</w:t>
      </w:r>
      <w:r w:rsidR="00937442" w:rsidRPr="001825C9">
        <w:t>ent of Health in November 2020.</w:t>
      </w:r>
    </w:p>
    <w:p w:rsidR="00AE46DA" w:rsidRPr="001825C9" w:rsidRDefault="00AE46DA" w:rsidP="00AE46DA">
      <w:pPr>
        <w:pStyle w:val="ListParagraph"/>
        <w:rPr>
          <w:szCs w:val="24"/>
        </w:rPr>
      </w:pPr>
      <w:r w:rsidRPr="001825C9">
        <w:rPr>
          <w:szCs w:val="24"/>
        </w:rPr>
        <w:t xml:space="preserve">The submission flagged a note on the terminology used to refer to mutations vs variants; </w:t>
      </w:r>
      <w:r w:rsidRPr="001825C9">
        <w:rPr>
          <w:iCs/>
          <w:szCs w:val="24"/>
        </w:rPr>
        <w:t>that as per the Human Genome Variation Society (HGVS) recommendations (den Dunnen et al. 2016) the term “variant” should be used to replace the outdated term “mutation”; and “</w:t>
      </w:r>
      <w:r w:rsidRPr="001825C9">
        <w:rPr>
          <w:i/>
          <w:iCs/>
          <w:szCs w:val="24"/>
        </w:rPr>
        <w:t xml:space="preserve">BRAF </w:t>
      </w:r>
      <w:r w:rsidR="0090484C" w:rsidRPr="001825C9">
        <w:rPr>
          <w:iCs/>
          <w:szCs w:val="24"/>
        </w:rPr>
        <w:t>V600E</w:t>
      </w:r>
      <w:r w:rsidRPr="001825C9">
        <w:rPr>
          <w:iCs/>
          <w:szCs w:val="24"/>
        </w:rPr>
        <w:t xml:space="preserve">” pathogenic variant refers to both class 4 (likely pathogenic) and class 5 (known pathogenic) variants. This is similar for </w:t>
      </w:r>
      <w:r w:rsidRPr="001825C9">
        <w:rPr>
          <w:i/>
          <w:iCs/>
          <w:szCs w:val="24"/>
        </w:rPr>
        <w:t>RAS</w:t>
      </w:r>
      <w:r w:rsidRPr="001825C9">
        <w:rPr>
          <w:iCs/>
          <w:szCs w:val="24"/>
        </w:rPr>
        <w:t xml:space="preserve"> and other pathogenic variants. However, </w:t>
      </w:r>
      <w:r w:rsidRPr="001825C9">
        <w:rPr>
          <w:iCs/>
          <w:szCs w:val="24"/>
        </w:rPr>
        <w:lastRenderedPageBreak/>
        <w:t>the term mutation was also used in the submission as it appears most often in the regulatory and clinical documents</w:t>
      </w:r>
      <w:r w:rsidRPr="001825C9">
        <w:rPr>
          <w:szCs w:val="24"/>
        </w:rPr>
        <w:t>.</w:t>
      </w:r>
    </w:p>
    <w:p w:rsidR="00AE46DA" w:rsidRPr="001825C9" w:rsidRDefault="00AE46DA" w:rsidP="00AE46DA">
      <w:pPr>
        <w:pStyle w:val="ListParagraph"/>
      </w:pPr>
      <w:r w:rsidRPr="001825C9">
        <w:t>A summary of the components of the overall clinical claim addressed by the submission</w:t>
      </w:r>
      <w:r w:rsidR="00937442" w:rsidRPr="001825C9">
        <w:t xml:space="preserve"> is presented in Table 1.</w:t>
      </w:r>
    </w:p>
    <w:p w:rsidR="0091085C" w:rsidRDefault="0091085C">
      <w:pPr>
        <w:spacing w:before="0" w:after="200" w:line="276" w:lineRule="auto"/>
        <w:jc w:val="left"/>
        <w:rPr>
          <w:rFonts w:ascii="Arial Narrow" w:eastAsia="Times New Roman" w:hAnsi="Arial Narrow" w:cs="Arial"/>
          <w:b/>
          <w:iCs/>
          <w:sz w:val="20"/>
          <w:szCs w:val="20"/>
        </w:rPr>
      </w:pPr>
      <w:r>
        <w:br w:type="page"/>
      </w:r>
    </w:p>
    <w:p w:rsidR="00AE46DA" w:rsidRPr="001825C9" w:rsidRDefault="00AE46DA" w:rsidP="00AE46DA">
      <w:pPr>
        <w:pStyle w:val="Caption"/>
      </w:pPr>
      <w:r w:rsidRPr="001825C9">
        <w:t xml:space="preserve">Table </w:t>
      </w:r>
      <w:r w:rsidR="0099629B">
        <w:rPr>
          <w:noProof/>
        </w:rPr>
        <w:t>1</w:t>
      </w:r>
      <w:r w:rsidRPr="001825C9">
        <w:t>: Key components of the clinical issue addressed by the submission</w:t>
      </w:r>
    </w:p>
    <w:tbl>
      <w:tblPr>
        <w:tblStyle w:val="PBACTableStyle"/>
        <w:tblW w:w="0" w:type="auto"/>
        <w:tblLook w:val="04A0" w:firstRow="1" w:lastRow="0" w:firstColumn="1" w:lastColumn="0" w:noHBand="0" w:noVBand="1"/>
        <w:tblCaption w:val="Table 1: Key components of the clinical issue addressed by the submission"/>
      </w:tblPr>
      <w:tblGrid>
        <w:gridCol w:w="1271"/>
        <w:gridCol w:w="7745"/>
      </w:tblGrid>
      <w:tr w:rsidR="00AE46DA" w:rsidRPr="001825C9" w:rsidTr="00B21F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rsidR="00AE46DA" w:rsidRPr="001825C9" w:rsidRDefault="00AE46DA" w:rsidP="00B21F37">
            <w:pPr>
              <w:pStyle w:val="TableText"/>
              <w:widowControl/>
              <w:spacing w:before="0" w:after="0"/>
            </w:pPr>
            <w:r w:rsidRPr="001825C9">
              <w:t>Component</w:t>
            </w:r>
          </w:p>
        </w:tc>
        <w:tc>
          <w:tcPr>
            <w:tcW w:w="7745" w:type="dxa"/>
          </w:tcPr>
          <w:p w:rsidR="00AE46DA" w:rsidRPr="001825C9" w:rsidRDefault="00AE46DA" w:rsidP="00B21F37">
            <w:pPr>
              <w:pStyle w:val="TableText"/>
              <w:widowControl/>
              <w:spacing w:before="0" w:after="0"/>
              <w:cnfStyle w:val="100000000000" w:firstRow="1" w:lastRow="0" w:firstColumn="0" w:lastColumn="0" w:oddVBand="0" w:evenVBand="0" w:oddHBand="0" w:evenHBand="0" w:firstRowFirstColumn="0" w:firstRowLastColumn="0" w:lastRowFirstColumn="0" w:lastRowLastColumn="0"/>
            </w:pPr>
            <w:r w:rsidRPr="001825C9">
              <w:t>Description</w:t>
            </w:r>
          </w:p>
        </w:tc>
      </w:tr>
      <w:tr w:rsidR="00AE46DA" w:rsidRPr="001825C9" w:rsidTr="00B21F37">
        <w:tc>
          <w:tcPr>
            <w:cnfStyle w:val="001000000000" w:firstRow="0" w:lastRow="0" w:firstColumn="1" w:lastColumn="0" w:oddVBand="0" w:evenVBand="0" w:oddHBand="0" w:evenHBand="0" w:firstRowFirstColumn="0" w:firstRowLastColumn="0" w:lastRowFirstColumn="0" w:lastRowLastColumn="0"/>
            <w:tcW w:w="1271" w:type="dxa"/>
          </w:tcPr>
          <w:p w:rsidR="00AE46DA" w:rsidRPr="001825C9" w:rsidRDefault="00AE46DA" w:rsidP="00B21F37">
            <w:pPr>
              <w:pStyle w:val="TableText"/>
              <w:widowControl/>
            </w:pPr>
            <w:r w:rsidRPr="001825C9">
              <w:t>Population</w:t>
            </w:r>
          </w:p>
        </w:tc>
        <w:tc>
          <w:tcPr>
            <w:tcW w:w="7745" w:type="dxa"/>
          </w:tcPr>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pPr>
            <w:r w:rsidRPr="001825C9">
              <w:t>Test: Patients diagnosed with Stage IV metastatic colorectal cancer (mCRC).</w:t>
            </w:r>
          </w:p>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pPr>
            <w:r w:rsidRPr="001825C9">
              <w:t xml:space="preserve">Medicine: Patients with mCRC who have received prior systemic therapy in the metastatic setting, and who have a </w:t>
            </w:r>
            <w:r w:rsidRPr="001825C9">
              <w:rPr>
                <w:i/>
                <w:iCs/>
              </w:rPr>
              <w:t xml:space="preserve">BRAF </w:t>
            </w:r>
            <w:r w:rsidR="0090484C" w:rsidRPr="001825C9">
              <w:rPr>
                <w:iCs/>
              </w:rPr>
              <w:t>V600E</w:t>
            </w:r>
            <w:r w:rsidRPr="001825C9">
              <w:t xml:space="preserve"> pathogenic variant in tumour tissue.</w:t>
            </w:r>
            <w:r w:rsidRPr="001825C9">
              <w:rPr>
                <w:vertAlign w:val="superscript"/>
              </w:rPr>
              <w:t>a</w:t>
            </w:r>
          </w:p>
        </w:tc>
      </w:tr>
      <w:tr w:rsidR="00AE46DA" w:rsidRPr="001825C9" w:rsidTr="00B21F37">
        <w:tc>
          <w:tcPr>
            <w:cnfStyle w:val="001000000000" w:firstRow="0" w:lastRow="0" w:firstColumn="1" w:lastColumn="0" w:oddVBand="0" w:evenVBand="0" w:oddHBand="0" w:evenHBand="0" w:firstRowFirstColumn="0" w:firstRowLastColumn="0" w:lastRowFirstColumn="0" w:lastRowLastColumn="0"/>
            <w:tcW w:w="1271" w:type="dxa"/>
          </w:tcPr>
          <w:p w:rsidR="00AE46DA" w:rsidRPr="001825C9" w:rsidRDefault="00AE46DA" w:rsidP="00B21F37">
            <w:pPr>
              <w:pStyle w:val="TableText"/>
              <w:widowControl/>
            </w:pPr>
            <w:r w:rsidRPr="001825C9">
              <w:t>Intervention</w:t>
            </w:r>
          </w:p>
        </w:tc>
        <w:tc>
          <w:tcPr>
            <w:tcW w:w="7745" w:type="dxa"/>
          </w:tcPr>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pPr>
            <w:r w:rsidRPr="001825C9">
              <w:t xml:space="preserve">Test: </w:t>
            </w:r>
            <w:r w:rsidRPr="001825C9">
              <w:rPr>
                <w:i/>
                <w:iCs/>
              </w:rPr>
              <w:t xml:space="preserve">BRAF </w:t>
            </w:r>
            <w:r w:rsidR="0090484C" w:rsidRPr="001825C9">
              <w:rPr>
                <w:iCs/>
              </w:rPr>
              <w:t>V600E</w:t>
            </w:r>
            <w:r w:rsidRPr="001825C9">
              <w:t xml:space="preserve"> variant testing added to existing MBS item 73338.</w:t>
            </w:r>
          </w:p>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rPr>
                <w:vertAlign w:val="superscript"/>
              </w:rPr>
            </w:pPr>
            <w:r w:rsidRPr="001825C9">
              <w:rPr>
                <w:i/>
                <w:iCs/>
              </w:rPr>
              <w:t xml:space="preserve">BRAF </w:t>
            </w:r>
            <w:r w:rsidR="0090484C" w:rsidRPr="001825C9">
              <w:rPr>
                <w:iCs/>
              </w:rPr>
              <w:t>V600E</w:t>
            </w:r>
            <w:r w:rsidRPr="001825C9">
              <w:t xml:space="preserve"> variant testing</w:t>
            </w:r>
            <w:r w:rsidRPr="001825C9">
              <w:rPr>
                <w:vertAlign w:val="superscript"/>
              </w:rPr>
              <w:t>b</w:t>
            </w:r>
            <w:r w:rsidRPr="001825C9">
              <w:t xml:space="preserve"> involves taking a biopsy of the mCRC tumour and performing DNA extraction and assay.</w:t>
            </w:r>
            <w:r w:rsidRPr="001825C9">
              <w:rPr>
                <w:vertAlign w:val="superscript"/>
              </w:rPr>
              <w:t>c</w:t>
            </w:r>
          </w:p>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pPr>
            <w:r w:rsidRPr="001825C9">
              <w:t>Medicine: Treatment with encorafenib [in combination with an EGFR inhibitor such as cetuximab] (also known as a doublet-therapy group).</w:t>
            </w:r>
            <w:r w:rsidRPr="001825C9">
              <w:rPr>
                <w:vertAlign w:val="superscript"/>
              </w:rPr>
              <w:t>d</w:t>
            </w:r>
          </w:p>
        </w:tc>
      </w:tr>
      <w:tr w:rsidR="00AE46DA" w:rsidRPr="001825C9" w:rsidTr="00B21F37">
        <w:tc>
          <w:tcPr>
            <w:cnfStyle w:val="001000000000" w:firstRow="0" w:lastRow="0" w:firstColumn="1" w:lastColumn="0" w:oddVBand="0" w:evenVBand="0" w:oddHBand="0" w:evenHBand="0" w:firstRowFirstColumn="0" w:firstRowLastColumn="0" w:lastRowFirstColumn="0" w:lastRowLastColumn="0"/>
            <w:tcW w:w="1271" w:type="dxa"/>
          </w:tcPr>
          <w:p w:rsidR="00AE46DA" w:rsidRPr="001825C9" w:rsidRDefault="00AE46DA" w:rsidP="00B21F37">
            <w:pPr>
              <w:pStyle w:val="TableText"/>
              <w:widowControl/>
            </w:pPr>
            <w:r w:rsidRPr="001825C9">
              <w:t>Comparator</w:t>
            </w:r>
          </w:p>
        </w:tc>
        <w:tc>
          <w:tcPr>
            <w:tcW w:w="7745" w:type="dxa"/>
          </w:tcPr>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pPr>
            <w:r w:rsidRPr="001825C9">
              <w:t xml:space="preserve">Test: No testing, i.e. MBS item 73338 in its current format, which has no explicit inclusion of </w:t>
            </w:r>
            <w:r w:rsidRPr="001825C9">
              <w:rPr>
                <w:i/>
                <w:iCs/>
              </w:rPr>
              <w:t xml:space="preserve">BRAF </w:t>
            </w:r>
            <w:r w:rsidR="0090484C" w:rsidRPr="001825C9">
              <w:rPr>
                <w:iCs/>
              </w:rPr>
              <w:t>V600E</w:t>
            </w:r>
            <w:r w:rsidRPr="001825C9">
              <w:t xml:space="preserve"> variant testing in mCRC, and no reference to encorafenib.</w:t>
            </w:r>
          </w:p>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pPr>
            <w:r w:rsidRPr="001825C9">
              <w:t>Medicine: FOLFIRI + cetuximab or irinotecan + cetuximab.</w:t>
            </w:r>
          </w:p>
        </w:tc>
      </w:tr>
      <w:tr w:rsidR="00AE46DA" w:rsidRPr="001825C9" w:rsidTr="00B21F37">
        <w:tc>
          <w:tcPr>
            <w:cnfStyle w:val="001000000000" w:firstRow="0" w:lastRow="0" w:firstColumn="1" w:lastColumn="0" w:oddVBand="0" w:evenVBand="0" w:oddHBand="0" w:evenHBand="0" w:firstRowFirstColumn="0" w:firstRowLastColumn="0" w:lastRowFirstColumn="0" w:lastRowLastColumn="0"/>
            <w:tcW w:w="1271" w:type="dxa"/>
          </w:tcPr>
          <w:p w:rsidR="00AE46DA" w:rsidRPr="001825C9" w:rsidRDefault="00AE46DA" w:rsidP="00B21F37">
            <w:pPr>
              <w:pStyle w:val="TableText"/>
              <w:widowControl/>
            </w:pPr>
            <w:r w:rsidRPr="001825C9">
              <w:t>Outcomes</w:t>
            </w:r>
          </w:p>
        </w:tc>
        <w:tc>
          <w:tcPr>
            <w:tcW w:w="7745" w:type="dxa"/>
          </w:tcPr>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pPr>
            <w:r w:rsidRPr="001825C9">
              <w:t xml:space="preserve">Test: Concordance between the evidentiary standard and other </w:t>
            </w:r>
            <w:r w:rsidRPr="001825C9">
              <w:rPr>
                <w:i/>
                <w:iCs/>
              </w:rPr>
              <w:t xml:space="preserve">BRAF </w:t>
            </w:r>
            <w:r w:rsidR="0090484C" w:rsidRPr="001825C9">
              <w:rPr>
                <w:iCs/>
              </w:rPr>
              <w:t>V600E</w:t>
            </w:r>
            <w:r w:rsidRPr="001825C9">
              <w:t xml:space="preserve"> variant testing methods likely to be used in Australia.</w:t>
            </w:r>
          </w:p>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pPr>
            <w:r w:rsidRPr="001825C9">
              <w:t>Medicine: OS, ORR, PFS, health related quality of life and adverse ev</w:t>
            </w:r>
            <w:r w:rsidR="00937442" w:rsidRPr="001825C9">
              <w:t>ents associated with treatment.</w:t>
            </w:r>
          </w:p>
        </w:tc>
      </w:tr>
      <w:tr w:rsidR="00AE46DA" w:rsidRPr="001825C9" w:rsidTr="00B21F37">
        <w:tc>
          <w:tcPr>
            <w:cnfStyle w:val="001000000000" w:firstRow="0" w:lastRow="0" w:firstColumn="1" w:lastColumn="0" w:oddVBand="0" w:evenVBand="0" w:oddHBand="0" w:evenHBand="0" w:firstRowFirstColumn="0" w:firstRowLastColumn="0" w:lastRowFirstColumn="0" w:lastRowLastColumn="0"/>
            <w:tcW w:w="1271" w:type="dxa"/>
          </w:tcPr>
          <w:p w:rsidR="00AE46DA" w:rsidRPr="001825C9" w:rsidRDefault="00AE46DA" w:rsidP="00B21F37">
            <w:pPr>
              <w:pStyle w:val="TableText"/>
              <w:widowControl/>
            </w:pPr>
            <w:r w:rsidRPr="001825C9">
              <w:t>Clinical claim</w:t>
            </w:r>
          </w:p>
        </w:tc>
        <w:tc>
          <w:tcPr>
            <w:tcW w:w="7745" w:type="dxa"/>
          </w:tcPr>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pPr>
            <w:r w:rsidRPr="001825C9">
              <w:t xml:space="preserve">Test: </w:t>
            </w:r>
            <w:r w:rsidRPr="001825C9">
              <w:rPr>
                <w:i/>
                <w:iCs/>
              </w:rPr>
              <w:t xml:space="preserve">BRAF </w:t>
            </w:r>
            <w:r w:rsidR="0090484C" w:rsidRPr="001825C9">
              <w:rPr>
                <w:iCs/>
              </w:rPr>
              <w:t>V600E</w:t>
            </w:r>
            <w:r w:rsidRPr="001825C9">
              <w:t xml:space="preserve"> variant testing methods likely to be used in Australia are concordant.</w:t>
            </w:r>
          </w:p>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pPr>
            <w:r w:rsidRPr="001825C9">
              <w:t>Medicine: Encorafenib in combination with an anti-EGFR agent such as cetuximab</w:t>
            </w:r>
            <w:r w:rsidRPr="001825C9">
              <w:rPr>
                <w:vertAlign w:val="superscript"/>
              </w:rPr>
              <w:t>d</w:t>
            </w:r>
            <w:r w:rsidRPr="001825C9">
              <w:t>, is superior in terms of effectiveness compared with FOLFIRI + cetuximab or irinotecan + cetuximab.</w:t>
            </w:r>
          </w:p>
          <w:p w:rsidR="00AE46DA" w:rsidRPr="001825C9" w:rsidRDefault="00AE46DA" w:rsidP="00B21F37">
            <w:pPr>
              <w:pStyle w:val="TableText"/>
              <w:widowControl/>
              <w:cnfStyle w:val="000000000000" w:firstRow="0" w:lastRow="0" w:firstColumn="0" w:lastColumn="0" w:oddVBand="0" w:evenVBand="0" w:oddHBand="0" w:evenHBand="0" w:firstRowFirstColumn="0" w:firstRowLastColumn="0" w:lastRowFirstColumn="0" w:lastRowLastColumn="0"/>
            </w:pPr>
            <w:r w:rsidRPr="001825C9">
              <w:t>Encorafenib in combination with an anti-EGFR agent such as cetuximab</w:t>
            </w:r>
            <w:r w:rsidRPr="001825C9">
              <w:rPr>
                <w:vertAlign w:val="superscript"/>
              </w:rPr>
              <w:t>d</w:t>
            </w:r>
            <w:r w:rsidRPr="001825C9">
              <w:t>, demonstrated a manageable tolerability profile and is superior in terms of safety compared with FOLFIRI + cetuximab or irinotecan + cetuximab.</w:t>
            </w:r>
          </w:p>
        </w:tc>
      </w:tr>
    </w:tbl>
    <w:p w:rsidR="00AE46DA" w:rsidRPr="001825C9" w:rsidRDefault="00AE46DA" w:rsidP="00AE46DA">
      <w:pPr>
        <w:pStyle w:val="TableFooter"/>
        <w:widowControl/>
      </w:pPr>
      <w:r w:rsidRPr="001825C9">
        <w:t xml:space="preserve">Source: Table 1-1, p 23-24 of the submission. </w:t>
      </w:r>
    </w:p>
    <w:p w:rsidR="00AE46DA" w:rsidRPr="001825C9" w:rsidRDefault="00AE46DA" w:rsidP="00AE46DA">
      <w:pPr>
        <w:pStyle w:val="TableFooter"/>
        <w:widowControl/>
      </w:pPr>
      <w:r w:rsidRPr="001825C9">
        <w:t>Abbreviations: BRAF = B-rapidly accelerated fibrosarcoma; EGFR = epidermal growth factor receptor; FOLFIRI = 5-fluorouracil/folinic acid/irinotecan; FOLFOX = 5-fluoracil/folinic acid/oxaliplatin; MBS = Medicare Benefits Schedule; mCRC = metastatic colorectal cancer; ORR = objective response rate; OS = overall survival; PFS = progression-free survival.</w:t>
      </w:r>
    </w:p>
    <w:p w:rsidR="00AE46DA" w:rsidRPr="001825C9" w:rsidRDefault="00AE46DA" w:rsidP="00AE46DA">
      <w:pPr>
        <w:pStyle w:val="TableFooter"/>
        <w:widowControl/>
      </w:pPr>
      <w:r w:rsidRPr="001825C9">
        <w:rPr>
          <w:vertAlign w:val="superscript"/>
        </w:rPr>
        <w:lastRenderedPageBreak/>
        <w:t>a</w:t>
      </w:r>
      <w:r w:rsidRPr="001825C9">
        <w:t xml:space="preserve"> Key exclusion criteria included no prior treatment with any rapidly accelerated fibrosarcoma (RAF) inhibitor, mitogen-activated protein kinase (MEK) inhibitor, cetuximab, panitumumab or other EGFR inhibitors.</w:t>
      </w:r>
    </w:p>
    <w:p w:rsidR="00AE46DA" w:rsidRPr="001825C9" w:rsidRDefault="00AE46DA" w:rsidP="00AE46DA">
      <w:pPr>
        <w:pStyle w:val="TableFooter"/>
        <w:widowControl/>
      </w:pPr>
      <w:r w:rsidRPr="001825C9">
        <w:rPr>
          <w:vertAlign w:val="superscript"/>
        </w:rPr>
        <w:t>b</w:t>
      </w:r>
      <w:r w:rsidRPr="001825C9">
        <w:t xml:space="preserve"> Upon the amendment of MBS item 73338, to include </w:t>
      </w:r>
      <w:r w:rsidRPr="001825C9">
        <w:rPr>
          <w:i/>
          <w:iCs/>
        </w:rPr>
        <w:t xml:space="preserve">BRAF </w:t>
      </w:r>
      <w:r w:rsidR="0090484C" w:rsidRPr="001825C9">
        <w:rPr>
          <w:iCs/>
        </w:rPr>
        <w:t>V600E</w:t>
      </w:r>
      <w:r w:rsidRPr="001825C9">
        <w:rPr>
          <w:i/>
        </w:rPr>
        <w:t xml:space="preserve"> </w:t>
      </w:r>
      <w:r w:rsidRPr="001825C9">
        <w:t xml:space="preserve">testing alongside </w:t>
      </w:r>
      <w:r w:rsidRPr="001825C9">
        <w:rPr>
          <w:i/>
          <w:iCs/>
        </w:rPr>
        <w:t>RAS</w:t>
      </w:r>
      <w:r w:rsidRPr="001825C9">
        <w:rPr>
          <w:i/>
        </w:rPr>
        <w:t xml:space="preserve"> </w:t>
      </w:r>
      <w:r w:rsidRPr="001825C9">
        <w:t>gene testing.</w:t>
      </w:r>
    </w:p>
    <w:p w:rsidR="00AE46DA" w:rsidRPr="001825C9" w:rsidRDefault="00AE46DA" w:rsidP="00AE46DA">
      <w:pPr>
        <w:pStyle w:val="TableFooter"/>
        <w:widowControl/>
        <w:rPr>
          <w:i/>
        </w:rPr>
      </w:pPr>
      <w:r w:rsidRPr="001825C9">
        <w:rPr>
          <w:vertAlign w:val="superscript"/>
        </w:rPr>
        <w:t>c</w:t>
      </w:r>
      <w:r w:rsidRPr="001825C9">
        <w:t xml:space="preserve"> Such as polymerase chain reaction (PCR) based assays, Sanger sequencing, or next generation sequencing (NGS).</w:t>
      </w:r>
    </w:p>
    <w:p w:rsidR="00AE46DA" w:rsidRPr="001825C9" w:rsidRDefault="00AE46DA" w:rsidP="00AE46DA">
      <w:pPr>
        <w:pStyle w:val="TableFooter"/>
        <w:widowControl/>
      </w:pPr>
      <w:r w:rsidRPr="001825C9">
        <w:rPr>
          <w:vertAlign w:val="superscript"/>
        </w:rPr>
        <w:t xml:space="preserve">d </w:t>
      </w:r>
      <w:r w:rsidRPr="001825C9">
        <w:rPr>
          <w:color w:val="000000" w:themeColor="text1"/>
        </w:rPr>
        <w:t>The clinical evidence in support of the effectiveness and safety was based on information for encorafenib + cetuximab and not in combination with any other EGFR inhibitor (such as panitumumab).</w:t>
      </w:r>
    </w:p>
    <w:p w:rsidR="00AE46DA" w:rsidRPr="001825C9" w:rsidRDefault="00AE46DA" w:rsidP="00AE46DA">
      <w:pPr>
        <w:pStyle w:val="PBACESHeading1"/>
      </w:pPr>
      <w:bookmarkStart w:id="3" w:name="_Toc487029150"/>
      <w:bookmarkStart w:id="4" w:name="_Toc61968406"/>
      <w:r w:rsidRPr="001825C9">
        <w:t>Background</w:t>
      </w:r>
      <w:bookmarkEnd w:id="3"/>
      <w:bookmarkEnd w:id="4"/>
    </w:p>
    <w:p w:rsidR="00AE46DA" w:rsidRPr="001825C9" w:rsidRDefault="00AE46DA" w:rsidP="00321E61">
      <w:pPr>
        <w:pStyle w:val="PBACESHeading2"/>
      </w:pPr>
      <w:bookmarkStart w:id="5" w:name="_Toc61968407"/>
      <w:r w:rsidRPr="001825C9">
        <w:t>Registration status</w:t>
      </w:r>
      <w:bookmarkEnd w:id="5"/>
    </w:p>
    <w:p w:rsidR="00AE46DA" w:rsidRPr="001825C9" w:rsidRDefault="00AE46DA" w:rsidP="00AE46DA">
      <w:pPr>
        <w:pStyle w:val="ListParagraph"/>
        <w:rPr>
          <w:color w:val="auto"/>
        </w:rPr>
      </w:pPr>
      <w:r w:rsidRPr="001825C9">
        <w:rPr>
          <w:b/>
          <w:color w:val="auto"/>
        </w:rPr>
        <w:t>TGA status at time of PBAC consideration:</w:t>
      </w:r>
      <w:r w:rsidRPr="001825C9">
        <w:rPr>
          <w:color w:val="auto"/>
        </w:rPr>
        <w:t xml:space="preserve"> The submission was made under TGA/PBAC Parallel Process. At the time of PBAC consideration, the TGA Delegate’s Overview was available. The delegate considered the benefit-risk profile was positive. The</w:t>
      </w:r>
      <w:r w:rsidR="00E117D0" w:rsidRPr="001825C9">
        <w:rPr>
          <w:color w:val="auto"/>
        </w:rPr>
        <w:t xml:space="preserve"> final</w:t>
      </w:r>
      <w:r w:rsidRPr="001825C9">
        <w:rPr>
          <w:color w:val="auto"/>
        </w:rPr>
        <w:t xml:space="preserve"> proposed TGA indication </w:t>
      </w:r>
      <w:r w:rsidR="00E117D0" w:rsidRPr="001825C9">
        <w:rPr>
          <w:color w:val="auto"/>
        </w:rPr>
        <w:t>wa</w:t>
      </w:r>
      <w:r w:rsidRPr="001825C9">
        <w:rPr>
          <w:color w:val="auto"/>
        </w:rPr>
        <w:t>s:</w:t>
      </w:r>
    </w:p>
    <w:p w:rsidR="00AE46DA" w:rsidRPr="001825C9" w:rsidRDefault="00AE46DA" w:rsidP="00AE46DA">
      <w:pPr>
        <w:pStyle w:val="ListParagraph"/>
        <w:numPr>
          <w:ilvl w:val="0"/>
          <w:numId w:val="0"/>
        </w:numPr>
        <w:ind w:left="720"/>
        <w:rPr>
          <w:color w:val="auto"/>
        </w:rPr>
      </w:pPr>
      <w:r w:rsidRPr="001825C9">
        <w:rPr>
          <w:color w:val="auto"/>
        </w:rPr>
        <w:t>“…in combination with cetuximab, for the treatment of adult patients with metastatic colorectal cancer (mCRC) with a BRAF V600E mutation as detected by a validated test, who have received prior systemic therapy.”</w:t>
      </w:r>
    </w:p>
    <w:p w:rsidR="00AE46DA" w:rsidRPr="001825C9" w:rsidRDefault="00AE46DA" w:rsidP="00AE46DA">
      <w:pPr>
        <w:pStyle w:val="ListParagraph"/>
        <w:rPr>
          <w:color w:val="auto"/>
        </w:rPr>
      </w:pPr>
      <w:r w:rsidRPr="001825C9">
        <w:rPr>
          <w:color w:val="auto"/>
        </w:rPr>
        <w:t>The use of encorafenib + cetuximab for the proposed indication (or similar) was approved by the United States Food and Drug Administration (FDA) in April 2020 and by the European Medicines Agency (EMA) in June 2020.</w:t>
      </w:r>
    </w:p>
    <w:p w:rsidR="00AE46DA" w:rsidRPr="001825C9" w:rsidRDefault="00AE46DA" w:rsidP="00AE46DA">
      <w:pPr>
        <w:pStyle w:val="ListParagraph"/>
        <w:numPr>
          <w:ilvl w:val="0"/>
          <w:numId w:val="0"/>
        </w:numPr>
        <w:ind w:left="720"/>
        <w:rPr>
          <w:color w:val="auto"/>
        </w:rPr>
      </w:pPr>
      <w:r w:rsidRPr="001825C9">
        <w:rPr>
          <w:i/>
        </w:rPr>
        <w:t>For more detail on the PBAC’s view, see section 7 PBAC outcome.</w:t>
      </w:r>
    </w:p>
    <w:p w:rsidR="00AE46DA" w:rsidRPr="001825C9" w:rsidRDefault="00AE46DA" w:rsidP="00AE46DA">
      <w:pPr>
        <w:pStyle w:val="PBACESHeading1"/>
      </w:pPr>
      <w:bookmarkStart w:id="6" w:name="_Toc413139272"/>
      <w:bookmarkStart w:id="7" w:name="_Toc61968405"/>
      <w:r w:rsidRPr="001825C9">
        <w:lastRenderedPageBreak/>
        <w:t>Requested listing</w:t>
      </w:r>
      <w:bookmarkEnd w:id="6"/>
      <w:bookmarkEnd w:id="7"/>
    </w:p>
    <w:p w:rsidR="00AE46DA" w:rsidRPr="001825C9" w:rsidRDefault="00AE46DA" w:rsidP="00AE46DA">
      <w:pPr>
        <w:pStyle w:val="ListParagraph"/>
        <w:rPr>
          <w:color w:val="auto"/>
        </w:rPr>
      </w:pPr>
      <w:r w:rsidRPr="001825C9">
        <w:t xml:space="preserve">The submission requested an Authority Required (STREAMLINED) PBS listing for encorafenib in combination with an EGFR inhibitor, for </w:t>
      </w:r>
      <w:r w:rsidRPr="001825C9">
        <w:rPr>
          <w:i/>
        </w:rPr>
        <w:t xml:space="preserve">BRAF </w:t>
      </w:r>
      <w:r w:rsidR="0090484C" w:rsidRPr="001825C9">
        <w:t>V600E</w:t>
      </w:r>
      <w:r w:rsidRPr="001825C9">
        <w:rPr>
          <w:i/>
        </w:rPr>
        <w:t xml:space="preserve"> </w:t>
      </w:r>
      <w:r w:rsidRPr="001825C9">
        <w:t>variant mCRC after prior systemic therapy. A</w:t>
      </w:r>
      <w:r w:rsidRPr="001825C9">
        <w:rPr>
          <w:iCs/>
        </w:rPr>
        <w:t xml:space="preserve"> Special Pricing Arrangement (SPA) was requested.</w:t>
      </w:r>
    </w:p>
    <w:p w:rsidR="00AE46DA" w:rsidRPr="001825C9" w:rsidRDefault="00D46ED9" w:rsidP="00AE46DA">
      <w:pPr>
        <w:pStyle w:val="ListParagraph"/>
        <w:rPr>
          <w:rFonts w:cstheme="minorHAnsi"/>
        </w:rPr>
      </w:pPr>
      <w:r w:rsidRPr="001825C9">
        <w:rPr>
          <w:color w:val="auto"/>
        </w:rPr>
        <w:t xml:space="preserve">The requested listing is presented below. </w:t>
      </w:r>
      <w:r w:rsidR="00AE46DA" w:rsidRPr="001825C9">
        <w:rPr>
          <w:color w:val="auto"/>
        </w:rPr>
        <w:t>Suggested</w:t>
      </w:r>
      <w:r w:rsidR="00AE46DA" w:rsidRPr="001825C9">
        <w:rPr>
          <w:rFonts w:cstheme="minorHAnsi"/>
        </w:rPr>
        <w:t xml:space="preserve"> additions proposed by the Secretariat are in italics and suggested deletions are crossed out with strikethrough.</w:t>
      </w:r>
    </w:p>
    <w:p w:rsidR="00AE46DA" w:rsidRPr="0073395C" w:rsidRDefault="00AE46DA" w:rsidP="0073395C">
      <w:pPr>
        <w:spacing w:before="0" w:after="200" w:line="276" w:lineRule="auto"/>
        <w:jc w:val="left"/>
        <w:rPr>
          <w:rFonts w:eastAsiaTheme="majorEastAsia" w:cstheme="majorBidi"/>
          <w:szCs w:val="28"/>
          <w:u w:val="single"/>
        </w:rPr>
      </w:pPr>
      <w:r w:rsidRPr="001825C9">
        <w:t>Initial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03"/>
        <w:gridCol w:w="803"/>
        <w:gridCol w:w="803"/>
        <w:gridCol w:w="1655"/>
        <w:gridCol w:w="1010"/>
        <w:gridCol w:w="1253"/>
      </w:tblGrid>
      <w:tr w:rsidR="00AE46DA" w:rsidRPr="001825C9" w:rsidTr="00B21F37">
        <w:trPr>
          <w:cantSplit/>
          <w:trHeight w:val="170"/>
        </w:trPr>
        <w:tc>
          <w:tcPr>
            <w:tcW w:w="2689" w:type="dxa"/>
          </w:tcPr>
          <w:p w:rsidR="00AE46DA" w:rsidRPr="001825C9" w:rsidRDefault="00AE46DA" w:rsidP="00B21F37">
            <w:pPr>
              <w:keepNext/>
              <w:spacing w:before="0" w:after="0"/>
              <w:ind w:left="-108"/>
              <w:rPr>
                <w:rFonts w:ascii="Arial Narrow" w:hAnsi="Arial Narrow" w:cs="Arial"/>
                <w:b/>
                <w:sz w:val="18"/>
                <w:szCs w:val="18"/>
              </w:rPr>
            </w:pPr>
            <w:r w:rsidRPr="001825C9">
              <w:rPr>
                <w:rFonts w:ascii="Arial Narrow" w:hAnsi="Arial Narrow" w:cs="Arial"/>
                <w:b/>
                <w:sz w:val="18"/>
                <w:szCs w:val="18"/>
              </w:rPr>
              <w:t>Name, Restriction,</w:t>
            </w:r>
          </w:p>
          <w:p w:rsidR="00AE46DA" w:rsidRPr="001825C9" w:rsidRDefault="00AE46DA" w:rsidP="00B21F37">
            <w:pPr>
              <w:keepNext/>
              <w:spacing w:before="0" w:after="0"/>
              <w:ind w:left="-108"/>
              <w:rPr>
                <w:rFonts w:ascii="Arial Narrow" w:hAnsi="Arial Narrow" w:cs="Arial"/>
                <w:b/>
                <w:sz w:val="18"/>
                <w:szCs w:val="18"/>
              </w:rPr>
            </w:pPr>
            <w:r w:rsidRPr="001825C9">
              <w:rPr>
                <w:rFonts w:ascii="Arial Narrow" w:hAnsi="Arial Narrow" w:cs="Arial"/>
                <w:b/>
                <w:sz w:val="18"/>
                <w:szCs w:val="18"/>
              </w:rPr>
              <w:t>Manner of administration and form</w:t>
            </w:r>
          </w:p>
        </w:tc>
        <w:tc>
          <w:tcPr>
            <w:tcW w:w="803" w:type="dxa"/>
          </w:tcPr>
          <w:p w:rsidR="00AE46DA" w:rsidRPr="001825C9" w:rsidRDefault="00AE46DA" w:rsidP="00B21F37">
            <w:pPr>
              <w:keepNext/>
              <w:spacing w:before="0" w:after="0"/>
              <w:ind w:left="-108"/>
              <w:jc w:val="center"/>
              <w:rPr>
                <w:rFonts w:ascii="Arial Narrow" w:hAnsi="Arial Narrow" w:cs="Arial"/>
                <w:b/>
                <w:sz w:val="18"/>
                <w:szCs w:val="18"/>
              </w:rPr>
            </w:pPr>
            <w:r w:rsidRPr="001825C9">
              <w:rPr>
                <w:rFonts w:ascii="Arial Narrow" w:hAnsi="Arial Narrow" w:cs="Arial"/>
                <w:b/>
                <w:sz w:val="18"/>
                <w:szCs w:val="18"/>
              </w:rPr>
              <w:t>Max. qty packs</w:t>
            </w:r>
          </w:p>
        </w:tc>
        <w:tc>
          <w:tcPr>
            <w:tcW w:w="803" w:type="dxa"/>
          </w:tcPr>
          <w:p w:rsidR="00AE46DA" w:rsidRPr="001825C9" w:rsidRDefault="00AE46DA" w:rsidP="00B21F37">
            <w:pPr>
              <w:keepNext/>
              <w:spacing w:before="0" w:after="0"/>
              <w:ind w:left="-108"/>
              <w:jc w:val="center"/>
              <w:rPr>
                <w:rFonts w:ascii="Arial Narrow" w:hAnsi="Arial Narrow" w:cs="Arial"/>
                <w:b/>
                <w:sz w:val="18"/>
                <w:szCs w:val="18"/>
              </w:rPr>
            </w:pPr>
            <w:r w:rsidRPr="001825C9">
              <w:rPr>
                <w:rFonts w:ascii="Arial Narrow" w:hAnsi="Arial Narrow" w:cs="Arial"/>
                <w:b/>
                <w:sz w:val="18"/>
                <w:szCs w:val="18"/>
              </w:rPr>
              <w:t>Max. qty units</w:t>
            </w:r>
          </w:p>
        </w:tc>
        <w:tc>
          <w:tcPr>
            <w:tcW w:w="803" w:type="dxa"/>
          </w:tcPr>
          <w:p w:rsidR="00AE46DA" w:rsidRPr="001825C9" w:rsidRDefault="00AE46DA" w:rsidP="00B21F37">
            <w:pPr>
              <w:keepNext/>
              <w:spacing w:before="0" w:after="0"/>
              <w:ind w:left="-108"/>
              <w:jc w:val="center"/>
              <w:rPr>
                <w:rFonts w:ascii="Arial Narrow" w:hAnsi="Arial Narrow" w:cs="Arial"/>
                <w:b/>
                <w:sz w:val="18"/>
                <w:szCs w:val="18"/>
              </w:rPr>
            </w:pPr>
            <w:r w:rsidRPr="001825C9">
              <w:rPr>
                <w:rFonts w:ascii="Arial Narrow" w:hAnsi="Arial Narrow" w:cs="Arial"/>
                <w:b/>
                <w:sz w:val="18"/>
                <w:szCs w:val="18"/>
              </w:rPr>
              <w:t>№.of Rpts</w:t>
            </w:r>
          </w:p>
        </w:tc>
        <w:tc>
          <w:tcPr>
            <w:tcW w:w="1655" w:type="dxa"/>
            <w:tcBorders>
              <w:top w:val="single" w:sz="4" w:space="0" w:color="auto"/>
              <w:bottom w:val="single" w:sz="4" w:space="0" w:color="auto"/>
            </w:tcBorders>
          </w:tcPr>
          <w:p w:rsidR="00AE46DA" w:rsidRPr="001825C9" w:rsidRDefault="00AE46DA" w:rsidP="00B21F37">
            <w:pPr>
              <w:keepNext/>
              <w:spacing w:before="0" w:after="0"/>
              <w:ind w:left="-108"/>
              <w:jc w:val="center"/>
              <w:rPr>
                <w:rFonts w:ascii="Arial Narrow" w:hAnsi="Arial Narrow" w:cs="Arial"/>
                <w:b/>
                <w:sz w:val="18"/>
                <w:szCs w:val="18"/>
              </w:rPr>
            </w:pPr>
            <w:r w:rsidRPr="001825C9">
              <w:rPr>
                <w:rFonts w:ascii="Arial Narrow" w:hAnsi="Arial Narrow" w:cs="Arial"/>
                <w:b/>
                <w:sz w:val="18"/>
                <w:szCs w:val="18"/>
              </w:rPr>
              <w:t>Dispensed price for maximum quantity</w:t>
            </w:r>
          </w:p>
        </w:tc>
        <w:tc>
          <w:tcPr>
            <w:tcW w:w="2263" w:type="dxa"/>
            <w:gridSpan w:val="2"/>
          </w:tcPr>
          <w:p w:rsidR="00AE46DA" w:rsidRPr="001825C9" w:rsidRDefault="00AE46DA" w:rsidP="00B21F37">
            <w:pPr>
              <w:keepNext/>
              <w:spacing w:before="0" w:after="0"/>
              <w:jc w:val="center"/>
              <w:rPr>
                <w:rFonts w:ascii="Arial Narrow" w:hAnsi="Arial Narrow" w:cs="Arial"/>
                <w:b/>
                <w:sz w:val="18"/>
                <w:szCs w:val="18"/>
              </w:rPr>
            </w:pPr>
            <w:r w:rsidRPr="001825C9">
              <w:rPr>
                <w:rFonts w:ascii="Arial Narrow" w:hAnsi="Arial Narrow" w:cs="Arial"/>
                <w:b/>
                <w:sz w:val="18"/>
                <w:szCs w:val="18"/>
              </w:rPr>
              <w:t>Proprietary Name and Manufacturer</w:t>
            </w:r>
          </w:p>
        </w:tc>
      </w:tr>
      <w:tr w:rsidR="00AE46DA" w:rsidRPr="001825C9" w:rsidTr="00B21F37">
        <w:trPr>
          <w:cantSplit/>
          <w:trHeight w:val="170"/>
        </w:trPr>
        <w:tc>
          <w:tcPr>
            <w:tcW w:w="2689" w:type="dxa"/>
          </w:tcPr>
          <w:p w:rsidR="00AE46DA" w:rsidRPr="001825C9" w:rsidRDefault="00AE46DA" w:rsidP="00B21F37">
            <w:pPr>
              <w:keepNext/>
              <w:spacing w:before="0" w:after="0"/>
              <w:ind w:left="-108"/>
              <w:rPr>
                <w:rFonts w:ascii="Arial Narrow" w:hAnsi="Arial Narrow" w:cs="Arial"/>
                <w:sz w:val="18"/>
                <w:szCs w:val="18"/>
              </w:rPr>
            </w:pPr>
            <w:r w:rsidRPr="001825C9">
              <w:rPr>
                <w:rFonts w:ascii="Arial Narrow" w:hAnsi="Arial Narrow" w:cs="Arial"/>
                <w:sz w:val="18"/>
                <w:szCs w:val="18"/>
              </w:rPr>
              <w:t>ENCORAFENIB</w:t>
            </w:r>
          </w:p>
          <w:p w:rsidR="00AE46DA" w:rsidRPr="001825C9" w:rsidRDefault="00AE46DA" w:rsidP="00B21F37">
            <w:pPr>
              <w:keepNext/>
              <w:spacing w:before="0" w:after="0"/>
              <w:ind w:left="-108"/>
              <w:rPr>
                <w:rFonts w:ascii="Arial Narrow" w:hAnsi="Arial Narrow" w:cs="Arial"/>
                <w:sz w:val="18"/>
                <w:szCs w:val="18"/>
              </w:rPr>
            </w:pPr>
            <w:r w:rsidRPr="001825C9">
              <w:rPr>
                <w:rFonts w:ascii="Arial Narrow" w:hAnsi="Arial Narrow" w:cs="Arial"/>
                <w:sz w:val="18"/>
                <w:szCs w:val="18"/>
              </w:rPr>
              <w:t>encorafenib 75 mg capsule, 42</w:t>
            </w:r>
          </w:p>
        </w:tc>
        <w:tc>
          <w:tcPr>
            <w:tcW w:w="803" w:type="dxa"/>
            <w:vAlign w:val="center"/>
          </w:tcPr>
          <w:p w:rsidR="00AE46DA" w:rsidRPr="001825C9" w:rsidRDefault="00AE46DA" w:rsidP="00B21F37">
            <w:pPr>
              <w:keepNext/>
              <w:spacing w:before="0" w:after="0"/>
              <w:jc w:val="center"/>
              <w:rPr>
                <w:rFonts w:ascii="Arial Narrow" w:hAnsi="Arial Narrow" w:cs="Arial"/>
                <w:sz w:val="18"/>
                <w:szCs w:val="18"/>
              </w:rPr>
            </w:pPr>
            <w:r w:rsidRPr="001825C9">
              <w:rPr>
                <w:rFonts w:ascii="Arial Narrow" w:hAnsi="Arial Narrow" w:cs="Arial"/>
                <w:sz w:val="18"/>
                <w:szCs w:val="18"/>
              </w:rPr>
              <w:t>3</w:t>
            </w:r>
          </w:p>
        </w:tc>
        <w:tc>
          <w:tcPr>
            <w:tcW w:w="803" w:type="dxa"/>
            <w:vAlign w:val="center"/>
          </w:tcPr>
          <w:p w:rsidR="00AE46DA" w:rsidRPr="001825C9" w:rsidRDefault="00AE46DA" w:rsidP="00B21F37">
            <w:pPr>
              <w:keepNext/>
              <w:spacing w:before="0" w:after="0"/>
              <w:ind w:left="-108"/>
              <w:jc w:val="center"/>
              <w:rPr>
                <w:rFonts w:ascii="Arial Narrow" w:hAnsi="Arial Narrow" w:cs="Arial"/>
                <w:sz w:val="18"/>
                <w:szCs w:val="18"/>
              </w:rPr>
            </w:pPr>
            <w:r w:rsidRPr="001825C9">
              <w:rPr>
                <w:rFonts w:ascii="Arial Narrow" w:hAnsi="Arial Narrow" w:cs="Arial"/>
                <w:sz w:val="18"/>
                <w:szCs w:val="18"/>
              </w:rPr>
              <w:t>126</w:t>
            </w:r>
          </w:p>
        </w:tc>
        <w:tc>
          <w:tcPr>
            <w:tcW w:w="803" w:type="dxa"/>
            <w:vAlign w:val="center"/>
          </w:tcPr>
          <w:p w:rsidR="00AE46DA" w:rsidRPr="001825C9" w:rsidRDefault="00AE46DA" w:rsidP="00B21F37">
            <w:pPr>
              <w:keepNext/>
              <w:spacing w:before="0" w:after="0"/>
              <w:ind w:left="-108"/>
              <w:jc w:val="center"/>
              <w:rPr>
                <w:rFonts w:ascii="Arial Narrow" w:hAnsi="Arial Narrow" w:cs="Arial"/>
                <w:sz w:val="18"/>
                <w:szCs w:val="18"/>
              </w:rPr>
            </w:pPr>
            <w:r w:rsidRPr="001825C9">
              <w:rPr>
                <w:rFonts w:ascii="Arial Narrow" w:hAnsi="Arial Narrow" w:cs="Arial"/>
                <w:sz w:val="18"/>
                <w:szCs w:val="18"/>
              </w:rPr>
              <w:t>3</w:t>
            </w:r>
          </w:p>
        </w:tc>
        <w:tc>
          <w:tcPr>
            <w:tcW w:w="1655" w:type="dxa"/>
            <w:tcBorders>
              <w:top w:val="single" w:sz="4" w:space="0" w:color="auto"/>
            </w:tcBorders>
            <w:vAlign w:val="center"/>
          </w:tcPr>
          <w:p w:rsidR="00AE46DA" w:rsidRPr="001825C9" w:rsidRDefault="00AE46DA" w:rsidP="00B21F37">
            <w:pPr>
              <w:keepNext/>
              <w:spacing w:before="0" w:after="0"/>
              <w:ind w:left="-108"/>
              <w:jc w:val="center"/>
              <w:rPr>
                <w:rFonts w:cs="Arial"/>
                <w:sz w:val="18"/>
                <w:szCs w:val="18"/>
              </w:rPr>
            </w:pPr>
            <w:r w:rsidRPr="001825C9">
              <w:rPr>
                <w:rFonts w:ascii="Arial Narrow" w:hAnsi="Arial Narrow" w:cs="Arial"/>
                <w:sz w:val="18"/>
                <w:szCs w:val="18"/>
              </w:rPr>
              <w:t>Published: $5313.87</w:t>
            </w:r>
          </w:p>
          <w:p w:rsidR="00AE46DA" w:rsidRPr="001825C9" w:rsidRDefault="00AE46DA" w:rsidP="00B21F37">
            <w:pPr>
              <w:keepNext/>
              <w:spacing w:before="0" w:after="0"/>
              <w:ind w:left="-108"/>
              <w:jc w:val="center"/>
              <w:rPr>
                <w:rFonts w:ascii="Arial Narrow" w:hAnsi="Arial Narrow" w:cs="Arial"/>
                <w:sz w:val="18"/>
                <w:szCs w:val="18"/>
              </w:rPr>
            </w:pPr>
            <w:r w:rsidRPr="001825C9">
              <w:rPr>
                <w:rFonts w:ascii="Arial Narrow" w:hAnsi="Arial Narrow" w:cs="Arial"/>
                <w:sz w:val="18"/>
                <w:szCs w:val="18"/>
              </w:rPr>
              <w:t>Effective: $</w:t>
            </w:r>
            <w:r w:rsidR="00B72C43">
              <w:rPr>
                <w:rFonts w:ascii="Arial Narrow" w:hAnsi="Arial Narrow" w:cs="Arial"/>
                <w:noProof/>
                <w:color w:val="000000"/>
                <w:sz w:val="18"/>
                <w:szCs w:val="18"/>
                <w:highlight w:val="black"/>
              </w:rPr>
              <w:t>'''''''''''''''''''''</w:t>
            </w:r>
          </w:p>
        </w:tc>
        <w:tc>
          <w:tcPr>
            <w:tcW w:w="1010" w:type="dxa"/>
            <w:vMerge w:val="restart"/>
            <w:vAlign w:val="center"/>
          </w:tcPr>
          <w:p w:rsidR="00AE46DA" w:rsidRPr="001825C9" w:rsidRDefault="00AE46DA" w:rsidP="00B21F37">
            <w:pPr>
              <w:keepNext/>
              <w:spacing w:before="0" w:after="0"/>
              <w:jc w:val="center"/>
              <w:rPr>
                <w:rFonts w:ascii="Arial Narrow" w:hAnsi="Arial Narrow" w:cs="Arial"/>
                <w:sz w:val="18"/>
                <w:szCs w:val="18"/>
              </w:rPr>
            </w:pPr>
            <w:r w:rsidRPr="001825C9">
              <w:rPr>
                <w:rFonts w:ascii="Arial Narrow" w:hAnsi="Arial Narrow" w:cs="Arial"/>
                <w:sz w:val="18"/>
                <w:szCs w:val="18"/>
              </w:rPr>
              <w:t>Braftovi®</w:t>
            </w:r>
          </w:p>
        </w:tc>
        <w:tc>
          <w:tcPr>
            <w:tcW w:w="1253" w:type="dxa"/>
            <w:vMerge w:val="restart"/>
            <w:vAlign w:val="center"/>
          </w:tcPr>
          <w:p w:rsidR="00AE46DA" w:rsidRPr="001825C9" w:rsidRDefault="00AE46DA" w:rsidP="00B21F37">
            <w:pPr>
              <w:keepNext/>
              <w:spacing w:before="0" w:after="0"/>
              <w:jc w:val="center"/>
              <w:rPr>
                <w:rFonts w:ascii="Arial Narrow" w:hAnsi="Arial Narrow" w:cs="Arial"/>
                <w:sz w:val="18"/>
                <w:szCs w:val="18"/>
              </w:rPr>
            </w:pPr>
            <w:r w:rsidRPr="001825C9">
              <w:rPr>
                <w:rFonts w:ascii="Arial Narrow" w:hAnsi="Arial Narrow" w:cs="Arial"/>
                <w:sz w:val="18"/>
                <w:szCs w:val="18"/>
              </w:rPr>
              <w:t>Pierre Fabre Australia Pty Ltd</w:t>
            </w:r>
          </w:p>
        </w:tc>
      </w:tr>
      <w:tr w:rsidR="00AE46DA" w:rsidRPr="001825C9" w:rsidTr="00B21F37">
        <w:trPr>
          <w:cantSplit/>
          <w:trHeight w:val="170"/>
        </w:trPr>
        <w:tc>
          <w:tcPr>
            <w:tcW w:w="2689" w:type="dxa"/>
            <w:vAlign w:val="center"/>
          </w:tcPr>
          <w:p w:rsidR="00AE46DA" w:rsidRPr="001825C9" w:rsidRDefault="00AE46DA" w:rsidP="00B21F37">
            <w:pPr>
              <w:keepNext/>
              <w:spacing w:before="0" w:after="0"/>
              <w:ind w:left="-108"/>
              <w:rPr>
                <w:rFonts w:ascii="Arial Narrow" w:hAnsi="Arial Narrow" w:cs="Arial"/>
                <w:sz w:val="18"/>
                <w:szCs w:val="18"/>
              </w:rPr>
            </w:pPr>
            <w:r w:rsidRPr="001825C9">
              <w:rPr>
                <w:rFonts w:ascii="Arial Narrow" w:hAnsi="Arial Narrow" w:cs="Arial"/>
                <w:sz w:val="18"/>
                <w:szCs w:val="18"/>
              </w:rPr>
              <w:t>encorafenib 50 mg capsule, 28</w:t>
            </w:r>
          </w:p>
        </w:tc>
        <w:tc>
          <w:tcPr>
            <w:tcW w:w="803" w:type="dxa"/>
            <w:vAlign w:val="center"/>
          </w:tcPr>
          <w:p w:rsidR="00AE46DA" w:rsidRPr="001825C9" w:rsidRDefault="00AE46DA" w:rsidP="00B21F37">
            <w:pPr>
              <w:keepNext/>
              <w:spacing w:before="0" w:after="0"/>
              <w:jc w:val="center"/>
              <w:rPr>
                <w:rFonts w:ascii="Arial Narrow" w:hAnsi="Arial Narrow" w:cs="Arial"/>
                <w:sz w:val="18"/>
                <w:szCs w:val="18"/>
              </w:rPr>
            </w:pPr>
            <w:r w:rsidRPr="001825C9">
              <w:rPr>
                <w:rFonts w:ascii="Arial Narrow" w:hAnsi="Arial Narrow" w:cs="Arial"/>
                <w:sz w:val="18"/>
                <w:szCs w:val="18"/>
              </w:rPr>
              <w:t>6</w:t>
            </w:r>
          </w:p>
        </w:tc>
        <w:tc>
          <w:tcPr>
            <w:tcW w:w="803" w:type="dxa"/>
            <w:vAlign w:val="center"/>
          </w:tcPr>
          <w:p w:rsidR="00AE46DA" w:rsidRPr="001825C9" w:rsidRDefault="00AE46DA" w:rsidP="00B21F37">
            <w:pPr>
              <w:keepNext/>
              <w:spacing w:before="0" w:after="0"/>
              <w:ind w:left="-108"/>
              <w:jc w:val="center"/>
              <w:rPr>
                <w:rFonts w:ascii="Arial Narrow" w:hAnsi="Arial Narrow" w:cs="Arial"/>
                <w:sz w:val="18"/>
                <w:szCs w:val="18"/>
              </w:rPr>
            </w:pPr>
            <w:r w:rsidRPr="001825C9">
              <w:rPr>
                <w:rFonts w:ascii="Arial Narrow" w:hAnsi="Arial Narrow" w:cs="Arial"/>
                <w:sz w:val="18"/>
                <w:szCs w:val="18"/>
              </w:rPr>
              <w:t>168</w:t>
            </w:r>
          </w:p>
        </w:tc>
        <w:tc>
          <w:tcPr>
            <w:tcW w:w="803" w:type="dxa"/>
            <w:vAlign w:val="center"/>
          </w:tcPr>
          <w:p w:rsidR="00AE46DA" w:rsidRPr="001825C9" w:rsidRDefault="00AE46DA" w:rsidP="00B21F37">
            <w:pPr>
              <w:keepNext/>
              <w:spacing w:before="0" w:after="0"/>
              <w:ind w:left="-108"/>
              <w:jc w:val="center"/>
              <w:rPr>
                <w:rFonts w:ascii="Arial Narrow" w:hAnsi="Arial Narrow" w:cs="Arial"/>
                <w:sz w:val="18"/>
                <w:szCs w:val="18"/>
              </w:rPr>
            </w:pPr>
            <w:r w:rsidRPr="001825C9">
              <w:rPr>
                <w:rFonts w:ascii="Arial Narrow" w:hAnsi="Arial Narrow" w:cs="Arial"/>
                <w:sz w:val="18"/>
                <w:szCs w:val="18"/>
              </w:rPr>
              <w:t>3</w:t>
            </w:r>
          </w:p>
        </w:tc>
        <w:tc>
          <w:tcPr>
            <w:tcW w:w="1655" w:type="dxa"/>
            <w:vAlign w:val="center"/>
          </w:tcPr>
          <w:p w:rsidR="00AE46DA" w:rsidRPr="001825C9" w:rsidRDefault="00AE46DA" w:rsidP="00B21F37">
            <w:pPr>
              <w:keepNext/>
              <w:spacing w:before="0" w:after="0"/>
              <w:ind w:left="-108"/>
              <w:jc w:val="center"/>
              <w:rPr>
                <w:rFonts w:cs="Arial"/>
                <w:sz w:val="18"/>
                <w:szCs w:val="18"/>
              </w:rPr>
            </w:pPr>
            <w:r w:rsidRPr="001825C9">
              <w:rPr>
                <w:rFonts w:ascii="Arial Narrow" w:hAnsi="Arial Narrow" w:cs="Arial"/>
                <w:sz w:val="18"/>
                <w:szCs w:val="18"/>
              </w:rPr>
              <w:t>Published: $4735.32</w:t>
            </w:r>
          </w:p>
          <w:p w:rsidR="00AE46DA" w:rsidRPr="001825C9" w:rsidRDefault="00AE46DA" w:rsidP="00B21F37">
            <w:pPr>
              <w:keepNext/>
              <w:spacing w:before="0" w:after="0"/>
              <w:ind w:left="-108"/>
              <w:jc w:val="center"/>
              <w:rPr>
                <w:rFonts w:ascii="Arial Narrow" w:hAnsi="Arial Narrow" w:cs="Arial"/>
                <w:sz w:val="18"/>
                <w:szCs w:val="18"/>
              </w:rPr>
            </w:pPr>
            <w:r w:rsidRPr="001825C9">
              <w:rPr>
                <w:rFonts w:ascii="Arial Narrow" w:hAnsi="Arial Narrow" w:cs="Arial"/>
                <w:sz w:val="18"/>
                <w:szCs w:val="18"/>
              </w:rPr>
              <w:t>Effective: $</w:t>
            </w:r>
            <w:r w:rsidR="00B72C43">
              <w:rPr>
                <w:rFonts w:ascii="Arial Narrow" w:hAnsi="Arial Narrow" w:cs="Arial"/>
                <w:noProof/>
                <w:color w:val="000000"/>
                <w:sz w:val="18"/>
                <w:szCs w:val="18"/>
                <w:highlight w:val="black"/>
              </w:rPr>
              <w:t>'''''''''''''''''</w:t>
            </w:r>
          </w:p>
        </w:tc>
        <w:tc>
          <w:tcPr>
            <w:tcW w:w="1010" w:type="dxa"/>
            <w:vMerge/>
            <w:vAlign w:val="center"/>
          </w:tcPr>
          <w:p w:rsidR="00AE46DA" w:rsidRPr="001825C9" w:rsidRDefault="00AE46DA" w:rsidP="00B21F37">
            <w:pPr>
              <w:keepNext/>
              <w:spacing w:before="0" w:after="0"/>
              <w:rPr>
                <w:rFonts w:ascii="Arial Narrow" w:hAnsi="Arial Narrow" w:cs="Arial"/>
                <w:sz w:val="18"/>
                <w:szCs w:val="18"/>
              </w:rPr>
            </w:pPr>
          </w:p>
        </w:tc>
        <w:tc>
          <w:tcPr>
            <w:tcW w:w="1253" w:type="dxa"/>
            <w:vMerge/>
            <w:vAlign w:val="center"/>
          </w:tcPr>
          <w:p w:rsidR="00AE46DA" w:rsidRPr="001825C9" w:rsidRDefault="00AE46DA" w:rsidP="00B21F37">
            <w:pPr>
              <w:keepNext/>
              <w:spacing w:before="0" w:after="0"/>
              <w:rPr>
                <w:rFonts w:ascii="Arial Narrow" w:hAnsi="Arial Narrow" w:cs="Arial"/>
                <w:sz w:val="18"/>
                <w:szCs w:val="18"/>
              </w:rPr>
            </w:pPr>
          </w:p>
        </w:tc>
      </w:tr>
    </w:tbl>
    <w:p w:rsidR="00AE46DA" w:rsidRPr="001825C9" w:rsidRDefault="00AE46DA" w:rsidP="00AE46DA">
      <w:pPr>
        <w:rPr>
          <w:rFonts w:ascii="Arial Narrow" w:hAnsi="Arial Narrow"/>
          <w:b/>
          <w:sz w:val="18"/>
          <w:szCs w:val="18"/>
        </w:rPr>
      </w:pPr>
      <w:r w:rsidRPr="001825C9">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E46DA" w:rsidRPr="001825C9" w:rsidTr="00B21F37">
        <w:trPr>
          <w:trHeight w:val="20"/>
        </w:trPr>
        <w:tc>
          <w:tcPr>
            <w:tcW w:w="5000" w:type="pct"/>
            <w:tcBorders>
              <w:top w:val="single" w:sz="4" w:space="0" w:color="auto"/>
              <w:left w:val="single" w:sz="4" w:space="0" w:color="auto"/>
              <w:bottom w:val="single" w:sz="4" w:space="0" w:color="auto"/>
              <w:right w:val="single" w:sz="4" w:space="0" w:color="auto"/>
            </w:tcBorders>
          </w:tcPr>
          <w:p w:rsidR="00AE46DA" w:rsidRPr="001825C9" w:rsidRDefault="00AE46DA" w:rsidP="00B21F37">
            <w:pPr>
              <w:spacing w:before="0" w:after="0"/>
              <w:rPr>
                <w:rFonts w:ascii="Arial Narrow" w:hAnsi="Arial Narrow" w:cs="Arial"/>
                <w:sz w:val="18"/>
                <w:szCs w:val="18"/>
              </w:rPr>
            </w:pPr>
            <w:r w:rsidRPr="001825C9">
              <w:rPr>
                <w:rFonts w:ascii="Arial Narrow" w:hAnsi="Arial Narrow" w:cs="Arial"/>
                <w:b/>
                <w:sz w:val="18"/>
                <w:szCs w:val="18"/>
              </w:rPr>
              <w:t xml:space="preserve">Category / Program: </w:t>
            </w:r>
            <w:r w:rsidRPr="001825C9">
              <w:rPr>
                <w:rFonts w:ascii="Arial Narrow" w:hAnsi="Arial Narrow" w:cs="Arial"/>
                <w:sz w:val="18"/>
                <w:szCs w:val="18"/>
              </w:rPr>
              <w:t>GENER</w:t>
            </w:r>
            <w:r w:rsidR="00937442" w:rsidRPr="001825C9">
              <w:rPr>
                <w:rFonts w:ascii="Arial Narrow" w:hAnsi="Arial Narrow" w:cs="Arial"/>
                <w:sz w:val="18"/>
                <w:szCs w:val="18"/>
              </w:rPr>
              <w:t>AL – General Schedule (Code GE)</w:t>
            </w:r>
          </w:p>
        </w:tc>
      </w:tr>
      <w:tr w:rsidR="00AE46DA" w:rsidRPr="001825C9" w:rsidTr="00B21F37">
        <w:trPr>
          <w:trHeight w:val="20"/>
        </w:trPr>
        <w:tc>
          <w:tcPr>
            <w:tcW w:w="5000" w:type="pct"/>
            <w:tcBorders>
              <w:top w:val="single" w:sz="4" w:space="0" w:color="auto"/>
              <w:left w:val="single" w:sz="4" w:space="0" w:color="auto"/>
              <w:bottom w:val="single" w:sz="4" w:space="0" w:color="auto"/>
              <w:right w:val="single" w:sz="4" w:space="0" w:color="auto"/>
            </w:tcBorders>
          </w:tcPr>
          <w:p w:rsidR="00AE46DA" w:rsidRPr="001825C9" w:rsidRDefault="00AE46DA" w:rsidP="00B21F37">
            <w:pPr>
              <w:spacing w:before="0" w:after="0"/>
              <w:rPr>
                <w:rFonts w:ascii="Arial Narrow" w:hAnsi="Arial Narrow" w:cs="Arial"/>
                <w:b/>
                <w:sz w:val="18"/>
                <w:szCs w:val="18"/>
              </w:rPr>
            </w:pPr>
            <w:r w:rsidRPr="001825C9">
              <w:rPr>
                <w:rFonts w:ascii="Arial Narrow" w:hAnsi="Arial Narrow" w:cs="Arial"/>
                <w:b/>
                <w:sz w:val="18"/>
                <w:szCs w:val="18"/>
              </w:rPr>
              <w:t xml:space="preserve">Prescriber type:   </w:t>
            </w:r>
            <w:r w:rsidRPr="001825C9">
              <w:rPr>
                <w:rFonts w:ascii="Arial Narrow" w:hAnsi="Arial Narrow" w:cs="Arial"/>
                <w:sz w:val="18"/>
                <w:szCs w:val="18"/>
              </w:rPr>
              <w:fldChar w:fldCharType="begin">
                <w:ffData>
                  <w:name w:val="Check1"/>
                  <w:enabled/>
                  <w:calcOnExit w:val="0"/>
                  <w:checkBox>
                    <w:sizeAuto/>
                    <w:default w:val="0"/>
                  </w:checkBox>
                </w:ffData>
              </w:fldChar>
            </w:r>
            <w:r w:rsidRPr="001825C9">
              <w:rPr>
                <w:rFonts w:ascii="Arial Narrow" w:hAnsi="Arial Narrow" w:cs="Arial"/>
                <w:sz w:val="18"/>
                <w:szCs w:val="18"/>
              </w:rPr>
              <w:instrText xml:space="preserve"> FORMCHECKBOX </w:instrText>
            </w:r>
            <w:r w:rsidR="0091085C">
              <w:rPr>
                <w:rFonts w:ascii="Arial Narrow" w:hAnsi="Arial Narrow" w:cs="Arial"/>
                <w:sz w:val="18"/>
                <w:szCs w:val="18"/>
              </w:rPr>
            </w:r>
            <w:r w:rsidR="0091085C">
              <w:rPr>
                <w:rFonts w:ascii="Arial Narrow" w:hAnsi="Arial Narrow" w:cs="Arial"/>
                <w:sz w:val="18"/>
                <w:szCs w:val="18"/>
              </w:rPr>
              <w:fldChar w:fldCharType="separate"/>
            </w:r>
            <w:r w:rsidRPr="001825C9">
              <w:rPr>
                <w:rFonts w:ascii="Arial Narrow" w:hAnsi="Arial Narrow" w:cs="Arial"/>
                <w:sz w:val="18"/>
                <w:szCs w:val="18"/>
              </w:rPr>
              <w:fldChar w:fldCharType="end"/>
            </w:r>
            <w:r w:rsidRPr="001825C9">
              <w:rPr>
                <w:rFonts w:ascii="Arial Narrow" w:hAnsi="Arial Narrow" w:cs="Arial"/>
                <w:sz w:val="18"/>
                <w:szCs w:val="18"/>
              </w:rPr>
              <w:t xml:space="preserve">Dental    </w:t>
            </w:r>
            <w:r w:rsidRPr="001825C9">
              <w:rPr>
                <w:rFonts w:ascii="Arial Narrow" w:hAnsi="Arial Narrow" w:cs="Arial"/>
                <w:sz w:val="18"/>
                <w:szCs w:val="18"/>
              </w:rPr>
              <w:fldChar w:fldCharType="begin">
                <w:ffData>
                  <w:name w:val=""/>
                  <w:enabled/>
                  <w:calcOnExit w:val="0"/>
                  <w:checkBox>
                    <w:sizeAuto/>
                    <w:default w:val="1"/>
                  </w:checkBox>
                </w:ffData>
              </w:fldChar>
            </w:r>
            <w:r w:rsidRPr="001825C9">
              <w:rPr>
                <w:rFonts w:ascii="Arial Narrow" w:hAnsi="Arial Narrow" w:cs="Arial"/>
                <w:sz w:val="18"/>
                <w:szCs w:val="18"/>
              </w:rPr>
              <w:instrText xml:space="preserve"> FORMCHECKBOX </w:instrText>
            </w:r>
            <w:r w:rsidR="0091085C">
              <w:rPr>
                <w:rFonts w:ascii="Arial Narrow" w:hAnsi="Arial Narrow" w:cs="Arial"/>
                <w:sz w:val="18"/>
                <w:szCs w:val="18"/>
              </w:rPr>
            </w:r>
            <w:r w:rsidR="0091085C">
              <w:rPr>
                <w:rFonts w:ascii="Arial Narrow" w:hAnsi="Arial Narrow" w:cs="Arial"/>
                <w:sz w:val="18"/>
                <w:szCs w:val="18"/>
              </w:rPr>
              <w:fldChar w:fldCharType="separate"/>
            </w:r>
            <w:r w:rsidRPr="001825C9">
              <w:rPr>
                <w:rFonts w:ascii="Arial Narrow" w:hAnsi="Arial Narrow" w:cs="Arial"/>
                <w:sz w:val="18"/>
                <w:szCs w:val="18"/>
              </w:rPr>
              <w:fldChar w:fldCharType="end"/>
            </w:r>
            <w:r w:rsidRPr="001825C9">
              <w:rPr>
                <w:rFonts w:ascii="Arial Narrow" w:hAnsi="Arial Narrow" w:cs="Arial"/>
                <w:sz w:val="18"/>
                <w:szCs w:val="18"/>
              </w:rPr>
              <w:t xml:space="preserve">Medical Practitioners    </w:t>
            </w:r>
            <w:r w:rsidRPr="001825C9">
              <w:rPr>
                <w:rFonts w:ascii="Arial Narrow" w:hAnsi="Arial Narrow" w:cs="Arial"/>
                <w:sz w:val="18"/>
                <w:szCs w:val="18"/>
              </w:rPr>
              <w:fldChar w:fldCharType="begin">
                <w:ffData>
                  <w:name w:val="Check3"/>
                  <w:enabled/>
                  <w:calcOnExit w:val="0"/>
                  <w:checkBox>
                    <w:sizeAuto/>
                    <w:default w:val="0"/>
                  </w:checkBox>
                </w:ffData>
              </w:fldChar>
            </w:r>
            <w:r w:rsidRPr="001825C9">
              <w:rPr>
                <w:rFonts w:ascii="Arial Narrow" w:hAnsi="Arial Narrow" w:cs="Arial"/>
                <w:sz w:val="18"/>
                <w:szCs w:val="18"/>
              </w:rPr>
              <w:instrText xml:space="preserve"> FORMCHECKBOX </w:instrText>
            </w:r>
            <w:r w:rsidR="0091085C">
              <w:rPr>
                <w:rFonts w:ascii="Arial Narrow" w:hAnsi="Arial Narrow" w:cs="Arial"/>
                <w:sz w:val="18"/>
                <w:szCs w:val="18"/>
              </w:rPr>
            </w:r>
            <w:r w:rsidR="0091085C">
              <w:rPr>
                <w:rFonts w:ascii="Arial Narrow" w:hAnsi="Arial Narrow" w:cs="Arial"/>
                <w:sz w:val="18"/>
                <w:szCs w:val="18"/>
              </w:rPr>
              <w:fldChar w:fldCharType="separate"/>
            </w:r>
            <w:r w:rsidRPr="001825C9">
              <w:rPr>
                <w:rFonts w:ascii="Arial Narrow" w:hAnsi="Arial Narrow" w:cs="Arial"/>
                <w:sz w:val="18"/>
                <w:szCs w:val="18"/>
              </w:rPr>
              <w:fldChar w:fldCharType="end"/>
            </w:r>
            <w:r w:rsidRPr="001825C9">
              <w:rPr>
                <w:rFonts w:ascii="Arial Narrow" w:hAnsi="Arial Narrow" w:cs="Arial"/>
                <w:sz w:val="18"/>
                <w:szCs w:val="18"/>
              </w:rPr>
              <w:t xml:space="preserve">Nurse practitioners     </w:t>
            </w:r>
            <w:r w:rsidRPr="001825C9">
              <w:rPr>
                <w:rFonts w:ascii="Arial Narrow" w:hAnsi="Arial Narrow" w:cs="Arial"/>
                <w:sz w:val="18"/>
                <w:szCs w:val="18"/>
              </w:rPr>
              <w:fldChar w:fldCharType="begin">
                <w:ffData>
                  <w:name w:val=""/>
                  <w:enabled/>
                  <w:calcOnExit w:val="0"/>
                  <w:checkBox>
                    <w:sizeAuto/>
                    <w:default w:val="0"/>
                  </w:checkBox>
                </w:ffData>
              </w:fldChar>
            </w:r>
            <w:r w:rsidRPr="001825C9">
              <w:rPr>
                <w:rFonts w:ascii="Arial Narrow" w:hAnsi="Arial Narrow" w:cs="Arial"/>
                <w:sz w:val="18"/>
                <w:szCs w:val="18"/>
              </w:rPr>
              <w:instrText xml:space="preserve"> FORMCHECKBOX </w:instrText>
            </w:r>
            <w:r w:rsidR="0091085C">
              <w:rPr>
                <w:rFonts w:ascii="Arial Narrow" w:hAnsi="Arial Narrow" w:cs="Arial"/>
                <w:sz w:val="18"/>
                <w:szCs w:val="18"/>
              </w:rPr>
            </w:r>
            <w:r w:rsidR="0091085C">
              <w:rPr>
                <w:rFonts w:ascii="Arial Narrow" w:hAnsi="Arial Narrow" w:cs="Arial"/>
                <w:sz w:val="18"/>
                <w:szCs w:val="18"/>
              </w:rPr>
              <w:fldChar w:fldCharType="separate"/>
            </w:r>
            <w:r w:rsidRPr="001825C9">
              <w:rPr>
                <w:rFonts w:ascii="Arial Narrow" w:hAnsi="Arial Narrow" w:cs="Arial"/>
                <w:sz w:val="18"/>
                <w:szCs w:val="18"/>
              </w:rPr>
              <w:fldChar w:fldCharType="end"/>
            </w:r>
            <w:r w:rsidRPr="001825C9">
              <w:rPr>
                <w:rFonts w:ascii="Arial Narrow" w:hAnsi="Arial Narrow" w:cs="Arial"/>
                <w:sz w:val="18"/>
                <w:szCs w:val="18"/>
              </w:rPr>
              <w:t xml:space="preserve">Optometrists    </w:t>
            </w:r>
            <w:r w:rsidRPr="001825C9">
              <w:rPr>
                <w:rFonts w:ascii="Arial Narrow" w:hAnsi="Arial Narrow" w:cs="Arial"/>
                <w:sz w:val="18"/>
                <w:szCs w:val="18"/>
              </w:rPr>
              <w:fldChar w:fldCharType="begin">
                <w:ffData>
                  <w:name w:val="Check5"/>
                  <w:enabled/>
                  <w:calcOnExit w:val="0"/>
                  <w:checkBox>
                    <w:sizeAuto/>
                    <w:default w:val="0"/>
                  </w:checkBox>
                </w:ffData>
              </w:fldChar>
            </w:r>
            <w:r w:rsidRPr="001825C9">
              <w:rPr>
                <w:rFonts w:ascii="Arial Narrow" w:hAnsi="Arial Narrow" w:cs="Arial"/>
                <w:sz w:val="18"/>
                <w:szCs w:val="18"/>
              </w:rPr>
              <w:instrText xml:space="preserve"> FORMCHECKBOX </w:instrText>
            </w:r>
            <w:r w:rsidR="0091085C">
              <w:rPr>
                <w:rFonts w:ascii="Arial Narrow" w:hAnsi="Arial Narrow" w:cs="Arial"/>
                <w:sz w:val="18"/>
                <w:szCs w:val="18"/>
              </w:rPr>
            </w:r>
            <w:r w:rsidR="0091085C">
              <w:rPr>
                <w:rFonts w:ascii="Arial Narrow" w:hAnsi="Arial Narrow" w:cs="Arial"/>
                <w:sz w:val="18"/>
                <w:szCs w:val="18"/>
              </w:rPr>
              <w:fldChar w:fldCharType="separate"/>
            </w:r>
            <w:r w:rsidRPr="001825C9">
              <w:rPr>
                <w:rFonts w:ascii="Arial Narrow" w:hAnsi="Arial Narrow" w:cs="Arial"/>
                <w:sz w:val="18"/>
                <w:szCs w:val="18"/>
              </w:rPr>
              <w:fldChar w:fldCharType="end"/>
            </w:r>
            <w:r w:rsidRPr="001825C9">
              <w:rPr>
                <w:rFonts w:ascii="Arial Narrow" w:hAnsi="Arial Narrow" w:cs="Arial"/>
                <w:sz w:val="18"/>
                <w:szCs w:val="18"/>
              </w:rPr>
              <w:t>Midwives</w:t>
            </w:r>
          </w:p>
        </w:tc>
      </w:tr>
      <w:tr w:rsidR="00AE46DA" w:rsidRPr="001825C9" w:rsidTr="00B21F37">
        <w:trPr>
          <w:trHeight w:val="20"/>
        </w:trPr>
        <w:tc>
          <w:tcPr>
            <w:tcW w:w="5000" w:type="pct"/>
            <w:tcBorders>
              <w:top w:val="single" w:sz="4" w:space="0" w:color="auto"/>
              <w:left w:val="single" w:sz="4" w:space="0" w:color="auto"/>
              <w:bottom w:val="single" w:sz="4" w:space="0" w:color="auto"/>
              <w:right w:val="single" w:sz="4" w:space="0" w:color="auto"/>
            </w:tcBorders>
          </w:tcPr>
          <w:p w:rsidR="00AE46DA" w:rsidRPr="001825C9" w:rsidRDefault="00AE46DA" w:rsidP="00B21F37">
            <w:pPr>
              <w:spacing w:before="0" w:after="0"/>
              <w:rPr>
                <w:rFonts w:ascii="Arial Narrow" w:eastAsia="Calibri" w:hAnsi="Arial Narrow" w:cs="Arial"/>
                <w:sz w:val="18"/>
                <w:szCs w:val="18"/>
              </w:rPr>
            </w:pPr>
            <w:r w:rsidRPr="001825C9">
              <w:rPr>
                <w:rFonts w:ascii="Arial Narrow" w:hAnsi="Arial Narrow" w:cs="Arial"/>
                <w:b/>
                <w:sz w:val="18"/>
                <w:szCs w:val="18"/>
              </w:rPr>
              <w:t xml:space="preserve">Restriction Type: </w:t>
            </w:r>
            <w:r w:rsidRPr="001825C9">
              <w:rPr>
                <w:rFonts w:ascii="Arial Narrow" w:eastAsia="Calibri" w:hAnsi="Arial Narrow" w:cs="Arial"/>
                <w:sz w:val="18"/>
                <w:szCs w:val="18"/>
              </w:rPr>
              <w:fldChar w:fldCharType="begin">
                <w:ffData>
                  <w:name w:val=""/>
                  <w:enabled/>
                  <w:calcOnExit w:val="0"/>
                  <w:checkBox>
                    <w:sizeAuto/>
                    <w:default w:val="1"/>
                  </w:checkBox>
                </w:ffData>
              </w:fldChar>
            </w:r>
            <w:r w:rsidRPr="001825C9">
              <w:rPr>
                <w:rFonts w:ascii="Arial Narrow" w:eastAsia="Calibri" w:hAnsi="Arial Narrow" w:cs="Arial"/>
                <w:sz w:val="18"/>
                <w:szCs w:val="18"/>
              </w:rPr>
              <w:instrText xml:space="preserve"> FORMCHECKBOX </w:instrText>
            </w:r>
            <w:r w:rsidR="0091085C">
              <w:rPr>
                <w:rFonts w:ascii="Arial Narrow" w:eastAsia="Calibri" w:hAnsi="Arial Narrow" w:cs="Arial"/>
                <w:sz w:val="18"/>
                <w:szCs w:val="18"/>
              </w:rPr>
            </w:r>
            <w:r w:rsidR="0091085C">
              <w:rPr>
                <w:rFonts w:ascii="Arial Narrow" w:eastAsia="Calibri" w:hAnsi="Arial Narrow" w:cs="Arial"/>
                <w:sz w:val="18"/>
                <w:szCs w:val="18"/>
              </w:rPr>
              <w:fldChar w:fldCharType="separate"/>
            </w:r>
            <w:r w:rsidRPr="001825C9">
              <w:rPr>
                <w:rFonts w:ascii="Arial Narrow" w:eastAsia="Calibri" w:hAnsi="Arial Narrow" w:cs="Arial"/>
                <w:sz w:val="18"/>
                <w:szCs w:val="18"/>
              </w:rPr>
              <w:fldChar w:fldCharType="end"/>
            </w:r>
            <w:r w:rsidRPr="001825C9">
              <w:rPr>
                <w:rFonts w:ascii="Arial Narrow" w:eastAsia="Calibri" w:hAnsi="Arial Narrow" w:cs="Arial"/>
                <w:sz w:val="18"/>
                <w:szCs w:val="18"/>
              </w:rPr>
              <w:t>Authority Required – Streamlined [new code]</w:t>
            </w:r>
          </w:p>
        </w:tc>
      </w:tr>
      <w:tr w:rsidR="00AE46DA" w:rsidRPr="001825C9" w:rsidTr="00B21F37">
        <w:trPr>
          <w:trHeight w:val="20"/>
        </w:trPr>
        <w:tc>
          <w:tcPr>
            <w:tcW w:w="5000" w:type="pct"/>
            <w:vAlign w:val="center"/>
          </w:tcPr>
          <w:p w:rsidR="00AE46DA" w:rsidRPr="001825C9" w:rsidRDefault="00AE46DA" w:rsidP="00B21F37">
            <w:pPr>
              <w:spacing w:before="0" w:after="0"/>
              <w:rPr>
                <w:rFonts w:ascii="Arial Narrow" w:eastAsia="Times New Roman" w:hAnsi="Arial Narrow"/>
                <w:b/>
                <w:bCs/>
                <w:sz w:val="18"/>
                <w:szCs w:val="18"/>
                <w:lang w:eastAsia="en-AU"/>
              </w:rPr>
            </w:pPr>
            <w:r w:rsidRPr="001825C9">
              <w:rPr>
                <w:rFonts w:ascii="Arial Narrow" w:eastAsia="Times New Roman" w:hAnsi="Arial Narrow"/>
                <w:b/>
                <w:bCs/>
                <w:sz w:val="18"/>
                <w:szCs w:val="18"/>
                <w:lang w:eastAsia="en-AU"/>
              </w:rPr>
              <w:t xml:space="preserve">Severity: </w:t>
            </w:r>
            <w:r w:rsidRPr="001825C9">
              <w:rPr>
                <w:rFonts w:ascii="Arial Narrow" w:eastAsia="Times New Roman" w:hAnsi="Arial Narrow"/>
                <w:bCs/>
                <w:sz w:val="18"/>
                <w:szCs w:val="18"/>
                <w:lang w:eastAsia="en-AU"/>
              </w:rPr>
              <w:t>Metastatic</w:t>
            </w:r>
          </w:p>
        </w:tc>
      </w:tr>
      <w:tr w:rsidR="00AE46DA" w:rsidRPr="001825C9" w:rsidTr="00B21F37">
        <w:trPr>
          <w:trHeight w:val="20"/>
        </w:trPr>
        <w:tc>
          <w:tcPr>
            <w:tcW w:w="5000" w:type="pct"/>
            <w:vAlign w:val="center"/>
          </w:tcPr>
          <w:p w:rsidR="00AE46DA" w:rsidRPr="001825C9" w:rsidRDefault="00AE46DA" w:rsidP="00B21F37">
            <w:pPr>
              <w:spacing w:before="0" w:after="0"/>
              <w:rPr>
                <w:rFonts w:ascii="Arial Narrow" w:eastAsia="Times New Roman" w:hAnsi="Arial Narrow"/>
                <w:b/>
                <w:bCs/>
                <w:sz w:val="18"/>
                <w:szCs w:val="18"/>
                <w:lang w:eastAsia="en-AU"/>
              </w:rPr>
            </w:pPr>
            <w:r w:rsidRPr="001825C9">
              <w:rPr>
                <w:rFonts w:ascii="Arial Narrow" w:eastAsia="Times New Roman" w:hAnsi="Arial Narrow"/>
                <w:b/>
                <w:bCs/>
                <w:sz w:val="18"/>
                <w:szCs w:val="18"/>
                <w:lang w:eastAsia="en-AU"/>
              </w:rPr>
              <w:t xml:space="preserve">Condition: </w:t>
            </w:r>
            <w:r w:rsidRPr="001825C9">
              <w:rPr>
                <w:rFonts w:ascii="Arial Narrow" w:eastAsia="Times New Roman" w:hAnsi="Arial Narrow"/>
                <w:bCs/>
                <w:sz w:val="18"/>
                <w:szCs w:val="18"/>
                <w:lang w:eastAsia="en-AU"/>
              </w:rPr>
              <w:t>colorectal cancer</w:t>
            </w:r>
          </w:p>
        </w:tc>
      </w:tr>
      <w:tr w:rsidR="00AE46DA" w:rsidRPr="001825C9" w:rsidTr="00B21F37">
        <w:trPr>
          <w:trHeight w:val="20"/>
        </w:trPr>
        <w:tc>
          <w:tcPr>
            <w:tcW w:w="5000" w:type="pct"/>
            <w:vAlign w:val="center"/>
            <w:hideMark/>
          </w:tcPr>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b/>
                <w:bCs/>
                <w:sz w:val="18"/>
                <w:szCs w:val="18"/>
                <w:lang w:eastAsia="en-AU"/>
              </w:rPr>
              <w:t>Indication:</w:t>
            </w:r>
            <w:r w:rsidRPr="001825C9">
              <w:rPr>
                <w:rFonts w:ascii="Arial Narrow" w:eastAsia="Times New Roman" w:hAnsi="Arial Narrow"/>
                <w:sz w:val="18"/>
                <w:szCs w:val="18"/>
                <w:lang w:eastAsia="en-AU"/>
              </w:rPr>
              <w:t xml:space="preserve"> Metastatic colorectal cancer</w:t>
            </w:r>
          </w:p>
        </w:tc>
      </w:tr>
      <w:tr w:rsidR="00AE46DA" w:rsidRPr="001825C9" w:rsidTr="00B21F37">
        <w:trPr>
          <w:trHeight w:val="20"/>
        </w:trPr>
        <w:tc>
          <w:tcPr>
            <w:tcW w:w="5000" w:type="pct"/>
            <w:vAlign w:val="center"/>
            <w:hideMark/>
          </w:tcPr>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b/>
                <w:bCs/>
                <w:sz w:val="18"/>
                <w:szCs w:val="18"/>
                <w:lang w:eastAsia="en-AU"/>
              </w:rPr>
              <w:t>Treatment Phase:</w:t>
            </w:r>
            <w:r w:rsidR="00937442" w:rsidRPr="001825C9">
              <w:rPr>
                <w:rFonts w:ascii="Arial Narrow" w:eastAsia="Times New Roman" w:hAnsi="Arial Narrow"/>
                <w:sz w:val="18"/>
                <w:szCs w:val="18"/>
                <w:lang w:eastAsia="en-AU"/>
              </w:rPr>
              <w:t xml:space="preserve"> Initial treatment</w:t>
            </w:r>
          </w:p>
        </w:tc>
      </w:tr>
      <w:tr w:rsidR="00AE46DA" w:rsidRPr="001825C9" w:rsidTr="00B21F37">
        <w:trPr>
          <w:trHeight w:val="20"/>
        </w:trPr>
        <w:tc>
          <w:tcPr>
            <w:tcW w:w="5000" w:type="pct"/>
            <w:vAlign w:val="center"/>
            <w:hideMark/>
          </w:tcPr>
          <w:p w:rsidR="00AE46DA" w:rsidRPr="001825C9" w:rsidRDefault="00AE46DA" w:rsidP="00B21F37">
            <w:pPr>
              <w:spacing w:before="0" w:after="0"/>
              <w:rPr>
                <w:rFonts w:ascii="Arial Narrow" w:eastAsia="Times New Roman" w:hAnsi="Arial Narrow"/>
                <w:i/>
                <w:sz w:val="18"/>
                <w:szCs w:val="18"/>
                <w:lang w:eastAsia="en-AU"/>
              </w:rPr>
            </w:pPr>
            <w:r w:rsidRPr="001825C9">
              <w:rPr>
                <w:rFonts w:ascii="Arial Narrow" w:eastAsia="Times New Roman" w:hAnsi="Arial Narrow"/>
                <w:b/>
                <w:bCs/>
                <w:sz w:val="18"/>
                <w:szCs w:val="18"/>
                <w:lang w:eastAsia="en-AU"/>
              </w:rPr>
              <w:t xml:space="preserve">Clinical criteria: </w:t>
            </w:r>
            <w:r w:rsidRPr="001825C9">
              <w:rPr>
                <w:rFonts w:ascii="Arial Narrow" w:eastAsia="Times New Roman" w:hAnsi="Arial Narrow"/>
                <w:bCs/>
                <w:strike/>
                <w:sz w:val="18"/>
                <w:szCs w:val="18"/>
                <w:lang w:eastAsia="en-AU"/>
              </w:rPr>
              <w:t>The condition must be positive for a BRAF V600E mutation</w:t>
            </w:r>
            <w:r w:rsidRPr="001825C9">
              <w:rPr>
                <w:rFonts w:ascii="Arial Narrow" w:eastAsia="Times New Roman" w:hAnsi="Arial Narrow"/>
                <w:b/>
                <w:bCs/>
                <w:sz w:val="18"/>
                <w:szCs w:val="18"/>
                <w:lang w:eastAsia="en-AU"/>
              </w:rPr>
              <w:t xml:space="preserve"> </w:t>
            </w:r>
            <w:r w:rsidRPr="001825C9">
              <w:rPr>
                <w:rFonts w:ascii="Arial Narrow" w:eastAsia="Times New Roman" w:hAnsi="Arial Narrow"/>
                <w:i/>
                <w:sz w:val="18"/>
                <w:szCs w:val="18"/>
                <w:lang w:eastAsia="en-AU"/>
              </w:rPr>
              <w:t>Patient must have BRAF V600E variant positive metastatic colorectal cancer</w:t>
            </w:r>
          </w:p>
        </w:tc>
      </w:tr>
      <w:tr w:rsidR="00AE46DA" w:rsidRPr="001825C9" w:rsidTr="00B21F37">
        <w:trPr>
          <w:trHeight w:val="20"/>
        </w:trPr>
        <w:tc>
          <w:tcPr>
            <w:tcW w:w="5000" w:type="pct"/>
            <w:vAlign w:val="center"/>
            <w:hideMark/>
          </w:tcPr>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b/>
                <w:bCs/>
                <w:sz w:val="18"/>
                <w:szCs w:val="18"/>
                <w:lang w:eastAsia="en-AU"/>
              </w:rPr>
              <w:t>AND</w:t>
            </w:r>
          </w:p>
        </w:tc>
      </w:tr>
      <w:tr w:rsidR="00AE46DA" w:rsidRPr="001825C9" w:rsidTr="00B21F37">
        <w:trPr>
          <w:trHeight w:val="20"/>
        </w:trPr>
        <w:tc>
          <w:tcPr>
            <w:tcW w:w="5000" w:type="pct"/>
            <w:vAlign w:val="center"/>
            <w:hideMark/>
          </w:tcPr>
          <w:p w:rsidR="00AE46DA" w:rsidRPr="001825C9" w:rsidRDefault="00AE46DA" w:rsidP="00B21F37">
            <w:pPr>
              <w:spacing w:before="0" w:after="0"/>
              <w:rPr>
                <w:rFonts w:ascii="Arial Narrow" w:eastAsia="Times New Roman" w:hAnsi="Arial Narrow"/>
                <w:i/>
                <w:sz w:val="18"/>
                <w:szCs w:val="18"/>
                <w:lang w:eastAsia="en-AU"/>
              </w:rPr>
            </w:pPr>
            <w:r w:rsidRPr="001825C9">
              <w:rPr>
                <w:rFonts w:ascii="Arial Narrow" w:eastAsia="Times New Roman" w:hAnsi="Arial Narrow"/>
                <w:strike/>
                <w:sz w:val="18"/>
                <w:szCs w:val="18"/>
                <w:lang w:eastAsia="en-AU"/>
              </w:rPr>
              <w:t>Patient must be receiving PBS-subsidised EGFR inhibitor concomitantly for this condition</w:t>
            </w:r>
            <w:r w:rsidRPr="001825C9">
              <w:rPr>
                <w:rFonts w:ascii="Arial Narrow" w:eastAsia="Times New Roman" w:hAnsi="Arial Narrow"/>
                <w:sz w:val="18"/>
                <w:szCs w:val="18"/>
                <w:lang w:eastAsia="en-AU"/>
              </w:rPr>
              <w:t xml:space="preserve"> </w:t>
            </w:r>
            <w:r w:rsidRPr="001825C9">
              <w:rPr>
                <w:rFonts w:ascii="Arial Narrow" w:eastAsia="Times New Roman" w:hAnsi="Arial Narrow"/>
                <w:i/>
                <w:sz w:val="18"/>
                <w:szCs w:val="18"/>
                <w:lang w:eastAsia="en-AU"/>
              </w:rPr>
              <w:t>The treatment must be in combination with [cetuximab/anti-EGFR antibody therapy]</w:t>
            </w:r>
          </w:p>
        </w:tc>
      </w:tr>
      <w:tr w:rsidR="00AE46DA" w:rsidRPr="001825C9" w:rsidTr="00B21F37">
        <w:trPr>
          <w:trHeight w:val="20"/>
        </w:trPr>
        <w:tc>
          <w:tcPr>
            <w:tcW w:w="5000" w:type="pct"/>
            <w:vAlign w:val="center"/>
            <w:hideMark/>
          </w:tcPr>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b/>
                <w:bCs/>
                <w:sz w:val="18"/>
                <w:szCs w:val="18"/>
                <w:lang w:eastAsia="en-AU"/>
              </w:rPr>
              <w:t>AND</w:t>
            </w:r>
          </w:p>
        </w:tc>
      </w:tr>
      <w:tr w:rsidR="00AE46DA" w:rsidRPr="001825C9" w:rsidTr="00B21F37">
        <w:trPr>
          <w:trHeight w:val="20"/>
        </w:trPr>
        <w:tc>
          <w:tcPr>
            <w:tcW w:w="5000" w:type="pct"/>
            <w:vAlign w:val="center"/>
          </w:tcPr>
          <w:p w:rsidR="00AE46DA" w:rsidRPr="001825C9" w:rsidRDefault="00AE46DA" w:rsidP="00B21F37">
            <w:pPr>
              <w:spacing w:before="0" w:after="0"/>
              <w:rPr>
                <w:rFonts w:ascii="Arial Narrow" w:eastAsia="Times New Roman" w:hAnsi="Arial Narrow"/>
                <w:b/>
                <w:bCs/>
                <w:i/>
                <w:strike/>
                <w:sz w:val="18"/>
                <w:szCs w:val="18"/>
                <w:lang w:eastAsia="en-AU"/>
              </w:rPr>
            </w:pPr>
            <w:r w:rsidRPr="001825C9">
              <w:rPr>
                <w:rFonts w:ascii="Arial Narrow" w:eastAsia="Times New Roman" w:hAnsi="Arial Narrow"/>
                <w:strike/>
                <w:sz w:val="18"/>
                <w:szCs w:val="18"/>
                <w:lang w:eastAsia="en-AU"/>
              </w:rPr>
              <w:lastRenderedPageBreak/>
              <w:t>The condition must not have been treated previously with PBS subsidised encorafenib</w:t>
            </w:r>
            <w:r w:rsidRPr="001825C9">
              <w:rPr>
                <w:rFonts w:ascii="Arial Narrow" w:eastAsia="Times New Roman" w:hAnsi="Arial Narrow"/>
                <w:sz w:val="18"/>
                <w:szCs w:val="18"/>
                <w:lang w:eastAsia="en-AU"/>
              </w:rPr>
              <w:t xml:space="preserve"> </w:t>
            </w:r>
            <w:r w:rsidRPr="001825C9">
              <w:rPr>
                <w:rFonts w:ascii="Arial Narrow" w:eastAsia="Times New Roman" w:hAnsi="Arial Narrow"/>
                <w:i/>
                <w:sz w:val="18"/>
                <w:szCs w:val="18"/>
                <w:lang w:eastAsia="en-AU"/>
              </w:rPr>
              <w:t>Patient must not have been previously received PBS subsidised treatment with this drug for this condition</w:t>
            </w:r>
          </w:p>
        </w:tc>
      </w:tr>
      <w:tr w:rsidR="00AE46DA" w:rsidRPr="001825C9" w:rsidTr="00B21F37">
        <w:trPr>
          <w:trHeight w:val="20"/>
        </w:trPr>
        <w:tc>
          <w:tcPr>
            <w:tcW w:w="5000" w:type="pct"/>
            <w:vAlign w:val="center"/>
          </w:tcPr>
          <w:p w:rsidR="00AE46DA" w:rsidRPr="001825C9" w:rsidRDefault="00AE46DA" w:rsidP="00B21F37">
            <w:pPr>
              <w:spacing w:before="0" w:after="0"/>
              <w:rPr>
                <w:rFonts w:ascii="Arial Narrow" w:eastAsia="Times New Roman" w:hAnsi="Arial Narrow"/>
                <w:i/>
                <w:strike/>
                <w:sz w:val="18"/>
                <w:szCs w:val="18"/>
                <w:lang w:eastAsia="en-AU"/>
              </w:rPr>
            </w:pPr>
            <w:r w:rsidRPr="001825C9">
              <w:rPr>
                <w:rFonts w:ascii="Arial Narrow" w:eastAsia="Times New Roman" w:hAnsi="Arial Narrow"/>
                <w:b/>
                <w:bCs/>
                <w:i/>
                <w:sz w:val="18"/>
                <w:szCs w:val="18"/>
                <w:lang w:eastAsia="en-AU"/>
              </w:rPr>
              <w:t>AND</w:t>
            </w:r>
          </w:p>
        </w:tc>
      </w:tr>
      <w:tr w:rsidR="00AE46DA" w:rsidRPr="001825C9" w:rsidTr="00B21F37">
        <w:trPr>
          <w:trHeight w:val="20"/>
        </w:trPr>
        <w:tc>
          <w:tcPr>
            <w:tcW w:w="5000" w:type="pct"/>
            <w:vAlign w:val="center"/>
          </w:tcPr>
          <w:p w:rsidR="00AE46DA" w:rsidRPr="001825C9" w:rsidRDefault="00AE46DA" w:rsidP="00B21F37">
            <w:pPr>
              <w:spacing w:before="0" w:after="0"/>
              <w:rPr>
                <w:rFonts w:ascii="Arial Narrow" w:eastAsia="Times New Roman" w:hAnsi="Arial Narrow"/>
                <w:strike/>
                <w:sz w:val="18"/>
                <w:szCs w:val="18"/>
                <w:lang w:eastAsia="en-AU"/>
              </w:rPr>
            </w:pPr>
            <w:r w:rsidRPr="001825C9">
              <w:rPr>
                <w:rFonts w:ascii="Arial Narrow" w:eastAsia="Times New Roman" w:hAnsi="Arial Narrow"/>
                <w:i/>
                <w:sz w:val="18"/>
                <w:szCs w:val="18"/>
                <w:lang w:eastAsia="en-AU"/>
              </w:rPr>
              <w:t>Patient must not have received prior treatment with [an anti-EGFR antibody therapy/cetuximab] for this condition</w:t>
            </w:r>
          </w:p>
        </w:tc>
      </w:tr>
      <w:tr w:rsidR="00AE46DA" w:rsidRPr="001825C9" w:rsidTr="00B21F37">
        <w:trPr>
          <w:trHeight w:val="20"/>
        </w:trPr>
        <w:tc>
          <w:tcPr>
            <w:tcW w:w="5000" w:type="pct"/>
            <w:vAlign w:val="center"/>
          </w:tcPr>
          <w:p w:rsidR="00AE46DA" w:rsidRPr="001825C9" w:rsidRDefault="00AE46DA" w:rsidP="00B21F37">
            <w:pPr>
              <w:spacing w:before="0" w:after="0"/>
              <w:rPr>
                <w:rFonts w:ascii="Arial Narrow" w:eastAsia="Times New Roman" w:hAnsi="Arial Narrow"/>
                <w:b/>
                <w:bCs/>
                <w:sz w:val="18"/>
                <w:szCs w:val="18"/>
                <w:lang w:eastAsia="en-AU"/>
              </w:rPr>
            </w:pPr>
            <w:r w:rsidRPr="001825C9">
              <w:rPr>
                <w:rFonts w:ascii="Arial Narrow" w:eastAsia="Times New Roman" w:hAnsi="Arial Narrow"/>
                <w:b/>
                <w:bCs/>
                <w:sz w:val="18"/>
                <w:szCs w:val="18"/>
                <w:lang w:eastAsia="en-AU"/>
              </w:rPr>
              <w:t>AND</w:t>
            </w:r>
          </w:p>
        </w:tc>
      </w:tr>
      <w:tr w:rsidR="00AE46DA" w:rsidRPr="001825C9" w:rsidTr="00B21F37">
        <w:trPr>
          <w:trHeight w:val="20"/>
        </w:trPr>
        <w:tc>
          <w:tcPr>
            <w:tcW w:w="5000" w:type="pct"/>
            <w:vAlign w:val="center"/>
          </w:tcPr>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sz w:val="18"/>
                <w:szCs w:val="18"/>
                <w:lang w:eastAsia="en-AU"/>
              </w:rPr>
              <w:t xml:space="preserve">The condition must have failed to respond to at least one other line of chemotherapy </w:t>
            </w:r>
            <w:r w:rsidRPr="001825C9">
              <w:rPr>
                <w:rFonts w:ascii="Arial Narrow" w:eastAsia="Times New Roman" w:hAnsi="Arial Narrow"/>
                <w:strike/>
                <w:sz w:val="18"/>
                <w:szCs w:val="18"/>
                <w:lang w:eastAsia="en-AU"/>
              </w:rPr>
              <w:t>for the</w:t>
            </w:r>
            <w:r w:rsidR="00937442" w:rsidRPr="001825C9">
              <w:rPr>
                <w:rFonts w:ascii="Arial Narrow" w:eastAsia="Times New Roman" w:hAnsi="Arial Narrow"/>
                <w:strike/>
                <w:sz w:val="18"/>
                <w:szCs w:val="18"/>
                <w:lang w:eastAsia="en-AU"/>
              </w:rPr>
              <w:t>ir metastatic colorectal cancer</w:t>
            </w:r>
          </w:p>
        </w:tc>
      </w:tr>
      <w:tr w:rsidR="00AE46DA" w:rsidRPr="001825C9" w:rsidTr="00B21F37">
        <w:trPr>
          <w:trHeight w:val="20"/>
        </w:trPr>
        <w:tc>
          <w:tcPr>
            <w:tcW w:w="5000" w:type="pct"/>
            <w:vAlign w:val="center"/>
          </w:tcPr>
          <w:p w:rsidR="00AE46DA" w:rsidRPr="001825C9" w:rsidRDefault="00AE46DA" w:rsidP="00B21F37">
            <w:pPr>
              <w:spacing w:before="0" w:after="0"/>
            </w:pPr>
            <w:r w:rsidRPr="001825C9">
              <w:rPr>
                <w:rFonts w:ascii="Arial Narrow" w:eastAsia="Times New Roman" w:hAnsi="Arial Narrow"/>
                <w:b/>
                <w:bCs/>
                <w:sz w:val="18"/>
                <w:szCs w:val="18"/>
                <w:lang w:eastAsia="en-AU"/>
              </w:rPr>
              <w:t>AND</w:t>
            </w:r>
          </w:p>
        </w:tc>
      </w:tr>
      <w:tr w:rsidR="00AE46DA" w:rsidRPr="001825C9" w:rsidTr="00B21F37">
        <w:trPr>
          <w:trHeight w:val="20"/>
        </w:trPr>
        <w:tc>
          <w:tcPr>
            <w:tcW w:w="5000" w:type="pct"/>
            <w:vAlign w:val="center"/>
          </w:tcPr>
          <w:p w:rsidR="00AE46DA" w:rsidRPr="001825C9" w:rsidRDefault="00AE46DA" w:rsidP="00B21F37">
            <w:pPr>
              <w:spacing w:before="0" w:after="0"/>
            </w:pPr>
            <w:r w:rsidRPr="001825C9">
              <w:rPr>
                <w:rFonts w:ascii="Arial Narrow" w:eastAsia="Times New Roman" w:hAnsi="Arial Narrow"/>
                <w:sz w:val="18"/>
                <w:szCs w:val="18"/>
                <w:lang w:eastAsia="en-AU"/>
              </w:rPr>
              <w:t>Patient must have a WHO performance status of 2 or less</w:t>
            </w:r>
          </w:p>
        </w:tc>
      </w:tr>
      <w:tr w:rsidR="00AE46DA" w:rsidRPr="001825C9" w:rsidTr="00B21F37">
        <w:trPr>
          <w:trHeight w:val="20"/>
        </w:trPr>
        <w:tc>
          <w:tcPr>
            <w:tcW w:w="5000" w:type="pct"/>
            <w:tcBorders>
              <w:top w:val="single" w:sz="4" w:space="0" w:color="auto"/>
              <w:left w:val="single" w:sz="4" w:space="0" w:color="auto"/>
              <w:bottom w:val="single" w:sz="4" w:space="0" w:color="auto"/>
              <w:right w:val="single" w:sz="4" w:space="0" w:color="auto"/>
            </w:tcBorders>
            <w:vAlign w:val="center"/>
          </w:tcPr>
          <w:p w:rsidR="00AE46DA" w:rsidRPr="001825C9" w:rsidRDefault="00AE46DA" w:rsidP="00B21F37">
            <w:pPr>
              <w:spacing w:before="0" w:after="0"/>
              <w:rPr>
                <w:rFonts w:ascii="Arial Narrow" w:eastAsia="Times New Roman" w:hAnsi="Arial Narrow"/>
                <w:b/>
                <w:sz w:val="18"/>
                <w:szCs w:val="18"/>
                <w:lang w:eastAsia="en-AU"/>
              </w:rPr>
            </w:pPr>
            <w:r w:rsidRPr="001825C9">
              <w:rPr>
                <w:rFonts w:ascii="Arial Narrow" w:eastAsia="Times New Roman" w:hAnsi="Arial Narrow"/>
                <w:b/>
                <w:sz w:val="18"/>
                <w:szCs w:val="18"/>
                <w:lang w:eastAsia="en-AU"/>
              </w:rPr>
              <w:t>Administrative Advice:</w:t>
            </w:r>
          </w:p>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sz w:val="18"/>
                <w:szCs w:val="18"/>
                <w:lang w:eastAsia="en-AU"/>
              </w:rPr>
              <w:t>No increase in the maximum quantity or num</w:t>
            </w:r>
            <w:r w:rsidR="00937442" w:rsidRPr="001825C9">
              <w:rPr>
                <w:rFonts w:ascii="Arial Narrow" w:eastAsia="Times New Roman" w:hAnsi="Arial Narrow"/>
                <w:sz w:val="18"/>
                <w:szCs w:val="18"/>
                <w:lang w:eastAsia="en-AU"/>
              </w:rPr>
              <w:t>ber of units may be authorised.</w:t>
            </w:r>
          </w:p>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sz w:val="18"/>
                <w:szCs w:val="18"/>
                <w:lang w:eastAsia="en-AU"/>
              </w:rPr>
              <w:t>No increase in the maximum number of repeats may be authorised.</w:t>
            </w:r>
          </w:p>
          <w:p w:rsidR="00AE46DA" w:rsidRPr="001825C9" w:rsidRDefault="00AE46DA" w:rsidP="00B21F37">
            <w:pPr>
              <w:spacing w:before="0" w:after="0"/>
              <w:rPr>
                <w:rFonts w:ascii="Arial Narrow" w:eastAsia="Times New Roman" w:hAnsi="Arial Narrow"/>
                <w:i/>
                <w:sz w:val="18"/>
                <w:szCs w:val="18"/>
                <w:lang w:eastAsia="en-AU"/>
              </w:rPr>
            </w:pPr>
            <w:r w:rsidRPr="001825C9">
              <w:rPr>
                <w:rFonts w:ascii="Arial Narrow" w:eastAsia="Times New Roman" w:hAnsi="Arial Narrow"/>
                <w:sz w:val="18"/>
                <w:szCs w:val="18"/>
                <w:lang w:eastAsia="en-AU"/>
              </w:rPr>
              <w:t>Special Pricing Arrangements apply.</w:t>
            </w:r>
          </w:p>
        </w:tc>
      </w:tr>
    </w:tbl>
    <w:p w:rsidR="00AE46DA" w:rsidRPr="001825C9" w:rsidRDefault="00937442" w:rsidP="00AE46DA">
      <w:pPr>
        <w:pStyle w:val="Heading3"/>
      </w:pPr>
      <w:r w:rsidRPr="001825C9">
        <w:t>Continuing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03"/>
        <w:gridCol w:w="803"/>
        <w:gridCol w:w="803"/>
        <w:gridCol w:w="1655"/>
        <w:gridCol w:w="1010"/>
        <w:gridCol w:w="1253"/>
      </w:tblGrid>
      <w:tr w:rsidR="00AE46DA" w:rsidRPr="001825C9" w:rsidTr="00B21F37">
        <w:trPr>
          <w:cantSplit/>
          <w:trHeight w:val="471"/>
        </w:trPr>
        <w:tc>
          <w:tcPr>
            <w:tcW w:w="2689" w:type="dxa"/>
          </w:tcPr>
          <w:p w:rsidR="00AE46DA" w:rsidRPr="001825C9" w:rsidRDefault="00AE46DA" w:rsidP="00B21F37">
            <w:pPr>
              <w:keepNext/>
              <w:spacing w:before="0" w:after="0"/>
              <w:ind w:left="-108"/>
              <w:rPr>
                <w:rFonts w:ascii="Arial Narrow" w:hAnsi="Arial Narrow" w:cs="Arial"/>
                <w:b/>
                <w:sz w:val="18"/>
                <w:szCs w:val="18"/>
              </w:rPr>
            </w:pPr>
            <w:r w:rsidRPr="001825C9">
              <w:rPr>
                <w:rFonts w:ascii="Arial Narrow" w:hAnsi="Arial Narrow" w:cs="Arial"/>
                <w:b/>
                <w:sz w:val="18"/>
                <w:szCs w:val="18"/>
              </w:rPr>
              <w:t>Name, Restriction,</w:t>
            </w:r>
          </w:p>
          <w:p w:rsidR="00AE46DA" w:rsidRPr="001825C9" w:rsidRDefault="00AE46DA" w:rsidP="00B21F37">
            <w:pPr>
              <w:keepNext/>
              <w:spacing w:before="0" w:after="0"/>
              <w:ind w:left="-108"/>
              <w:rPr>
                <w:rFonts w:ascii="Arial Narrow" w:hAnsi="Arial Narrow" w:cs="Arial"/>
                <w:b/>
                <w:sz w:val="18"/>
                <w:szCs w:val="18"/>
              </w:rPr>
            </w:pPr>
            <w:r w:rsidRPr="001825C9">
              <w:rPr>
                <w:rFonts w:ascii="Arial Narrow" w:hAnsi="Arial Narrow" w:cs="Arial"/>
                <w:b/>
                <w:sz w:val="18"/>
                <w:szCs w:val="18"/>
              </w:rPr>
              <w:t>Manner of administration and form</w:t>
            </w:r>
          </w:p>
        </w:tc>
        <w:tc>
          <w:tcPr>
            <w:tcW w:w="803" w:type="dxa"/>
          </w:tcPr>
          <w:p w:rsidR="00AE46DA" w:rsidRPr="001825C9" w:rsidRDefault="00AE46DA" w:rsidP="00B21F37">
            <w:pPr>
              <w:keepNext/>
              <w:spacing w:before="0" w:after="0"/>
              <w:ind w:left="-108"/>
              <w:jc w:val="center"/>
              <w:rPr>
                <w:rFonts w:ascii="Arial Narrow" w:hAnsi="Arial Narrow" w:cs="Arial"/>
                <w:b/>
                <w:sz w:val="18"/>
                <w:szCs w:val="18"/>
              </w:rPr>
            </w:pPr>
            <w:r w:rsidRPr="001825C9">
              <w:rPr>
                <w:rFonts w:ascii="Arial Narrow" w:hAnsi="Arial Narrow" w:cs="Arial"/>
                <w:b/>
                <w:sz w:val="18"/>
                <w:szCs w:val="18"/>
              </w:rPr>
              <w:t>Max. qty packs</w:t>
            </w:r>
          </w:p>
        </w:tc>
        <w:tc>
          <w:tcPr>
            <w:tcW w:w="803" w:type="dxa"/>
          </w:tcPr>
          <w:p w:rsidR="00AE46DA" w:rsidRPr="001825C9" w:rsidRDefault="00AE46DA" w:rsidP="00B21F37">
            <w:pPr>
              <w:keepNext/>
              <w:spacing w:before="0" w:after="0"/>
              <w:ind w:left="-108"/>
              <w:jc w:val="center"/>
              <w:rPr>
                <w:rFonts w:ascii="Arial Narrow" w:hAnsi="Arial Narrow" w:cs="Arial"/>
                <w:b/>
                <w:sz w:val="18"/>
                <w:szCs w:val="18"/>
              </w:rPr>
            </w:pPr>
            <w:r w:rsidRPr="001825C9">
              <w:rPr>
                <w:rFonts w:ascii="Arial Narrow" w:hAnsi="Arial Narrow" w:cs="Arial"/>
                <w:b/>
                <w:sz w:val="18"/>
                <w:szCs w:val="18"/>
              </w:rPr>
              <w:t>Max. qty units</w:t>
            </w:r>
          </w:p>
        </w:tc>
        <w:tc>
          <w:tcPr>
            <w:tcW w:w="803" w:type="dxa"/>
          </w:tcPr>
          <w:p w:rsidR="00AE46DA" w:rsidRPr="001825C9" w:rsidRDefault="00AE46DA" w:rsidP="00B21F37">
            <w:pPr>
              <w:keepNext/>
              <w:spacing w:before="0" w:after="0"/>
              <w:ind w:left="-108"/>
              <w:jc w:val="center"/>
              <w:rPr>
                <w:rFonts w:ascii="Arial Narrow" w:hAnsi="Arial Narrow" w:cs="Arial"/>
                <w:b/>
                <w:sz w:val="18"/>
                <w:szCs w:val="18"/>
              </w:rPr>
            </w:pPr>
            <w:r w:rsidRPr="001825C9">
              <w:rPr>
                <w:rFonts w:ascii="Arial Narrow" w:hAnsi="Arial Narrow" w:cs="Arial"/>
                <w:b/>
                <w:sz w:val="18"/>
                <w:szCs w:val="18"/>
              </w:rPr>
              <w:t>№.of</w:t>
            </w:r>
          </w:p>
          <w:p w:rsidR="00AE46DA" w:rsidRPr="001825C9" w:rsidRDefault="00AE46DA" w:rsidP="00B21F37">
            <w:pPr>
              <w:keepNext/>
              <w:spacing w:before="0" w:after="0"/>
              <w:ind w:left="-108"/>
              <w:jc w:val="center"/>
              <w:rPr>
                <w:rFonts w:ascii="Arial Narrow" w:hAnsi="Arial Narrow" w:cs="Arial"/>
                <w:b/>
                <w:sz w:val="18"/>
                <w:szCs w:val="18"/>
              </w:rPr>
            </w:pPr>
            <w:r w:rsidRPr="001825C9">
              <w:rPr>
                <w:rFonts w:ascii="Arial Narrow" w:hAnsi="Arial Narrow" w:cs="Arial"/>
                <w:b/>
                <w:sz w:val="18"/>
                <w:szCs w:val="18"/>
              </w:rPr>
              <w:t>Rpts</w:t>
            </w:r>
          </w:p>
        </w:tc>
        <w:tc>
          <w:tcPr>
            <w:tcW w:w="1655" w:type="dxa"/>
          </w:tcPr>
          <w:p w:rsidR="00AE46DA" w:rsidRPr="001825C9" w:rsidRDefault="00AE46DA" w:rsidP="00B21F37">
            <w:pPr>
              <w:keepNext/>
              <w:spacing w:before="0" w:after="0"/>
              <w:rPr>
                <w:rFonts w:ascii="Arial Narrow" w:hAnsi="Arial Narrow" w:cs="Arial"/>
                <w:b/>
                <w:sz w:val="18"/>
                <w:szCs w:val="18"/>
              </w:rPr>
            </w:pPr>
            <w:r w:rsidRPr="001825C9">
              <w:rPr>
                <w:rFonts w:ascii="Arial Narrow" w:hAnsi="Arial Narrow" w:cs="Arial"/>
                <w:b/>
                <w:sz w:val="18"/>
                <w:szCs w:val="18"/>
              </w:rPr>
              <w:t>Dispensed price for maximum quantity</w:t>
            </w:r>
          </w:p>
        </w:tc>
        <w:tc>
          <w:tcPr>
            <w:tcW w:w="2263" w:type="dxa"/>
            <w:gridSpan w:val="2"/>
          </w:tcPr>
          <w:p w:rsidR="00AE46DA" w:rsidRPr="001825C9" w:rsidRDefault="00AE46DA" w:rsidP="00937442">
            <w:pPr>
              <w:keepNext/>
              <w:spacing w:before="0" w:after="0"/>
              <w:jc w:val="center"/>
              <w:rPr>
                <w:rFonts w:ascii="Arial Narrow" w:hAnsi="Arial Narrow" w:cs="Arial"/>
                <w:b/>
                <w:sz w:val="18"/>
                <w:szCs w:val="18"/>
              </w:rPr>
            </w:pPr>
            <w:r w:rsidRPr="001825C9">
              <w:rPr>
                <w:rFonts w:ascii="Arial Narrow" w:hAnsi="Arial Narrow" w:cs="Arial"/>
                <w:b/>
                <w:sz w:val="18"/>
                <w:szCs w:val="18"/>
              </w:rPr>
              <w:t>Proprietary Name and Manufacturer</w:t>
            </w:r>
          </w:p>
        </w:tc>
      </w:tr>
      <w:tr w:rsidR="00AE46DA" w:rsidRPr="001825C9" w:rsidTr="00B21F37">
        <w:trPr>
          <w:cantSplit/>
          <w:trHeight w:val="227"/>
        </w:trPr>
        <w:tc>
          <w:tcPr>
            <w:tcW w:w="2689" w:type="dxa"/>
            <w:vAlign w:val="center"/>
          </w:tcPr>
          <w:p w:rsidR="00AE46DA" w:rsidRPr="001825C9" w:rsidRDefault="00AE46DA" w:rsidP="00B21F37">
            <w:pPr>
              <w:keepNext/>
              <w:spacing w:before="0" w:after="0"/>
              <w:ind w:left="-108"/>
              <w:jc w:val="left"/>
              <w:rPr>
                <w:rFonts w:ascii="Arial Narrow" w:hAnsi="Arial Narrow" w:cs="Arial"/>
                <w:sz w:val="18"/>
                <w:szCs w:val="18"/>
              </w:rPr>
            </w:pPr>
            <w:r w:rsidRPr="001825C9">
              <w:rPr>
                <w:rFonts w:ascii="Arial Narrow" w:hAnsi="Arial Narrow" w:cs="Arial"/>
                <w:sz w:val="18"/>
                <w:szCs w:val="18"/>
              </w:rPr>
              <w:t>encorafenib 75 mg capsule, 42</w:t>
            </w:r>
          </w:p>
        </w:tc>
        <w:tc>
          <w:tcPr>
            <w:tcW w:w="803" w:type="dxa"/>
            <w:vAlign w:val="center"/>
          </w:tcPr>
          <w:p w:rsidR="00AE46DA" w:rsidRPr="001825C9" w:rsidRDefault="00AE46DA" w:rsidP="00B21F37">
            <w:pPr>
              <w:keepNext/>
              <w:spacing w:before="0" w:after="0"/>
              <w:jc w:val="center"/>
              <w:rPr>
                <w:rFonts w:ascii="Arial Narrow" w:hAnsi="Arial Narrow" w:cs="Arial"/>
                <w:sz w:val="18"/>
                <w:szCs w:val="18"/>
              </w:rPr>
            </w:pPr>
            <w:r w:rsidRPr="001825C9">
              <w:rPr>
                <w:rFonts w:ascii="Arial Narrow" w:hAnsi="Arial Narrow" w:cs="Arial"/>
                <w:sz w:val="18"/>
                <w:szCs w:val="18"/>
              </w:rPr>
              <w:t>3</w:t>
            </w:r>
          </w:p>
        </w:tc>
        <w:tc>
          <w:tcPr>
            <w:tcW w:w="803" w:type="dxa"/>
            <w:vAlign w:val="center"/>
          </w:tcPr>
          <w:p w:rsidR="00AE46DA" w:rsidRPr="001825C9" w:rsidRDefault="00AE46DA" w:rsidP="00B21F37">
            <w:pPr>
              <w:keepNext/>
              <w:spacing w:before="0" w:after="0"/>
              <w:ind w:left="-108"/>
              <w:jc w:val="center"/>
              <w:rPr>
                <w:rFonts w:ascii="Arial Narrow" w:hAnsi="Arial Narrow" w:cs="Arial"/>
                <w:sz w:val="18"/>
                <w:szCs w:val="18"/>
              </w:rPr>
            </w:pPr>
            <w:r w:rsidRPr="001825C9">
              <w:rPr>
                <w:rFonts w:ascii="Arial Narrow" w:hAnsi="Arial Narrow" w:cs="Arial"/>
                <w:sz w:val="18"/>
                <w:szCs w:val="18"/>
              </w:rPr>
              <w:t>126</w:t>
            </w:r>
          </w:p>
        </w:tc>
        <w:tc>
          <w:tcPr>
            <w:tcW w:w="803" w:type="dxa"/>
            <w:vAlign w:val="center"/>
          </w:tcPr>
          <w:p w:rsidR="00AE46DA" w:rsidRPr="001825C9" w:rsidRDefault="00AE46DA" w:rsidP="00B21F37">
            <w:pPr>
              <w:keepNext/>
              <w:spacing w:before="0" w:after="0"/>
              <w:ind w:left="-108"/>
              <w:jc w:val="center"/>
              <w:rPr>
                <w:rFonts w:ascii="Arial Narrow" w:hAnsi="Arial Narrow" w:cs="Arial"/>
                <w:sz w:val="18"/>
                <w:szCs w:val="18"/>
              </w:rPr>
            </w:pPr>
            <w:r w:rsidRPr="001825C9">
              <w:rPr>
                <w:rFonts w:ascii="Arial Narrow" w:hAnsi="Arial Narrow" w:cs="Arial"/>
                <w:sz w:val="18"/>
                <w:szCs w:val="18"/>
              </w:rPr>
              <w:t>5</w:t>
            </w:r>
          </w:p>
        </w:tc>
        <w:tc>
          <w:tcPr>
            <w:tcW w:w="1655" w:type="dxa"/>
            <w:vAlign w:val="center"/>
          </w:tcPr>
          <w:p w:rsidR="00AE46DA" w:rsidRPr="001825C9" w:rsidRDefault="00AE46DA" w:rsidP="00B21F37">
            <w:pPr>
              <w:pStyle w:val="TableText"/>
              <w:widowControl/>
              <w:spacing w:before="0" w:after="0" w:line="240" w:lineRule="auto"/>
              <w:jc w:val="center"/>
              <w:rPr>
                <w:sz w:val="18"/>
                <w:szCs w:val="18"/>
              </w:rPr>
            </w:pPr>
            <w:r w:rsidRPr="001825C9">
              <w:rPr>
                <w:sz w:val="18"/>
                <w:szCs w:val="18"/>
              </w:rPr>
              <w:t>Published: $5313.87</w:t>
            </w:r>
          </w:p>
          <w:p w:rsidR="00AE46DA" w:rsidRPr="001825C9" w:rsidRDefault="00AE46DA" w:rsidP="00B21F37">
            <w:pPr>
              <w:keepNext/>
              <w:spacing w:before="0" w:after="0"/>
              <w:jc w:val="center"/>
              <w:rPr>
                <w:rFonts w:ascii="Arial Narrow" w:hAnsi="Arial Narrow" w:cs="Arial"/>
                <w:sz w:val="18"/>
                <w:szCs w:val="18"/>
              </w:rPr>
            </w:pPr>
            <w:r w:rsidRPr="001825C9">
              <w:rPr>
                <w:rFonts w:ascii="Arial Narrow" w:hAnsi="Arial Narrow"/>
                <w:sz w:val="18"/>
                <w:szCs w:val="18"/>
              </w:rPr>
              <w:t>Effective: $</w:t>
            </w:r>
            <w:r w:rsidR="00B72C43">
              <w:rPr>
                <w:rFonts w:ascii="Arial Narrow" w:hAnsi="Arial Narrow"/>
                <w:noProof/>
                <w:color w:val="000000"/>
                <w:sz w:val="18"/>
                <w:szCs w:val="18"/>
                <w:highlight w:val="black"/>
              </w:rPr>
              <w:t>''''''''''''''''''''</w:t>
            </w:r>
          </w:p>
        </w:tc>
        <w:tc>
          <w:tcPr>
            <w:tcW w:w="1010" w:type="dxa"/>
            <w:vMerge w:val="restart"/>
            <w:vAlign w:val="center"/>
          </w:tcPr>
          <w:p w:rsidR="00AE46DA" w:rsidRPr="001825C9" w:rsidRDefault="00AE46DA" w:rsidP="00B21F37">
            <w:pPr>
              <w:keepNext/>
              <w:spacing w:before="0" w:after="0"/>
              <w:jc w:val="center"/>
              <w:rPr>
                <w:rFonts w:ascii="Arial Narrow" w:hAnsi="Arial Narrow" w:cs="Arial"/>
                <w:sz w:val="18"/>
                <w:szCs w:val="18"/>
              </w:rPr>
            </w:pPr>
            <w:r w:rsidRPr="001825C9">
              <w:rPr>
                <w:rFonts w:ascii="Arial Narrow" w:hAnsi="Arial Narrow" w:cs="Arial"/>
                <w:sz w:val="18"/>
                <w:szCs w:val="18"/>
              </w:rPr>
              <w:t>Braftovi®</w:t>
            </w:r>
          </w:p>
        </w:tc>
        <w:tc>
          <w:tcPr>
            <w:tcW w:w="1253" w:type="dxa"/>
            <w:vMerge w:val="restart"/>
            <w:vAlign w:val="center"/>
          </w:tcPr>
          <w:p w:rsidR="00AE46DA" w:rsidRPr="001825C9" w:rsidRDefault="00AE46DA" w:rsidP="00B21F37">
            <w:pPr>
              <w:keepNext/>
              <w:spacing w:before="0" w:after="0"/>
              <w:jc w:val="center"/>
              <w:rPr>
                <w:rFonts w:ascii="Arial Narrow" w:hAnsi="Arial Narrow" w:cs="Arial"/>
                <w:sz w:val="18"/>
                <w:szCs w:val="18"/>
              </w:rPr>
            </w:pPr>
            <w:r w:rsidRPr="001825C9">
              <w:rPr>
                <w:rFonts w:ascii="Arial Narrow" w:hAnsi="Arial Narrow" w:cs="Arial"/>
                <w:sz w:val="18"/>
                <w:szCs w:val="18"/>
              </w:rPr>
              <w:t>Pierre Fabre Australia Pty Ltd</w:t>
            </w:r>
          </w:p>
        </w:tc>
      </w:tr>
      <w:tr w:rsidR="00AE46DA" w:rsidRPr="001825C9" w:rsidTr="00B21F37">
        <w:trPr>
          <w:cantSplit/>
          <w:trHeight w:val="227"/>
        </w:trPr>
        <w:tc>
          <w:tcPr>
            <w:tcW w:w="2689" w:type="dxa"/>
            <w:vAlign w:val="center"/>
          </w:tcPr>
          <w:p w:rsidR="00AE46DA" w:rsidRPr="001825C9" w:rsidRDefault="00AE46DA" w:rsidP="00B21F37">
            <w:pPr>
              <w:keepNext/>
              <w:spacing w:before="0" w:after="0"/>
              <w:ind w:left="-108"/>
              <w:jc w:val="left"/>
              <w:rPr>
                <w:rFonts w:ascii="Arial Narrow" w:hAnsi="Arial Narrow" w:cs="Arial"/>
                <w:sz w:val="18"/>
                <w:szCs w:val="18"/>
              </w:rPr>
            </w:pPr>
            <w:r w:rsidRPr="001825C9">
              <w:rPr>
                <w:rFonts w:ascii="Arial Narrow" w:hAnsi="Arial Narrow" w:cs="Arial"/>
                <w:sz w:val="18"/>
                <w:szCs w:val="18"/>
              </w:rPr>
              <w:t>encorafenib 50 mg capsule, 28</w:t>
            </w:r>
          </w:p>
        </w:tc>
        <w:tc>
          <w:tcPr>
            <w:tcW w:w="803" w:type="dxa"/>
            <w:vAlign w:val="center"/>
          </w:tcPr>
          <w:p w:rsidR="00AE46DA" w:rsidRPr="001825C9" w:rsidRDefault="00AE46DA" w:rsidP="00B21F37">
            <w:pPr>
              <w:keepNext/>
              <w:spacing w:before="0" w:after="0"/>
              <w:jc w:val="center"/>
              <w:rPr>
                <w:rFonts w:ascii="Arial Narrow" w:hAnsi="Arial Narrow" w:cs="Arial"/>
                <w:sz w:val="18"/>
                <w:szCs w:val="18"/>
              </w:rPr>
            </w:pPr>
            <w:r w:rsidRPr="001825C9">
              <w:rPr>
                <w:rFonts w:ascii="Arial Narrow" w:hAnsi="Arial Narrow" w:cs="Arial"/>
                <w:sz w:val="18"/>
                <w:szCs w:val="18"/>
              </w:rPr>
              <w:t>6</w:t>
            </w:r>
          </w:p>
        </w:tc>
        <w:tc>
          <w:tcPr>
            <w:tcW w:w="803" w:type="dxa"/>
            <w:vAlign w:val="center"/>
          </w:tcPr>
          <w:p w:rsidR="00AE46DA" w:rsidRPr="001825C9" w:rsidRDefault="00AE46DA" w:rsidP="00B21F37">
            <w:pPr>
              <w:keepNext/>
              <w:spacing w:before="0" w:after="0"/>
              <w:ind w:left="-108"/>
              <w:jc w:val="center"/>
              <w:rPr>
                <w:rFonts w:ascii="Arial Narrow" w:hAnsi="Arial Narrow" w:cs="Arial"/>
                <w:sz w:val="18"/>
                <w:szCs w:val="18"/>
              </w:rPr>
            </w:pPr>
            <w:r w:rsidRPr="001825C9">
              <w:rPr>
                <w:rFonts w:ascii="Arial Narrow" w:hAnsi="Arial Narrow" w:cs="Arial"/>
                <w:sz w:val="18"/>
                <w:szCs w:val="18"/>
              </w:rPr>
              <w:t>168</w:t>
            </w:r>
          </w:p>
        </w:tc>
        <w:tc>
          <w:tcPr>
            <w:tcW w:w="803" w:type="dxa"/>
            <w:vAlign w:val="center"/>
          </w:tcPr>
          <w:p w:rsidR="00AE46DA" w:rsidRPr="001825C9" w:rsidRDefault="00AE46DA" w:rsidP="00B21F37">
            <w:pPr>
              <w:keepNext/>
              <w:spacing w:before="0" w:after="0"/>
              <w:ind w:left="-108"/>
              <w:jc w:val="center"/>
              <w:rPr>
                <w:rFonts w:ascii="Arial Narrow" w:hAnsi="Arial Narrow" w:cs="Arial"/>
                <w:sz w:val="18"/>
                <w:szCs w:val="18"/>
              </w:rPr>
            </w:pPr>
            <w:r w:rsidRPr="001825C9">
              <w:rPr>
                <w:rFonts w:ascii="Arial Narrow" w:hAnsi="Arial Narrow" w:cs="Arial"/>
                <w:sz w:val="18"/>
                <w:szCs w:val="18"/>
              </w:rPr>
              <w:t>5</w:t>
            </w:r>
          </w:p>
        </w:tc>
        <w:tc>
          <w:tcPr>
            <w:tcW w:w="1655" w:type="dxa"/>
            <w:vAlign w:val="center"/>
          </w:tcPr>
          <w:p w:rsidR="00AE46DA" w:rsidRPr="001825C9" w:rsidRDefault="00AE46DA" w:rsidP="00B21F37">
            <w:pPr>
              <w:pStyle w:val="TableText"/>
              <w:widowControl/>
              <w:spacing w:before="0" w:after="0" w:line="240" w:lineRule="auto"/>
              <w:jc w:val="center"/>
              <w:rPr>
                <w:sz w:val="18"/>
                <w:szCs w:val="18"/>
              </w:rPr>
            </w:pPr>
            <w:r w:rsidRPr="001825C9">
              <w:rPr>
                <w:sz w:val="18"/>
                <w:szCs w:val="18"/>
              </w:rPr>
              <w:t>Published: $4735.32</w:t>
            </w:r>
          </w:p>
          <w:p w:rsidR="00AE46DA" w:rsidRPr="001825C9" w:rsidRDefault="00AE46DA" w:rsidP="00B21F37">
            <w:pPr>
              <w:pStyle w:val="TableText"/>
              <w:widowControl/>
              <w:spacing w:before="0" w:after="0" w:line="240" w:lineRule="auto"/>
              <w:jc w:val="center"/>
              <w:rPr>
                <w:sz w:val="18"/>
                <w:szCs w:val="18"/>
              </w:rPr>
            </w:pPr>
            <w:r w:rsidRPr="001825C9">
              <w:rPr>
                <w:sz w:val="18"/>
                <w:szCs w:val="18"/>
              </w:rPr>
              <w:t>Effective: $</w:t>
            </w:r>
            <w:r w:rsidR="00B72C43">
              <w:rPr>
                <w:noProof/>
                <w:color w:val="000000"/>
                <w:sz w:val="18"/>
                <w:szCs w:val="18"/>
                <w:highlight w:val="black"/>
              </w:rPr>
              <w:t>''''''''''''''''''</w:t>
            </w:r>
          </w:p>
        </w:tc>
        <w:tc>
          <w:tcPr>
            <w:tcW w:w="1010" w:type="dxa"/>
            <w:vMerge/>
            <w:vAlign w:val="center"/>
          </w:tcPr>
          <w:p w:rsidR="00AE46DA" w:rsidRPr="001825C9" w:rsidRDefault="00AE46DA" w:rsidP="00B21F37">
            <w:pPr>
              <w:keepNext/>
              <w:spacing w:before="0" w:after="0"/>
              <w:rPr>
                <w:rFonts w:ascii="Arial Narrow" w:hAnsi="Arial Narrow" w:cs="Arial"/>
                <w:sz w:val="18"/>
                <w:szCs w:val="18"/>
              </w:rPr>
            </w:pPr>
          </w:p>
        </w:tc>
        <w:tc>
          <w:tcPr>
            <w:tcW w:w="1253" w:type="dxa"/>
            <w:vMerge/>
            <w:vAlign w:val="center"/>
          </w:tcPr>
          <w:p w:rsidR="00AE46DA" w:rsidRPr="001825C9" w:rsidRDefault="00AE46DA" w:rsidP="00B21F37">
            <w:pPr>
              <w:keepNext/>
              <w:spacing w:before="0" w:after="0"/>
              <w:rPr>
                <w:rFonts w:ascii="Arial Narrow" w:hAnsi="Arial Narrow" w:cs="Arial"/>
                <w:sz w:val="18"/>
                <w:szCs w:val="18"/>
              </w:rPr>
            </w:pPr>
          </w:p>
        </w:tc>
      </w:tr>
    </w:tbl>
    <w:p w:rsidR="00AE46DA" w:rsidRPr="001825C9" w:rsidRDefault="00AE46DA" w:rsidP="00AE46DA">
      <w:pPr>
        <w:rPr>
          <w:rFonts w:ascii="Arial Narrow" w:hAnsi="Arial Narrow"/>
          <w:b/>
          <w:sz w:val="18"/>
          <w:szCs w:val="18"/>
        </w:rPr>
      </w:pPr>
      <w:r w:rsidRPr="001825C9">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E46DA" w:rsidRPr="001825C9" w:rsidTr="00B21F37">
        <w:trPr>
          <w:trHeight w:val="113"/>
        </w:trPr>
        <w:tc>
          <w:tcPr>
            <w:tcW w:w="5000"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spacing w:before="0" w:after="0"/>
              <w:rPr>
                <w:rFonts w:ascii="Arial Narrow" w:eastAsia="Times New Roman" w:hAnsi="Arial Narrow"/>
                <w:bCs/>
                <w:sz w:val="18"/>
                <w:szCs w:val="18"/>
                <w:lang w:eastAsia="en-AU"/>
              </w:rPr>
            </w:pPr>
            <w:r w:rsidRPr="001825C9">
              <w:rPr>
                <w:rFonts w:ascii="Arial Narrow" w:eastAsia="Times New Roman" w:hAnsi="Arial Narrow"/>
                <w:b/>
                <w:bCs/>
                <w:sz w:val="18"/>
                <w:szCs w:val="18"/>
                <w:lang w:eastAsia="en-AU"/>
              </w:rPr>
              <w:t xml:space="preserve">Category / Program: </w:t>
            </w:r>
            <w:r w:rsidRPr="001825C9">
              <w:rPr>
                <w:rFonts w:ascii="Arial Narrow" w:eastAsia="Times New Roman" w:hAnsi="Arial Narrow"/>
                <w:bCs/>
                <w:sz w:val="18"/>
                <w:szCs w:val="18"/>
                <w:lang w:eastAsia="en-AU"/>
              </w:rPr>
              <w:t xml:space="preserve">GENERAL – General Schedule (Code GE) </w:t>
            </w:r>
          </w:p>
        </w:tc>
      </w:tr>
      <w:tr w:rsidR="00AE46DA" w:rsidRPr="001825C9" w:rsidTr="00B21F37">
        <w:tc>
          <w:tcPr>
            <w:tcW w:w="5000"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spacing w:before="0" w:after="0"/>
              <w:rPr>
                <w:rFonts w:ascii="Arial Narrow" w:eastAsia="Times New Roman" w:hAnsi="Arial Narrow"/>
                <w:bCs/>
                <w:sz w:val="18"/>
                <w:szCs w:val="18"/>
                <w:lang w:eastAsia="en-AU"/>
              </w:rPr>
            </w:pPr>
            <w:r w:rsidRPr="001825C9">
              <w:rPr>
                <w:rFonts w:ascii="Arial Narrow" w:eastAsia="Times New Roman" w:hAnsi="Arial Narrow"/>
                <w:b/>
                <w:bCs/>
                <w:sz w:val="18"/>
                <w:szCs w:val="18"/>
                <w:lang w:eastAsia="en-AU"/>
              </w:rPr>
              <w:t>Prescriber type:</w:t>
            </w:r>
            <w:r w:rsidRPr="001825C9">
              <w:rPr>
                <w:rFonts w:ascii="Arial Narrow" w:eastAsia="Times New Roman" w:hAnsi="Arial Narrow"/>
                <w:bCs/>
                <w:sz w:val="18"/>
                <w:szCs w:val="18"/>
                <w:lang w:eastAsia="en-AU"/>
              </w:rPr>
              <w:t xml:space="preserve">   </w:t>
            </w:r>
            <w:r w:rsidRPr="001825C9">
              <w:rPr>
                <w:rFonts w:ascii="Arial Narrow" w:eastAsia="Times New Roman" w:hAnsi="Arial Narrow"/>
                <w:bCs/>
                <w:sz w:val="18"/>
                <w:szCs w:val="18"/>
                <w:lang w:eastAsia="en-AU"/>
              </w:rPr>
              <w:fldChar w:fldCharType="begin">
                <w:ffData>
                  <w:name w:val="Check1"/>
                  <w:enabled/>
                  <w:calcOnExit w:val="0"/>
                  <w:checkBox>
                    <w:sizeAuto/>
                    <w:default w:val="0"/>
                  </w:checkBox>
                </w:ffData>
              </w:fldChar>
            </w:r>
            <w:r w:rsidRPr="001825C9">
              <w:rPr>
                <w:rFonts w:ascii="Arial Narrow" w:eastAsia="Times New Roman" w:hAnsi="Arial Narrow"/>
                <w:bCs/>
                <w:sz w:val="18"/>
                <w:szCs w:val="18"/>
                <w:lang w:eastAsia="en-AU"/>
              </w:rPr>
              <w:instrText xml:space="preserve"> FORMCHECKBOX </w:instrText>
            </w:r>
            <w:r w:rsidR="0091085C">
              <w:rPr>
                <w:rFonts w:ascii="Arial Narrow" w:eastAsia="Times New Roman" w:hAnsi="Arial Narrow"/>
                <w:bCs/>
                <w:sz w:val="18"/>
                <w:szCs w:val="18"/>
                <w:lang w:eastAsia="en-AU"/>
              </w:rPr>
            </w:r>
            <w:r w:rsidR="0091085C">
              <w:rPr>
                <w:rFonts w:ascii="Arial Narrow" w:eastAsia="Times New Roman" w:hAnsi="Arial Narrow"/>
                <w:bCs/>
                <w:sz w:val="18"/>
                <w:szCs w:val="18"/>
                <w:lang w:eastAsia="en-AU"/>
              </w:rPr>
              <w:fldChar w:fldCharType="separate"/>
            </w:r>
            <w:r w:rsidRPr="001825C9">
              <w:rPr>
                <w:rFonts w:ascii="Arial Narrow" w:eastAsia="Times New Roman" w:hAnsi="Arial Narrow"/>
                <w:bCs/>
                <w:sz w:val="18"/>
                <w:szCs w:val="18"/>
                <w:lang w:eastAsia="en-AU"/>
              </w:rPr>
              <w:fldChar w:fldCharType="end"/>
            </w:r>
            <w:r w:rsidRPr="001825C9">
              <w:rPr>
                <w:rFonts w:ascii="Arial Narrow" w:eastAsia="Times New Roman" w:hAnsi="Arial Narrow"/>
                <w:bCs/>
                <w:sz w:val="18"/>
                <w:szCs w:val="18"/>
                <w:lang w:eastAsia="en-AU"/>
              </w:rPr>
              <w:t xml:space="preserve">Dental    </w:t>
            </w:r>
            <w:r w:rsidRPr="001825C9">
              <w:rPr>
                <w:rFonts w:ascii="Arial Narrow" w:eastAsia="Times New Roman" w:hAnsi="Arial Narrow"/>
                <w:bCs/>
                <w:sz w:val="18"/>
                <w:szCs w:val="18"/>
                <w:lang w:eastAsia="en-AU"/>
              </w:rPr>
              <w:fldChar w:fldCharType="begin">
                <w:ffData>
                  <w:name w:val=""/>
                  <w:enabled/>
                  <w:calcOnExit w:val="0"/>
                  <w:checkBox>
                    <w:sizeAuto/>
                    <w:default w:val="1"/>
                  </w:checkBox>
                </w:ffData>
              </w:fldChar>
            </w:r>
            <w:r w:rsidRPr="001825C9">
              <w:rPr>
                <w:rFonts w:ascii="Arial Narrow" w:eastAsia="Times New Roman" w:hAnsi="Arial Narrow"/>
                <w:bCs/>
                <w:sz w:val="18"/>
                <w:szCs w:val="18"/>
                <w:lang w:eastAsia="en-AU"/>
              </w:rPr>
              <w:instrText xml:space="preserve"> FORMCHECKBOX </w:instrText>
            </w:r>
            <w:r w:rsidR="0091085C">
              <w:rPr>
                <w:rFonts w:ascii="Arial Narrow" w:eastAsia="Times New Roman" w:hAnsi="Arial Narrow"/>
                <w:bCs/>
                <w:sz w:val="18"/>
                <w:szCs w:val="18"/>
                <w:lang w:eastAsia="en-AU"/>
              </w:rPr>
            </w:r>
            <w:r w:rsidR="0091085C">
              <w:rPr>
                <w:rFonts w:ascii="Arial Narrow" w:eastAsia="Times New Roman" w:hAnsi="Arial Narrow"/>
                <w:bCs/>
                <w:sz w:val="18"/>
                <w:szCs w:val="18"/>
                <w:lang w:eastAsia="en-AU"/>
              </w:rPr>
              <w:fldChar w:fldCharType="separate"/>
            </w:r>
            <w:r w:rsidRPr="001825C9">
              <w:rPr>
                <w:rFonts w:ascii="Arial Narrow" w:eastAsia="Times New Roman" w:hAnsi="Arial Narrow"/>
                <w:bCs/>
                <w:sz w:val="18"/>
                <w:szCs w:val="18"/>
                <w:lang w:eastAsia="en-AU"/>
              </w:rPr>
              <w:fldChar w:fldCharType="end"/>
            </w:r>
            <w:r w:rsidRPr="001825C9">
              <w:rPr>
                <w:rFonts w:ascii="Arial Narrow" w:eastAsia="Times New Roman" w:hAnsi="Arial Narrow"/>
                <w:bCs/>
                <w:sz w:val="18"/>
                <w:szCs w:val="18"/>
                <w:lang w:eastAsia="en-AU"/>
              </w:rPr>
              <w:t xml:space="preserve">Medical Practitioners    </w:t>
            </w:r>
            <w:r w:rsidRPr="001825C9">
              <w:rPr>
                <w:rFonts w:ascii="Arial Narrow" w:eastAsia="Times New Roman" w:hAnsi="Arial Narrow"/>
                <w:bCs/>
                <w:sz w:val="18"/>
                <w:szCs w:val="18"/>
                <w:lang w:eastAsia="en-AU"/>
              </w:rPr>
              <w:fldChar w:fldCharType="begin">
                <w:ffData>
                  <w:name w:val="Check3"/>
                  <w:enabled/>
                  <w:calcOnExit w:val="0"/>
                  <w:checkBox>
                    <w:sizeAuto/>
                    <w:default w:val="0"/>
                  </w:checkBox>
                </w:ffData>
              </w:fldChar>
            </w:r>
            <w:r w:rsidRPr="001825C9">
              <w:rPr>
                <w:rFonts w:ascii="Arial Narrow" w:eastAsia="Times New Roman" w:hAnsi="Arial Narrow"/>
                <w:bCs/>
                <w:sz w:val="18"/>
                <w:szCs w:val="18"/>
                <w:lang w:eastAsia="en-AU"/>
              </w:rPr>
              <w:instrText xml:space="preserve"> FORMCHECKBOX </w:instrText>
            </w:r>
            <w:r w:rsidR="0091085C">
              <w:rPr>
                <w:rFonts w:ascii="Arial Narrow" w:eastAsia="Times New Roman" w:hAnsi="Arial Narrow"/>
                <w:bCs/>
                <w:sz w:val="18"/>
                <w:szCs w:val="18"/>
                <w:lang w:eastAsia="en-AU"/>
              </w:rPr>
            </w:r>
            <w:r w:rsidR="0091085C">
              <w:rPr>
                <w:rFonts w:ascii="Arial Narrow" w:eastAsia="Times New Roman" w:hAnsi="Arial Narrow"/>
                <w:bCs/>
                <w:sz w:val="18"/>
                <w:szCs w:val="18"/>
                <w:lang w:eastAsia="en-AU"/>
              </w:rPr>
              <w:fldChar w:fldCharType="separate"/>
            </w:r>
            <w:r w:rsidRPr="001825C9">
              <w:rPr>
                <w:rFonts w:ascii="Arial Narrow" w:eastAsia="Times New Roman" w:hAnsi="Arial Narrow"/>
                <w:bCs/>
                <w:sz w:val="18"/>
                <w:szCs w:val="18"/>
                <w:lang w:eastAsia="en-AU"/>
              </w:rPr>
              <w:fldChar w:fldCharType="end"/>
            </w:r>
            <w:r w:rsidRPr="001825C9">
              <w:rPr>
                <w:rFonts w:ascii="Arial Narrow" w:eastAsia="Times New Roman" w:hAnsi="Arial Narrow"/>
                <w:bCs/>
                <w:sz w:val="18"/>
                <w:szCs w:val="18"/>
                <w:lang w:eastAsia="en-AU"/>
              </w:rPr>
              <w:t xml:space="preserve">Nurse practitioners     </w:t>
            </w:r>
            <w:r w:rsidRPr="001825C9">
              <w:rPr>
                <w:rFonts w:ascii="Arial Narrow" w:eastAsia="Times New Roman" w:hAnsi="Arial Narrow"/>
                <w:bCs/>
                <w:sz w:val="18"/>
                <w:szCs w:val="18"/>
                <w:lang w:eastAsia="en-AU"/>
              </w:rPr>
              <w:fldChar w:fldCharType="begin">
                <w:ffData>
                  <w:name w:val=""/>
                  <w:enabled/>
                  <w:calcOnExit w:val="0"/>
                  <w:checkBox>
                    <w:sizeAuto/>
                    <w:default w:val="0"/>
                  </w:checkBox>
                </w:ffData>
              </w:fldChar>
            </w:r>
            <w:r w:rsidRPr="001825C9">
              <w:rPr>
                <w:rFonts w:ascii="Arial Narrow" w:eastAsia="Times New Roman" w:hAnsi="Arial Narrow"/>
                <w:bCs/>
                <w:sz w:val="18"/>
                <w:szCs w:val="18"/>
                <w:lang w:eastAsia="en-AU"/>
              </w:rPr>
              <w:instrText xml:space="preserve"> FORMCHECKBOX </w:instrText>
            </w:r>
            <w:r w:rsidR="0091085C">
              <w:rPr>
                <w:rFonts w:ascii="Arial Narrow" w:eastAsia="Times New Roman" w:hAnsi="Arial Narrow"/>
                <w:bCs/>
                <w:sz w:val="18"/>
                <w:szCs w:val="18"/>
                <w:lang w:eastAsia="en-AU"/>
              </w:rPr>
            </w:r>
            <w:r w:rsidR="0091085C">
              <w:rPr>
                <w:rFonts w:ascii="Arial Narrow" w:eastAsia="Times New Roman" w:hAnsi="Arial Narrow"/>
                <w:bCs/>
                <w:sz w:val="18"/>
                <w:szCs w:val="18"/>
                <w:lang w:eastAsia="en-AU"/>
              </w:rPr>
              <w:fldChar w:fldCharType="separate"/>
            </w:r>
            <w:r w:rsidRPr="001825C9">
              <w:rPr>
                <w:rFonts w:ascii="Arial Narrow" w:eastAsia="Times New Roman" w:hAnsi="Arial Narrow"/>
                <w:bCs/>
                <w:sz w:val="18"/>
                <w:szCs w:val="18"/>
                <w:lang w:eastAsia="en-AU"/>
              </w:rPr>
              <w:fldChar w:fldCharType="end"/>
            </w:r>
            <w:r w:rsidRPr="001825C9">
              <w:rPr>
                <w:rFonts w:ascii="Arial Narrow" w:eastAsia="Times New Roman" w:hAnsi="Arial Narrow"/>
                <w:bCs/>
                <w:sz w:val="18"/>
                <w:szCs w:val="18"/>
                <w:lang w:eastAsia="en-AU"/>
              </w:rPr>
              <w:t xml:space="preserve">Optometrists    </w:t>
            </w:r>
            <w:r w:rsidRPr="001825C9">
              <w:rPr>
                <w:rFonts w:ascii="Arial Narrow" w:eastAsia="Times New Roman" w:hAnsi="Arial Narrow"/>
                <w:bCs/>
                <w:sz w:val="18"/>
                <w:szCs w:val="18"/>
                <w:lang w:eastAsia="en-AU"/>
              </w:rPr>
              <w:fldChar w:fldCharType="begin">
                <w:ffData>
                  <w:name w:val="Check5"/>
                  <w:enabled/>
                  <w:calcOnExit w:val="0"/>
                  <w:checkBox>
                    <w:sizeAuto/>
                    <w:default w:val="0"/>
                  </w:checkBox>
                </w:ffData>
              </w:fldChar>
            </w:r>
            <w:r w:rsidRPr="001825C9">
              <w:rPr>
                <w:rFonts w:ascii="Arial Narrow" w:eastAsia="Times New Roman" w:hAnsi="Arial Narrow"/>
                <w:bCs/>
                <w:sz w:val="18"/>
                <w:szCs w:val="18"/>
                <w:lang w:eastAsia="en-AU"/>
              </w:rPr>
              <w:instrText xml:space="preserve"> FORMCHECKBOX </w:instrText>
            </w:r>
            <w:r w:rsidR="0091085C">
              <w:rPr>
                <w:rFonts w:ascii="Arial Narrow" w:eastAsia="Times New Roman" w:hAnsi="Arial Narrow"/>
                <w:bCs/>
                <w:sz w:val="18"/>
                <w:szCs w:val="18"/>
                <w:lang w:eastAsia="en-AU"/>
              </w:rPr>
            </w:r>
            <w:r w:rsidR="0091085C">
              <w:rPr>
                <w:rFonts w:ascii="Arial Narrow" w:eastAsia="Times New Roman" w:hAnsi="Arial Narrow"/>
                <w:bCs/>
                <w:sz w:val="18"/>
                <w:szCs w:val="18"/>
                <w:lang w:eastAsia="en-AU"/>
              </w:rPr>
              <w:fldChar w:fldCharType="separate"/>
            </w:r>
            <w:r w:rsidRPr="001825C9">
              <w:rPr>
                <w:rFonts w:ascii="Arial Narrow" w:eastAsia="Times New Roman" w:hAnsi="Arial Narrow"/>
                <w:bCs/>
                <w:sz w:val="18"/>
                <w:szCs w:val="18"/>
                <w:lang w:eastAsia="en-AU"/>
              </w:rPr>
              <w:fldChar w:fldCharType="end"/>
            </w:r>
            <w:r w:rsidRPr="001825C9">
              <w:rPr>
                <w:rFonts w:ascii="Arial Narrow" w:eastAsia="Times New Roman" w:hAnsi="Arial Narrow"/>
                <w:bCs/>
                <w:sz w:val="18"/>
                <w:szCs w:val="18"/>
                <w:lang w:eastAsia="en-AU"/>
              </w:rPr>
              <w:t>Midwives</w:t>
            </w:r>
          </w:p>
        </w:tc>
      </w:tr>
      <w:tr w:rsidR="00AE46DA" w:rsidRPr="001825C9" w:rsidTr="00B21F37">
        <w:tc>
          <w:tcPr>
            <w:tcW w:w="5000"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spacing w:before="0" w:after="0"/>
              <w:rPr>
                <w:rFonts w:ascii="Arial Narrow" w:eastAsia="Times New Roman" w:hAnsi="Arial Narrow"/>
                <w:b/>
                <w:bCs/>
                <w:sz w:val="18"/>
                <w:szCs w:val="18"/>
                <w:lang w:eastAsia="en-AU"/>
              </w:rPr>
            </w:pPr>
            <w:r w:rsidRPr="001825C9">
              <w:rPr>
                <w:rFonts w:ascii="Arial Narrow" w:eastAsia="Times New Roman" w:hAnsi="Arial Narrow"/>
                <w:b/>
                <w:bCs/>
                <w:sz w:val="18"/>
                <w:szCs w:val="18"/>
                <w:lang w:eastAsia="en-AU"/>
              </w:rPr>
              <w:t xml:space="preserve">Restriction Type: </w:t>
            </w:r>
            <w:r w:rsidRPr="001825C9">
              <w:rPr>
                <w:rFonts w:ascii="Arial Narrow" w:eastAsia="Times New Roman" w:hAnsi="Arial Narrow"/>
                <w:b/>
                <w:bCs/>
                <w:sz w:val="18"/>
                <w:szCs w:val="18"/>
                <w:lang w:eastAsia="en-AU"/>
              </w:rPr>
              <w:fldChar w:fldCharType="begin">
                <w:ffData>
                  <w:name w:val=""/>
                  <w:enabled/>
                  <w:calcOnExit w:val="0"/>
                  <w:checkBox>
                    <w:sizeAuto/>
                    <w:default w:val="1"/>
                  </w:checkBox>
                </w:ffData>
              </w:fldChar>
            </w:r>
            <w:r w:rsidRPr="001825C9">
              <w:rPr>
                <w:rFonts w:ascii="Arial Narrow" w:eastAsia="Times New Roman" w:hAnsi="Arial Narrow"/>
                <w:b/>
                <w:bCs/>
                <w:sz w:val="18"/>
                <w:szCs w:val="18"/>
                <w:lang w:eastAsia="en-AU"/>
              </w:rPr>
              <w:instrText xml:space="preserve"> FORMCHECKBOX </w:instrText>
            </w:r>
            <w:r w:rsidR="0091085C">
              <w:rPr>
                <w:rFonts w:ascii="Arial Narrow" w:eastAsia="Times New Roman" w:hAnsi="Arial Narrow"/>
                <w:b/>
                <w:bCs/>
                <w:sz w:val="18"/>
                <w:szCs w:val="18"/>
                <w:lang w:eastAsia="en-AU"/>
              </w:rPr>
            </w:r>
            <w:r w:rsidR="0091085C">
              <w:rPr>
                <w:rFonts w:ascii="Arial Narrow" w:eastAsia="Times New Roman" w:hAnsi="Arial Narrow"/>
                <w:b/>
                <w:bCs/>
                <w:sz w:val="18"/>
                <w:szCs w:val="18"/>
                <w:lang w:eastAsia="en-AU"/>
              </w:rPr>
              <w:fldChar w:fldCharType="separate"/>
            </w:r>
            <w:r w:rsidRPr="001825C9">
              <w:rPr>
                <w:rFonts w:ascii="Arial Narrow" w:eastAsia="Times New Roman" w:hAnsi="Arial Narrow"/>
                <w:b/>
                <w:bCs/>
                <w:sz w:val="18"/>
                <w:szCs w:val="18"/>
                <w:lang w:eastAsia="en-AU"/>
              </w:rPr>
              <w:fldChar w:fldCharType="end"/>
            </w:r>
            <w:r w:rsidRPr="001825C9">
              <w:rPr>
                <w:rFonts w:ascii="Arial Narrow" w:eastAsia="Times New Roman" w:hAnsi="Arial Narrow"/>
                <w:bCs/>
                <w:sz w:val="18"/>
                <w:szCs w:val="18"/>
                <w:lang w:eastAsia="en-AU"/>
              </w:rPr>
              <w:t>Authority Required – Streamlined [new code]</w:t>
            </w:r>
          </w:p>
        </w:tc>
      </w:tr>
      <w:tr w:rsidR="00AE46DA" w:rsidRPr="001825C9" w:rsidTr="00B21F37">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46DA" w:rsidRPr="001825C9" w:rsidRDefault="00AE46DA" w:rsidP="00B21F37">
            <w:pPr>
              <w:spacing w:before="0" w:after="0"/>
              <w:rPr>
                <w:rFonts w:ascii="Arial Narrow" w:eastAsia="Times New Roman" w:hAnsi="Arial Narrow"/>
                <w:b/>
                <w:bCs/>
                <w:sz w:val="18"/>
                <w:szCs w:val="18"/>
                <w:lang w:eastAsia="en-AU"/>
              </w:rPr>
            </w:pPr>
            <w:r w:rsidRPr="001825C9">
              <w:rPr>
                <w:rFonts w:ascii="Arial Narrow" w:eastAsia="Times New Roman" w:hAnsi="Arial Narrow"/>
                <w:b/>
                <w:bCs/>
                <w:sz w:val="18"/>
                <w:szCs w:val="18"/>
                <w:lang w:eastAsia="en-AU"/>
              </w:rPr>
              <w:t xml:space="preserve">Severity: </w:t>
            </w:r>
            <w:r w:rsidRPr="001825C9">
              <w:rPr>
                <w:rFonts w:ascii="Arial Narrow" w:eastAsia="Times New Roman" w:hAnsi="Arial Narrow"/>
                <w:bCs/>
                <w:sz w:val="18"/>
                <w:szCs w:val="18"/>
                <w:lang w:eastAsia="en-AU"/>
              </w:rPr>
              <w:t>Metastatic</w:t>
            </w:r>
          </w:p>
        </w:tc>
      </w:tr>
      <w:tr w:rsidR="00AE46DA" w:rsidRPr="001825C9" w:rsidTr="00B21F37">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46DA" w:rsidRPr="001825C9" w:rsidRDefault="00AE46DA" w:rsidP="00B21F37">
            <w:pPr>
              <w:spacing w:before="0" w:after="0"/>
              <w:rPr>
                <w:rFonts w:ascii="Arial Narrow" w:eastAsia="Times New Roman" w:hAnsi="Arial Narrow"/>
                <w:b/>
                <w:bCs/>
                <w:sz w:val="18"/>
                <w:szCs w:val="18"/>
                <w:lang w:eastAsia="en-AU"/>
              </w:rPr>
            </w:pPr>
            <w:r w:rsidRPr="001825C9">
              <w:rPr>
                <w:rFonts w:ascii="Arial Narrow" w:eastAsia="Times New Roman" w:hAnsi="Arial Narrow"/>
                <w:b/>
                <w:bCs/>
                <w:sz w:val="18"/>
                <w:szCs w:val="18"/>
                <w:lang w:eastAsia="en-AU"/>
              </w:rPr>
              <w:t xml:space="preserve">Condition: </w:t>
            </w:r>
            <w:r w:rsidRPr="001825C9">
              <w:rPr>
                <w:rFonts w:ascii="Arial Narrow" w:eastAsia="Times New Roman" w:hAnsi="Arial Narrow"/>
                <w:bCs/>
                <w:sz w:val="18"/>
                <w:szCs w:val="18"/>
                <w:lang w:eastAsia="en-AU"/>
              </w:rPr>
              <w:t>colorectal cancer</w:t>
            </w:r>
          </w:p>
        </w:tc>
      </w:tr>
      <w:tr w:rsidR="00AE46DA" w:rsidRPr="001825C9" w:rsidTr="00B21F37">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46DA" w:rsidRPr="001825C9" w:rsidRDefault="00AE46DA" w:rsidP="00B21F37">
            <w:pPr>
              <w:spacing w:before="0" w:after="0"/>
              <w:rPr>
                <w:rFonts w:ascii="Arial Narrow" w:eastAsia="Times New Roman" w:hAnsi="Arial Narrow"/>
                <w:b/>
                <w:bCs/>
                <w:sz w:val="18"/>
                <w:szCs w:val="18"/>
                <w:lang w:eastAsia="en-AU"/>
              </w:rPr>
            </w:pPr>
            <w:r w:rsidRPr="001825C9">
              <w:rPr>
                <w:rFonts w:ascii="Arial Narrow" w:eastAsia="Times New Roman" w:hAnsi="Arial Narrow"/>
                <w:b/>
                <w:bCs/>
                <w:sz w:val="18"/>
                <w:szCs w:val="18"/>
                <w:lang w:eastAsia="en-AU"/>
              </w:rPr>
              <w:t xml:space="preserve">Indication: </w:t>
            </w:r>
            <w:r w:rsidRPr="001825C9">
              <w:rPr>
                <w:rFonts w:ascii="Arial Narrow" w:eastAsia="Times New Roman" w:hAnsi="Arial Narrow"/>
                <w:bCs/>
                <w:sz w:val="18"/>
                <w:szCs w:val="18"/>
                <w:lang w:eastAsia="en-AU"/>
              </w:rPr>
              <w:t>Metastatic colorectal cancer</w:t>
            </w:r>
          </w:p>
        </w:tc>
      </w:tr>
      <w:tr w:rsidR="00AE46DA" w:rsidRPr="001825C9" w:rsidTr="00B21F37">
        <w:tc>
          <w:tcPr>
            <w:tcW w:w="5000" w:type="pct"/>
            <w:vAlign w:val="center"/>
            <w:hideMark/>
          </w:tcPr>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b/>
                <w:bCs/>
                <w:sz w:val="18"/>
                <w:szCs w:val="18"/>
                <w:lang w:eastAsia="en-AU"/>
              </w:rPr>
              <w:t>Treatment Phase:</w:t>
            </w:r>
            <w:r w:rsidR="00937442" w:rsidRPr="001825C9">
              <w:rPr>
                <w:rFonts w:ascii="Arial Narrow" w:eastAsia="Times New Roman" w:hAnsi="Arial Narrow"/>
                <w:sz w:val="18"/>
                <w:szCs w:val="18"/>
                <w:lang w:eastAsia="en-AU"/>
              </w:rPr>
              <w:t xml:space="preserve"> Continuing treatment</w:t>
            </w:r>
          </w:p>
        </w:tc>
      </w:tr>
      <w:tr w:rsidR="00AE46DA" w:rsidRPr="001825C9" w:rsidTr="00B21F37">
        <w:tc>
          <w:tcPr>
            <w:tcW w:w="5000" w:type="pct"/>
            <w:vAlign w:val="center"/>
            <w:hideMark/>
          </w:tcPr>
          <w:p w:rsidR="00AE46DA" w:rsidRPr="001825C9" w:rsidRDefault="00AE46DA" w:rsidP="00B21F37">
            <w:pPr>
              <w:spacing w:before="0" w:after="0"/>
              <w:rPr>
                <w:rFonts w:ascii="Arial Narrow" w:eastAsia="Times New Roman" w:hAnsi="Arial Narrow"/>
                <w:i/>
                <w:sz w:val="18"/>
                <w:szCs w:val="18"/>
                <w:lang w:eastAsia="en-AU"/>
              </w:rPr>
            </w:pPr>
            <w:r w:rsidRPr="001825C9">
              <w:rPr>
                <w:rFonts w:ascii="Arial Narrow" w:eastAsia="Times New Roman" w:hAnsi="Arial Narrow"/>
                <w:b/>
                <w:bCs/>
                <w:sz w:val="18"/>
                <w:szCs w:val="18"/>
                <w:lang w:eastAsia="en-AU"/>
              </w:rPr>
              <w:t xml:space="preserve">Clinical criteria: </w:t>
            </w:r>
            <w:r w:rsidRPr="001825C9">
              <w:rPr>
                <w:rFonts w:ascii="Arial Narrow" w:eastAsia="Times New Roman" w:hAnsi="Arial Narrow"/>
                <w:sz w:val="18"/>
                <w:szCs w:val="18"/>
                <w:lang w:eastAsia="en-AU"/>
              </w:rPr>
              <w:t xml:space="preserve">Patient must have previously </w:t>
            </w:r>
            <w:r w:rsidRPr="001825C9">
              <w:rPr>
                <w:rFonts w:ascii="Arial Narrow" w:eastAsia="Times New Roman" w:hAnsi="Arial Narrow"/>
                <w:strike/>
                <w:sz w:val="18"/>
                <w:szCs w:val="18"/>
                <w:lang w:eastAsia="en-AU"/>
              </w:rPr>
              <w:t>been issued with an authority prescription for this drug</w:t>
            </w:r>
            <w:r w:rsidRPr="001825C9">
              <w:rPr>
                <w:rFonts w:ascii="Arial Narrow" w:eastAsia="Times New Roman" w:hAnsi="Arial Narrow"/>
                <w:sz w:val="18"/>
                <w:szCs w:val="18"/>
                <w:lang w:eastAsia="en-AU"/>
              </w:rPr>
              <w:t xml:space="preserve"> </w:t>
            </w:r>
            <w:r w:rsidRPr="001825C9">
              <w:rPr>
                <w:rFonts w:ascii="Arial Narrow" w:eastAsia="Times New Roman" w:hAnsi="Arial Narrow"/>
                <w:i/>
                <w:sz w:val="18"/>
                <w:szCs w:val="18"/>
                <w:lang w:eastAsia="en-AU"/>
              </w:rPr>
              <w:t>received PBS-subsidised treatment with this drug for this condition</w:t>
            </w:r>
          </w:p>
        </w:tc>
      </w:tr>
      <w:tr w:rsidR="00AE46DA" w:rsidRPr="001825C9" w:rsidTr="00B21F37">
        <w:tc>
          <w:tcPr>
            <w:tcW w:w="5000" w:type="pct"/>
            <w:vAlign w:val="center"/>
            <w:hideMark/>
          </w:tcPr>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b/>
                <w:bCs/>
                <w:sz w:val="18"/>
                <w:szCs w:val="18"/>
                <w:lang w:eastAsia="en-AU"/>
              </w:rPr>
              <w:t>AND</w:t>
            </w:r>
          </w:p>
        </w:tc>
      </w:tr>
      <w:tr w:rsidR="00AE46DA" w:rsidRPr="001825C9" w:rsidTr="00B21F37">
        <w:tc>
          <w:tcPr>
            <w:tcW w:w="5000" w:type="pct"/>
            <w:vAlign w:val="center"/>
            <w:hideMark/>
          </w:tcPr>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strike/>
                <w:sz w:val="18"/>
                <w:szCs w:val="18"/>
                <w:lang w:eastAsia="en-AU"/>
              </w:rPr>
              <w:t xml:space="preserve">Patient must be receiving PBS-subsidised EGFR inhibitor for this condition </w:t>
            </w:r>
            <w:r w:rsidRPr="001825C9">
              <w:rPr>
                <w:rFonts w:ascii="Arial Narrow" w:eastAsia="Times New Roman" w:hAnsi="Arial Narrow"/>
                <w:i/>
                <w:sz w:val="18"/>
                <w:szCs w:val="18"/>
                <w:lang w:eastAsia="en-AU"/>
              </w:rPr>
              <w:t>The treatment must be in combination with [cetuximab/anti-EGF</w:t>
            </w:r>
            <w:r w:rsidR="00103ABD">
              <w:rPr>
                <w:rFonts w:ascii="Arial Narrow" w:eastAsia="Times New Roman" w:hAnsi="Arial Narrow"/>
                <w:i/>
                <w:sz w:val="18"/>
                <w:szCs w:val="18"/>
                <w:lang w:eastAsia="en-AU"/>
              </w:rPr>
              <w:t>R</w:t>
            </w:r>
            <w:r w:rsidRPr="001825C9">
              <w:rPr>
                <w:rFonts w:ascii="Arial Narrow" w:eastAsia="Times New Roman" w:hAnsi="Arial Narrow"/>
                <w:i/>
                <w:sz w:val="18"/>
                <w:szCs w:val="18"/>
                <w:lang w:eastAsia="en-AU"/>
              </w:rPr>
              <w:t xml:space="preserve"> antibody therapy]</w:t>
            </w:r>
          </w:p>
        </w:tc>
      </w:tr>
      <w:tr w:rsidR="00AE46DA" w:rsidRPr="001825C9" w:rsidTr="00B21F37">
        <w:tc>
          <w:tcPr>
            <w:tcW w:w="5000" w:type="pct"/>
            <w:vAlign w:val="center"/>
            <w:hideMark/>
          </w:tcPr>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b/>
                <w:bCs/>
                <w:sz w:val="18"/>
                <w:szCs w:val="18"/>
                <w:lang w:eastAsia="en-AU"/>
              </w:rPr>
              <w:t>AND</w:t>
            </w:r>
          </w:p>
        </w:tc>
      </w:tr>
      <w:tr w:rsidR="00AE46DA" w:rsidRPr="001825C9" w:rsidTr="00B21F37">
        <w:tc>
          <w:tcPr>
            <w:tcW w:w="5000" w:type="pct"/>
            <w:vAlign w:val="center"/>
          </w:tcPr>
          <w:p w:rsidR="00AE46DA" w:rsidRPr="001825C9" w:rsidRDefault="00AE46DA" w:rsidP="00B21F37">
            <w:pPr>
              <w:spacing w:before="0" w:after="0"/>
              <w:rPr>
                <w:rFonts w:ascii="Arial Narrow" w:eastAsia="Times New Roman" w:hAnsi="Arial Narrow"/>
                <w:b/>
                <w:bCs/>
                <w:sz w:val="18"/>
                <w:szCs w:val="18"/>
                <w:lang w:eastAsia="en-AU"/>
              </w:rPr>
            </w:pPr>
            <w:r w:rsidRPr="001825C9">
              <w:rPr>
                <w:rFonts w:ascii="Arial Narrow" w:eastAsia="Times New Roman" w:hAnsi="Arial Narrow"/>
                <w:sz w:val="18"/>
                <w:szCs w:val="18"/>
                <w:lang w:eastAsia="en-AU"/>
              </w:rPr>
              <w:t xml:space="preserve">Patient must </w:t>
            </w:r>
            <w:r w:rsidRPr="001825C9">
              <w:rPr>
                <w:rFonts w:ascii="Arial Narrow" w:eastAsia="Times New Roman" w:hAnsi="Arial Narrow"/>
                <w:i/>
                <w:sz w:val="18"/>
                <w:szCs w:val="18"/>
                <w:lang w:eastAsia="en-AU"/>
              </w:rPr>
              <w:t xml:space="preserve">not </w:t>
            </w:r>
            <w:r w:rsidRPr="001825C9">
              <w:rPr>
                <w:rFonts w:ascii="Arial Narrow" w:eastAsia="Times New Roman" w:hAnsi="Arial Narrow"/>
                <w:sz w:val="18"/>
                <w:szCs w:val="18"/>
                <w:lang w:eastAsia="en-AU"/>
              </w:rPr>
              <w:t xml:space="preserve">have </w:t>
            </w:r>
            <w:r w:rsidRPr="001825C9">
              <w:rPr>
                <w:rFonts w:ascii="Arial Narrow" w:eastAsia="Times New Roman" w:hAnsi="Arial Narrow"/>
                <w:strike/>
                <w:sz w:val="18"/>
                <w:szCs w:val="18"/>
                <w:lang w:eastAsia="en-AU"/>
              </w:rPr>
              <w:t xml:space="preserve">stable or responding </w:t>
            </w:r>
            <w:r w:rsidRPr="001825C9">
              <w:rPr>
                <w:rFonts w:ascii="Arial Narrow" w:eastAsia="Times New Roman" w:hAnsi="Arial Narrow"/>
                <w:i/>
                <w:sz w:val="18"/>
                <w:szCs w:val="18"/>
                <w:lang w:eastAsia="en-AU"/>
              </w:rPr>
              <w:t>progressive</w:t>
            </w:r>
            <w:r w:rsidRPr="001825C9">
              <w:rPr>
                <w:rFonts w:ascii="Arial Narrow" w:eastAsia="Times New Roman" w:hAnsi="Arial Narrow"/>
                <w:sz w:val="18"/>
                <w:szCs w:val="18"/>
                <w:lang w:eastAsia="en-AU"/>
              </w:rPr>
              <w:t xml:space="preserve"> disease </w:t>
            </w:r>
            <w:r w:rsidRPr="001825C9">
              <w:rPr>
                <w:rFonts w:ascii="Arial Narrow" w:eastAsia="Times New Roman" w:hAnsi="Arial Narrow"/>
                <w:i/>
                <w:sz w:val="18"/>
                <w:szCs w:val="18"/>
                <w:lang w:eastAsia="en-AU"/>
              </w:rPr>
              <w:t>while being treated with this drug for this condition</w:t>
            </w:r>
          </w:p>
        </w:tc>
      </w:tr>
      <w:tr w:rsidR="00AE46DA" w:rsidRPr="001825C9" w:rsidTr="00B21F37">
        <w:tc>
          <w:tcPr>
            <w:tcW w:w="5000" w:type="pct"/>
            <w:tcBorders>
              <w:top w:val="single" w:sz="4" w:space="0" w:color="auto"/>
              <w:left w:val="single" w:sz="4" w:space="0" w:color="auto"/>
              <w:bottom w:val="single" w:sz="4" w:space="0" w:color="auto"/>
              <w:right w:val="single" w:sz="4" w:space="0" w:color="auto"/>
            </w:tcBorders>
            <w:vAlign w:val="center"/>
          </w:tcPr>
          <w:p w:rsidR="00AE46DA" w:rsidRPr="001825C9" w:rsidRDefault="00AE46DA" w:rsidP="00B21F37">
            <w:pPr>
              <w:spacing w:before="0" w:after="0"/>
              <w:rPr>
                <w:rFonts w:ascii="Arial Narrow" w:eastAsia="Times New Roman" w:hAnsi="Arial Narrow"/>
                <w:b/>
                <w:sz w:val="18"/>
                <w:szCs w:val="18"/>
                <w:lang w:eastAsia="en-AU"/>
              </w:rPr>
            </w:pPr>
            <w:r w:rsidRPr="001825C9">
              <w:rPr>
                <w:rFonts w:ascii="Arial Narrow" w:eastAsia="Times New Roman" w:hAnsi="Arial Narrow"/>
                <w:b/>
                <w:sz w:val="18"/>
                <w:szCs w:val="18"/>
                <w:lang w:eastAsia="en-AU"/>
              </w:rPr>
              <w:t>Administrative Advice:</w:t>
            </w:r>
          </w:p>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sz w:val="18"/>
                <w:szCs w:val="18"/>
                <w:lang w:eastAsia="en-AU"/>
              </w:rPr>
              <w:lastRenderedPageBreak/>
              <w:t>A patient who has progressive disease when treated with this drug is no longer eligible for PBS-subsidised treatment with this drug.</w:t>
            </w:r>
          </w:p>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sz w:val="18"/>
                <w:szCs w:val="18"/>
                <w:lang w:eastAsia="en-AU"/>
              </w:rPr>
              <w:t>No increase in the maximum quantity or num</w:t>
            </w:r>
            <w:r w:rsidR="00937442" w:rsidRPr="001825C9">
              <w:rPr>
                <w:rFonts w:ascii="Arial Narrow" w:eastAsia="Times New Roman" w:hAnsi="Arial Narrow"/>
                <w:sz w:val="18"/>
                <w:szCs w:val="18"/>
                <w:lang w:eastAsia="en-AU"/>
              </w:rPr>
              <w:t>ber of units may be authorised.</w:t>
            </w:r>
          </w:p>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sz w:val="18"/>
                <w:szCs w:val="18"/>
                <w:lang w:eastAsia="en-AU"/>
              </w:rPr>
              <w:t>No increase in the maximum number of repeats may be authorised.</w:t>
            </w:r>
          </w:p>
          <w:p w:rsidR="00AE46DA" w:rsidRPr="001825C9" w:rsidRDefault="00AE46DA" w:rsidP="00B21F37">
            <w:pPr>
              <w:spacing w:before="0" w:after="0"/>
              <w:rPr>
                <w:rFonts w:ascii="Arial Narrow" w:eastAsia="Times New Roman" w:hAnsi="Arial Narrow"/>
                <w:sz w:val="18"/>
                <w:szCs w:val="18"/>
                <w:lang w:eastAsia="en-AU"/>
              </w:rPr>
            </w:pPr>
            <w:r w:rsidRPr="001825C9">
              <w:rPr>
                <w:rFonts w:ascii="Arial Narrow" w:eastAsia="Times New Roman" w:hAnsi="Arial Narrow"/>
                <w:sz w:val="18"/>
                <w:szCs w:val="18"/>
                <w:lang w:eastAsia="en-AU"/>
              </w:rPr>
              <w:t>Special Pricing Arrangements apply.</w:t>
            </w:r>
          </w:p>
        </w:tc>
      </w:tr>
    </w:tbl>
    <w:p w:rsidR="00AE46DA" w:rsidRPr="001825C9" w:rsidRDefault="00AE46DA" w:rsidP="00937442">
      <w:pPr>
        <w:pStyle w:val="ListParagraph"/>
        <w:spacing w:before="160"/>
      </w:pPr>
      <w:bookmarkStart w:id="8" w:name="_Toc413139273"/>
      <w:r w:rsidRPr="001825C9">
        <w:rPr>
          <w:iCs/>
        </w:rPr>
        <w:lastRenderedPageBreak/>
        <w:t xml:space="preserve">The </w:t>
      </w:r>
      <w:r w:rsidR="00C35454">
        <w:rPr>
          <w:iCs/>
        </w:rPr>
        <w:t xml:space="preserve">broader </w:t>
      </w:r>
      <w:r w:rsidRPr="001825C9">
        <w:rPr>
          <w:iCs/>
        </w:rPr>
        <w:t xml:space="preserve">requested restriction was inconsistent with the proposed TGA indication, the clinical evidence, the economic model and the </w:t>
      </w:r>
      <w:r w:rsidR="00D46ED9" w:rsidRPr="001825C9">
        <w:rPr>
          <w:iCs/>
        </w:rPr>
        <w:t>estimated</w:t>
      </w:r>
      <w:r w:rsidRPr="001825C9">
        <w:rPr>
          <w:iCs/>
        </w:rPr>
        <w:t xml:space="preserve"> financial implications, all of which related to the use of encorafenib in combination with cetuximab specifically and not an EGFR inhibitor in general (which would include</w:t>
      </w:r>
      <w:r w:rsidRPr="001825C9">
        <w:t xml:space="preserve"> PBS-listed panitumumab).</w:t>
      </w:r>
    </w:p>
    <w:p w:rsidR="00AE46DA" w:rsidRPr="001825C9" w:rsidRDefault="00AE46DA" w:rsidP="00AE46DA">
      <w:pPr>
        <w:pStyle w:val="ListParagraph"/>
        <w:rPr>
          <w:color w:val="auto"/>
        </w:rPr>
      </w:pPr>
      <w:r w:rsidRPr="001825C9">
        <w:rPr>
          <w:color w:val="auto"/>
        </w:rPr>
        <w:t xml:space="preserve">The </w:t>
      </w:r>
      <w:r w:rsidR="00DA5951">
        <w:rPr>
          <w:color w:val="auto"/>
        </w:rPr>
        <w:t>Pre-Sub-Committee Response (</w:t>
      </w:r>
      <w:r w:rsidRPr="001825C9">
        <w:rPr>
          <w:color w:val="auto"/>
        </w:rPr>
        <w:t>PSCR</w:t>
      </w:r>
      <w:r w:rsidR="00DA5951">
        <w:rPr>
          <w:color w:val="auto"/>
        </w:rPr>
        <w:t>)</w:t>
      </w:r>
      <w:r w:rsidRPr="001825C9">
        <w:rPr>
          <w:color w:val="auto"/>
        </w:rPr>
        <w:t xml:space="preserve"> stated that the </w:t>
      </w:r>
      <w:r w:rsidR="009A4AF8">
        <w:rPr>
          <w:color w:val="auto"/>
        </w:rPr>
        <w:t xml:space="preserve">broader </w:t>
      </w:r>
      <w:r w:rsidRPr="001825C9">
        <w:rPr>
          <w:color w:val="auto"/>
        </w:rPr>
        <w:t xml:space="preserve">requested listing was based on the assumption that results for encorafenib + cetuximab are a class effect, which would be seen for treatment with encorafenib + panitumumab. The ESCs were of a view that a broader listing, allowing combination use of encorafenib with any EGFR inhibitor may be clinically preferable </w:t>
      </w:r>
      <w:r w:rsidRPr="001825C9">
        <w:rPr>
          <w:iCs/>
          <w:color w:val="auto"/>
        </w:rPr>
        <w:t>so as not to disadvantage patients who develop sensitivity or intolerance to cetuximab</w:t>
      </w:r>
      <w:r w:rsidRPr="001825C9">
        <w:rPr>
          <w:color w:val="auto"/>
        </w:rPr>
        <w:t xml:space="preserve">. The ESCs considered that panitumumab and cetuximab are used interchangeably in clinical practice and noted that both are PBS-listed for use in patients with mCRC. The ESCs further noted that the use of encorafenib + panitumumab in this population would be consistent with </w:t>
      </w:r>
      <w:r w:rsidR="00EF4EC7" w:rsidRPr="001825C9">
        <w:rPr>
          <w:color w:val="auto"/>
        </w:rPr>
        <w:t xml:space="preserve">the </w:t>
      </w:r>
      <w:r w:rsidRPr="001825C9">
        <w:rPr>
          <w:i/>
        </w:rPr>
        <w:t>NCCN Guidelines Version 2.2021</w:t>
      </w:r>
      <w:r w:rsidRPr="001825C9">
        <w:rPr>
          <w:i/>
          <w:color w:val="auto"/>
        </w:rPr>
        <w:t xml:space="preserve"> Colon Cancer</w:t>
      </w:r>
      <w:r w:rsidRPr="001825C9">
        <w:rPr>
          <w:color w:val="auto"/>
        </w:rPr>
        <w:t xml:space="preserve">. </w:t>
      </w:r>
      <w:r w:rsidRPr="001825C9">
        <w:rPr>
          <w:iCs/>
        </w:rPr>
        <w:t xml:space="preserve">However, the ESCs also noted that the requested TGA indication and all clinical trial evidence (BEACON) provided in the submission was limited to use in combination with cetuximab, and a listing on the PBS </w:t>
      </w:r>
      <w:r w:rsidR="00D46ED9" w:rsidRPr="001825C9">
        <w:rPr>
          <w:iCs/>
        </w:rPr>
        <w:t xml:space="preserve">in combination with any EGFR inhibitor </w:t>
      </w:r>
      <w:r w:rsidRPr="001825C9">
        <w:rPr>
          <w:iCs/>
        </w:rPr>
        <w:t xml:space="preserve">would represent an expansion beyond the proposed TGA indication. </w:t>
      </w:r>
      <w:r w:rsidR="00192368">
        <w:rPr>
          <w:color w:val="auto"/>
        </w:rPr>
        <w:t xml:space="preserve">The pre-PBAC response </w:t>
      </w:r>
      <w:r w:rsidRPr="001825C9">
        <w:rPr>
          <w:color w:val="auto"/>
        </w:rPr>
        <w:t xml:space="preserve">proposed </w:t>
      </w:r>
      <w:r w:rsidR="00E117D0" w:rsidRPr="001825C9">
        <w:rPr>
          <w:color w:val="auto"/>
        </w:rPr>
        <w:t xml:space="preserve">PBS </w:t>
      </w:r>
      <w:r w:rsidRPr="001825C9">
        <w:rPr>
          <w:color w:val="auto"/>
        </w:rPr>
        <w:t>listing in combination with cetuximab specifically, in line with the final proposed TGA indication.</w:t>
      </w:r>
    </w:p>
    <w:p w:rsidR="00AE46DA" w:rsidRPr="001825C9" w:rsidRDefault="00AE46DA" w:rsidP="00AE46DA">
      <w:pPr>
        <w:pStyle w:val="ListParagraph"/>
        <w:rPr>
          <w:color w:val="auto"/>
        </w:rPr>
      </w:pPr>
      <w:r w:rsidRPr="001825C9">
        <w:rPr>
          <w:color w:val="auto"/>
        </w:rPr>
        <w:lastRenderedPageBreak/>
        <w:t xml:space="preserve">The ESCs recalled that when PBAC recommended each BRAF inhibitor for the treatment of melanoma, reference to the </w:t>
      </w:r>
      <w:r w:rsidR="0090484C" w:rsidRPr="001825C9">
        <w:rPr>
          <w:color w:val="auto"/>
        </w:rPr>
        <w:t>V600E</w:t>
      </w:r>
      <w:r w:rsidRPr="001825C9">
        <w:rPr>
          <w:color w:val="auto"/>
        </w:rPr>
        <w:t xml:space="preserve"> variant alone was omitted from the PBS restriction. The PBAC was asked to consider whether the mCRC listing should be made consistent with the melanoma listing and refer more broadly to V600 variant status (without reference to </w:t>
      </w:r>
      <w:r w:rsidR="0090484C" w:rsidRPr="001825C9">
        <w:rPr>
          <w:color w:val="auto"/>
        </w:rPr>
        <w:t>V600E</w:t>
      </w:r>
      <w:r w:rsidRPr="001825C9">
        <w:rPr>
          <w:color w:val="auto"/>
        </w:rPr>
        <w:t xml:space="preserve"> specifically).</w:t>
      </w:r>
    </w:p>
    <w:p w:rsidR="00AE46DA" w:rsidRPr="001825C9" w:rsidRDefault="00AE46DA" w:rsidP="00AE46DA">
      <w:pPr>
        <w:pStyle w:val="ListParagraph"/>
      </w:pPr>
      <w:r w:rsidRPr="001825C9">
        <w:rPr>
          <w:iCs/>
        </w:rPr>
        <w:t>The analysis of drug exposure in the economic evaluation was based on time to discontinuation (TTD) in BEACON, which allowed for patients to continue to receive therapy beyond progression if deemed to be clinically appropriate. This was not consistent with the proposed continuation criteria (see</w:t>
      </w:r>
      <w:r w:rsidRPr="001825C9">
        <w:rPr>
          <w:i/>
          <w:iCs/>
        </w:rPr>
        <w:t xml:space="preserve"> </w:t>
      </w:r>
      <w:r w:rsidR="0099629B" w:rsidRPr="0099629B">
        <w:rPr>
          <w:i/>
        </w:rPr>
        <w:t>Economic analysis</w:t>
      </w:r>
      <w:r w:rsidRPr="001825C9">
        <w:rPr>
          <w:iCs/>
        </w:rPr>
        <w:t>).</w:t>
      </w:r>
    </w:p>
    <w:p w:rsidR="00AE46DA" w:rsidRPr="001825C9" w:rsidRDefault="00AE46DA" w:rsidP="00AE46DA">
      <w:pPr>
        <w:ind w:firstLine="720"/>
      </w:pPr>
      <w:r w:rsidRPr="001825C9">
        <w:rPr>
          <w:i/>
          <w:iCs/>
        </w:rPr>
        <w:t>For more detail on the PBAC’s view, see section 7 PBAC outcome.</w:t>
      </w:r>
    </w:p>
    <w:p w:rsidR="00AE46DA" w:rsidRPr="001825C9" w:rsidRDefault="00AE46DA" w:rsidP="00AE46DA">
      <w:pPr>
        <w:pStyle w:val="PBACESHeading1"/>
      </w:pPr>
      <w:bookmarkStart w:id="9" w:name="_Toc476306884"/>
      <w:bookmarkStart w:id="10" w:name="_Toc61968408"/>
      <w:bookmarkStart w:id="11" w:name="_Toc413139275"/>
      <w:bookmarkEnd w:id="8"/>
      <w:r w:rsidRPr="001825C9">
        <w:t>Population and disease</w:t>
      </w:r>
      <w:bookmarkEnd w:id="9"/>
      <w:bookmarkEnd w:id="10"/>
    </w:p>
    <w:p w:rsidR="00AE46DA" w:rsidRPr="001825C9" w:rsidRDefault="00AE46DA" w:rsidP="00AE46DA">
      <w:pPr>
        <w:pStyle w:val="ListParagraph"/>
        <w:rPr>
          <w:color w:val="auto"/>
        </w:rPr>
      </w:pPr>
      <w:r w:rsidRPr="001825C9">
        <w:rPr>
          <w:color w:val="auto"/>
        </w:rPr>
        <w:t>The submission described CRC as the third most common cancer in men, and the second in women. It is also the fourth leading cause of cancer-related mortality, and 22-25% of patients are diagnosed with stage IV disease (Adam, et al., 2015; Haggar &amp; Boushey, 2009). In 2016, CRC led to the death of 5,375 people, representing the second highest number of cancer deaths in Australia (AIHW, 2019).</w:t>
      </w:r>
    </w:p>
    <w:p w:rsidR="00AE46DA" w:rsidRPr="001825C9" w:rsidRDefault="00AE46DA" w:rsidP="00AE46DA">
      <w:pPr>
        <w:pStyle w:val="ListParagraph"/>
        <w:rPr>
          <w:color w:val="auto"/>
        </w:rPr>
      </w:pPr>
      <w:r w:rsidRPr="001825C9">
        <w:rPr>
          <w:color w:val="auto"/>
        </w:rPr>
        <w:t xml:space="preserve">Around 50% of new patients with CRC (stage I, II, III) will progress to a metastatic stage (stage IV) during the course of their disease. The five-year relative survival rate for patients with mCRC is 13% compared to 71% for stage III, </w:t>
      </w:r>
      <w:r w:rsidRPr="001825C9">
        <w:rPr>
          <w:color w:val="auto"/>
        </w:rPr>
        <w:lastRenderedPageBreak/>
        <w:t>89% for stage II and 99% for stage I CRC. Genetic alteration of the mitogen-activated protein kinase (MAPK) signalling cascade (</w:t>
      </w:r>
      <w:r w:rsidRPr="001825C9">
        <w:rPr>
          <w:iCs/>
          <w:color w:val="auto"/>
        </w:rPr>
        <w:t>RAS</w:t>
      </w:r>
      <w:r w:rsidRPr="001825C9">
        <w:rPr>
          <w:color w:val="auto"/>
        </w:rPr>
        <w:t xml:space="preserve">/RAF/MEK/ERK kinase) is the most common oncogenic event in CRC tumorigenesis. Approximately 55% of mCRC patients are </w:t>
      </w:r>
      <w:r w:rsidRPr="001825C9">
        <w:rPr>
          <w:i/>
          <w:iCs/>
          <w:color w:val="auto"/>
        </w:rPr>
        <w:t xml:space="preserve">RAS </w:t>
      </w:r>
      <w:r w:rsidRPr="001825C9">
        <w:rPr>
          <w:iCs/>
          <w:color w:val="auto"/>
        </w:rPr>
        <w:t>wild type (</w:t>
      </w:r>
      <w:r w:rsidRPr="001825C9">
        <w:rPr>
          <w:color w:val="auto"/>
        </w:rPr>
        <w:t xml:space="preserve">WT) and 45% have a </w:t>
      </w:r>
      <w:r w:rsidRPr="001825C9">
        <w:rPr>
          <w:i/>
          <w:iCs/>
          <w:color w:val="auto"/>
        </w:rPr>
        <w:t>RAS</w:t>
      </w:r>
      <w:r w:rsidRPr="001825C9">
        <w:rPr>
          <w:color w:val="auto"/>
        </w:rPr>
        <w:t xml:space="preserve"> variant.</w:t>
      </w:r>
    </w:p>
    <w:p w:rsidR="00AE46DA" w:rsidRPr="001825C9" w:rsidRDefault="00AE46DA" w:rsidP="00AE46DA">
      <w:pPr>
        <w:pStyle w:val="ListParagraph"/>
        <w:rPr>
          <w:color w:val="auto"/>
        </w:rPr>
      </w:pPr>
      <w:r w:rsidRPr="001825C9">
        <w:rPr>
          <w:color w:val="auto"/>
        </w:rPr>
        <w:t xml:space="preserve">The </w:t>
      </w:r>
      <w:r w:rsidRPr="001825C9">
        <w:rPr>
          <w:i/>
          <w:color w:val="auto"/>
        </w:rPr>
        <w:t>BRAF</w:t>
      </w:r>
      <w:r w:rsidRPr="001825C9">
        <w:rPr>
          <w:color w:val="auto"/>
        </w:rPr>
        <w:t xml:space="preserve"> variant is a genetic mutation, which accounts for around 10% of</w:t>
      </w:r>
      <w:r w:rsidRPr="001825C9">
        <w:rPr>
          <w:color w:val="auto"/>
        </w:rPr>
        <w:tab/>
        <w:t xml:space="preserve"> patients</w:t>
      </w:r>
      <w:r w:rsidR="00634C3C" w:rsidRPr="001825C9">
        <w:rPr>
          <w:color w:val="auto"/>
        </w:rPr>
        <w:t xml:space="preserve"> w</w:t>
      </w:r>
      <w:r w:rsidRPr="001825C9">
        <w:rPr>
          <w:color w:val="auto"/>
        </w:rPr>
        <w:t xml:space="preserve">ith mCRC in clinical trials (van Cutsem, et al., 2016; Maughan, et al., 2011; Tran, et al., 2011; Tveit, et al., 2012). </w:t>
      </w:r>
      <w:r w:rsidRPr="001825C9">
        <w:rPr>
          <w:i/>
          <w:color w:val="auto"/>
        </w:rPr>
        <w:t>BRAF</w:t>
      </w:r>
      <w:r w:rsidRPr="001825C9">
        <w:rPr>
          <w:color w:val="auto"/>
        </w:rPr>
        <w:t xml:space="preserve"> and </w:t>
      </w:r>
      <w:r w:rsidRPr="001825C9">
        <w:rPr>
          <w:i/>
          <w:iCs/>
          <w:color w:val="auto"/>
        </w:rPr>
        <w:t>RAS</w:t>
      </w:r>
      <w:r w:rsidRPr="001825C9">
        <w:rPr>
          <w:color w:val="auto"/>
        </w:rPr>
        <w:t xml:space="preserve"> variants, as opposed to </w:t>
      </w:r>
      <w:r w:rsidRPr="001825C9">
        <w:rPr>
          <w:i/>
          <w:iCs/>
          <w:color w:val="auto"/>
        </w:rPr>
        <w:t xml:space="preserve">RAS </w:t>
      </w:r>
      <w:r w:rsidRPr="001825C9">
        <w:rPr>
          <w:iCs/>
          <w:color w:val="auto"/>
        </w:rPr>
        <w:t>WT</w:t>
      </w:r>
      <w:r w:rsidRPr="001825C9">
        <w:rPr>
          <w:color w:val="auto"/>
        </w:rPr>
        <w:t xml:space="preserve"> variants, are almost mutually exclusive in mCRC (Larki, et al., 2017), with </w:t>
      </w:r>
      <w:r w:rsidRPr="001825C9">
        <w:rPr>
          <w:i/>
          <w:color w:val="auto"/>
        </w:rPr>
        <w:t>BRAF</w:t>
      </w:r>
      <w:r w:rsidRPr="001825C9">
        <w:rPr>
          <w:color w:val="auto"/>
        </w:rPr>
        <w:t xml:space="preserve"> variants being a sub-category of </w:t>
      </w:r>
      <w:r w:rsidRPr="001825C9">
        <w:rPr>
          <w:i/>
          <w:iCs/>
          <w:color w:val="auto"/>
        </w:rPr>
        <w:t xml:space="preserve">RAS </w:t>
      </w:r>
      <w:r w:rsidRPr="001825C9">
        <w:rPr>
          <w:iCs/>
          <w:color w:val="auto"/>
        </w:rPr>
        <w:t>WT</w:t>
      </w:r>
      <w:r w:rsidRPr="001825C9">
        <w:rPr>
          <w:color w:val="auto"/>
        </w:rPr>
        <w:t xml:space="preserve">. Within </w:t>
      </w:r>
      <w:r w:rsidRPr="001825C9">
        <w:rPr>
          <w:i/>
          <w:color w:val="auto"/>
        </w:rPr>
        <w:t>BRAF</w:t>
      </w:r>
      <w:r w:rsidRPr="001825C9">
        <w:rPr>
          <w:color w:val="auto"/>
        </w:rPr>
        <w:t xml:space="preserve"> variants in mCRC, </w:t>
      </w:r>
      <w:r w:rsidRPr="001825C9">
        <w:rPr>
          <w:i/>
          <w:iCs/>
          <w:color w:val="auto"/>
        </w:rPr>
        <w:t xml:space="preserve">BRAF </w:t>
      </w:r>
      <w:r w:rsidR="0090484C" w:rsidRPr="001825C9">
        <w:rPr>
          <w:iCs/>
          <w:color w:val="auto"/>
        </w:rPr>
        <w:t>V600E</w:t>
      </w:r>
      <w:r w:rsidRPr="001825C9">
        <w:rPr>
          <w:color w:val="auto"/>
        </w:rPr>
        <w:t xml:space="preserve"> accounts for 90-95% of all </w:t>
      </w:r>
      <w:r w:rsidRPr="001825C9">
        <w:rPr>
          <w:i/>
          <w:color w:val="auto"/>
        </w:rPr>
        <w:t>BRAF</w:t>
      </w:r>
      <w:r w:rsidRPr="001825C9">
        <w:rPr>
          <w:color w:val="auto"/>
        </w:rPr>
        <w:t xml:space="preserve"> variants (Kopetz, et al., 2015; Wan, et al., 2004). Other </w:t>
      </w:r>
      <w:r w:rsidRPr="001825C9">
        <w:rPr>
          <w:i/>
          <w:color w:val="auto"/>
        </w:rPr>
        <w:t>BRAF</w:t>
      </w:r>
      <w:r w:rsidRPr="001825C9">
        <w:rPr>
          <w:color w:val="auto"/>
        </w:rPr>
        <w:t xml:space="preserve"> variants include V600K, V600R and V600D. Compared to other mCRC subtypes, the presence of a </w:t>
      </w:r>
      <w:r w:rsidRPr="001825C9">
        <w:rPr>
          <w:i/>
          <w:iCs/>
          <w:color w:val="auto"/>
        </w:rPr>
        <w:t xml:space="preserve">BRAF </w:t>
      </w:r>
      <w:r w:rsidR="0090484C" w:rsidRPr="001825C9">
        <w:rPr>
          <w:iCs/>
          <w:color w:val="auto"/>
        </w:rPr>
        <w:t>V600E</w:t>
      </w:r>
      <w:r w:rsidRPr="001825C9">
        <w:rPr>
          <w:color w:val="auto"/>
        </w:rPr>
        <w:t xml:space="preserve"> variant indicates poor prognosis. The presence of a </w:t>
      </w:r>
      <w:r w:rsidRPr="001825C9">
        <w:rPr>
          <w:i/>
          <w:color w:val="auto"/>
        </w:rPr>
        <w:t>BRAF</w:t>
      </w:r>
      <w:r w:rsidRPr="001825C9">
        <w:rPr>
          <w:color w:val="auto"/>
        </w:rPr>
        <w:t xml:space="preserve"> variant in mCRC patients predicts more than double the risk of mortality (hazard ratio; HR = 2.25, 95% CI, 1.82-2.83; Ardekani G. S., Jafarnejad, Tan, Saeedi, &amp; Li, 2012).</w:t>
      </w:r>
    </w:p>
    <w:p w:rsidR="00AE46DA" w:rsidRPr="001825C9" w:rsidRDefault="00AE46DA" w:rsidP="00AE46DA">
      <w:pPr>
        <w:pStyle w:val="ListParagraph"/>
        <w:rPr>
          <w:color w:val="auto"/>
        </w:rPr>
      </w:pPr>
      <w:r w:rsidRPr="001825C9">
        <w:rPr>
          <w:color w:val="auto"/>
        </w:rPr>
        <w:t xml:space="preserve">The target population for the </w:t>
      </w:r>
      <w:r w:rsidRPr="001825C9">
        <w:rPr>
          <w:i/>
          <w:iCs/>
          <w:color w:val="auto"/>
        </w:rPr>
        <w:t xml:space="preserve">BRAF </w:t>
      </w:r>
      <w:r w:rsidR="0090484C" w:rsidRPr="001825C9">
        <w:rPr>
          <w:iCs/>
          <w:color w:val="auto"/>
        </w:rPr>
        <w:t>V600E</w:t>
      </w:r>
      <w:r w:rsidRPr="001825C9">
        <w:rPr>
          <w:color w:val="auto"/>
        </w:rPr>
        <w:t xml:space="preserve"> genetic test was all patients newly diagnosed with mCRC. The target population for the proposed medicine, encorafenib + an EGFR inhibitor, such as cetuximab, included patients who have mCRC with a </w:t>
      </w:r>
      <w:r w:rsidRPr="001825C9">
        <w:rPr>
          <w:i/>
          <w:iCs/>
          <w:color w:val="auto"/>
        </w:rPr>
        <w:t xml:space="preserve">BRAF </w:t>
      </w:r>
      <w:r w:rsidR="0090484C" w:rsidRPr="001825C9">
        <w:rPr>
          <w:iCs/>
          <w:color w:val="auto"/>
        </w:rPr>
        <w:t>V600E</w:t>
      </w:r>
      <w:r w:rsidRPr="001825C9">
        <w:rPr>
          <w:color w:val="auto"/>
        </w:rPr>
        <w:t xml:space="preserve"> variant and that have received prior systemic therapy. </w:t>
      </w:r>
      <w:r w:rsidRPr="001825C9">
        <w:t xml:space="preserve">The population targeted in the submission to receive </w:t>
      </w:r>
      <w:r w:rsidRPr="001825C9">
        <w:rPr>
          <w:i/>
          <w:iCs/>
        </w:rPr>
        <w:t>BRAF</w:t>
      </w:r>
      <w:r w:rsidRPr="001825C9">
        <w:rPr>
          <w:iCs/>
        </w:rPr>
        <w:t xml:space="preserve"> </w:t>
      </w:r>
      <w:r w:rsidR="0090484C" w:rsidRPr="001825C9">
        <w:rPr>
          <w:iCs/>
        </w:rPr>
        <w:t>V600E</w:t>
      </w:r>
      <w:r w:rsidRPr="001825C9">
        <w:t xml:space="preserve"> testing and encorafenib + an EGFR inhibitor, such as cetuximab, was well described and was ap</w:t>
      </w:r>
      <w:r w:rsidRPr="001825C9">
        <w:rPr>
          <w:color w:val="auto"/>
        </w:rPr>
        <w:t>propriate.</w:t>
      </w:r>
    </w:p>
    <w:p w:rsidR="00AE46DA" w:rsidRPr="001825C9" w:rsidRDefault="00AE46DA" w:rsidP="00AE46DA">
      <w:pPr>
        <w:pStyle w:val="ListParagraph"/>
        <w:rPr>
          <w:color w:val="auto"/>
        </w:rPr>
      </w:pPr>
      <w:r w:rsidRPr="001825C9">
        <w:rPr>
          <w:color w:val="auto"/>
        </w:rPr>
        <w:t xml:space="preserve">The submission’s proposed BRAF testing and the place in therapy for encorafenib + an EGFR inhibitor in mCRC is presented in Figure 1. The algorithm below depicts the use of bevacizumab (an anti-VEGFR agent) in the first-line </w:t>
      </w:r>
      <w:r w:rsidRPr="001825C9">
        <w:rPr>
          <w:color w:val="auto"/>
        </w:rPr>
        <w:lastRenderedPageBreak/>
        <w:t xml:space="preserve">setting only, whilst the proposed clinical management algorithm presented in the submission stated that bevacizumab is sometimes used in the second-line setting (Figures 1-5 and 1-6 of the submission). </w:t>
      </w:r>
      <w:r w:rsidRPr="001825C9">
        <w:t>The PBAC previously considered that it is standard practice to allow crossover use of an anti-EGFR (cetuximab or panitumumab) and an anti-VEGFR agent (bevacizumab) at disease progression (paragraph 7.5, cetuximab Pub</w:t>
      </w:r>
      <w:r w:rsidR="00D73F62">
        <w:t>l</w:t>
      </w:r>
      <w:r w:rsidRPr="001825C9">
        <w:t xml:space="preserve">ic Summary Document, November 2014 PBAC Meeting), which is not reflected in the reimbursement pathway in the figure below. </w:t>
      </w:r>
      <w:r w:rsidRPr="001825C9">
        <w:rPr>
          <w:color w:val="auto"/>
        </w:rPr>
        <w:t xml:space="preserve">Furthermore, the algorithm proposed the use of anti-EGFR agents (cetuximab or panitumumab) in the second- or third-line setting to be in combination with chemotherapy. However, the </w:t>
      </w:r>
      <w:r w:rsidRPr="001825C9">
        <w:t>current PBS indica</w:t>
      </w:r>
      <w:r w:rsidR="00634C3C" w:rsidRPr="001825C9">
        <w:t>tion of cetuximab in the second-</w:t>
      </w:r>
      <w:r w:rsidRPr="001825C9">
        <w:t xml:space="preserve">line setting may be either as monotherapy or in combination with chemotherapy. </w:t>
      </w:r>
      <w:r w:rsidRPr="001825C9">
        <w:rPr>
          <w:color w:val="auto"/>
        </w:rPr>
        <w:t xml:space="preserve">The ESCs agreed with the proposed algorithm that encorafenib + cetuximab would be used in patients who had failed prior systemic therapy, but disagreed that regimens including anti-EGFR agents would be used in </w:t>
      </w:r>
      <w:r w:rsidRPr="001825C9">
        <w:rPr>
          <w:i/>
          <w:color w:val="auto"/>
        </w:rPr>
        <w:t xml:space="preserve">BRAF </w:t>
      </w:r>
      <w:r w:rsidR="0090484C" w:rsidRPr="001825C9">
        <w:rPr>
          <w:color w:val="auto"/>
        </w:rPr>
        <w:t>V600E</w:t>
      </w:r>
      <w:r w:rsidRPr="001825C9">
        <w:rPr>
          <w:i/>
          <w:color w:val="auto"/>
        </w:rPr>
        <w:t xml:space="preserve"> </w:t>
      </w:r>
      <w:r w:rsidR="00321E61" w:rsidRPr="001825C9">
        <w:rPr>
          <w:color w:val="auto"/>
        </w:rPr>
        <w:t>variant</w:t>
      </w:r>
      <w:r w:rsidRPr="001825C9">
        <w:rPr>
          <w:color w:val="auto"/>
        </w:rPr>
        <w:t xml:space="preserve"> patients in the second-line setting (see </w:t>
      </w:r>
      <w:r w:rsidRPr="001825C9">
        <w:rPr>
          <w:i/>
          <w:color w:val="auto"/>
        </w:rPr>
        <w:t>Comparator</w:t>
      </w:r>
      <w:r w:rsidRPr="001825C9">
        <w:rPr>
          <w:color w:val="auto"/>
        </w:rPr>
        <w:t xml:space="preserve"> section below).</w:t>
      </w:r>
    </w:p>
    <w:p w:rsidR="00AE46DA" w:rsidRPr="001825C9" w:rsidRDefault="00AE46DA" w:rsidP="00AE46DA">
      <w:pPr>
        <w:pStyle w:val="Caption"/>
      </w:pPr>
      <w:r w:rsidRPr="001825C9">
        <w:rPr>
          <w:noProof/>
          <w:lang w:eastAsia="en-AU"/>
        </w:rPr>
        <w:lastRenderedPageBreak/>
        <w:drawing>
          <wp:anchor distT="0" distB="0" distL="0" distR="0" simplePos="0" relativeHeight="251659264" behindDoc="0" locked="0" layoutInCell="1" allowOverlap="1" wp14:anchorId="4DF6A503" wp14:editId="0A25554F">
            <wp:simplePos x="0" y="0"/>
            <wp:positionH relativeFrom="page">
              <wp:posOffset>886264</wp:posOffset>
            </wp:positionH>
            <wp:positionV relativeFrom="paragraph">
              <wp:posOffset>349543</wp:posOffset>
            </wp:positionV>
            <wp:extent cx="5806993" cy="5242560"/>
            <wp:effectExtent l="0" t="0" r="3810" b="0"/>
            <wp:wrapTopAndBottom/>
            <wp:docPr id="7" name="image4.jpeg" title="Figure 1: Proposed gene testing and drug reimbursement pathway for patients with mCRC following MSAC approval of BRAF testing and PBAC approval of treatment with encorafenib + EGFR a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6993" cy="5242560"/>
                    </a:xfrm>
                    <a:prstGeom prst="rect">
                      <a:avLst/>
                    </a:prstGeom>
                  </pic:spPr>
                </pic:pic>
              </a:graphicData>
            </a:graphic>
          </wp:anchor>
        </w:drawing>
      </w:r>
      <w:r w:rsidRPr="001825C9">
        <w:t>Figure 1: Proposed gene testing and drug reimbursement pathway for patients with mCRC following MSAC approval of BRAF testing and PBAC approval of treatment with encorafenib + EGFR agent</w:t>
      </w:r>
      <w:bookmarkStart w:id="12" w:name="_GoBack"/>
      <w:bookmarkEnd w:id="12"/>
    </w:p>
    <w:p w:rsidR="00AE46DA" w:rsidRPr="001825C9" w:rsidRDefault="00AE46DA" w:rsidP="00AE46DA">
      <w:pPr>
        <w:pStyle w:val="TableFooter"/>
        <w:widowControl/>
      </w:pPr>
      <w:r w:rsidRPr="001825C9">
        <w:t>Abbreviations: BRAF = B-Rapidly Accelerated Fibrosarcoma, BSC=best supportive care; EGFR = Epidermal Growth Factor Receptor, FOLFIRI = 5-fluorouracil/folinic acid/irinotecan, FOLFOX = 5-fluorouracil/folinic acid/oxaliplatin, FOLFOXIRI = Folinic acid, Fluorouracil, Oxaliplatin and Irinotecan; Lonsurf = trifluridine/</w:t>
      </w:r>
      <w:r w:rsidR="001825C9" w:rsidRPr="001825C9">
        <w:t>tipiracil</w:t>
      </w:r>
      <w:r w:rsidRPr="001825C9">
        <w:t xml:space="preserve">; MBS = Medicare Benefits Schedule, mCRC = metastatic colorectal cancer, PBS = Pharmaceutical Benefits Scheme; </w:t>
      </w:r>
      <w:r w:rsidRPr="001825C9">
        <w:rPr>
          <w:i/>
          <w:iCs/>
        </w:rPr>
        <w:t>RAS</w:t>
      </w:r>
      <w:r w:rsidRPr="001825C9">
        <w:t xml:space="preserve"> = Rat Sarcoma viral oncogene homolog; wt = wild type, VEGFR = Vascular Endo</w:t>
      </w:r>
      <w:r w:rsidR="00634C3C" w:rsidRPr="001825C9">
        <w:t>thelial Growth Factor Receptor.</w:t>
      </w:r>
    </w:p>
    <w:p w:rsidR="00AE46DA" w:rsidRPr="001825C9" w:rsidRDefault="00AE46DA" w:rsidP="00AE46DA">
      <w:pPr>
        <w:pStyle w:val="TableFooter"/>
        <w:widowControl/>
      </w:pPr>
      <w:r w:rsidRPr="001825C9">
        <w:t>Source: Figure 1-4, p42 of the submission.</w:t>
      </w:r>
    </w:p>
    <w:p w:rsidR="00AE46DA" w:rsidRPr="001825C9" w:rsidRDefault="00AE46DA" w:rsidP="00AE46DA">
      <w:pPr>
        <w:pStyle w:val="ListParagraph"/>
      </w:pPr>
      <w:r w:rsidRPr="001825C9">
        <w:t xml:space="preserve">Cetuximab is an EGFR inhibitor that binds to the extracellular component of the EGFR and prevents the epidermal growth factor from binding to its own receptor, therefore preventing cell division. The activation of EGFR results </w:t>
      </w:r>
      <w:r w:rsidRPr="001825C9">
        <w:lastRenderedPageBreak/>
        <w:t xml:space="preserve">in resistance of </w:t>
      </w:r>
      <w:r w:rsidRPr="001825C9">
        <w:rPr>
          <w:i/>
        </w:rPr>
        <w:t>BRAF</w:t>
      </w:r>
      <w:r w:rsidRPr="001825C9">
        <w:t xml:space="preserve"> mutant CRC to RAF inhibitors, resulting in continued proliferation even in the presence of BRAF inhibition.</w:t>
      </w:r>
    </w:p>
    <w:p w:rsidR="00AE46DA" w:rsidRPr="001825C9" w:rsidRDefault="003D100A" w:rsidP="00AE46DA">
      <w:pPr>
        <w:pStyle w:val="ListParagraph"/>
      </w:pPr>
      <w:r w:rsidRPr="001825C9">
        <w:t xml:space="preserve">The PBAC noted that </w:t>
      </w:r>
      <w:r w:rsidR="00AE46DA" w:rsidRPr="001825C9">
        <w:t xml:space="preserve">synergistic inhibition </w:t>
      </w:r>
      <w:r w:rsidR="00D37FA9">
        <w:t>of RAF and EGFR</w:t>
      </w:r>
      <w:r w:rsidR="00A45CF8">
        <w:t xml:space="preserve"> by </w:t>
      </w:r>
      <w:r w:rsidR="001B64DA">
        <w:t xml:space="preserve">the combination of </w:t>
      </w:r>
      <w:r w:rsidR="00A45CF8" w:rsidRPr="001825C9">
        <w:t xml:space="preserve">encorafenib </w:t>
      </w:r>
      <w:r w:rsidR="00A45CF8">
        <w:t>and</w:t>
      </w:r>
      <w:r w:rsidR="00A45CF8" w:rsidRPr="001825C9">
        <w:t xml:space="preserve"> cetuximab </w:t>
      </w:r>
      <w:r w:rsidR="001B64DA">
        <w:t xml:space="preserve">can </w:t>
      </w:r>
      <w:r w:rsidR="00AE46DA" w:rsidRPr="001825C9">
        <w:t xml:space="preserve">combat mechanisms of resistance </w:t>
      </w:r>
      <w:r w:rsidR="001B64DA">
        <w:t xml:space="preserve">of </w:t>
      </w:r>
      <w:r w:rsidR="00AE46DA" w:rsidRPr="001825C9">
        <w:t>RAF inhibitor</w:t>
      </w:r>
      <w:r w:rsidR="001B64DA">
        <w:t>s</w:t>
      </w:r>
      <w:r w:rsidR="00AE46DA" w:rsidRPr="001825C9">
        <w:t xml:space="preserve"> </w:t>
      </w:r>
      <w:r w:rsidR="001B64DA">
        <w:t>in BRAF mutant CRC</w:t>
      </w:r>
      <w:r w:rsidR="00AE46DA" w:rsidRPr="001825C9">
        <w:t xml:space="preserve"> (Corcoran, et al., 2012; Hong, et al., 2016).</w:t>
      </w:r>
    </w:p>
    <w:p w:rsidR="00AE46DA" w:rsidRPr="001825C9" w:rsidRDefault="00AE46DA" w:rsidP="00AE46DA">
      <w:pPr>
        <w:pStyle w:val="ListParagraph"/>
        <w:numPr>
          <w:ilvl w:val="0"/>
          <w:numId w:val="0"/>
        </w:numPr>
        <w:ind w:left="720"/>
        <w:rPr>
          <w:i/>
        </w:rPr>
      </w:pPr>
      <w:r w:rsidRPr="001825C9">
        <w:rPr>
          <w:i/>
        </w:rPr>
        <w:t>For more detail on the PBAC’s view, see section 7 PBAC outcome.</w:t>
      </w:r>
    </w:p>
    <w:p w:rsidR="00AE46DA" w:rsidRPr="001825C9" w:rsidRDefault="00AE46DA" w:rsidP="00AE46DA">
      <w:pPr>
        <w:pStyle w:val="PBACESHeading1"/>
      </w:pPr>
      <w:bookmarkStart w:id="13" w:name="_Toc61968409"/>
      <w:r w:rsidRPr="001825C9">
        <w:t>Comparator</w:t>
      </w:r>
      <w:bookmarkEnd w:id="11"/>
      <w:bookmarkEnd w:id="13"/>
    </w:p>
    <w:p w:rsidR="00AE46DA" w:rsidRPr="001825C9" w:rsidRDefault="00AE46DA" w:rsidP="00AE46DA">
      <w:pPr>
        <w:pStyle w:val="ListParagraph"/>
        <w:rPr>
          <w:color w:val="auto"/>
        </w:rPr>
      </w:pPr>
      <w:r w:rsidRPr="001825C9">
        <w:t xml:space="preserve">The submission nominated </w:t>
      </w:r>
      <w:r w:rsidRPr="001825C9">
        <w:rPr>
          <w:rStyle w:val="InstructionalTextChar"/>
          <w:color w:val="auto"/>
        </w:rPr>
        <w:t>FOLFIRI (</w:t>
      </w:r>
      <w:r w:rsidRPr="001825C9">
        <w:t>folinic acid/fluorouracil/irinotecan) + an EGFR inhibitor (cetuximab) as the main comparator for the proposed medicine. The main arguments provided by the submission in support of this nomination were:</w:t>
      </w:r>
    </w:p>
    <w:p w:rsidR="00AE46DA" w:rsidRPr="001825C9" w:rsidRDefault="00AE46DA" w:rsidP="00CF5EEB">
      <w:pPr>
        <w:pStyle w:val="ListParagraph"/>
        <w:numPr>
          <w:ilvl w:val="0"/>
          <w:numId w:val="13"/>
        </w:numPr>
        <w:ind w:left="1077" w:hanging="357"/>
      </w:pPr>
      <w:r w:rsidRPr="001825C9">
        <w:t xml:space="preserve">FOLFIRI + cetuximab represented the most commonly used second-line therapy in Australian clinical practice among patients with </w:t>
      </w:r>
      <w:r w:rsidRPr="001825C9">
        <w:rPr>
          <w:i/>
          <w:iCs/>
        </w:rPr>
        <w:t xml:space="preserve">BRAF </w:t>
      </w:r>
      <w:r w:rsidR="0090484C" w:rsidRPr="001825C9">
        <w:rPr>
          <w:iCs/>
        </w:rPr>
        <w:t>V600E</w:t>
      </w:r>
      <w:r w:rsidRPr="001825C9">
        <w:t xml:space="preserve"> mutant mCRC. </w:t>
      </w:r>
    </w:p>
    <w:p w:rsidR="00AE46DA" w:rsidRPr="001825C9" w:rsidRDefault="00AE46DA" w:rsidP="00CF5EEB">
      <w:pPr>
        <w:pStyle w:val="ListParagraph"/>
        <w:numPr>
          <w:ilvl w:val="0"/>
          <w:numId w:val="13"/>
        </w:numPr>
        <w:ind w:left="1077" w:hanging="357"/>
      </w:pPr>
      <w:r w:rsidRPr="001825C9">
        <w:t>The FDA, the EMA and the Australian investigators in the trial endorsed the choice of FOLFIRI + cetuximab as a comparator in BEACON CRC (pivotal trial for the clinical evidence, hereafter referred to as BEACON).</w:t>
      </w:r>
    </w:p>
    <w:p w:rsidR="00AE46DA" w:rsidRPr="001825C9" w:rsidRDefault="00AE46DA" w:rsidP="00CF5EEB">
      <w:pPr>
        <w:pStyle w:val="ListParagraph"/>
        <w:numPr>
          <w:ilvl w:val="0"/>
          <w:numId w:val="13"/>
        </w:numPr>
        <w:ind w:left="1077" w:hanging="357"/>
      </w:pPr>
      <w:r w:rsidRPr="001825C9">
        <w:t>The efficacy observed in the BEACON control arm regimens were representative of the results seen to date in trials of other second and third-line regimens.</w:t>
      </w:r>
    </w:p>
    <w:p w:rsidR="00AE46DA" w:rsidRPr="001825C9" w:rsidRDefault="00AE46DA" w:rsidP="00AE46DA">
      <w:pPr>
        <w:pStyle w:val="ListParagraph"/>
        <w:rPr>
          <w:color w:val="auto"/>
        </w:rPr>
      </w:pPr>
      <w:r w:rsidRPr="001825C9">
        <w:lastRenderedPageBreak/>
        <w:t xml:space="preserve">The submission nominated irinotecan + an EGFR inhibitor (cetuximab) as a secondary comparator on the basis of its common use in the second and third-line setting in Australia among patients with </w:t>
      </w:r>
      <w:r w:rsidRPr="001825C9">
        <w:rPr>
          <w:i/>
          <w:iCs/>
        </w:rPr>
        <w:t xml:space="preserve">BRAF </w:t>
      </w:r>
      <w:r w:rsidR="0090484C" w:rsidRPr="001825C9">
        <w:rPr>
          <w:iCs/>
        </w:rPr>
        <w:t>V600E</w:t>
      </w:r>
      <w:r w:rsidRPr="001825C9">
        <w:t xml:space="preserve"> variant mCRC.</w:t>
      </w:r>
    </w:p>
    <w:p w:rsidR="00AE46DA" w:rsidRPr="001825C9" w:rsidRDefault="00AE46DA" w:rsidP="00AE46DA">
      <w:pPr>
        <w:pStyle w:val="ListParagraph"/>
        <w:rPr>
          <w:color w:val="auto"/>
        </w:rPr>
      </w:pPr>
      <w:r w:rsidRPr="001825C9">
        <w:t>The submission claimed that the selection of these comparators was supported by Australian treatment guidelines and a survey of Australian treating oncologists (with five complete responses).</w:t>
      </w:r>
    </w:p>
    <w:p w:rsidR="00AE46DA" w:rsidRPr="001825C9" w:rsidRDefault="00AE46DA" w:rsidP="00AE46DA">
      <w:pPr>
        <w:pStyle w:val="ListParagraph"/>
        <w:rPr>
          <w:color w:val="auto"/>
        </w:rPr>
      </w:pPr>
      <w:r w:rsidRPr="001825C9">
        <w:t xml:space="preserve">The ESCs did not agree with the submission’s assertion that, “Given that there is no treatment specifically indicated for patients with BRAF V600E mutant mCRC, patients have been treated so far with standard of care regimens for any type of mutation status”. </w:t>
      </w:r>
    </w:p>
    <w:p w:rsidR="00AE46DA" w:rsidRPr="001825C9" w:rsidRDefault="00AE46DA" w:rsidP="00AE46DA">
      <w:pPr>
        <w:pStyle w:val="ListParagraph"/>
        <w:rPr>
          <w:color w:val="auto"/>
        </w:rPr>
      </w:pPr>
      <w:r w:rsidRPr="001825C9">
        <w:t xml:space="preserve">The ESCs noted that currently, and consistent with the position in the submission, the test for </w:t>
      </w:r>
      <w:r w:rsidRPr="001825C9">
        <w:rPr>
          <w:i/>
        </w:rPr>
        <w:t>BRAF</w:t>
      </w:r>
      <w:r w:rsidRPr="001825C9">
        <w:t xml:space="preserve"> status is routinely performed and reported alongside </w:t>
      </w:r>
      <w:r w:rsidRPr="001825C9">
        <w:rPr>
          <w:i/>
          <w:iCs/>
        </w:rPr>
        <w:t>RAS</w:t>
      </w:r>
      <w:r w:rsidRPr="001825C9">
        <w:t xml:space="preserve"> status as an important prognostic tool in patients with mCRC.</w:t>
      </w:r>
      <w:r w:rsidRPr="001825C9">
        <w:rPr>
          <w:color w:val="auto"/>
        </w:rPr>
        <w:t xml:space="preserve"> Australian clinical practice guidelines for CRC stated that, “The preponderance of the available evidence is that response to EGFR-targeted agents is less likely in patients whose tumours harbour a </w:t>
      </w:r>
      <w:r w:rsidRPr="001825C9">
        <w:rPr>
          <w:i/>
          <w:color w:val="auto"/>
        </w:rPr>
        <w:t>BRAF</w:t>
      </w:r>
      <w:r w:rsidRPr="001825C9">
        <w:rPr>
          <w:color w:val="auto"/>
        </w:rPr>
        <w:t xml:space="preserve"> mutation.”</w:t>
      </w:r>
      <w:r w:rsidRPr="001825C9">
        <w:rPr>
          <w:rStyle w:val="FootnoteReference"/>
          <w:color w:val="auto"/>
        </w:rPr>
        <w:footnoteReference w:id="2"/>
      </w:r>
      <w:r w:rsidRPr="001825C9">
        <w:t xml:space="preserve"> Furthermore, the use of FOLFIRI + cetuximab in the proposed patient population is not consistent with </w:t>
      </w:r>
      <w:r w:rsidR="00EF4EC7" w:rsidRPr="001825C9">
        <w:t xml:space="preserve">the </w:t>
      </w:r>
      <w:r w:rsidRPr="001825C9">
        <w:rPr>
          <w:i/>
        </w:rPr>
        <w:t>NCCN Guidelines v2.2021</w:t>
      </w:r>
      <w:r w:rsidRPr="001825C9">
        <w:t xml:space="preserve">, which state that patients receiving EGFR-targeted agents (cetuximab or panitumumab) should have </w:t>
      </w:r>
      <w:r w:rsidRPr="001825C9">
        <w:rPr>
          <w:i/>
        </w:rPr>
        <w:t>BRAF</w:t>
      </w:r>
      <w:r w:rsidRPr="001825C9">
        <w:t xml:space="preserve"> WT mCRC. Therefore, the ESCs considered the appropriate main comparator in this setting was FOLFIRI alone, not </w:t>
      </w:r>
      <w:r w:rsidR="00E95DD9" w:rsidRPr="001825C9">
        <w:t xml:space="preserve">FOLFIRI </w:t>
      </w:r>
      <w:r w:rsidRPr="001825C9">
        <w:t>in combination with cetuximab.</w:t>
      </w:r>
    </w:p>
    <w:p w:rsidR="00787D78" w:rsidRPr="001825C9" w:rsidRDefault="00787D78" w:rsidP="00787D78">
      <w:pPr>
        <w:pStyle w:val="ListParagraph"/>
        <w:rPr>
          <w:color w:val="auto"/>
        </w:rPr>
      </w:pPr>
      <w:r w:rsidRPr="001825C9">
        <w:lastRenderedPageBreak/>
        <w:t xml:space="preserve">The pre-PBAC response again claimed that FOLFIRI + cetuximab was the appropriate main comparator, stating that the authors of the </w:t>
      </w:r>
      <w:r w:rsidRPr="001825C9">
        <w:rPr>
          <w:i/>
        </w:rPr>
        <w:t>NCCN Guidelines </w:t>
      </w:r>
      <w:r w:rsidR="0056025A" w:rsidRPr="001825C9">
        <w:rPr>
          <w:i/>
        </w:rPr>
        <w:t>v3.2015</w:t>
      </w:r>
      <w:r w:rsidRPr="001825C9">
        <w:t xml:space="preserve"> had concluded that there were insufficient data to guide the use of anti-EGFR therapy with active chemotherapy based on </w:t>
      </w:r>
      <w:r w:rsidRPr="001825C9">
        <w:rPr>
          <w:i/>
        </w:rPr>
        <w:t xml:space="preserve">BRAF </w:t>
      </w:r>
      <w:r w:rsidRPr="001825C9">
        <w:t xml:space="preserve">V600E mutation status. The pre-PBAC response  also cited the views of various Australian clinicians, including the clinician who presented at the sponsor hearing (see below). </w:t>
      </w:r>
      <w:r w:rsidR="0056025A" w:rsidRPr="001825C9">
        <w:t>Generally, t</w:t>
      </w:r>
      <w:r w:rsidRPr="001825C9">
        <w:t xml:space="preserve">hese clinicians suggested that FOLFIRI + cetuximab continued to be used regularly in clinical practice for </w:t>
      </w:r>
      <w:r w:rsidRPr="001825C9">
        <w:rPr>
          <w:i/>
        </w:rPr>
        <w:t xml:space="preserve">BRAF </w:t>
      </w:r>
      <w:r w:rsidRPr="001825C9">
        <w:t>v600E variant mCRC</w:t>
      </w:r>
      <w:r w:rsidR="00A85EEC" w:rsidRPr="001825C9">
        <w:t xml:space="preserve"> (</w:t>
      </w:r>
      <w:r w:rsidRPr="001825C9">
        <w:t xml:space="preserve">despite the additional benefits being less than </w:t>
      </w:r>
      <w:r w:rsidR="0056025A" w:rsidRPr="001825C9">
        <w:t xml:space="preserve">seen </w:t>
      </w:r>
      <w:r w:rsidRPr="001825C9">
        <w:t xml:space="preserve">in </w:t>
      </w:r>
      <w:r w:rsidRPr="001825C9">
        <w:rPr>
          <w:i/>
        </w:rPr>
        <w:t xml:space="preserve">BRAF </w:t>
      </w:r>
      <w:r w:rsidRPr="001825C9">
        <w:t>WT patients</w:t>
      </w:r>
      <w:r w:rsidR="00A85EEC" w:rsidRPr="001825C9">
        <w:t>)</w:t>
      </w:r>
      <w:r w:rsidRPr="001825C9">
        <w:t xml:space="preserve"> because of limited therapeutic options and</w:t>
      </w:r>
      <w:r w:rsidR="00A85EEC" w:rsidRPr="001825C9">
        <w:t xml:space="preserve"> the</w:t>
      </w:r>
      <w:r w:rsidRPr="001825C9">
        <w:t xml:space="preserve"> very poor prognosis for </w:t>
      </w:r>
      <w:r w:rsidR="00A85EEC" w:rsidRPr="001825C9">
        <w:rPr>
          <w:i/>
        </w:rPr>
        <w:t>BRAF </w:t>
      </w:r>
      <w:r w:rsidRPr="001825C9">
        <w:t>V600E variant mCRC.</w:t>
      </w:r>
    </w:p>
    <w:p w:rsidR="00787D78" w:rsidRPr="001825C9" w:rsidRDefault="00787D78" w:rsidP="00787D78">
      <w:pPr>
        <w:pStyle w:val="ListParagraph"/>
        <w:rPr>
          <w:color w:val="auto"/>
        </w:rPr>
      </w:pPr>
      <w:r w:rsidRPr="001825C9">
        <w:t>The PBAC noted that</w:t>
      </w:r>
      <w:r w:rsidR="00DA72E0" w:rsidRPr="001825C9">
        <w:t>, in</w:t>
      </w:r>
      <w:r w:rsidRPr="001825C9">
        <w:t xml:space="preserve"> the updated </w:t>
      </w:r>
      <w:r w:rsidRPr="001825C9">
        <w:rPr>
          <w:i/>
        </w:rPr>
        <w:t>NCCN Guidelines v2.2021</w:t>
      </w:r>
      <w:r w:rsidR="00CB4978">
        <w:rPr>
          <w:i/>
        </w:rPr>
        <w:t>,</w:t>
      </w:r>
      <w:r w:rsidR="003637FF">
        <w:rPr>
          <w:i/>
        </w:rPr>
        <w:t xml:space="preserve"> </w:t>
      </w:r>
      <w:r w:rsidR="003637FF" w:rsidRPr="003637FF">
        <w:rPr>
          <w:iCs/>
        </w:rPr>
        <w:t>which were</w:t>
      </w:r>
      <w:r w:rsidR="00502D34">
        <w:rPr>
          <w:iCs/>
        </w:rPr>
        <w:t xml:space="preserve"> </w:t>
      </w:r>
      <w:r w:rsidR="003637FF">
        <w:rPr>
          <w:iCs/>
        </w:rPr>
        <w:t>published subsequent to the submission lodgement</w:t>
      </w:r>
      <w:r w:rsidRPr="00CB4978">
        <w:t xml:space="preserve">, </w:t>
      </w:r>
      <w:r w:rsidRPr="001825C9">
        <w:t xml:space="preserve">the panel believed that, “evidence increasingly suggests that </w:t>
      </w:r>
      <w:r w:rsidRPr="001825C9">
        <w:rPr>
          <w:i/>
        </w:rPr>
        <w:t>BRAF</w:t>
      </w:r>
      <w:r w:rsidRPr="001825C9">
        <w:t xml:space="preserve"> V600E mutation makes response to panitumumab or cetuximab, as single agents or in combination with cytotoxic chemotherapy, highly unlikely, unless given as part of a BRAF inhibitor regimen” (i.e. encorafenib with cetuximab or panitumumab). The</w:t>
      </w:r>
      <w:r w:rsidR="00A85EEC" w:rsidRPr="001825C9">
        <w:t xml:space="preserve"> NCCN</w:t>
      </w:r>
      <w:r w:rsidRPr="001825C9">
        <w:t xml:space="preserve"> panel also recommended </w:t>
      </w:r>
      <w:r w:rsidRPr="001825C9">
        <w:rPr>
          <w:i/>
        </w:rPr>
        <w:t>BRAF</w:t>
      </w:r>
      <w:r w:rsidRPr="001825C9">
        <w:t xml:space="preserve"> genotyping at diagnosis of stage IV disease.</w:t>
      </w:r>
      <w:r w:rsidRPr="001825C9">
        <w:rPr>
          <w:rStyle w:val="FootnoteReference"/>
        </w:rPr>
        <w:footnoteReference w:id="3"/>
      </w:r>
    </w:p>
    <w:p w:rsidR="00AE46DA" w:rsidRPr="001825C9" w:rsidRDefault="00AE46DA" w:rsidP="00AE46DA">
      <w:pPr>
        <w:pStyle w:val="ListParagraph"/>
        <w:rPr>
          <w:color w:val="auto"/>
        </w:rPr>
      </w:pPr>
      <w:r w:rsidRPr="001825C9">
        <w:t>The submission noted other treatment options recommended and available for use in the second</w:t>
      </w:r>
      <w:r w:rsidR="00DA72E0" w:rsidRPr="001825C9">
        <w:t>-</w:t>
      </w:r>
      <w:r w:rsidRPr="001825C9">
        <w:t>, third</w:t>
      </w:r>
      <w:r w:rsidR="00DA72E0" w:rsidRPr="001825C9">
        <w:t>-</w:t>
      </w:r>
      <w:r w:rsidRPr="001825C9">
        <w:t xml:space="preserve"> and subsequent</w:t>
      </w:r>
      <w:r w:rsidR="00DA72E0" w:rsidRPr="001825C9">
        <w:t>-</w:t>
      </w:r>
      <w:r w:rsidRPr="001825C9">
        <w:t xml:space="preserve">line settings for </w:t>
      </w:r>
      <w:r w:rsidRPr="001825C9">
        <w:rPr>
          <w:i/>
          <w:iCs/>
        </w:rPr>
        <w:t xml:space="preserve">BRAF </w:t>
      </w:r>
      <w:r w:rsidR="0090484C" w:rsidRPr="001825C9">
        <w:rPr>
          <w:iCs/>
        </w:rPr>
        <w:t>V600E</w:t>
      </w:r>
      <w:r w:rsidRPr="001825C9">
        <w:t xml:space="preserve"> variant mCRC, including bevacizumab and trifluridine-tipiracil (Lonsurf®). Bevacizumab was not considered as a comparator because it is mostly used in the first-line setting (as evidenced by the Australian guidelines)</w:t>
      </w:r>
      <w:r w:rsidR="00DA72E0" w:rsidRPr="001825C9">
        <w:t>,</w:t>
      </w:r>
      <w:r w:rsidRPr="001825C9">
        <w:t xml:space="preserve"> and there are limited data supporting its continued use in the second-line setting for </w:t>
      </w:r>
      <w:r w:rsidRPr="001825C9">
        <w:rPr>
          <w:i/>
          <w:iCs/>
        </w:rPr>
        <w:lastRenderedPageBreak/>
        <w:t xml:space="preserve">RAS </w:t>
      </w:r>
      <w:r w:rsidRPr="001825C9">
        <w:rPr>
          <w:iCs/>
        </w:rPr>
        <w:t>WT</w:t>
      </w:r>
      <w:r w:rsidRPr="001825C9">
        <w:t xml:space="preserve"> patients. This was also evident in the 2018 DUSC report</w:t>
      </w:r>
      <w:r w:rsidR="00DA72E0" w:rsidRPr="001825C9">
        <w:t>,</w:t>
      </w:r>
      <w:r w:rsidRPr="001825C9">
        <w:t xml:space="preserve"> which showed that the </w:t>
      </w:r>
      <w:r w:rsidRPr="001825C9">
        <w:rPr>
          <w:color w:val="auto"/>
        </w:rPr>
        <w:t>utilisation of bevacizumab in the second-line setting in Australia is minimal (Figure 14, Cetuximab, panitumumab and bevacizumab for mCRC - DUSC Report 2018).</w:t>
      </w:r>
      <w:r w:rsidRPr="001825C9">
        <w:rPr>
          <w:i/>
          <w:color w:val="auto"/>
        </w:rPr>
        <w:t xml:space="preserve"> </w:t>
      </w:r>
      <w:r w:rsidRPr="001825C9">
        <w:t>Trifluridine-tipiracil was not considered an appropriate comparator as it is an nth-line salvage treatment used in a different population. Trifluridine-tipiracil is restricted to patients who are not suitable candidates for treatment with fluoropyrimidine, oxaliplatin, irinotecan-based chemotherapies, an anti-VEGFR agent and an EGFR inhibitor such as cetuximab. This was inconsistent with the PASC consideration of trifluridine-tipiracil as an appropriate comparator to encorafenib in its likely smaller volume of use in the third-line setting, given the NHMRC Guidelines for the management of mCRC (2017) included its use in patients who are refractory to all standard available therapies (Ratified PICO, Application 1617).</w:t>
      </w:r>
    </w:p>
    <w:p w:rsidR="00AE46DA" w:rsidRPr="001825C9" w:rsidRDefault="00AE46DA" w:rsidP="00AE46DA">
      <w:pPr>
        <w:pStyle w:val="ListParagraph"/>
        <w:numPr>
          <w:ilvl w:val="0"/>
          <w:numId w:val="0"/>
        </w:numPr>
        <w:ind w:left="720"/>
        <w:rPr>
          <w:i/>
          <w:color w:val="auto"/>
        </w:rPr>
      </w:pPr>
      <w:r w:rsidRPr="001825C9">
        <w:rPr>
          <w:i/>
        </w:rPr>
        <w:t>For more detail on the PBAC’s view, see section 7 PBAC outcome.</w:t>
      </w:r>
    </w:p>
    <w:p w:rsidR="00AE46DA" w:rsidRPr="001825C9" w:rsidRDefault="00AE46DA" w:rsidP="00AE46DA">
      <w:pPr>
        <w:pStyle w:val="PBACESHeading1"/>
      </w:pPr>
      <w:bookmarkStart w:id="14" w:name="_Toc413139276"/>
      <w:bookmarkStart w:id="15" w:name="_Ref496885030"/>
      <w:bookmarkStart w:id="16" w:name="_Toc61968410"/>
      <w:r w:rsidRPr="001825C9">
        <w:t>Consideration of the evidence</w:t>
      </w:r>
      <w:bookmarkEnd w:id="14"/>
      <w:bookmarkEnd w:id="15"/>
      <w:bookmarkEnd w:id="16"/>
    </w:p>
    <w:p w:rsidR="00AE46DA" w:rsidRPr="001825C9" w:rsidRDefault="00AE46DA" w:rsidP="00321E61">
      <w:pPr>
        <w:pStyle w:val="PBACESHeading2"/>
      </w:pPr>
      <w:bookmarkStart w:id="17" w:name="_Toc497119155"/>
      <w:bookmarkStart w:id="18" w:name="_Toc497136052"/>
      <w:bookmarkStart w:id="19" w:name="_Toc497225652"/>
      <w:bookmarkStart w:id="20" w:name="_Toc497226267"/>
      <w:bookmarkStart w:id="21" w:name="_Toc61968411"/>
      <w:r w:rsidRPr="001825C9">
        <w:t>Sponsor hearing</w:t>
      </w:r>
    </w:p>
    <w:p w:rsidR="00AE46DA" w:rsidRPr="001825C9" w:rsidRDefault="00AE46DA" w:rsidP="00AE46DA">
      <w:pPr>
        <w:pStyle w:val="ListParagraph"/>
      </w:pPr>
      <w:r w:rsidRPr="001825C9">
        <w:t xml:space="preserve">The sponsor requested a hearing for this item. The clinician presented clinical case studies and discussed the natural history of the disease and how the drug would be used in practice. The clinician emphasised the poorer prognosis for patients with </w:t>
      </w:r>
      <w:r w:rsidRPr="001825C9">
        <w:rPr>
          <w:i/>
        </w:rPr>
        <w:t xml:space="preserve">BRAF </w:t>
      </w:r>
      <w:r w:rsidRPr="001825C9">
        <w:t xml:space="preserve">variant mCRC compared with </w:t>
      </w:r>
      <w:r w:rsidRPr="001825C9">
        <w:rPr>
          <w:i/>
        </w:rPr>
        <w:t>BRAF</w:t>
      </w:r>
      <w:r w:rsidRPr="001825C9">
        <w:t xml:space="preserve"> WT patients, and the clinical need for effective treatment options in this relatively small population. In terms of current treatments used in Australia, the clinician stated that while anti-</w:t>
      </w:r>
      <w:r w:rsidR="001825C9" w:rsidRPr="001825C9">
        <w:t>EGFR</w:t>
      </w:r>
      <w:r w:rsidRPr="001825C9">
        <w:t xml:space="preserve"> inhibitors have less impact in patients with </w:t>
      </w:r>
      <w:r w:rsidRPr="001825C9">
        <w:rPr>
          <w:i/>
        </w:rPr>
        <w:t xml:space="preserve">BRAF </w:t>
      </w:r>
      <w:r w:rsidRPr="001825C9">
        <w:t xml:space="preserve">variant mCRC, they </w:t>
      </w:r>
      <w:r w:rsidR="005276BC" w:rsidRPr="001825C9">
        <w:t xml:space="preserve">were </w:t>
      </w:r>
      <w:r w:rsidRPr="001825C9">
        <w:t xml:space="preserve">nonetheless </w:t>
      </w:r>
      <w:r w:rsidRPr="001825C9">
        <w:lastRenderedPageBreak/>
        <w:t xml:space="preserve">used in combination with standard chemotherapy because even a transient response </w:t>
      </w:r>
      <w:r w:rsidR="005276BC" w:rsidRPr="001825C9">
        <w:t>wa</w:t>
      </w:r>
      <w:r w:rsidRPr="001825C9">
        <w:t xml:space="preserve">s valuable in the context of the very poor survival of these patients. The clinician considered that the improved </w:t>
      </w:r>
      <w:r w:rsidR="00DA72E0" w:rsidRPr="001825C9">
        <w:t xml:space="preserve">survival offered by encorafenib with an </w:t>
      </w:r>
      <w:r w:rsidRPr="001825C9">
        <w:t>anti-EGFR inhibitor meant that this regimen would become the treatment of choice moving forward. The PBAC considered that the hearing was informative as it provided a clinical perspective of current Australian treatment approaches.</w:t>
      </w:r>
    </w:p>
    <w:p w:rsidR="00AE46DA" w:rsidRPr="001825C9" w:rsidRDefault="00AE46DA" w:rsidP="00321E61">
      <w:pPr>
        <w:pStyle w:val="PBACESHeading2"/>
      </w:pPr>
      <w:r w:rsidRPr="001825C9">
        <w:t>Consumer comments</w:t>
      </w:r>
    </w:p>
    <w:p w:rsidR="00AE46DA" w:rsidRPr="001825C9" w:rsidRDefault="00AE46DA" w:rsidP="003D100A">
      <w:pPr>
        <w:pStyle w:val="ListParagraph"/>
        <w:spacing w:before="0"/>
      </w:pPr>
      <w:r w:rsidRPr="001825C9">
        <w:t xml:space="preserve">The PBAC noted and welcomed the input from individuals (1), health care professionals (3) and organisations (3) via the Consumer Comments facility on the PBS website. The comments, including from Bowel Cancer Australia and Rare Cancers Australia, focused primarily on the poor prognosis of </w:t>
      </w:r>
      <w:r w:rsidRPr="001825C9">
        <w:rPr>
          <w:i/>
        </w:rPr>
        <w:t>BRAF</w:t>
      </w:r>
      <w:r w:rsidR="00DA72E0" w:rsidRPr="001825C9">
        <w:t>-</w:t>
      </w:r>
      <w:r w:rsidRPr="001825C9">
        <w:t xml:space="preserve">positive mCRC patients, the lack of effective treatment options currently available, and described benefits of treatment </w:t>
      </w:r>
      <w:r w:rsidR="00E117D0" w:rsidRPr="001825C9">
        <w:t xml:space="preserve">with encorafenib + cetuximab, </w:t>
      </w:r>
      <w:r w:rsidRPr="001825C9">
        <w:t>including increased overall survival and improved quality of life</w:t>
      </w:r>
      <w:r w:rsidR="00E117D0" w:rsidRPr="001825C9">
        <w:t>.</w:t>
      </w:r>
    </w:p>
    <w:p w:rsidR="00AE46DA" w:rsidRPr="001825C9" w:rsidRDefault="00AE46DA" w:rsidP="003D100A">
      <w:pPr>
        <w:pStyle w:val="ListParagraph"/>
        <w:spacing w:before="0"/>
      </w:pPr>
      <w:r w:rsidRPr="001825C9">
        <w:t>The Medical Oncology Group of Australia (MOGA) also expressed its support for the encorafenib submission. The PBAC noted that MOGA presented a European Society for Medical Oncology Magnitude of Clinical Benefit Scale (ESMO-MCBS) for encorafenib in combination with cetuximab, which was 5 (out of a maximum of 5, where 5 and 4 represent the grades with substantial improvement)</w:t>
      </w:r>
      <w:r w:rsidRPr="001825C9">
        <w:rPr>
          <w:rStyle w:val="FootnoteReference"/>
        </w:rPr>
        <w:footnoteReference w:id="4"/>
      </w:r>
      <w:r w:rsidRPr="001825C9">
        <w:t xml:space="preserve">, based on a comparison with FOLFIRI + cetuximab. MOGA </w:t>
      </w:r>
      <w:r w:rsidRPr="001825C9">
        <w:lastRenderedPageBreak/>
        <w:t>noted that the clinical value may be overestimated due to a questionable control arm used in BEACON. The ESMO-MCBS score was upgraded to 5 due to the QOL improvement seen in BEACON.</w:t>
      </w:r>
    </w:p>
    <w:p w:rsidR="00AE46DA" w:rsidRPr="001825C9" w:rsidRDefault="00AE46DA" w:rsidP="00321E61">
      <w:pPr>
        <w:pStyle w:val="PBACESHeading2"/>
      </w:pPr>
      <w:r w:rsidRPr="001825C9">
        <w:t>Overview of the evidence base</w:t>
      </w:r>
      <w:bookmarkEnd w:id="17"/>
      <w:bookmarkEnd w:id="18"/>
      <w:bookmarkEnd w:id="19"/>
      <w:bookmarkEnd w:id="20"/>
      <w:bookmarkEnd w:id="21"/>
    </w:p>
    <w:p w:rsidR="00AE46DA" w:rsidRPr="001825C9" w:rsidRDefault="00AE46DA" w:rsidP="00AE46DA">
      <w:pPr>
        <w:pStyle w:val="ListParagraph"/>
        <w:spacing w:before="0" w:line="259" w:lineRule="auto"/>
        <w:jc w:val="left"/>
      </w:pPr>
      <w:r w:rsidRPr="001825C9">
        <w:t xml:space="preserve">The approach taken in the submission was to present direct evidence of the effect of targeting </w:t>
      </w:r>
      <w:r w:rsidRPr="001825C9">
        <w:rPr>
          <w:i/>
        </w:rPr>
        <w:t xml:space="preserve">BRAF </w:t>
      </w:r>
      <w:r w:rsidR="0090484C" w:rsidRPr="001825C9">
        <w:t>V600E</w:t>
      </w:r>
      <w:r w:rsidRPr="001825C9">
        <w:rPr>
          <w:i/>
        </w:rPr>
        <w:t xml:space="preserve"> </w:t>
      </w:r>
      <w:r w:rsidRPr="001825C9">
        <w:t>with encorafenib + cetuximab as summarised in Table 2.</w:t>
      </w:r>
    </w:p>
    <w:p w:rsidR="00AE46DA" w:rsidRPr="001825C9" w:rsidRDefault="00AE46DA" w:rsidP="00AE46DA">
      <w:pPr>
        <w:pStyle w:val="Caption"/>
      </w:pPr>
      <w:r w:rsidRPr="001825C9">
        <w:t xml:space="preserve">Table </w:t>
      </w:r>
      <w:r w:rsidR="0099629B">
        <w:rPr>
          <w:noProof/>
        </w:rPr>
        <w:t>2</w:t>
      </w:r>
      <w:r w:rsidRPr="001825C9">
        <w:t xml:space="preserve">: Direct evidence provided in the submission to support the use of the </w:t>
      </w:r>
      <w:r w:rsidR="00823CBD" w:rsidRPr="001825C9">
        <w:t>co-dependent</w:t>
      </w:r>
      <w:r w:rsidRPr="001825C9">
        <w:t xml:space="preserve"> technology</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552"/>
        <w:gridCol w:w="1793"/>
      </w:tblGrid>
      <w:tr w:rsidR="00AE46DA" w:rsidRPr="001825C9" w:rsidTr="00DA72E0">
        <w:trPr>
          <w:trHeight w:val="384"/>
        </w:trPr>
        <w:tc>
          <w:tcPr>
            <w:tcW w:w="2591" w:type="pct"/>
            <w:tcBorders>
              <w:top w:val="single" w:sz="4" w:space="0" w:color="auto"/>
              <w:left w:val="single" w:sz="4" w:space="0" w:color="auto"/>
              <w:bottom w:val="single" w:sz="4" w:space="0" w:color="auto"/>
              <w:right w:val="single" w:sz="4" w:space="0" w:color="auto"/>
            </w:tcBorders>
            <w:vAlign w:val="bottom"/>
            <w:hideMark/>
          </w:tcPr>
          <w:p w:rsidR="00AE46DA" w:rsidRPr="001825C9" w:rsidRDefault="00AE46DA" w:rsidP="00B21F37">
            <w:pPr>
              <w:pStyle w:val="TableText"/>
              <w:widowControl/>
              <w:rPr>
                <w:b/>
              </w:rPr>
            </w:pPr>
            <w:r w:rsidRPr="001825C9">
              <w:rPr>
                <w:b/>
              </w:rPr>
              <w:t>Study design</w:t>
            </w:r>
          </w:p>
        </w:tc>
        <w:tc>
          <w:tcPr>
            <w:tcW w:w="1415" w:type="pct"/>
            <w:tcBorders>
              <w:top w:val="single" w:sz="4" w:space="0" w:color="auto"/>
              <w:left w:val="single" w:sz="4" w:space="0" w:color="auto"/>
              <w:bottom w:val="single" w:sz="4" w:space="0" w:color="auto"/>
              <w:right w:val="single" w:sz="4" w:space="0" w:color="auto"/>
            </w:tcBorders>
            <w:vAlign w:val="bottom"/>
            <w:hideMark/>
          </w:tcPr>
          <w:p w:rsidR="00AE46DA" w:rsidRPr="001825C9" w:rsidRDefault="00AE46DA" w:rsidP="00B21F37">
            <w:pPr>
              <w:pStyle w:val="TableText"/>
              <w:widowControl/>
              <w:rPr>
                <w:b/>
              </w:rPr>
            </w:pPr>
            <w:r w:rsidRPr="001825C9">
              <w:rPr>
                <w:b/>
              </w:rPr>
              <w:t>Extent of evidence supplied</w:t>
            </w:r>
          </w:p>
        </w:tc>
        <w:tc>
          <w:tcPr>
            <w:tcW w:w="994" w:type="pct"/>
            <w:tcBorders>
              <w:top w:val="single" w:sz="4" w:space="0" w:color="auto"/>
              <w:left w:val="single" w:sz="4" w:space="0" w:color="auto"/>
              <w:bottom w:val="single" w:sz="4" w:space="0" w:color="auto"/>
              <w:right w:val="single" w:sz="4" w:space="0" w:color="auto"/>
            </w:tcBorders>
            <w:vAlign w:val="bottom"/>
            <w:hideMark/>
          </w:tcPr>
          <w:p w:rsidR="00AE46DA" w:rsidRPr="001825C9" w:rsidRDefault="00AE46DA" w:rsidP="00B21F37">
            <w:pPr>
              <w:pStyle w:val="TableText"/>
              <w:widowControl/>
              <w:jc w:val="center"/>
              <w:rPr>
                <w:b/>
              </w:rPr>
            </w:pPr>
            <w:r w:rsidRPr="001825C9">
              <w:rPr>
                <w:b/>
              </w:rPr>
              <w:t>Overall risk of bias in clinical trials</w:t>
            </w:r>
          </w:p>
        </w:tc>
      </w:tr>
      <w:tr w:rsidR="00AE46DA" w:rsidRPr="001825C9" w:rsidTr="00DA72E0">
        <w:trPr>
          <w:trHeight w:val="621"/>
        </w:trPr>
        <w:tc>
          <w:tcPr>
            <w:tcW w:w="2591"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widowControl/>
              <w:rPr>
                <w:vertAlign w:val="superscript"/>
              </w:rPr>
            </w:pPr>
            <w:r w:rsidRPr="001825C9">
              <w:t>Prospective biomarker (</w:t>
            </w:r>
            <w:r w:rsidRPr="001825C9">
              <w:rPr>
                <w:i/>
              </w:rPr>
              <w:t xml:space="preserve">BRAF </w:t>
            </w:r>
            <w:r w:rsidR="0090484C" w:rsidRPr="001825C9">
              <w:t>V600E</w:t>
            </w:r>
            <w:r w:rsidRPr="001825C9">
              <w:t xml:space="preserve">) stratified randomised controlled trial of encorafenib + cetuximab versus control </w:t>
            </w:r>
            <w:r w:rsidRPr="001825C9">
              <w:rPr>
                <w:vertAlign w:val="superscript"/>
              </w:rPr>
              <w:t>a</w:t>
            </w:r>
          </w:p>
        </w:tc>
        <w:tc>
          <w:tcPr>
            <w:tcW w:w="1415"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91085C" w:rsidP="00B21F37">
            <w:pPr>
              <w:pStyle w:val="TableText"/>
              <w:widowControl/>
              <w:jc w:val="center"/>
            </w:pPr>
            <w:sdt>
              <w:sdtPr>
                <w:id w:val="1433851891"/>
                <w14:checkbox>
                  <w14:checked w14:val="1"/>
                  <w14:checkedState w14:val="2612" w14:font="MS Gothic"/>
                  <w14:uncheckedState w14:val="2610" w14:font="MS Gothic"/>
                </w14:checkbox>
              </w:sdtPr>
              <w:sdtContent>
                <w:r w:rsidR="00AE46DA" w:rsidRPr="001825C9">
                  <w:rPr>
                    <w:rFonts w:ascii="MS Gothic" w:eastAsia="MS Gothic" w:hAnsi="MS Gothic"/>
                  </w:rPr>
                  <w:t>☒</w:t>
                </w:r>
              </w:sdtContent>
            </w:sdt>
            <w:r w:rsidR="00AE46DA" w:rsidRPr="001825C9">
              <w:tab/>
              <w:t>k= 1</w:t>
            </w:r>
            <w:r w:rsidR="00AE46DA" w:rsidRPr="001825C9">
              <w:tab/>
              <w:t>n=665</w:t>
            </w:r>
          </w:p>
        </w:tc>
        <w:tc>
          <w:tcPr>
            <w:tcW w:w="994" w:type="pct"/>
            <w:tcBorders>
              <w:top w:val="single" w:sz="4" w:space="0" w:color="auto"/>
              <w:left w:val="single" w:sz="4" w:space="0" w:color="auto"/>
              <w:bottom w:val="single" w:sz="4" w:space="0" w:color="auto"/>
              <w:right w:val="single" w:sz="4" w:space="0" w:color="auto"/>
            </w:tcBorders>
            <w:vAlign w:val="center"/>
          </w:tcPr>
          <w:p w:rsidR="00AE46DA" w:rsidRPr="001825C9" w:rsidRDefault="00AE46DA" w:rsidP="00B21F37">
            <w:pPr>
              <w:pStyle w:val="TableText"/>
              <w:widowControl/>
              <w:jc w:val="center"/>
            </w:pPr>
            <w:r w:rsidRPr="001825C9">
              <w:t>Low</w:t>
            </w:r>
          </w:p>
        </w:tc>
      </w:tr>
    </w:tbl>
    <w:p w:rsidR="00AE46DA" w:rsidRPr="001825C9" w:rsidRDefault="00AE46DA" w:rsidP="00AE46DA">
      <w:pPr>
        <w:pStyle w:val="TableFooter"/>
        <w:widowControl/>
        <w:rPr>
          <w:szCs w:val="18"/>
        </w:rPr>
      </w:pPr>
      <w:r w:rsidRPr="001825C9">
        <w:t xml:space="preserve">Note: </w:t>
      </w:r>
      <w:r w:rsidRPr="001825C9">
        <w:rPr>
          <w:vertAlign w:val="superscript"/>
        </w:rPr>
        <w:t>a</w:t>
      </w:r>
      <w:r w:rsidRPr="001825C9">
        <w:t xml:space="preserve"> </w:t>
      </w:r>
      <w:r w:rsidRPr="001825C9">
        <w:rPr>
          <w:szCs w:val="18"/>
        </w:rPr>
        <w:t xml:space="preserve">Control arm = investigator’s choice of irinotecan + cetuximab or FOLFIRI + cetuximab </w:t>
      </w:r>
    </w:p>
    <w:p w:rsidR="00AE46DA" w:rsidRPr="001825C9" w:rsidRDefault="00AE46DA" w:rsidP="00AE46DA">
      <w:pPr>
        <w:pStyle w:val="TableFooter"/>
        <w:widowControl/>
        <w:spacing w:after="0"/>
        <w:rPr>
          <w:szCs w:val="18"/>
        </w:rPr>
      </w:pPr>
      <w:r w:rsidRPr="001825C9">
        <w:rPr>
          <w:szCs w:val="18"/>
        </w:rPr>
        <w:t xml:space="preserve">Abbreviations: </w:t>
      </w:r>
      <w:r w:rsidRPr="001825C9">
        <w:rPr>
          <w:i/>
        </w:rPr>
        <w:t>BRAF</w:t>
      </w:r>
      <w:r w:rsidRPr="001825C9">
        <w:t xml:space="preserve"> = B-Rapidly Accelerated Fibrosarcoma; FOLFIRI = 5-fluorouracil/ folinic acid/irinotecan; k = number of studies; n = number of patients.</w:t>
      </w:r>
    </w:p>
    <w:p w:rsidR="00AE46DA" w:rsidRPr="001825C9" w:rsidRDefault="00AE46DA" w:rsidP="00AE46DA">
      <w:pPr>
        <w:spacing w:before="0" w:after="0"/>
        <w:rPr>
          <w:rFonts w:ascii="Arial Narrow" w:eastAsia="Times New Roman" w:hAnsi="Arial Narrow" w:cs="Arial"/>
          <w:snapToGrid w:val="0"/>
          <w:sz w:val="18"/>
          <w:szCs w:val="18"/>
        </w:rPr>
      </w:pPr>
      <w:r w:rsidRPr="001825C9">
        <w:rPr>
          <w:rFonts w:ascii="Arial Narrow" w:eastAsia="Times New Roman" w:hAnsi="Arial Narrow" w:cs="Arial"/>
          <w:snapToGrid w:val="0"/>
          <w:sz w:val="18"/>
          <w:szCs w:val="18"/>
        </w:rPr>
        <w:t xml:space="preserve">Source: pp34, 115 of </w:t>
      </w:r>
      <w:r w:rsidR="00DA72E0" w:rsidRPr="001825C9">
        <w:rPr>
          <w:rFonts w:ascii="Arial Narrow" w:eastAsia="Times New Roman" w:hAnsi="Arial Narrow" w:cs="Arial"/>
          <w:snapToGrid w:val="0"/>
          <w:sz w:val="18"/>
          <w:szCs w:val="18"/>
        </w:rPr>
        <w:t>the submission.</w:t>
      </w:r>
      <w:r w:rsidR="00CF5EEB">
        <w:rPr>
          <w:rFonts w:ascii="Arial Narrow" w:eastAsia="Times New Roman" w:hAnsi="Arial Narrow" w:cs="Arial"/>
          <w:snapToGrid w:val="0"/>
          <w:sz w:val="18"/>
          <w:szCs w:val="18"/>
        </w:rPr>
        <w:t>q</w:t>
      </w:r>
    </w:p>
    <w:p w:rsidR="00AE46DA" w:rsidRPr="001825C9" w:rsidRDefault="00AE46DA" w:rsidP="00AE46DA">
      <w:pPr>
        <w:pStyle w:val="ListParagraph"/>
      </w:pPr>
      <w:r w:rsidRPr="001825C9">
        <w:t>Details of the trial presented in the submission are provided in Table 3.</w:t>
      </w:r>
    </w:p>
    <w:p w:rsidR="00AE46DA" w:rsidRPr="001825C9" w:rsidRDefault="00AE46DA" w:rsidP="00AE46DA">
      <w:pPr>
        <w:pStyle w:val="Caption"/>
      </w:pPr>
      <w:r w:rsidRPr="001825C9">
        <w:t xml:space="preserve">Table </w:t>
      </w:r>
      <w:r w:rsidR="0099629B">
        <w:rPr>
          <w:noProof/>
        </w:rPr>
        <w:t>3</w:t>
      </w:r>
      <w:r w:rsidRPr="001825C9">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3"/>
        <w:gridCol w:w="5848"/>
        <w:gridCol w:w="1755"/>
      </w:tblGrid>
      <w:tr w:rsidR="00AE46DA" w:rsidRPr="001825C9" w:rsidTr="00DA72E0">
        <w:trPr>
          <w:tblHeader/>
        </w:trPr>
        <w:tc>
          <w:tcPr>
            <w:tcW w:w="784" w:type="pct"/>
            <w:vAlign w:val="bottom"/>
          </w:tcPr>
          <w:p w:rsidR="00AE46DA" w:rsidRPr="001825C9" w:rsidRDefault="00AE46DA" w:rsidP="00B21F37">
            <w:pPr>
              <w:pStyle w:val="TableText"/>
              <w:keepNext/>
              <w:widowControl/>
              <w:jc w:val="center"/>
              <w:rPr>
                <w:b/>
                <w:szCs w:val="20"/>
              </w:rPr>
            </w:pPr>
            <w:r w:rsidRPr="001825C9">
              <w:rPr>
                <w:b/>
                <w:szCs w:val="20"/>
              </w:rPr>
              <w:t>Trial ID</w:t>
            </w:r>
          </w:p>
        </w:tc>
        <w:tc>
          <w:tcPr>
            <w:tcW w:w="3243" w:type="pct"/>
            <w:vAlign w:val="bottom"/>
          </w:tcPr>
          <w:p w:rsidR="00AE46DA" w:rsidRPr="001825C9" w:rsidRDefault="00AE46DA" w:rsidP="00B21F37">
            <w:pPr>
              <w:pStyle w:val="TableText"/>
              <w:keepNext/>
              <w:widowControl/>
              <w:jc w:val="center"/>
              <w:rPr>
                <w:b/>
                <w:szCs w:val="20"/>
              </w:rPr>
            </w:pPr>
            <w:r w:rsidRPr="001825C9">
              <w:rPr>
                <w:b/>
                <w:szCs w:val="20"/>
              </w:rPr>
              <w:t>Protocol title/ Publication title</w:t>
            </w:r>
          </w:p>
        </w:tc>
        <w:tc>
          <w:tcPr>
            <w:tcW w:w="974" w:type="pct"/>
            <w:vAlign w:val="bottom"/>
          </w:tcPr>
          <w:p w:rsidR="00AE46DA" w:rsidRPr="001825C9" w:rsidRDefault="00AE46DA" w:rsidP="00B21F37">
            <w:pPr>
              <w:pStyle w:val="TableText"/>
              <w:keepNext/>
              <w:widowControl/>
              <w:jc w:val="center"/>
              <w:rPr>
                <w:b/>
                <w:szCs w:val="20"/>
              </w:rPr>
            </w:pPr>
            <w:r w:rsidRPr="001825C9">
              <w:rPr>
                <w:b/>
                <w:szCs w:val="20"/>
              </w:rPr>
              <w:t>Publication citation</w:t>
            </w:r>
          </w:p>
        </w:tc>
      </w:tr>
      <w:tr w:rsidR="00AE46DA" w:rsidRPr="001825C9" w:rsidTr="00B21F37">
        <w:tc>
          <w:tcPr>
            <w:tcW w:w="5000" w:type="pct"/>
            <w:gridSpan w:val="3"/>
          </w:tcPr>
          <w:p w:rsidR="00AE46DA" w:rsidRPr="001825C9" w:rsidRDefault="00AE46DA" w:rsidP="007D52B9">
            <w:pPr>
              <w:pStyle w:val="TableText"/>
              <w:keepNext/>
              <w:widowControl/>
              <w:rPr>
                <w:b/>
                <w:szCs w:val="20"/>
              </w:rPr>
            </w:pPr>
            <w:r w:rsidRPr="001825C9">
              <w:rPr>
                <w:b/>
                <w:szCs w:val="20"/>
              </w:rPr>
              <w:t>Encorafe</w:t>
            </w:r>
            <w:r w:rsidR="00DA72E0" w:rsidRPr="001825C9">
              <w:rPr>
                <w:b/>
                <w:szCs w:val="20"/>
              </w:rPr>
              <w:t xml:space="preserve">nib + cetuximab – </w:t>
            </w:r>
            <w:r w:rsidR="007D52B9" w:rsidRPr="001825C9">
              <w:rPr>
                <w:b/>
                <w:szCs w:val="20"/>
              </w:rPr>
              <w:t>key</w:t>
            </w:r>
            <w:r w:rsidR="00DA72E0" w:rsidRPr="001825C9">
              <w:rPr>
                <w:b/>
                <w:szCs w:val="20"/>
              </w:rPr>
              <w:t xml:space="preserve"> trial</w:t>
            </w:r>
          </w:p>
        </w:tc>
      </w:tr>
      <w:tr w:rsidR="00AE46DA" w:rsidRPr="001825C9" w:rsidTr="00DA72E0">
        <w:tc>
          <w:tcPr>
            <w:tcW w:w="784" w:type="pct"/>
            <w:vMerge w:val="restart"/>
          </w:tcPr>
          <w:p w:rsidR="00AE46DA" w:rsidRPr="001825C9" w:rsidRDefault="007D52B9" w:rsidP="00B21F37">
            <w:pPr>
              <w:pStyle w:val="Default"/>
              <w:keepNext/>
              <w:rPr>
                <w:rFonts w:ascii="Arial Narrow" w:hAnsi="Arial Narrow"/>
                <w:sz w:val="20"/>
                <w:szCs w:val="20"/>
                <w:lang w:val="en-AU"/>
              </w:rPr>
            </w:pPr>
            <w:r w:rsidRPr="001825C9">
              <w:rPr>
                <w:rFonts w:ascii="Arial Narrow" w:hAnsi="Arial Narrow"/>
                <w:sz w:val="20"/>
                <w:szCs w:val="20"/>
                <w:lang w:val="en-AU"/>
              </w:rPr>
              <w:t>BEACON CRC</w:t>
            </w:r>
          </w:p>
          <w:p w:rsidR="00AE46DA" w:rsidRPr="001825C9" w:rsidRDefault="007D52B9" w:rsidP="00B21F37">
            <w:pPr>
              <w:pStyle w:val="Default"/>
              <w:keepNext/>
              <w:rPr>
                <w:rFonts w:ascii="Arial Narrow" w:hAnsi="Arial Narrow"/>
                <w:sz w:val="20"/>
                <w:szCs w:val="20"/>
                <w:lang w:val="en-AU"/>
              </w:rPr>
            </w:pPr>
            <w:r w:rsidRPr="001825C9">
              <w:rPr>
                <w:rFonts w:ascii="Arial Narrow" w:hAnsi="Arial Narrow"/>
                <w:sz w:val="20"/>
                <w:szCs w:val="20"/>
                <w:lang w:val="en-AU"/>
              </w:rPr>
              <w:t>NCT02928224</w:t>
            </w:r>
          </w:p>
          <w:p w:rsidR="00AE46DA" w:rsidRPr="001825C9" w:rsidRDefault="00DA72E0" w:rsidP="00B21F37">
            <w:pPr>
              <w:pStyle w:val="TableText"/>
              <w:keepNext/>
              <w:widowControl/>
              <w:rPr>
                <w:szCs w:val="20"/>
              </w:rPr>
            </w:pPr>
            <w:r w:rsidRPr="001825C9">
              <w:rPr>
                <w:szCs w:val="20"/>
              </w:rPr>
              <w:t>ARRAY-818-302</w:t>
            </w:r>
          </w:p>
        </w:tc>
        <w:tc>
          <w:tcPr>
            <w:tcW w:w="3243" w:type="pct"/>
          </w:tcPr>
          <w:p w:rsidR="00AE46DA" w:rsidRPr="001825C9" w:rsidRDefault="00AE46DA" w:rsidP="00B21F37">
            <w:pPr>
              <w:pStyle w:val="Default"/>
              <w:keepNext/>
              <w:rPr>
                <w:rFonts w:ascii="Arial Narrow" w:hAnsi="Arial Narrow"/>
                <w:sz w:val="20"/>
                <w:szCs w:val="20"/>
                <w:lang w:val="en-AU"/>
              </w:rPr>
            </w:pPr>
            <w:r w:rsidRPr="001825C9">
              <w:rPr>
                <w:rFonts w:ascii="Arial Narrow" w:hAnsi="Arial Narrow"/>
                <w:sz w:val="20"/>
                <w:szCs w:val="20"/>
                <w:lang w:val="en-AU"/>
              </w:rPr>
              <w:t xml:space="preserve">The BEACON CRC study (Binimetinib, Encorafenib, And Cetuximab COmbiNed to Treat </w:t>
            </w:r>
            <w:r w:rsidRPr="001825C9">
              <w:rPr>
                <w:rFonts w:ascii="Arial Narrow" w:hAnsi="Arial Narrow"/>
                <w:i/>
                <w:iCs/>
                <w:sz w:val="20"/>
                <w:szCs w:val="20"/>
                <w:lang w:val="en-AU"/>
              </w:rPr>
              <w:t>BRAF</w:t>
            </w:r>
            <w:r w:rsidRPr="001825C9">
              <w:rPr>
                <w:rFonts w:ascii="Arial Narrow" w:hAnsi="Arial Narrow"/>
                <w:sz w:val="20"/>
                <w:szCs w:val="20"/>
                <w:lang w:val="en-AU"/>
              </w:rPr>
              <w:t xml:space="preserve">-mutant ColoRectal Cancer): A Multicentre, Randomised, Open-label, 3-Arm, Phase 3 Study of Encorafenib + Cetuximab Plus or Minus Binimetinib vs Irinotecan/Cetuximab or Infusional 5-Fluorouracil (5-FU)/Folinic Acid (FA)/Irinotecan (FOLFIRI)/Cetuximab with a safety lead-in of Encorafenib + Binimetinib + Cetuximab in Patients with </w:t>
            </w:r>
            <w:r w:rsidRPr="001825C9">
              <w:rPr>
                <w:rFonts w:ascii="Arial Narrow" w:hAnsi="Arial Narrow"/>
                <w:i/>
                <w:iCs/>
                <w:sz w:val="20"/>
                <w:szCs w:val="20"/>
                <w:lang w:val="en-AU"/>
              </w:rPr>
              <w:t xml:space="preserve">BRAF </w:t>
            </w:r>
            <w:r w:rsidR="0090484C" w:rsidRPr="001825C9">
              <w:rPr>
                <w:rFonts w:ascii="Arial Narrow" w:hAnsi="Arial Narrow"/>
                <w:iCs/>
                <w:sz w:val="20"/>
                <w:szCs w:val="20"/>
                <w:lang w:val="en-AU"/>
              </w:rPr>
              <w:t>V600E</w:t>
            </w:r>
            <w:r w:rsidRPr="001825C9">
              <w:rPr>
                <w:rFonts w:ascii="Arial Narrow" w:hAnsi="Arial Narrow"/>
                <w:sz w:val="20"/>
                <w:szCs w:val="20"/>
                <w:lang w:val="en-AU"/>
              </w:rPr>
              <w:t xml:space="preserve">-mutant </w:t>
            </w:r>
            <w:r w:rsidR="00DA72E0" w:rsidRPr="001825C9">
              <w:rPr>
                <w:rFonts w:ascii="Arial Narrow" w:hAnsi="Arial Narrow"/>
                <w:sz w:val="20"/>
                <w:szCs w:val="20"/>
                <w:lang w:val="en-AU"/>
              </w:rPr>
              <w:t>Metastatic Colorectal Cancer.</w:t>
            </w:r>
          </w:p>
        </w:tc>
        <w:tc>
          <w:tcPr>
            <w:tcW w:w="974" w:type="pct"/>
          </w:tcPr>
          <w:p w:rsidR="00AE46DA" w:rsidRPr="001825C9" w:rsidRDefault="00AE46DA" w:rsidP="00B21F37">
            <w:pPr>
              <w:pStyle w:val="Default"/>
              <w:keepNext/>
              <w:rPr>
                <w:rFonts w:ascii="Arial Narrow" w:hAnsi="Arial Narrow"/>
                <w:sz w:val="20"/>
                <w:szCs w:val="20"/>
                <w:lang w:val="en-AU"/>
              </w:rPr>
            </w:pPr>
            <w:r w:rsidRPr="001825C9">
              <w:rPr>
                <w:rFonts w:ascii="Arial Narrow" w:hAnsi="Arial Narrow"/>
                <w:sz w:val="20"/>
                <w:szCs w:val="20"/>
                <w:lang w:val="en-AU"/>
              </w:rPr>
              <w:t>CSR report 11 Feb 2019</w:t>
            </w:r>
          </w:p>
        </w:tc>
      </w:tr>
      <w:tr w:rsidR="00AE46DA" w:rsidRPr="001825C9" w:rsidTr="00DA72E0">
        <w:tc>
          <w:tcPr>
            <w:tcW w:w="784" w:type="pct"/>
            <w:vMerge/>
          </w:tcPr>
          <w:p w:rsidR="00AE46DA" w:rsidRPr="001825C9" w:rsidRDefault="00AE46DA" w:rsidP="00B21F37">
            <w:pPr>
              <w:pStyle w:val="Default"/>
              <w:rPr>
                <w:rFonts w:ascii="Arial Narrow" w:hAnsi="Arial Narrow"/>
                <w:sz w:val="20"/>
                <w:szCs w:val="20"/>
                <w:lang w:val="en-AU"/>
              </w:rPr>
            </w:pPr>
          </w:p>
        </w:tc>
        <w:tc>
          <w:tcPr>
            <w:tcW w:w="3243" w:type="pct"/>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 xml:space="preserve">Kopetz S, Grothey A, Yaeger R, Van Cutsem E et al. Encorafenib, Binimetinib, and Cetuximab in </w:t>
            </w:r>
            <w:r w:rsidRPr="001825C9">
              <w:rPr>
                <w:rFonts w:ascii="Arial Narrow" w:hAnsi="Arial Narrow"/>
                <w:i/>
                <w:iCs/>
                <w:sz w:val="20"/>
                <w:szCs w:val="20"/>
                <w:lang w:val="en-AU"/>
              </w:rPr>
              <w:t xml:space="preserve">BRAF </w:t>
            </w:r>
            <w:r w:rsidR="0090484C" w:rsidRPr="001825C9">
              <w:rPr>
                <w:rFonts w:ascii="Arial Narrow" w:hAnsi="Arial Narrow"/>
                <w:iCs/>
                <w:sz w:val="20"/>
                <w:szCs w:val="20"/>
                <w:lang w:val="en-AU"/>
              </w:rPr>
              <w:t>V600E</w:t>
            </w:r>
            <w:r w:rsidRPr="001825C9">
              <w:rPr>
                <w:rFonts w:ascii="Arial Narrow" w:hAnsi="Arial Narrow"/>
                <w:sz w:val="20"/>
                <w:szCs w:val="20"/>
                <w:lang w:val="en-AU"/>
              </w:rPr>
              <w:t>-mutated colorectal cancer.</w:t>
            </w:r>
          </w:p>
        </w:tc>
        <w:tc>
          <w:tcPr>
            <w:tcW w:w="974" w:type="pct"/>
          </w:tcPr>
          <w:p w:rsidR="00AE46DA" w:rsidRPr="001825C9" w:rsidRDefault="00AE46DA" w:rsidP="00B21F37">
            <w:pPr>
              <w:pStyle w:val="Default"/>
              <w:rPr>
                <w:rFonts w:ascii="Arial Narrow" w:hAnsi="Arial Narrow"/>
                <w:sz w:val="20"/>
                <w:szCs w:val="20"/>
                <w:lang w:val="en-AU"/>
              </w:rPr>
            </w:pPr>
            <w:r w:rsidRPr="001825C9">
              <w:rPr>
                <w:rFonts w:ascii="Arial Narrow" w:hAnsi="Arial Narrow"/>
                <w:i/>
                <w:sz w:val="20"/>
                <w:szCs w:val="20"/>
                <w:lang w:val="en-AU"/>
              </w:rPr>
              <w:t>N Engl J Med</w:t>
            </w:r>
            <w:r w:rsidR="00DA72E0" w:rsidRPr="001825C9">
              <w:rPr>
                <w:rFonts w:ascii="Arial Narrow" w:hAnsi="Arial Narrow"/>
                <w:sz w:val="20"/>
                <w:szCs w:val="20"/>
                <w:lang w:val="en-AU"/>
              </w:rPr>
              <w:t xml:space="preserve"> 2019; 381:1632-1643.</w:t>
            </w:r>
          </w:p>
        </w:tc>
      </w:tr>
    </w:tbl>
    <w:p w:rsidR="00AE46DA" w:rsidRPr="001825C9" w:rsidRDefault="00AE46DA" w:rsidP="00AE46DA">
      <w:pPr>
        <w:pStyle w:val="ListParagraph"/>
      </w:pPr>
      <w:r w:rsidRPr="001825C9">
        <w:t>The key features of the included evidence are summarised in Table 4.</w:t>
      </w:r>
    </w:p>
    <w:p w:rsidR="00AE46DA" w:rsidRPr="001825C9" w:rsidRDefault="00AE46DA" w:rsidP="00AE46DA">
      <w:pPr>
        <w:pStyle w:val="Caption"/>
      </w:pPr>
      <w:r w:rsidRPr="001825C9">
        <w:lastRenderedPageBreak/>
        <w:t xml:space="preserve">Table </w:t>
      </w:r>
      <w:r w:rsidR="0099629B">
        <w:rPr>
          <w:noProof/>
        </w:rPr>
        <w:t>4</w:t>
      </w:r>
      <w:r w:rsidRPr="001825C9">
        <w:t>: Key fe</w:t>
      </w:r>
      <w:r w:rsidR="00DA72E0" w:rsidRPr="001825C9">
        <w:t>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7"/>
        <w:gridCol w:w="748"/>
        <w:gridCol w:w="1585"/>
        <w:gridCol w:w="2552"/>
        <w:gridCol w:w="1417"/>
        <w:gridCol w:w="1507"/>
      </w:tblGrid>
      <w:tr w:rsidR="00AE46DA" w:rsidRPr="001825C9" w:rsidTr="00B21F37">
        <w:tc>
          <w:tcPr>
            <w:tcW w:w="669"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jc w:val="center"/>
              <w:rPr>
                <w:b/>
              </w:rPr>
            </w:pPr>
            <w:r w:rsidRPr="001825C9">
              <w:rPr>
                <w:b/>
              </w:rPr>
              <w:t>Trial</w:t>
            </w:r>
          </w:p>
        </w:tc>
        <w:tc>
          <w:tcPr>
            <w:tcW w:w="415"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jc w:val="center"/>
              <w:rPr>
                <w:b/>
              </w:rPr>
            </w:pPr>
            <w:r w:rsidRPr="001825C9">
              <w:rPr>
                <w:b/>
              </w:rPr>
              <w:t>N</w:t>
            </w:r>
          </w:p>
        </w:tc>
        <w:tc>
          <w:tcPr>
            <w:tcW w:w="879"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jc w:val="center"/>
              <w:rPr>
                <w:b/>
              </w:rPr>
            </w:pPr>
            <w:r w:rsidRPr="001825C9">
              <w:rPr>
                <w:b/>
              </w:rPr>
              <w:t>Design/ duration</w:t>
            </w:r>
          </w:p>
        </w:tc>
        <w:tc>
          <w:tcPr>
            <w:tcW w:w="1415"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jc w:val="center"/>
              <w:rPr>
                <w:b/>
              </w:rPr>
            </w:pPr>
            <w:r w:rsidRPr="001825C9">
              <w:rPr>
                <w:b/>
              </w:rPr>
              <w:t>Patient population</w:t>
            </w:r>
          </w:p>
        </w:tc>
        <w:tc>
          <w:tcPr>
            <w:tcW w:w="786"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jc w:val="center"/>
              <w:rPr>
                <w:b/>
              </w:rPr>
            </w:pPr>
            <w:r w:rsidRPr="001825C9">
              <w:rPr>
                <w:b/>
              </w:rPr>
              <w:t>Outcome(s)</w:t>
            </w:r>
          </w:p>
        </w:tc>
        <w:tc>
          <w:tcPr>
            <w:tcW w:w="836"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jc w:val="center"/>
              <w:rPr>
                <w:b/>
              </w:rPr>
            </w:pPr>
            <w:r w:rsidRPr="001825C9">
              <w:rPr>
                <w:b/>
              </w:rPr>
              <w:t>Use in modelled evaluation</w:t>
            </w:r>
          </w:p>
        </w:tc>
      </w:tr>
      <w:tr w:rsidR="00AE46DA" w:rsidRPr="001825C9" w:rsidTr="00B21F37">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rPr>
                <w:b/>
                <w:vertAlign w:val="superscript"/>
              </w:rPr>
            </w:pPr>
            <w:r w:rsidRPr="001825C9">
              <w:rPr>
                <w:b/>
              </w:rPr>
              <w:t xml:space="preserve">Encorafenib + cetuximab vs control </w:t>
            </w:r>
            <w:r w:rsidRPr="001825C9">
              <w:rPr>
                <w:b/>
                <w:vertAlign w:val="superscript"/>
              </w:rPr>
              <w:t>a</w:t>
            </w:r>
          </w:p>
        </w:tc>
      </w:tr>
      <w:tr w:rsidR="00AE46DA" w:rsidRPr="001825C9" w:rsidTr="00B21F37">
        <w:tc>
          <w:tcPr>
            <w:tcW w:w="669"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pPr>
            <w:r w:rsidRPr="001825C9">
              <w:t>BEACON CRC</w:t>
            </w:r>
          </w:p>
        </w:tc>
        <w:tc>
          <w:tcPr>
            <w:tcW w:w="415"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Number"/>
              <w:keepNext/>
              <w:keepLines/>
              <w:widowControl/>
              <w:tabs>
                <w:tab w:val="clear" w:pos="396"/>
                <w:tab w:val="decimal" w:pos="62"/>
              </w:tabs>
              <w:rPr>
                <w:vertAlign w:val="superscript"/>
              </w:rPr>
            </w:pPr>
            <w:r w:rsidRPr="001825C9">
              <w:t xml:space="preserve">665 </w:t>
            </w:r>
            <w:r w:rsidRPr="001825C9">
              <w:rPr>
                <w:vertAlign w:val="superscript"/>
              </w:rPr>
              <w:t>b</w:t>
            </w:r>
          </w:p>
        </w:tc>
        <w:tc>
          <w:tcPr>
            <w:tcW w:w="879"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jc w:val="center"/>
            </w:pPr>
            <w:r w:rsidRPr="001825C9">
              <w:t>R, MC, OL</w:t>
            </w:r>
          </w:p>
          <w:p w:rsidR="00AE46DA" w:rsidRPr="001825C9" w:rsidRDefault="00AE46DA" w:rsidP="00B21F37">
            <w:pPr>
              <w:pStyle w:val="TableText"/>
              <w:keepNext/>
              <w:keepLines/>
              <w:widowControl/>
              <w:jc w:val="center"/>
              <w:rPr>
                <w:vertAlign w:val="superscript"/>
              </w:rPr>
            </w:pPr>
            <w:r w:rsidRPr="001825C9">
              <w:rPr>
                <w:szCs w:val="20"/>
              </w:rPr>
              <w:t xml:space="preserve">14.7 months </w:t>
            </w:r>
            <w:r w:rsidRPr="001825C9">
              <w:rPr>
                <w:szCs w:val="20"/>
                <w:vertAlign w:val="superscript"/>
              </w:rPr>
              <w:t>c</w:t>
            </w:r>
          </w:p>
        </w:tc>
        <w:tc>
          <w:tcPr>
            <w:tcW w:w="1415"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jc w:val="center"/>
            </w:pPr>
            <w:r w:rsidRPr="001825C9">
              <w:rPr>
                <w:i/>
              </w:rPr>
              <w:t xml:space="preserve">BRAF </w:t>
            </w:r>
            <w:r w:rsidR="0090484C" w:rsidRPr="001825C9">
              <w:t>V600E</w:t>
            </w:r>
            <w:r w:rsidRPr="001825C9">
              <w:t xml:space="preserve"> metastatic CRC after failure of initial therapy</w:t>
            </w:r>
          </w:p>
        </w:tc>
        <w:tc>
          <w:tcPr>
            <w:tcW w:w="786"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ind w:left="114"/>
              <w:rPr>
                <w:vertAlign w:val="superscript"/>
              </w:rPr>
            </w:pPr>
            <w:r w:rsidRPr="001825C9">
              <w:t xml:space="preserve">OS, ORR, PFS </w:t>
            </w:r>
            <w:r w:rsidRPr="001825C9">
              <w:rPr>
                <w:vertAlign w:val="superscript"/>
              </w:rPr>
              <w:t>d</w:t>
            </w:r>
          </w:p>
        </w:tc>
        <w:tc>
          <w:tcPr>
            <w:tcW w:w="836" w:type="pct"/>
            <w:tcBorders>
              <w:top w:val="single" w:sz="4" w:space="0" w:color="auto"/>
              <w:left w:val="single" w:sz="4" w:space="0" w:color="auto"/>
              <w:bottom w:val="single" w:sz="4" w:space="0" w:color="auto"/>
              <w:right w:val="single" w:sz="4" w:space="0" w:color="auto"/>
            </w:tcBorders>
            <w:vAlign w:val="center"/>
            <w:hideMark/>
          </w:tcPr>
          <w:p w:rsidR="00AE46DA" w:rsidRPr="001825C9" w:rsidRDefault="00AE46DA" w:rsidP="00B21F37">
            <w:pPr>
              <w:pStyle w:val="TableText"/>
              <w:keepNext/>
              <w:keepLines/>
              <w:widowControl/>
              <w:ind w:left="117"/>
            </w:pPr>
            <w:r w:rsidRPr="001825C9">
              <w:t>OS, PFS, TTD</w:t>
            </w:r>
          </w:p>
        </w:tc>
      </w:tr>
    </w:tbl>
    <w:p w:rsidR="00AE46DA" w:rsidRPr="001825C9" w:rsidRDefault="00AE46DA" w:rsidP="00AE46DA">
      <w:pPr>
        <w:pStyle w:val="TableFooter"/>
        <w:keepNext/>
        <w:keepLines/>
        <w:widowControl/>
        <w:rPr>
          <w:szCs w:val="18"/>
        </w:rPr>
      </w:pPr>
      <w:r w:rsidRPr="001825C9">
        <w:rPr>
          <w:vertAlign w:val="superscript"/>
        </w:rPr>
        <w:t>a</w:t>
      </w:r>
      <w:r w:rsidRPr="001825C9">
        <w:t xml:space="preserve"> </w:t>
      </w:r>
      <w:r w:rsidRPr="001825C9">
        <w:rPr>
          <w:szCs w:val="18"/>
        </w:rPr>
        <w:t>Control arm = investigator’s choice of irinotecan + cetuximab or FOLFIRI + cetuximab.</w:t>
      </w:r>
    </w:p>
    <w:p w:rsidR="00AE46DA" w:rsidRPr="001825C9" w:rsidRDefault="00AE46DA" w:rsidP="00AE46DA">
      <w:pPr>
        <w:pStyle w:val="TableFooter"/>
        <w:keepNext/>
        <w:keepLines/>
        <w:widowControl/>
        <w:rPr>
          <w:szCs w:val="18"/>
        </w:rPr>
      </w:pPr>
      <w:r w:rsidRPr="001825C9">
        <w:rPr>
          <w:szCs w:val="18"/>
          <w:vertAlign w:val="superscript"/>
        </w:rPr>
        <w:t xml:space="preserve">b </w:t>
      </w:r>
      <w:r w:rsidRPr="001825C9">
        <w:rPr>
          <w:szCs w:val="18"/>
        </w:rPr>
        <w:t>BEACON CRC had three arms: encorafenib + binimetinib + cetuximab (triplet arm; n = 224), encorafenib + cetuximab (doublet arm; n = 220) or control arm (n = 221). The clinical evidence for the submission was the comparison between the doublet arm and the control arm.</w:t>
      </w:r>
    </w:p>
    <w:p w:rsidR="00AE46DA" w:rsidRPr="001825C9" w:rsidRDefault="00AE46DA" w:rsidP="00AE46DA">
      <w:pPr>
        <w:pStyle w:val="TableFooter"/>
        <w:keepNext/>
        <w:keepLines/>
        <w:widowControl/>
        <w:rPr>
          <w:szCs w:val="18"/>
        </w:rPr>
      </w:pPr>
      <w:r w:rsidRPr="001825C9">
        <w:rPr>
          <w:vertAlign w:val="superscript"/>
        </w:rPr>
        <w:t xml:space="preserve">c </w:t>
      </w:r>
      <w:r w:rsidRPr="001825C9">
        <w:rPr>
          <w:szCs w:val="18"/>
        </w:rPr>
        <w:t>Defined as the duration between randomisation and cut-off date in total population (N = 665).</w:t>
      </w:r>
    </w:p>
    <w:p w:rsidR="00AE46DA" w:rsidRPr="001825C9" w:rsidRDefault="00AE46DA" w:rsidP="00AE46DA">
      <w:pPr>
        <w:pStyle w:val="TableFooter"/>
        <w:keepNext/>
        <w:keepLines/>
        <w:widowControl/>
      </w:pPr>
      <w:r w:rsidRPr="001825C9">
        <w:rPr>
          <w:vertAlign w:val="superscript"/>
        </w:rPr>
        <w:t xml:space="preserve">d </w:t>
      </w:r>
      <w:r w:rsidRPr="001825C9">
        <w:t>These include the key secondary and secondary outcomes that are relevant to the submission.</w:t>
      </w:r>
    </w:p>
    <w:p w:rsidR="00AE46DA" w:rsidRPr="001825C9" w:rsidRDefault="00AE46DA" w:rsidP="00AE46DA">
      <w:pPr>
        <w:pStyle w:val="TableFooter"/>
        <w:keepNext/>
        <w:keepLines/>
        <w:widowControl/>
      </w:pPr>
      <w:r w:rsidRPr="001825C9">
        <w:t>Abbreviations: BRAF = B-Rapidly Accelerated Fibrosarcoma; CRC = colorectal cancer; MC = multi-centre; OL = open label; OS = overall survival; PFS = progression-free survival; R = randomised; TTD = time to discontinuation.</w:t>
      </w:r>
    </w:p>
    <w:p w:rsidR="00AE46DA" w:rsidRPr="001825C9" w:rsidRDefault="00AE46DA" w:rsidP="00AE46DA">
      <w:pPr>
        <w:pStyle w:val="TableFooter"/>
        <w:keepNext/>
        <w:keepLines/>
        <w:widowControl/>
      </w:pPr>
      <w:r w:rsidRPr="001825C9">
        <w:t>Source: compiled during the evaluation</w:t>
      </w:r>
    </w:p>
    <w:p w:rsidR="00AE46DA" w:rsidRPr="001825C9" w:rsidRDefault="00AE46DA" w:rsidP="00AE46DA">
      <w:pPr>
        <w:pStyle w:val="ListParagraph"/>
        <w:rPr>
          <w:color w:val="auto"/>
        </w:rPr>
      </w:pPr>
      <w:r w:rsidRPr="001825C9">
        <w:t xml:space="preserve">The submission was based predominantly on one head-to-head randomised controlled trial, BEACON, comparing encorafenib + cetuximab (+/- binimetinib) to </w:t>
      </w:r>
      <w:r w:rsidR="00F0297A" w:rsidRPr="001825C9">
        <w:t xml:space="preserve">FOLFIRI + cetuximab or </w:t>
      </w:r>
      <w:r w:rsidRPr="001825C9">
        <w:t xml:space="preserve">irinotecan + cetuximab (FOLFIRI/Ir + cetuximab) in patients with </w:t>
      </w:r>
      <w:r w:rsidRPr="001825C9">
        <w:rPr>
          <w:i/>
        </w:rPr>
        <w:t xml:space="preserve">BRAF </w:t>
      </w:r>
      <w:r w:rsidR="0090484C" w:rsidRPr="001825C9">
        <w:t>V600E</w:t>
      </w:r>
      <w:r w:rsidRPr="001825C9">
        <w:rPr>
          <w:i/>
        </w:rPr>
        <w:t xml:space="preserve"> </w:t>
      </w:r>
      <w:r w:rsidRPr="001825C9">
        <w:t>variant mCRC. Randomisation was stratified according to Eastern Cooperative Oncology group (ECOG) performance status (0 or 1), previous use of irinotecan (yes or no), and cetuximab formulation (United States licensed or European-approved formulati</w:t>
      </w:r>
      <w:r w:rsidRPr="001825C9">
        <w:rPr>
          <w:color w:val="auto"/>
        </w:rPr>
        <w:t>on).</w:t>
      </w:r>
    </w:p>
    <w:p w:rsidR="00AE46DA" w:rsidRPr="001825C9" w:rsidRDefault="00AE46DA" w:rsidP="00AE46DA">
      <w:pPr>
        <w:pStyle w:val="ListParagraph"/>
        <w:rPr>
          <w:color w:val="auto"/>
        </w:rPr>
      </w:pPr>
      <w:r w:rsidRPr="001825C9">
        <w:t xml:space="preserve">BEACON enrolled adults with histologically or cytologically confirmed mCRC; measurable disease; with the presence of </w:t>
      </w:r>
      <w:r w:rsidRPr="001825C9">
        <w:rPr>
          <w:i/>
        </w:rPr>
        <w:t>BRAF</w:t>
      </w:r>
      <w:r w:rsidRPr="001825C9">
        <w:t xml:space="preserve"> </w:t>
      </w:r>
      <w:r w:rsidR="0090484C" w:rsidRPr="001825C9">
        <w:t>V600E</w:t>
      </w:r>
      <w:r w:rsidRPr="001825C9">
        <w:t xml:space="preserve"> in tumour tissue as determined by a local assay or central laboratory. Patients must have had progressive disease after one or two prior regimens in the metastatic setting, ECOG ≤1, and adequate haemato</w:t>
      </w:r>
      <w:r w:rsidRPr="001825C9">
        <w:lastRenderedPageBreak/>
        <w:t xml:space="preserve">logical, hepatic and renal function. Eligible patients also needed to qualify to </w:t>
      </w:r>
      <w:r w:rsidRPr="001825C9">
        <w:rPr>
          <w:rFonts w:ascii="Calibri" w:hAnsi="Calibri"/>
          <w:szCs w:val="24"/>
        </w:rPr>
        <w:t xml:space="preserve">receive cetuximab per locally approved label with regard to tumour </w:t>
      </w:r>
      <w:r w:rsidRPr="001825C9">
        <w:rPr>
          <w:rFonts w:ascii="Calibri" w:hAnsi="Calibri"/>
          <w:i/>
          <w:szCs w:val="24"/>
        </w:rPr>
        <w:t>RAS</w:t>
      </w:r>
      <w:r w:rsidRPr="001825C9">
        <w:rPr>
          <w:rFonts w:ascii="Calibri" w:hAnsi="Calibri"/>
          <w:szCs w:val="24"/>
        </w:rPr>
        <w:t xml:space="preserve"> status</w:t>
      </w:r>
      <w:r w:rsidRPr="001825C9">
        <w:t xml:space="preserve">, </w:t>
      </w:r>
      <w:r w:rsidRPr="001825C9">
        <w:rPr>
          <w:szCs w:val="24"/>
        </w:rPr>
        <w:t xml:space="preserve">and be able to provide a sufficient amount of representative tumour specimen for confirmatory central laboratory testing of </w:t>
      </w:r>
      <w:r w:rsidRPr="001825C9">
        <w:rPr>
          <w:i/>
          <w:szCs w:val="24"/>
        </w:rPr>
        <w:t>BRAF</w:t>
      </w:r>
      <w:r w:rsidRPr="001825C9">
        <w:rPr>
          <w:szCs w:val="24"/>
        </w:rPr>
        <w:t xml:space="preserve"> and </w:t>
      </w:r>
      <w:r w:rsidRPr="001825C9">
        <w:rPr>
          <w:i/>
          <w:szCs w:val="24"/>
        </w:rPr>
        <w:t>KRAS</w:t>
      </w:r>
      <w:r w:rsidRPr="001825C9">
        <w:rPr>
          <w:szCs w:val="24"/>
        </w:rPr>
        <w:t xml:space="preserve"> </w:t>
      </w:r>
      <w:r w:rsidRPr="001825C9">
        <w:rPr>
          <w:color w:val="auto"/>
          <w:szCs w:val="24"/>
        </w:rPr>
        <w:t>status.</w:t>
      </w:r>
    </w:p>
    <w:p w:rsidR="00AE46DA" w:rsidRPr="001825C9" w:rsidRDefault="00AE46DA" w:rsidP="00AE46DA">
      <w:pPr>
        <w:pStyle w:val="ListParagraph"/>
        <w:rPr>
          <w:color w:val="auto"/>
        </w:rPr>
      </w:pPr>
      <w:r w:rsidRPr="001825C9">
        <w:rPr>
          <w:color w:val="auto"/>
        </w:rPr>
        <w:t>Baseline patient disease characteristics were similar with respect to primary tumour location, prior cancer treatment (including number of prior systemic therapies), number of organs involved</w:t>
      </w:r>
      <w:r w:rsidR="00DA72E0" w:rsidRPr="001825C9">
        <w:rPr>
          <w:color w:val="auto"/>
        </w:rPr>
        <w:t>,</w:t>
      </w:r>
      <w:r w:rsidRPr="001825C9">
        <w:rPr>
          <w:color w:val="auto"/>
        </w:rPr>
        <w:t xml:space="preserve"> and sites of metastases. Tumour microsatellite instability (MSI) status, was similar across the three arms. The proportion of patients classified with MSI abnormally high (MSI-H) was slightly greater in the encorafenib + binimetinib + cetuximab arm (9.8%) and encorafenib + cetuximab arm (8.6%) compared to the control arm (5.4%).</w:t>
      </w:r>
      <w:r w:rsidRPr="001825C9">
        <w:rPr>
          <w:i/>
          <w:color w:val="auto"/>
        </w:rPr>
        <w:t xml:space="preserve"> </w:t>
      </w:r>
      <w:r w:rsidRPr="001825C9">
        <w:rPr>
          <w:color w:val="auto"/>
        </w:rPr>
        <w:t xml:space="preserve">The predictive value of MSI status with respect to the encorafenib treatment effect </w:t>
      </w:r>
      <w:r w:rsidR="00A563AF">
        <w:rPr>
          <w:color w:val="auto"/>
        </w:rPr>
        <w:t xml:space="preserve">is </w:t>
      </w:r>
      <w:r w:rsidRPr="001825C9">
        <w:rPr>
          <w:color w:val="auto"/>
        </w:rPr>
        <w:t>unknown. The proportion of patients with primary tumour in the left colon (which included the rectum) was greater in the encorafenib + binimetinib + cetuximab arm (35.3%) and the encorafenib + cetuximab arm (37.7%) compared to the control arm (30.8%). The Clinical Guidelines Network (Cancer Council Australia)</w:t>
      </w:r>
      <w:r w:rsidRPr="001825C9">
        <w:rPr>
          <w:rStyle w:val="FootnoteReference"/>
          <w:color w:val="auto"/>
        </w:rPr>
        <w:footnoteReference w:id="5"/>
      </w:r>
      <w:r w:rsidRPr="001825C9">
        <w:rPr>
          <w:color w:val="auto"/>
        </w:rPr>
        <w:t xml:space="preserve"> state the location of the primary tumour is a strong prognostic factor and that patients with left sided primary tumours have a favourable outcome compared with those with right sided tumours regardless of treatment type received. The higher proportion of patients with left colon cancer in both of the intervention arms could have potentially biased results against the control arm, although the difference was not statistically significant (RD = 0.70, 95% CI: -0.019, 0.158).</w:t>
      </w:r>
    </w:p>
    <w:p w:rsidR="00AE46DA" w:rsidRPr="001825C9" w:rsidRDefault="00AE46DA" w:rsidP="00AE46DA">
      <w:pPr>
        <w:pStyle w:val="ListParagraph"/>
        <w:rPr>
          <w:color w:val="auto"/>
        </w:rPr>
      </w:pPr>
      <w:r w:rsidRPr="001825C9">
        <w:rPr>
          <w:color w:val="auto"/>
        </w:rPr>
        <w:lastRenderedPageBreak/>
        <w:t>The overall risk of bias in BEACON was low, although potential sources of bias included:</w:t>
      </w:r>
    </w:p>
    <w:p w:rsidR="00AE46DA" w:rsidRPr="001825C9" w:rsidRDefault="00AE46DA" w:rsidP="00CF5EEB">
      <w:pPr>
        <w:pStyle w:val="ListParagraph"/>
        <w:numPr>
          <w:ilvl w:val="0"/>
          <w:numId w:val="14"/>
        </w:numPr>
        <w:ind w:left="1077" w:hanging="357"/>
      </w:pPr>
      <w:r w:rsidRPr="001825C9">
        <w:t>The Phase 3 Response Efficacy Set consisted of the first 331 pati</w:t>
      </w:r>
      <w:r w:rsidRPr="001825C9">
        <w:rPr>
          <w:rFonts w:cstheme="minorHAnsi"/>
          <w:szCs w:val="24"/>
        </w:rPr>
        <w:t xml:space="preserve">ents randomised (n = 111 </w:t>
      </w:r>
      <w:r w:rsidRPr="001825C9">
        <w:rPr>
          <w:rFonts w:ascii="Calibri" w:hAnsi="Calibri" w:cs="Calibri"/>
          <w:szCs w:val="24"/>
        </w:rPr>
        <w:t>encorafenib + binimetinib + cetuximab arm; n = 113 encorafenib + cetuximab arm and n = 107 control arm), who had follow-up of at least 9 months. The results for objective tumour response rates at the primary analysis (data cut-off 11 February 2019) could therefore be potentially subject to attrition bias as they do not consider the overall response rate in the whole trial population.</w:t>
      </w:r>
    </w:p>
    <w:p w:rsidR="00AE46DA" w:rsidRPr="001825C9" w:rsidRDefault="00AE46DA" w:rsidP="00CF5EEB">
      <w:pPr>
        <w:pStyle w:val="ListParagraph"/>
        <w:numPr>
          <w:ilvl w:val="0"/>
          <w:numId w:val="14"/>
        </w:numPr>
        <w:ind w:left="1077" w:hanging="357"/>
      </w:pPr>
      <w:r w:rsidRPr="001825C9">
        <w:t>Due to the open-label nature of the trial, investigator and patient treatment decisions may have been influenced as they were aware of the therapy to which</w:t>
      </w:r>
      <w:r w:rsidRPr="001825C9">
        <w:rPr>
          <w:i/>
        </w:rPr>
        <w:t xml:space="preserve"> </w:t>
      </w:r>
      <w:r w:rsidRPr="001825C9">
        <w:t xml:space="preserve">they were assigned. Study discontinuation rates were higher in the control arm (59.3%) compared to the </w:t>
      </w:r>
      <w:r w:rsidRPr="001825C9">
        <w:rPr>
          <w:color w:val="auto"/>
        </w:rPr>
        <w:t xml:space="preserve">encorafenib + binimetinib + cetuximab </w:t>
      </w:r>
      <w:r w:rsidRPr="001825C9">
        <w:t>arm (41.5%) and the encorafenib + cetuximab arm (44.5%).</w:t>
      </w:r>
    </w:p>
    <w:p w:rsidR="00AE46DA" w:rsidRPr="001825C9" w:rsidRDefault="00AE46DA" w:rsidP="00CF5EEB">
      <w:pPr>
        <w:pStyle w:val="ListParagraph"/>
        <w:numPr>
          <w:ilvl w:val="0"/>
          <w:numId w:val="14"/>
        </w:numPr>
        <w:ind w:left="1077" w:hanging="357"/>
      </w:pPr>
      <w:r w:rsidRPr="001825C9">
        <w:t>The control arm consisted of investigator’s choice of either cetuximab + irinotecan or cetuximab + FOLFIRI. As the dose of irinotecan in both regimens was the same (i.e. the difference between the regimens was the addition of 5-fluorouracil + folinic acid), investigator’s choice of one regimen over the other could have the potential to bias clinical outcomes, as well as adverse events (AEs).</w:t>
      </w:r>
    </w:p>
    <w:p w:rsidR="00AE46DA" w:rsidRPr="001825C9" w:rsidRDefault="00AE46DA" w:rsidP="00AE46DA">
      <w:pPr>
        <w:pStyle w:val="ListParagraph"/>
        <w:rPr>
          <w:color w:val="auto"/>
        </w:rPr>
      </w:pPr>
      <w:r w:rsidRPr="001825C9">
        <w:rPr>
          <w:iCs/>
          <w:color w:val="auto"/>
        </w:rPr>
        <w:t>Reporting of</w:t>
      </w:r>
      <w:r w:rsidRPr="001825C9">
        <w:rPr>
          <w:i/>
          <w:color w:val="auto"/>
        </w:rPr>
        <w:t xml:space="preserve"> BRAF </w:t>
      </w:r>
      <w:r w:rsidR="0090484C" w:rsidRPr="001825C9">
        <w:rPr>
          <w:color w:val="auto"/>
        </w:rPr>
        <w:t>V600E</w:t>
      </w:r>
      <w:r w:rsidRPr="001825C9">
        <w:rPr>
          <w:i/>
          <w:color w:val="auto"/>
        </w:rPr>
        <w:t xml:space="preserve"> </w:t>
      </w:r>
      <w:r w:rsidRPr="001825C9">
        <w:rPr>
          <w:color w:val="auto"/>
        </w:rPr>
        <w:t xml:space="preserve">status with respect to local and </w:t>
      </w:r>
      <w:r w:rsidRPr="001825C9">
        <w:t>central laboratory testing was consistent between the three arms. However, there were differences in patient classification between the local and central tests.</w:t>
      </w:r>
      <w:r w:rsidRPr="001825C9">
        <w:rPr>
          <w:i/>
        </w:rPr>
        <w:t xml:space="preserve"> </w:t>
      </w:r>
      <w:r w:rsidRPr="001825C9">
        <w:t xml:space="preserve">A higher proportion of mutations was detected centrally compared to locally (95.1% vs 75.4% encorafenib + binimetinib + </w:t>
      </w:r>
      <w:r w:rsidRPr="001825C9">
        <w:lastRenderedPageBreak/>
        <w:t xml:space="preserve">cetuximab arm, 91.4% vs 75.5% encorafenib + cetuximab and 91.0% vs 78.3% control, respectively). For </w:t>
      </w:r>
      <w:r w:rsidRPr="001825C9">
        <w:rPr>
          <w:i/>
        </w:rPr>
        <w:t>K/RAS</w:t>
      </w:r>
      <w:r w:rsidRPr="001825C9">
        <w:t xml:space="preserve"> testing, the same inconsistency was also evident between local (</w:t>
      </w:r>
      <w:r w:rsidRPr="001825C9">
        <w:rPr>
          <w:i/>
        </w:rPr>
        <w:t>RAS</w:t>
      </w:r>
      <w:r w:rsidRPr="001825C9">
        <w:t xml:space="preserve"> testing) and central laboratory (</w:t>
      </w:r>
      <w:r w:rsidRPr="001825C9">
        <w:rPr>
          <w:i/>
        </w:rPr>
        <w:t>KRAS</w:t>
      </w:r>
      <w:r w:rsidRPr="001825C9">
        <w:t xml:space="preserve"> testing) results, where a higher proportion of </w:t>
      </w:r>
      <w:r w:rsidRPr="001825C9">
        <w:rPr>
          <w:i/>
        </w:rPr>
        <w:t xml:space="preserve">RAS </w:t>
      </w:r>
      <w:r w:rsidRPr="001825C9">
        <w:t xml:space="preserve">WT (or no </w:t>
      </w:r>
      <w:r w:rsidRPr="001825C9">
        <w:rPr>
          <w:i/>
        </w:rPr>
        <w:t>KRAS</w:t>
      </w:r>
      <w:r w:rsidRPr="001825C9">
        <w:t xml:space="preserve"> mutation) was detected when centrally assessed compared to locally assessed (94.6% vs 67.9% encorafenib + binimetinib + cetuximab arm, 91.4% vs 66.8% encorafenib + cetuximab arm, and 90.5% vs 71.9% control arm, respectively). The main reason for the variation between the local and central results was due to </w:t>
      </w:r>
      <w:r w:rsidRPr="001825C9">
        <w:rPr>
          <w:i/>
        </w:rPr>
        <w:t>RAS</w:t>
      </w:r>
      <w:r w:rsidRPr="001825C9">
        <w:t xml:space="preserve"> status not being available to be assessed locally for some patients (33.2% encorafenib + cetuximab and 27.1% in the control arm). This was despite the inclusion criteria of BEACON specifying that patients needed t</w:t>
      </w:r>
      <w:r w:rsidRPr="001825C9">
        <w:rPr>
          <w:color w:val="auto"/>
        </w:rPr>
        <w:t xml:space="preserve">o be eligible to receive cetuximab per locally approved label with regard to tumour </w:t>
      </w:r>
      <w:r w:rsidRPr="001825C9">
        <w:rPr>
          <w:i/>
          <w:color w:val="auto"/>
        </w:rPr>
        <w:t>RAS</w:t>
      </w:r>
      <w:r w:rsidRPr="001825C9">
        <w:rPr>
          <w:color w:val="auto"/>
        </w:rPr>
        <w:t xml:space="preserve"> status.</w:t>
      </w:r>
    </w:p>
    <w:p w:rsidR="00AE46DA" w:rsidRPr="001825C9" w:rsidRDefault="00AE46DA" w:rsidP="00321E61">
      <w:pPr>
        <w:pStyle w:val="PBACESHeading2"/>
      </w:pPr>
      <w:bookmarkStart w:id="22" w:name="_Toc61968412"/>
      <w:r w:rsidRPr="001825C9">
        <w:t>Comparative effectiveness</w:t>
      </w:r>
      <w:bookmarkEnd w:id="22"/>
    </w:p>
    <w:p w:rsidR="00AE46DA" w:rsidRPr="001825C9" w:rsidRDefault="00AE46DA" w:rsidP="00AE46DA">
      <w:pPr>
        <w:pStyle w:val="ListParagraph"/>
        <w:rPr>
          <w:color w:val="auto"/>
        </w:rPr>
      </w:pPr>
      <w:r w:rsidRPr="001825C9">
        <w:rPr>
          <w:color w:val="auto"/>
        </w:rPr>
        <w:t xml:space="preserve">The primary endpoint for BEACON was overall survival (OS) in the encorafenib + binimetinib + cetuximab arm compared with the control arm. The outcomes that were relevant to the submission included those that compared the efficacy and safety of encorafenib + cetuximab to the control arm. </w:t>
      </w:r>
      <w:r w:rsidRPr="001825C9">
        <w:rPr>
          <w:rFonts w:ascii="Calibri" w:hAnsi="Calibri" w:cs="Arial"/>
          <w:color w:val="auto"/>
          <w:szCs w:val="24"/>
        </w:rPr>
        <w:t>The sample size for BEACON was driven by the key secondary endpoint of OS for the encorafenib + cetuximab arm vs control arm.</w:t>
      </w:r>
    </w:p>
    <w:p w:rsidR="00AE46DA" w:rsidRPr="001825C9" w:rsidRDefault="00AE46DA" w:rsidP="00AE46DA">
      <w:pPr>
        <w:pStyle w:val="ListParagraph"/>
        <w:rPr>
          <w:color w:val="auto"/>
        </w:rPr>
      </w:pPr>
      <w:r w:rsidRPr="001825C9">
        <w:rPr>
          <w:rFonts w:ascii="Calibri" w:hAnsi="Calibri" w:cs="Arial"/>
          <w:color w:val="auto"/>
          <w:szCs w:val="24"/>
        </w:rPr>
        <w:t xml:space="preserve">The submission did not present a non-inferiority margin. However, it compared the gain in median OS for encorafenib + cetuximab vs control to the American Society of Clinical Oncology (ASCO) committee definition for clinically meaningful goals for CRC clinical trials; a stipulated improvement over current OS of 3-5 months with a target HR </w:t>
      </w:r>
      <w:r w:rsidRPr="001825C9">
        <w:rPr>
          <w:rFonts w:ascii="Calibri" w:hAnsi="Calibri" w:cs="Arial"/>
          <w:color w:val="auto"/>
          <w:szCs w:val="24"/>
        </w:rPr>
        <w:lastRenderedPageBreak/>
        <w:t>= 0.67. BEACON was powered at a HR threshold greater than the recommended ASCO definition of clinical meaningfulness in CRC trials.</w:t>
      </w:r>
    </w:p>
    <w:p w:rsidR="00AE46DA" w:rsidRPr="001825C9" w:rsidRDefault="00AE46DA" w:rsidP="00AE46DA">
      <w:pPr>
        <w:pStyle w:val="ListParagraph"/>
        <w:rPr>
          <w:color w:val="auto"/>
        </w:rPr>
      </w:pPr>
      <w:r w:rsidRPr="001825C9">
        <w:rPr>
          <w:color w:val="auto"/>
        </w:rPr>
        <w:t>A gatekeeper hierarchical procedure was used in BEACON to control the Type I error rates in the sequential order of primary, key secondary and secondary outcomes. The effectiveness outcomes are presented as per their order in the statistical hierarchy established within BEACON. Effectiveness outcomes for the t</w:t>
      </w:r>
      <w:r w:rsidRPr="001825C9">
        <w:t>riplet therapy arm are not presented here, as the submission did not seek listing of encorafenib in combination with cetuximab and binimetinib. The applicant did not seek TGA registration for the triplet therapy. In the EMA Assessment Report, it was noted that the doublet and triplet regimens do not differ from an efficacy perspective, and that the sponsor withdrew the binimetinib part of the application for Balance/Risk reasons, applying only for doublet therap</w:t>
      </w:r>
      <w:r w:rsidR="00F71EE7">
        <w:t>y</w:t>
      </w:r>
      <w:r w:rsidRPr="001825C9">
        <w:t>.</w:t>
      </w:r>
    </w:p>
    <w:p w:rsidR="00AE46DA" w:rsidRPr="001825C9" w:rsidRDefault="00AE46DA" w:rsidP="00AE46DA">
      <w:pPr>
        <w:pStyle w:val="Heading3"/>
      </w:pPr>
      <w:r w:rsidRPr="001825C9">
        <w:t>OS</w:t>
      </w:r>
    </w:p>
    <w:p w:rsidR="00AE46DA" w:rsidRPr="001825C9" w:rsidRDefault="00AE46DA" w:rsidP="00AE46DA">
      <w:pPr>
        <w:pStyle w:val="ListParagraph"/>
        <w:rPr>
          <w:color w:val="auto"/>
        </w:rPr>
      </w:pPr>
      <w:r w:rsidRPr="001825C9">
        <w:rPr>
          <w:color w:val="auto"/>
        </w:rPr>
        <w:t xml:space="preserve">A summary of the OS results for BEACON at the three analysis </w:t>
      </w:r>
      <w:r w:rsidR="00823CBD" w:rsidRPr="001825C9">
        <w:rPr>
          <w:color w:val="auto"/>
        </w:rPr>
        <w:t>time points</w:t>
      </w:r>
      <w:r w:rsidRPr="001825C9">
        <w:rPr>
          <w:color w:val="auto"/>
        </w:rPr>
        <w:t xml:space="preserve"> is presented in Table 5.</w:t>
      </w:r>
    </w:p>
    <w:p w:rsidR="00AE46DA" w:rsidRPr="001825C9" w:rsidRDefault="00AE46DA" w:rsidP="00AE46DA">
      <w:pPr>
        <w:pStyle w:val="Caption"/>
      </w:pPr>
      <w:bookmarkStart w:id="23" w:name="_Ref490140847"/>
      <w:r w:rsidRPr="001825C9">
        <w:t xml:space="preserve">Table </w:t>
      </w:r>
      <w:r w:rsidR="0099629B">
        <w:rPr>
          <w:noProof/>
        </w:rPr>
        <w:t>5</w:t>
      </w:r>
      <w:bookmarkEnd w:id="23"/>
      <w:r w:rsidRPr="001825C9">
        <w:t>: Results of overall survival in BEACON (FAS)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4A0" w:firstRow="1" w:lastRow="0" w:firstColumn="1" w:lastColumn="0" w:noHBand="0" w:noVBand="1"/>
      </w:tblPr>
      <w:tblGrid>
        <w:gridCol w:w="1986"/>
        <w:gridCol w:w="1170"/>
        <w:gridCol w:w="1179"/>
        <w:gridCol w:w="1163"/>
        <w:gridCol w:w="1174"/>
        <w:gridCol w:w="1170"/>
        <w:gridCol w:w="1174"/>
      </w:tblGrid>
      <w:tr w:rsidR="00AE46DA" w:rsidRPr="001825C9" w:rsidTr="00B21F37">
        <w:trPr>
          <w:tblHeader/>
        </w:trPr>
        <w:tc>
          <w:tcPr>
            <w:tcW w:w="1101" w:type="pct"/>
            <w:vMerge w:val="restart"/>
            <w:shd w:val="clear" w:color="auto" w:fill="auto"/>
            <w:vAlign w:val="center"/>
          </w:tcPr>
          <w:p w:rsidR="00AE46DA" w:rsidRPr="001825C9" w:rsidRDefault="00AE46DA" w:rsidP="00B21F37">
            <w:pPr>
              <w:pStyle w:val="TableText"/>
              <w:widowControl/>
              <w:spacing w:before="0" w:after="0" w:line="240" w:lineRule="auto"/>
              <w:jc w:val="center"/>
              <w:rPr>
                <w:b/>
              </w:rPr>
            </w:pPr>
            <w:r w:rsidRPr="001825C9">
              <w:rPr>
                <w:b/>
              </w:rPr>
              <w:t>OS</w:t>
            </w:r>
          </w:p>
        </w:tc>
        <w:tc>
          <w:tcPr>
            <w:tcW w:w="1303" w:type="pct"/>
            <w:gridSpan w:val="2"/>
            <w:shd w:val="clear" w:color="auto" w:fill="auto"/>
            <w:vAlign w:val="center"/>
          </w:tcPr>
          <w:p w:rsidR="00AE46DA" w:rsidRPr="001825C9" w:rsidRDefault="00AE46DA" w:rsidP="00B21F37">
            <w:pPr>
              <w:pStyle w:val="TableText"/>
              <w:widowControl/>
              <w:spacing w:before="0" w:after="0" w:line="240" w:lineRule="auto"/>
              <w:jc w:val="center"/>
              <w:rPr>
                <w:b/>
              </w:rPr>
            </w:pPr>
            <w:r w:rsidRPr="001825C9">
              <w:rPr>
                <w:b/>
              </w:rPr>
              <w:t>11 Feb 2019</w:t>
            </w:r>
          </w:p>
        </w:tc>
        <w:tc>
          <w:tcPr>
            <w:tcW w:w="1296" w:type="pct"/>
            <w:gridSpan w:val="2"/>
            <w:shd w:val="clear" w:color="auto" w:fill="auto"/>
            <w:vAlign w:val="center"/>
          </w:tcPr>
          <w:p w:rsidR="00AE46DA" w:rsidRPr="001825C9" w:rsidRDefault="00AE46DA" w:rsidP="00B21F37">
            <w:pPr>
              <w:pStyle w:val="TableText"/>
              <w:widowControl/>
              <w:spacing w:before="0" w:after="0" w:line="240" w:lineRule="auto"/>
              <w:jc w:val="center"/>
              <w:rPr>
                <w:b/>
              </w:rPr>
            </w:pPr>
            <w:r w:rsidRPr="001825C9">
              <w:rPr>
                <w:b/>
              </w:rPr>
              <w:t>15 Aug 2019</w:t>
            </w:r>
          </w:p>
        </w:tc>
        <w:tc>
          <w:tcPr>
            <w:tcW w:w="1300" w:type="pct"/>
            <w:gridSpan w:val="2"/>
            <w:shd w:val="clear" w:color="auto" w:fill="auto"/>
            <w:vAlign w:val="center"/>
          </w:tcPr>
          <w:p w:rsidR="00AE46DA" w:rsidRPr="001825C9" w:rsidRDefault="00AE46DA" w:rsidP="00B21F37">
            <w:pPr>
              <w:pStyle w:val="TableText"/>
              <w:widowControl/>
              <w:spacing w:before="0" w:after="0" w:line="240" w:lineRule="auto"/>
              <w:jc w:val="center"/>
              <w:rPr>
                <w:b/>
              </w:rPr>
            </w:pPr>
            <w:r w:rsidRPr="001825C9">
              <w:rPr>
                <w:b/>
              </w:rPr>
              <w:t>5 May 2020</w:t>
            </w:r>
          </w:p>
        </w:tc>
      </w:tr>
      <w:tr w:rsidR="00AE46DA" w:rsidRPr="001825C9" w:rsidTr="00B21F37">
        <w:tc>
          <w:tcPr>
            <w:tcW w:w="1101" w:type="pct"/>
            <w:vMerge/>
            <w:shd w:val="clear" w:color="auto" w:fill="auto"/>
            <w:vAlign w:val="center"/>
          </w:tcPr>
          <w:p w:rsidR="00AE46DA" w:rsidRPr="001825C9" w:rsidRDefault="00AE46DA" w:rsidP="00B21F37">
            <w:pPr>
              <w:spacing w:before="0" w:after="0"/>
              <w:ind w:left="-43"/>
              <w:jc w:val="center"/>
              <w:rPr>
                <w:rFonts w:ascii="Arial Narrow" w:hAnsi="Arial Narrow"/>
                <w:sz w:val="20"/>
                <w:szCs w:val="20"/>
              </w:rPr>
            </w:pPr>
          </w:p>
        </w:tc>
        <w:tc>
          <w:tcPr>
            <w:tcW w:w="649" w:type="pct"/>
            <w:shd w:val="clear" w:color="auto" w:fill="auto"/>
            <w:vAlign w:val="center"/>
          </w:tcPr>
          <w:p w:rsidR="00AE46DA" w:rsidRPr="001825C9" w:rsidRDefault="00AE46DA" w:rsidP="00B21F37">
            <w:pPr>
              <w:pStyle w:val="TableNumber"/>
              <w:widowControl/>
              <w:spacing w:before="0" w:after="0" w:line="240" w:lineRule="auto"/>
              <w:ind w:right="-67" w:hanging="77"/>
              <w:rPr>
                <w:b/>
              </w:rPr>
            </w:pPr>
            <w:r w:rsidRPr="001825C9">
              <w:rPr>
                <w:b/>
              </w:rPr>
              <w:t>ENCO + CET</w:t>
            </w:r>
            <w:r w:rsidR="00C92FE6" w:rsidRPr="001825C9">
              <w:rPr>
                <w:b/>
              </w:rPr>
              <w:t>U</w:t>
            </w:r>
            <w:r w:rsidRPr="001825C9">
              <w:rPr>
                <w:b/>
              </w:rPr>
              <w:t>X</w:t>
            </w:r>
          </w:p>
          <w:p w:rsidR="00AE46DA" w:rsidRPr="001825C9" w:rsidRDefault="00AE46DA" w:rsidP="00B21F37">
            <w:pPr>
              <w:pStyle w:val="TableNumber"/>
              <w:widowControl/>
              <w:spacing w:before="0" w:after="0" w:line="240" w:lineRule="auto"/>
              <w:ind w:right="-67" w:hanging="77"/>
              <w:rPr>
                <w:b/>
              </w:rPr>
            </w:pPr>
            <w:r w:rsidRPr="001825C9">
              <w:rPr>
                <w:b/>
              </w:rPr>
              <w:t>(N = 220)</w:t>
            </w:r>
          </w:p>
        </w:tc>
        <w:tc>
          <w:tcPr>
            <w:tcW w:w="654" w:type="pct"/>
            <w:shd w:val="clear" w:color="auto" w:fill="auto"/>
            <w:vAlign w:val="center"/>
          </w:tcPr>
          <w:p w:rsidR="00AE46DA" w:rsidRPr="001825C9" w:rsidRDefault="00AE46DA" w:rsidP="00B21F37">
            <w:pPr>
              <w:pStyle w:val="TableNumber"/>
              <w:widowControl/>
              <w:spacing w:before="0" w:after="0" w:line="240" w:lineRule="auto"/>
              <w:ind w:right="-58" w:hanging="139"/>
              <w:rPr>
                <w:rFonts w:eastAsia="Times New Roman" w:cs="Times New Roman"/>
                <w:b/>
                <w:vertAlign w:val="superscript"/>
              </w:rPr>
            </w:pPr>
            <w:r w:rsidRPr="001825C9">
              <w:rPr>
                <w:rFonts w:eastAsia="Times New Roman" w:cs="Times New Roman"/>
                <w:b/>
              </w:rPr>
              <w:t xml:space="preserve">CONTROL </w:t>
            </w:r>
            <w:r w:rsidRPr="001825C9">
              <w:rPr>
                <w:rFonts w:eastAsia="Times New Roman" w:cs="Times New Roman"/>
                <w:b/>
                <w:vertAlign w:val="superscript"/>
              </w:rPr>
              <w:t>a</w:t>
            </w:r>
          </w:p>
          <w:p w:rsidR="00AE46DA" w:rsidRPr="001825C9" w:rsidRDefault="00AE46DA" w:rsidP="00B21F37">
            <w:pPr>
              <w:pStyle w:val="TableNumber"/>
              <w:widowControl/>
              <w:spacing w:before="0" w:after="0" w:line="240" w:lineRule="auto"/>
              <w:ind w:right="-58" w:hanging="139"/>
              <w:rPr>
                <w:rFonts w:eastAsia="Times New Roman" w:cs="Times New Roman"/>
                <w:b/>
              </w:rPr>
            </w:pPr>
            <w:r w:rsidRPr="001825C9">
              <w:rPr>
                <w:rFonts w:eastAsia="Times New Roman" w:cs="Times New Roman"/>
                <w:b/>
              </w:rPr>
              <w:t>(N = 221)</w:t>
            </w:r>
          </w:p>
        </w:tc>
        <w:tc>
          <w:tcPr>
            <w:tcW w:w="645" w:type="pct"/>
            <w:shd w:val="clear" w:color="auto" w:fill="auto"/>
            <w:vAlign w:val="center"/>
          </w:tcPr>
          <w:p w:rsidR="00AE46DA" w:rsidRPr="001825C9" w:rsidRDefault="00AE46DA" w:rsidP="00B21F37">
            <w:pPr>
              <w:pStyle w:val="TableNumber"/>
              <w:widowControl/>
              <w:spacing w:before="0" w:after="0" w:line="240" w:lineRule="auto"/>
              <w:ind w:right="-67" w:hanging="77"/>
              <w:rPr>
                <w:b/>
              </w:rPr>
            </w:pPr>
            <w:r w:rsidRPr="001825C9">
              <w:rPr>
                <w:b/>
              </w:rPr>
              <w:t>ENCO + CET</w:t>
            </w:r>
            <w:r w:rsidR="00C92FE6" w:rsidRPr="001825C9">
              <w:rPr>
                <w:b/>
              </w:rPr>
              <w:t>U</w:t>
            </w:r>
            <w:r w:rsidRPr="001825C9">
              <w:rPr>
                <w:b/>
              </w:rPr>
              <w:t>X</w:t>
            </w:r>
          </w:p>
          <w:p w:rsidR="00AE46DA" w:rsidRPr="001825C9" w:rsidRDefault="00AE46DA" w:rsidP="00B21F37">
            <w:pPr>
              <w:pStyle w:val="TableNumber"/>
              <w:widowControl/>
              <w:spacing w:before="0" w:after="0" w:line="240" w:lineRule="auto"/>
              <w:ind w:right="-67" w:hanging="77"/>
              <w:rPr>
                <w:b/>
              </w:rPr>
            </w:pPr>
            <w:r w:rsidRPr="001825C9">
              <w:rPr>
                <w:b/>
              </w:rPr>
              <w:t>(N = 220)</w:t>
            </w:r>
          </w:p>
        </w:tc>
        <w:tc>
          <w:tcPr>
            <w:tcW w:w="651" w:type="pct"/>
            <w:shd w:val="clear" w:color="auto" w:fill="auto"/>
            <w:vAlign w:val="center"/>
          </w:tcPr>
          <w:p w:rsidR="00AE46DA" w:rsidRPr="001825C9" w:rsidRDefault="00AE46DA" w:rsidP="00B21F37">
            <w:pPr>
              <w:pStyle w:val="TableNumber"/>
              <w:widowControl/>
              <w:spacing w:before="0" w:after="0" w:line="240" w:lineRule="auto"/>
              <w:ind w:hanging="68"/>
              <w:rPr>
                <w:rFonts w:eastAsia="Times New Roman" w:cs="Times New Roman"/>
                <w:b/>
                <w:vertAlign w:val="superscript"/>
              </w:rPr>
            </w:pPr>
            <w:r w:rsidRPr="001825C9">
              <w:rPr>
                <w:rFonts w:eastAsia="Times New Roman" w:cs="Times New Roman"/>
                <w:b/>
              </w:rPr>
              <w:t xml:space="preserve">CONTROL </w:t>
            </w:r>
            <w:r w:rsidRPr="001825C9">
              <w:rPr>
                <w:rFonts w:eastAsia="Times New Roman" w:cs="Times New Roman"/>
                <w:b/>
                <w:vertAlign w:val="superscript"/>
              </w:rPr>
              <w:t>a</w:t>
            </w:r>
          </w:p>
          <w:p w:rsidR="00AE46DA" w:rsidRPr="001825C9" w:rsidRDefault="00AE46DA" w:rsidP="00B21F37">
            <w:pPr>
              <w:pStyle w:val="TableNumber"/>
              <w:widowControl/>
              <w:spacing w:before="0" w:after="0" w:line="240" w:lineRule="auto"/>
              <w:ind w:hanging="68"/>
              <w:rPr>
                <w:rFonts w:eastAsia="Times New Roman" w:cs="Times New Roman"/>
                <w:b/>
              </w:rPr>
            </w:pPr>
            <w:r w:rsidRPr="001825C9">
              <w:rPr>
                <w:rFonts w:eastAsia="Times New Roman" w:cs="Times New Roman"/>
                <w:b/>
              </w:rPr>
              <w:t>(N = 221)</w:t>
            </w:r>
          </w:p>
        </w:tc>
        <w:tc>
          <w:tcPr>
            <w:tcW w:w="649" w:type="pct"/>
            <w:shd w:val="clear" w:color="auto" w:fill="auto"/>
            <w:vAlign w:val="center"/>
          </w:tcPr>
          <w:p w:rsidR="00AE46DA" w:rsidRPr="001825C9" w:rsidRDefault="00AE46DA" w:rsidP="00B21F37">
            <w:pPr>
              <w:pStyle w:val="TableNumber"/>
              <w:widowControl/>
              <w:spacing w:before="0" w:after="0" w:line="240" w:lineRule="auto"/>
              <w:ind w:right="-67" w:hanging="77"/>
              <w:rPr>
                <w:b/>
              </w:rPr>
            </w:pPr>
            <w:r w:rsidRPr="001825C9">
              <w:rPr>
                <w:b/>
              </w:rPr>
              <w:t>ENCO + CET</w:t>
            </w:r>
            <w:r w:rsidR="00C92FE6" w:rsidRPr="001825C9">
              <w:rPr>
                <w:b/>
              </w:rPr>
              <w:t>U</w:t>
            </w:r>
            <w:r w:rsidRPr="001825C9">
              <w:rPr>
                <w:b/>
              </w:rPr>
              <w:t>X</w:t>
            </w:r>
          </w:p>
          <w:p w:rsidR="00AE46DA" w:rsidRPr="001825C9" w:rsidRDefault="00AE46DA" w:rsidP="00B21F37">
            <w:pPr>
              <w:pStyle w:val="TableNumber"/>
              <w:widowControl/>
              <w:spacing w:before="0" w:after="0" w:line="240" w:lineRule="auto"/>
              <w:ind w:right="-67" w:hanging="77"/>
              <w:rPr>
                <w:b/>
              </w:rPr>
            </w:pPr>
            <w:r w:rsidRPr="001825C9">
              <w:rPr>
                <w:b/>
              </w:rPr>
              <w:t>(N = 220)</w:t>
            </w:r>
          </w:p>
        </w:tc>
        <w:tc>
          <w:tcPr>
            <w:tcW w:w="651" w:type="pct"/>
            <w:shd w:val="clear" w:color="auto" w:fill="auto"/>
            <w:vAlign w:val="center"/>
          </w:tcPr>
          <w:p w:rsidR="00AE46DA" w:rsidRPr="001825C9" w:rsidRDefault="00AE46DA" w:rsidP="00B21F37">
            <w:pPr>
              <w:pStyle w:val="TableNumber"/>
              <w:widowControl/>
              <w:spacing w:before="0" w:after="0" w:line="240" w:lineRule="auto"/>
              <w:rPr>
                <w:rFonts w:eastAsia="Times New Roman" w:cs="Times New Roman"/>
                <w:b/>
                <w:vertAlign w:val="superscript"/>
              </w:rPr>
            </w:pPr>
            <w:r w:rsidRPr="001825C9">
              <w:rPr>
                <w:rFonts w:eastAsia="Times New Roman" w:cs="Times New Roman"/>
                <w:b/>
              </w:rPr>
              <w:t xml:space="preserve">CONTROL </w:t>
            </w:r>
            <w:r w:rsidRPr="001825C9">
              <w:rPr>
                <w:rFonts w:eastAsia="Times New Roman" w:cs="Times New Roman"/>
                <w:b/>
                <w:vertAlign w:val="superscript"/>
              </w:rPr>
              <w:t>a</w:t>
            </w:r>
          </w:p>
          <w:p w:rsidR="00AE46DA" w:rsidRPr="001825C9" w:rsidRDefault="00AE46DA" w:rsidP="00B21F37">
            <w:pPr>
              <w:pStyle w:val="TableNumber"/>
              <w:widowControl/>
              <w:spacing w:before="0" w:after="0" w:line="240" w:lineRule="auto"/>
              <w:rPr>
                <w:rFonts w:eastAsia="Times New Roman" w:cs="Times New Roman"/>
                <w:b/>
              </w:rPr>
            </w:pPr>
            <w:r w:rsidRPr="001825C9">
              <w:rPr>
                <w:rFonts w:eastAsia="Times New Roman" w:cs="Times New Roman"/>
                <w:b/>
              </w:rPr>
              <w:t>(N = 221)</w:t>
            </w:r>
          </w:p>
        </w:tc>
      </w:tr>
      <w:tr w:rsidR="00AE46DA" w:rsidRPr="001825C9" w:rsidTr="00B21F37">
        <w:tc>
          <w:tcPr>
            <w:tcW w:w="1101" w:type="pct"/>
            <w:shd w:val="clear" w:color="auto" w:fill="auto"/>
          </w:tcPr>
          <w:p w:rsidR="00AE46DA" w:rsidRPr="001825C9" w:rsidRDefault="00AE46DA" w:rsidP="00B21F37">
            <w:pPr>
              <w:spacing w:before="0" w:after="0"/>
              <w:ind w:left="-43"/>
              <w:jc w:val="left"/>
              <w:rPr>
                <w:rFonts w:ascii="Arial Narrow" w:hAnsi="Arial Narrow"/>
                <w:sz w:val="20"/>
                <w:szCs w:val="20"/>
              </w:rPr>
            </w:pPr>
            <w:r w:rsidRPr="001825C9">
              <w:rPr>
                <w:rFonts w:ascii="Arial Narrow" w:hAnsi="Arial Narrow"/>
                <w:sz w:val="20"/>
                <w:szCs w:val="20"/>
              </w:rPr>
              <w:t>Death e</w:t>
            </w:r>
            <w:r w:rsidR="007D52B9" w:rsidRPr="001825C9">
              <w:rPr>
                <w:rFonts w:ascii="Arial Narrow" w:hAnsi="Arial Narrow"/>
                <w:sz w:val="20"/>
                <w:szCs w:val="20"/>
              </w:rPr>
              <w:t>vents – n (%)</w:t>
            </w:r>
          </w:p>
        </w:tc>
        <w:tc>
          <w:tcPr>
            <w:tcW w:w="649" w:type="pct"/>
            <w:shd w:val="clear" w:color="auto" w:fill="auto"/>
            <w:vAlign w:val="center"/>
          </w:tcPr>
          <w:p w:rsidR="00AE46DA" w:rsidRPr="001825C9" w:rsidRDefault="00AE46DA" w:rsidP="00B21F37">
            <w:pPr>
              <w:pStyle w:val="TableNumber"/>
              <w:widowControl/>
              <w:tabs>
                <w:tab w:val="clear" w:pos="396"/>
              </w:tabs>
              <w:spacing w:before="0" w:after="0" w:line="240" w:lineRule="auto"/>
              <w:ind w:left="-67" w:firstLine="14"/>
              <w:rPr>
                <w:rFonts w:eastAsia="Times New Roman" w:cs="Arial"/>
                <w:szCs w:val="20"/>
              </w:rPr>
            </w:pPr>
            <w:r w:rsidRPr="001825C9">
              <w:rPr>
                <w:rFonts w:eastAsia="Times New Roman" w:cs="Arial"/>
                <w:szCs w:val="20"/>
              </w:rPr>
              <w:t>93 (42.3)</w:t>
            </w:r>
          </w:p>
        </w:tc>
        <w:tc>
          <w:tcPr>
            <w:tcW w:w="654" w:type="pct"/>
            <w:shd w:val="clear" w:color="auto" w:fill="auto"/>
            <w:vAlign w:val="center"/>
          </w:tcPr>
          <w:p w:rsidR="00AE46DA" w:rsidRPr="001825C9" w:rsidRDefault="00AE46DA" w:rsidP="00B21F37">
            <w:pPr>
              <w:pStyle w:val="TableNumber"/>
              <w:widowControl/>
              <w:tabs>
                <w:tab w:val="clear" w:pos="396"/>
              </w:tabs>
              <w:spacing w:before="0" w:after="0" w:line="240" w:lineRule="auto"/>
              <w:ind w:left="-27" w:right="-58" w:hanging="139"/>
              <w:rPr>
                <w:rFonts w:eastAsia="Times New Roman" w:cs="Arial"/>
                <w:szCs w:val="20"/>
              </w:rPr>
            </w:pPr>
            <w:r w:rsidRPr="001825C9">
              <w:rPr>
                <w:rFonts w:eastAsia="Times New Roman" w:cs="Arial"/>
                <w:szCs w:val="20"/>
              </w:rPr>
              <w:t>114 (51.6)</w:t>
            </w:r>
          </w:p>
        </w:tc>
        <w:tc>
          <w:tcPr>
            <w:tcW w:w="645" w:type="pct"/>
            <w:shd w:val="clear" w:color="auto" w:fill="auto"/>
            <w:vAlign w:val="center"/>
          </w:tcPr>
          <w:p w:rsidR="00AE46DA" w:rsidRPr="001825C9" w:rsidRDefault="00AE46DA" w:rsidP="00B21F37">
            <w:pPr>
              <w:pStyle w:val="TableNumber"/>
              <w:widowControl/>
              <w:tabs>
                <w:tab w:val="clear" w:pos="396"/>
              </w:tabs>
              <w:spacing w:before="0" w:after="0" w:line="240" w:lineRule="auto"/>
              <w:ind w:hanging="28"/>
              <w:rPr>
                <w:rFonts w:eastAsia="Times New Roman" w:cs="Arial"/>
                <w:szCs w:val="20"/>
              </w:rPr>
            </w:pPr>
            <w:r w:rsidRPr="001825C9">
              <w:rPr>
                <w:rFonts w:eastAsia="Times New Roman" w:cs="Arial"/>
                <w:szCs w:val="20"/>
              </w:rPr>
              <w:t>128 (58.2)</w:t>
            </w:r>
          </w:p>
        </w:tc>
        <w:tc>
          <w:tcPr>
            <w:tcW w:w="651" w:type="pct"/>
            <w:shd w:val="clear" w:color="auto" w:fill="auto"/>
            <w:vAlign w:val="center"/>
          </w:tcPr>
          <w:p w:rsidR="00AE46DA" w:rsidRPr="001825C9" w:rsidRDefault="00AE46DA" w:rsidP="00B21F37">
            <w:pPr>
              <w:pStyle w:val="TableNumber"/>
              <w:widowControl/>
              <w:tabs>
                <w:tab w:val="clear" w:pos="396"/>
              </w:tabs>
              <w:spacing w:before="0" w:after="0" w:line="240" w:lineRule="auto"/>
              <w:ind w:hanging="54"/>
              <w:rPr>
                <w:rFonts w:eastAsia="Times New Roman" w:cs="Arial"/>
                <w:szCs w:val="20"/>
              </w:rPr>
            </w:pPr>
            <w:r w:rsidRPr="001825C9">
              <w:rPr>
                <w:rFonts w:eastAsia="Times New Roman" w:cs="Arial"/>
                <w:szCs w:val="20"/>
              </w:rPr>
              <w:t>157 (71.0)</w:t>
            </w:r>
          </w:p>
        </w:tc>
        <w:tc>
          <w:tcPr>
            <w:tcW w:w="649" w:type="pct"/>
            <w:shd w:val="clear" w:color="auto" w:fill="auto"/>
            <w:vAlign w:val="center"/>
          </w:tcPr>
          <w:p w:rsidR="00AE46DA" w:rsidRPr="00071E5C" w:rsidRDefault="00F6615C" w:rsidP="00B21F37">
            <w:pPr>
              <w:pStyle w:val="TableNumber"/>
              <w:widowControl/>
              <w:tabs>
                <w:tab w:val="clear" w:pos="396"/>
              </w:tabs>
              <w:spacing w:before="0" w:after="0" w:line="240" w:lineRule="auto"/>
              <w:ind w:left="-27" w:hanging="28"/>
              <w:rPr>
                <w:rFonts w:eastAsia="Times New Roman" w:cs="Arial"/>
                <w:szCs w:val="20"/>
                <w:vertAlign w:val="superscript"/>
              </w:rPr>
            </w:pPr>
            <w:r>
              <w:rPr>
                <w:rFonts w:eastAsia="Times New Roman" w:cs="Arial"/>
                <w:noProof/>
                <w:color w:val="000000"/>
                <w:szCs w:val="20"/>
                <w:highlight w:val="black"/>
              </w:rPr>
              <w:t>''''''''' '''''''''''''''</w:t>
            </w:r>
            <w:r w:rsidR="00071E5C" w:rsidRPr="00071E5C">
              <w:rPr>
                <w:rFonts w:eastAsia="Times New Roman" w:cs="Arial"/>
                <w:szCs w:val="20"/>
                <w:vertAlign w:val="superscript"/>
              </w:rPr>
              <w:t>^</w:t>
            </w:r>
          </w:p>
        </w:tc>
        <w:tc>
          <w:tcPr>
            <w:tcW w:w="651" w:type="pct"/>
            <w:shd w:val="clear" w:color="auto" w:fill="auto"/>
            <w:vAlign w:val="center"/>
          </w:tcPr>
          <w:p w:rsidR="00AE46DA" w:rsidRPr="001825C9" w:rsidRDefault="00F6615C" w:rsidP="00071E5C">
            <w:pPr>
              <w:pStyle w:val="TableNumber"/>
              <w:widowControl/>
              <w:tabs>
                <w:tab w:val="clear" w:pos="396"/>
              </w:tabs>
              <w:spacing w:before="0" w:after="0" w:line="240" w:lineRule="auto"/>
              <w:ind w:hanging="54"/>
              <w:rPr>
                <w:rFonts w:eastAsia="Times New Roman" w:cs="Arial"/>
                <w:szCs w:val="20"/>
              </w:rPr>
            </w:pPr>
            <w:r>
              <w:rPr>
                <w:rFonts w:eastAsia="Times New Roman" w:cs="Arial"/>
                <w:noProof/>
                <w:color w:val="000000"/>
                <w:szCs w:val="20"/>
                <w:highlight w:val="black"/>
              </w:rPr>
              <w:t>''''''''' ''''''''''''''</w:t>
            </w:r>
            <w:r w:rsidR="00071E5C" w:rsidRPr="00071E5C">
              <w:rPr>
                <w:rFonts w:eastAsia="Times New Roman" w:cs="Arial"/>
                <w:szCs w:val="20"/>
                <w:vertAlign w:val="superscript"/>
              </w:rPr>
              <w:t>^</w:t>
            </w:r>
          </w:p>
        </w:tc>
      </w:tr>
      <w:tr w:rsidR="00AE46DA" w:rsidRPr="001825C9" w:rsidTr="00B21F37">
        <w:trPr>
          <w:trHeight w:val="493"/>
        </w:trPr>
        <w:tc>
          <w:tcPr>
            <w:tcW w:w="1101" w:type="pct"/>
            <w:shd w:val="clear" w:color="auto" w:fill="auto"/>
          </w:tcPr>
          <w:p w:rsidR="00AE46DA" w:rsidRPr="001825C9" w:rsidRDefault="00AE46DA" w:rsidP="00B21F37">
            <w:pPr>
              <w:spacing w:before="0" w:after="0"/>
              <w:ind w:left="-43"/>
              <w:jc w:val="left"/>
              <w:rPr>
                <w:rFonts w:ascii="Arial Narrow" w:hAnsi="Arial Narrow"/>
                <w:sz w:val="20"/>
                <w:szCs w:val="20"/>
              </w:rPr>
            </w:pPr>
            <w:r w:rsidRPr="001825C9">
              <w:rPr>
                <w:rFonts w:ascii="Arial Narrow" w:hAnsi="Arial Narrow"/>
                <w:sz w:val="20"/>
                <w:szCs w:val="20"/>
              </w:rPr>
              <w:t>Med</w:t>
            </w:r>
            <w:r w:rsidR="007D52B9" w:rsidRPr="001825C9">
              <w:rPr>
                <w:rFonts w:ascii="Arial Narrow" w:hAnsi="Arial Narrow"/>
                <w:sz w:val="20"/>
                <w:szCs w:val="20"/>
              </w:rPr>
              <w:t>ian</w:t>
            </w:r>
          </w:p>
          <w:p w:rsidR="00AE46DA" w:rsidRPr="001825C9" w:rsidRDefault="00AE46DA" w:rsidP="00B21F37">
            <w:pPr>
              <w:tabs>
                <w:tab w:val="left" w:pos="615"/>
              </w:tabs>
              <w:spacing w:before="0" w:after="0"/>
              <w:ind w:left="-43"/>
              <w:jc w:val="left"/>
              <w:rPr>
                <w:rFonts w:ascii="Arial Narrow" w:hAnsi="Arial Narrow"/>
                <w:sz w:val="20"/>
                <w:szCs w:val="20"/>
              </w:rPr>
            </w:pPr>
            <w:r w:rsidRPr="001825C9">
              <w:rPr>
                <w:rFonts w:ascii="Arial Narrow" w:hAnsi="Arial Narrow"/>
                <w:sz w:val="20"/>
                <w:szCs w:val="20"/>
              </w:rPr>
              <w:t>(95% CI), months</w:t>
            </w:r>
          </w:p>
        </w:tc>
        <w:tc>
          <w:tcPr>
            <w:tcW w:w="649" w:type="pct"/>
            <w:shd w:val="clear" w:color="auto" w:fill="auto"/>
            <w:vAlign w:val="center"/>
          </w:tcPr>
          <w:p w:rsidR="00AE46DA" w:rsidRPr="001825C9" w:rsidRDefault="00AE46DA" w:rsidP="00B21F37">
            <w:pPr>
              <w:pStyle w:val="TableNumber"/>
              <w:widowControl/>
              <w:tabs>
                <w:tab w:val="clear" w:pos="396"/>
              </w:tabs>
              <w:spacing w:before="0" w:after="0" w:line="240" w:lineRule="auto"/>
              <w:ind w:left="-67" w:firstLine="14"/>
              <w:rPr>
                <w:rFonts w:eastAsia="Times New Roman" w:cs="Arial"/>
                <w:szCs w:val="20"/>
              </w:rPr>
            </w:pPr>
            <w:r w:rsidRPr="001825C9">
              <w:rPr>
                <w:rFonts w:eastAsia="Times New Roman" w:cs="Arial"/>
                <w:szCs w:val="20"/>
              </w:rPr>
              <w:t>8.41</w:t>
            </w:r>
          </w:p>
          <w:p w:rsidR="00AE46DA" w:rsidRPr="001825C9" w:rsidRDefault="00AE46DA" w:rsidP="00B21F37">
            <w:pPr>
              <w:pStyle w:val="TableNumber"/>
              <w:widowControl/>
              <w:tabs>
                <w:tab w:val="clear" w:pos="396"/>
              </w:tabs>
              <w:spacing w:before="0" w:after="0" w:line="240" w:lineRule="auto"/>
              <w:ind w:left="-67" w:firstLine="14"/>
              <w:rPr>
                <w:rFonts w:eastAsia="Times New Roman" w:cs="Arial"/>
                <w:szCs w:val="20"/>
              </w:rPr>
            </w:pPr>
            <w:r w:rsidRPr="001825C9">
              <w:rPr>
                <w:rFonts w:cs="Arial"/>
                <w:szCs w:val="20"/>
              </w:rPr>
              <w:t>(7.46, 11.04)</w:t>
            </w:r>
          </w:p>
        </w:tc>
        <w:tc>
          <w:tcPr>
            <w:tcW w:w="654" w:type="pct"/>
            <w:shd w:val="clear" w:color="auto" w:fill="auto"/>
            <w:vAlign w:val="center"/>
          </w:tcPr>
          <w:p w:rsidR="00AE46DA" w:rsidRPr="001825C9" w:rsidRDefault="00AE46DA" w:rsidP="00B21F37">
            <w:pPr>
              <w:pStyle w:val="TableNumber"/>
              <w:widowControl/>
              <w:tabs>
                <w:tab w:val="clear" w:pos="396"/>
              </w:tabs>
              <w:spacing w:before="0" w:after="0" w:line="240" w:lineRule="auto"/>
              <w:ind w:left="-27" w:right="-58" w:hanging="47"/>
              <w:rPr>
                <w:rFonts w:eastAsia="Times New Roman" w:cs="Arial"/>
                <w:szCs w:val="20"/>
              </w:rPr>
            </w:pPr>
            <w:r w:rsidRPr="001825C9">
              <w:rPr>
                <w:rFonts w:eastAsia="Times New Roman" w:cs="Arial"/>
                <w:szCs w:val="20"/>
              </w:rPr>
              <w:t>5.42</w:t>
            </w:r>
          </w:p>
          <w:p w:rsidR="00AE46DA" w:rsidRPr="001825C9" w:rsidRDefault="00AE46DA" w:rsidP="00B21F37">
            <w:pPr>
              <w:pStyle w:val="TableNumber"/>
              <w:widowControl/>
              <w:tabs>
                <w:tab w:val="clear" w:pos="396"/>
              </w:tabs>
              <w:spacing w:before="0" w:after="0" w:line="240" w:lineRule="auto"/>
              <w:ind w:left="-27" w:right="-58" w:hanging="47"/>
              <w:rPr>
                <w:rFonts w:eastAsia="Times New Roman" w:cs="Arial"/>
                <w:szCs w:val="20"/>
              </w:rPr>
            </w:pPr>
            <w:r w:rsidRPr="001825C9">
              <w:rPr>
                <w:rFonts w:cs="Arial"/>
                <w:szCs w:val="20"/>
              </w:rPr>
              <w:t>(4.76, 6.57)</w:t>
            </w:r>
          </w:p>
        </w:tc>
        <w:tc>
          <w:tcPr>
            <w:tcW w:w="645" w:type="pct"/>
            <w:shd w:val="clear" w:color="auto" w:fill="auto"/>
            <w:vAlign w:val="center"/>
          </w:tcPr>
          <w:p w:rsidR="00AE46DA" w:rsidRPr="001825C9" w:rsidRDefault="00AE46DA" w:rsidP="00B21F37">
            <w:pPr>
              <w:pStyle w:val="TableNumber"/>
              <w:widowControl/>
              <w:tabs>
                <w:tab w:val="clear" w:pos="396"/>
              </w:tabs>
              <w:spacing w:before="0" w:after="0" w:line="240" w:lineRule="auto"/>
              <w:ind w:hanging="28"/>
              <w:rPr>
                <w:rFonts w:eastAsia="Times New Roman" w:cs="Arial"/>
                <w:szCs w:val="20"/>
              </w:rPr>
            </w:pPr>
            <w:r w:rsidRPr="001825C9">
              <w:rPr>
                <w:rFonts w:eastAsia="Times New Roman" w:cs="Arial"/>
                <w:szCs w:val="20"/>
              </w:rPr>
              <w:t>9.30</w:t>
            </w:r>
          </w:p>
          <w:p w:rsidR="00AE46DA" w:rsidRPr="001825C9" w:rsidRDefault="00AE46DA" w:rsidP="00B21F37">
            <w:pPr>
              <w:pStyle w:val="Default"/>
              <w:ind w:hanging="28"/>
              <w:jc w:val="center"/>
              <w:rPr>
                <w:rFonts w:ascii="Arial Narrow" w:hAnsi="Arial Narrow" w:cs="Arial"/>
                <w:sz w:val="20"/>
                <w:szCs w:val="20"/>
                <w:lang w:val="en-AU"/>
              </w:rPr>
            </w:pPr>
            <w:r w:rsidRPr="001825C9">
              <w:rPr>
                <w:rFonts w:ascii="Arial Narrow" w:hAnsi="Arial Narrow" w:cs="Arial"/>
                <w:sz w:val="20"/>
                <w:szCs w:val="20"/>
                <w:lang w:val="en-AU"/>
              </w:rPr>
              <w:t>(8.05, 11.30)</w:t>
            </w:r>
          </w:p>
        </w:tc>
        <w:tc>
          <w:tcPr>
            <w:tcW w:w="651" w:type="pct"/>
            <w:shd w:val="clear" w:color="auto" w:fill="auto"/>
            <w:vAlign w:val="center"/>
          </w:tcPr>
          <w:p w:rsidR="00AE46DA" w:rsidRPr="001825C9" w:rsidRDefault="00AE46DA" w:rsidP="00B21F37">
            <w:pPr>
              <w:pStyle w:val="TableNumber"/>
              <w:widowControl/>
              <w:tabs>
                <w:tab w:val="clear" w:pos="396"/>
              </w:tabs>
              <w:spacing w:before="0" w:after="0" w:line="240" w:lineRule="auto"/>
              <w:ind w:hanging="54"/>
              <w:rPr>
                <w:rFonts w:eastAsia="Times New Roman" w:cs="Arial"/>
                <w:szCs w:val="20"/>
              </w:rPr>
            </w:pPr>
            <w:r w:rsidRPr="001825C9">
              <w:rPr>
                <w:rFonts w:eastAsia="Times New Roman" w:cs="Arial"/>
                <w:szCs w:val="20"/>
              </w:rPr>
              <w:t>5.88</w:t>
            </w:r>
          </w:p>
          <w:p w:rsidR="00AE46DA" w:rsidRPr="001825C9" w:rsidRDefault="00AE46DA" w:rsidP="00B21F37">
            <w:pPr>
              <w:pStyle w:val="Default"/>
              <w:ind w:hanging="54"/>
              <w:jc w:val="center"/>
              <w:rPr>
                <w:rFonts w:ascii="Arial Narrow" w:hAnsi="Arial Narrow" w:cs="Arial"/>
                <w:sz w:val="20"/>
                <w:szCs w:val="20"/>
                <w:lang w:val="en-AU"/>
              </w:rPr>
            </w:pPr>
            <w:r w:rsidRPr="001825C9">
              <w:rPr>
                <w:rFonts w:ascii="Arial Narrow" w:hAnsi="Arial Narrow" w:cs="Arial"/>
                <w:sz w:val="20"/>
                <w:szCs w:val="20"/>
                <w:lang w:val="en-AU"/>
              </w:rPr>
              <w:t>(5.09, 7.10)</w:t>
            </w:r>
          </w:p>
        </w:tc>
        <w:tc>
          <w:tcPr>
            <w:tcW w:w="649" w:type="pct"/>
            <w:shd w:val="clear" w:color="auto" w:fill="auto"/>
            <w:vAlign w:val="center"/>
          </w:tcPr>
          <w:p w:rsidR="00AE46DA" w:rsidRPr="001825C9" w:rsidRDefault="00F6615C" w:rsidP="00B21F37">
            <w:pPr>
              <w:pStyle w:val="TableNumber"/>
              <w:widowControl/>
              <w:tabs>
                <w:tab w:val="clear" w:pos="396"/>
              </w:tabs>
              <w:spacing w:before="0" w:after="0" w:line="240" w:lineRule="auto"/>
              <w:ind w:left="-27" w:hanging="28"/>
              <w:rPr>
                <w:rFonts w:eastAsia="Times New Roman" w:cs="Arial"/>
                <w:szCs w:val="20"/>
              </w:rPr>
            </w:pPr>
            <w:r>
              <w:rPr>
                <w:rFonts w:eastAsia="Times New Roman" w:cs="Arial"/>
                <w:noProof/>
                <w:color w:val="000000"/>
                <w:szCs w:val="20"/>
                <w:highlight w:val="black"/>
              </w:rPr>
              <w:t>'''''''''''</w:t>
            </w:r>
            <w:r w:rsidR="00071E5C" w:rsidRPr="00071E5C">
              <w:rPr>
                <w:rFonts w:eastAsia="Times New Roman" w:cs="Arial"/>
                <w:szCs w:val="20"/>
                <w:vertAlign w:val="superscript"/>
              </w:rPr>
              <w:t>^</w:t>
            </w:r>
          </w:p>
        </w:tc>
        <w:tc>
          <w:tcPr>
            <w:tcW w:w="651" w:type="pct"/>
            <w:shd w:val="clear" w:color="auto" w:fill="auto"/>
            <w:vAlign w:val="center"/>
          </w:tcPr>
          <w:p w:rsidR="00AE46DA" w:rsidRPr="001825C9" w:rsidRDefault="00F6615C" w:rsidP="00B21F37">
            <w:pPr>
              <w:pStyle w:val="TableNumber"/>
              <w:widowControl/>
              <w:tabs>
                <w:tab w:val="clear" w:pos="396"/>
              </w:tabs>
              <w:spacing w:before="0" w:after="0" w:line="240" w:lineRule="auto"/>
              <w:ind w:hanging="54"/>
              <w:rPr>
                <w:rFonts w:eastAsia="Times New Roman" w:cs="Arial"/>
                <w:szCs w:val="20"/>
              </w:rPr>
            </w:pPr>
            <w:r>
              <w:rPr>
                <w:rFonts w:eastAsia="Times New Roman" w:cs="Arial"/>
                <w:noProof/>
                <w:color w:val="000000"/>
                <w:szCs w:val="20"/>
                <w:highlight w:val="black"/>
              </w:rPr>
              <w:t>''''''''''</w:t>
            </w:r>
            <w:r w:rsidR="00071E5C" w:rsidRPr="00071E5C">
              <w:rPr>
                <w:rFonts w:eastAsia="Times New Roman" w:cs="Arial"/>
                <w:szCs w:val="20"/>
                <w:vertAlign w:val="superscript"/>
              </w:rPr>
              <w:t>^</w:t>
            </w:r>
          </w:p>
        </w:tc>
      </w:tr>
      <w:tr w:rsidR="00AE46DA" w:rsidRPr="001825C9" w:rsidTr="00B21F37">
        <w:tc>
          <w:tcPr>
            <w:tcW w:w="1101" w:type="pct"/>
            <w:shd w:val="clear" w:color="auto" w:fill="auto"/>
          </w:tcPr>
          <w:p w:rsidR="00AE46DA" w:rsidRPr="001825C9" w:rsidRDefault="00AE46DA" w:rsidP="00B21F37">
            <w:pPr>
              <w:spacing w:before="0" w:after="0"/>
              <w:ind w:left="-43"/>
              <w:jc w:val="left"/>
              <w:rPr>
                <w:rFonts w:ascii="Arial Narrow" w:hAnsi="Arial Narrow"/>
                <w:sz w:val="20"/>
                <w:szCs w:val="20"/>
                <w:vertAlign w:val="superscript"/>
              </w:rPr>
            </w:pPr>
            <w:r w:rsidRPr="001825C9">
              <w:rPr>
                <w:rFonts w:ascii="Arial Narrow" w:hAnsi="Arial Narrow"/>
                <w:sz w:val="20"/>
                <w:szCs w:val="20"/>
              </w:rPr>
              <w:t xml:space="preserve">Difference in median OS, months </w:t>
            </w:r>
            <w:r w:rsidRPr="001825C9">
              <w:rPr>
                <w:rFonts w:ascii="Arial Narrow" w:hAnsi="Arial Narrow"/>
                <w:sz w:val="20"/>
                <w:szCs w:val="20"/>
                <w:vertAlign w:val="superscript"/>
              </w:rPr>
              <w:t>b</w:t>
            </w:r>
          </w:p>
        </w:tc>
        <w:tc>
          <w:tcPr>
            <w:tcW w:w="1303" w:type="pct"/>
            <w:gridSpan w:val="2"/>
            <w:shd w:val="clear" w:color="auto" w:fill="auto"/>
            <w:vAlign w:val="center"/>
          </w:tcPr>
          <w:p w:rsidR="00AE46DA" w:rsidRPr="001825C9" w:rsidRDefault="00AE46DA" w:rsidP="00B21F37">
            <w:pPr>
              <w:pStyle w:val="TableNumber"/>
              <w:widowControl/>
              <w:tabs>
                <w:tab w:val="clear" w:pos="396"/>
              </w:tabs>
              <w:spacing w:before="0" w:after="0" w:line="240" w:lineRule="auto"/>
              <w:ind w:left="-67" w:firstLine="14"/>
              <w:rPr>
                <w:rFonts w:cs="Arial"/>
                <w:szCs w:val="20"/>
              </w:rPr>
            </w:pPr>
            <w:r w:rsidRPr="001825C9">
              <w:rPr>
                <w:rFonts w:cs="Arial"/>
                <w:szCs w:val="20"/>
              </w:rPr>
              <w:t>2.99</w:t>
            </w:r>
          </w:p>
        </w:tc>
        <w:tc>
          <w:tcPr>
            <w:tcW w:w="1296" w:type="pct"/>
            <w:gridSpan w:val="2"/>
            <w:shd w:val="clear" w:color="auto" w:fill="auto"/>
            <w:vAlign w:val="center"/>
          </w:tcPr>
          <w:p w:rsidR="00AE46DA" w:rsidRPr="001825C9" w:rsidRDefault="00AE46DA" w:rsidP="00B21F37">
            <w:pPr>
              <w:pStyle w:val="TableNumber"/>
              <w:widowControl/>
              <w:tabs>
                <w:tab w:val="clear" w:pos="396"/>
              </w:tabs>
              <w:spacing w:before="0" w:after="0" w:line="240" w:lineRule="auto"/>
              <w:ind w:left="-1" w:hanging="28"/>
              <w:rPr>
                <w:rFonts w:cs="Arial"/>
                <w:szCs w:val="20"/>
              </w:rPr>
            </w:pPr>
            <w:r w:rsidRPr="001825C9">
              <w:rPr>
                <w:rFonts w:cs="Arial"/>
                <w:szCs w:val="20"/>
              </w:rPr>
              <w:t>3.42</w:t>
            </w:r>
          </w:p>
        </w:tc>
        <w:tc>
          <w:tcPr>
            <w:tcW w:w="1300" w:type="pct"/>
            <w:gridSpan w:val="2"/>
            <w:shd w:val="clear" w:color="auto" w:fill="auto"/>
            <w:vAlign w:val="center"/>
          </w:tcPr>
          <w:p w:rsidR="00AE46DA" w:rsidRPr="001825C9" w:rsidRDefault="00F6615C" w:rsidP="00B21F37">
            <w:pPr>
              <w:pStyle w:val="TableNumber"/>
              <w:widowControl/>
              <w:tabs>
                <w:tab w:val="clear" w:pos="396"/>
              </w:tabs>
              <w:spacing w:before="0" w:after="0" w:line="240" w:lineRule="auto"/>
              <w:rPr>
                <w:rFonts w:cs="Arial"/>
                <w:szCs w:val="20"/>
              </w:rPr>
            </w:pPr>
            <w:r>
              <w:rPr>
                <w:rFonts w:cs="Arial"/>
                <w:noProof/>
                <w:color w:val="000000"/>
                <w:szCs w:val="20"/>
                <w:highlight w:val="black"/>
              </w:rPr>
              <w:t>''''''''''</w:t>
            </w:r>
            <w:r w:rsidR="00071E5C" w:rsidRPr="00071E5C">
              <w:rPr>
                <w:rFonts w:eastAsia="Times New Roman" w:cs="Arial"/>
                <w:szCs w:val="20"/>
                <w:vertAlign w:val="superscript"/>
              </w:rPr>
              <w:t>^</w:t>
            </w:r>
          </w:p>
        </w:tc>
      </w:tr>
      <w:tr w:rsidR="00AE46DA" w:rsidRPr="001825C9" w:rsidTr="00B21F37">
        <w:tc>
          <w:tcPr>
            <w:tcW w:w="1101" w:type="pct"/>
            <w:shd w:val="clear" w:color="auto" w:fill="auto"/>
          </w:tcPr>
          <w:p w:rsidR="00AE46DA" w:rsidRPr="001825C9" w:rsidRDefault="00AE46DA" w:rsidP="00B21F37">
            <w:pPr>
              <w:tabs>
                <w:tab w:val="left" w:pos="0"/>
              </w:tabs>
              <w:spacing w:before="0" w:after="0"/>
              <w:ind w:left="-43" w:right="-76" w:hanging="28"/>
              <w:jc w:val="left"/>
              <w:rPr>
                <w:rFonts w:ascii="Arial Narrow" w:hAnsi="Arial Narrow"/>
                <w:sz w:val="20"/>
                <w:szCs w:val="20"/>
                <w:vertAlign w:val="superscript"/>
              </w:rPr>
            </w:pPr>
            <w:r w:rsidRPr="001825C9">
              <w:rPr>
                <w:rFonts w:ascii="Arial Narrow" w:hAnsi="Arial Narrow"/>
                <w:sz w:val="20"/>
                <w:szCs w:val="20"/>
              </w:rPr>
              <w:t xml:space="preserve">Stratified HR (95% CI) </w:t>
            </w:r>
            <w:r w:rsidRPr="001825C9">
              <w:rPr>
                <w:rFonts w:ascii="Arial Narrow" w:hAnsi="Arial Narrow"/>
                <w:sz w:val="20"/>
                <w:szCs w:val="20"/>
                <w:vertAlign w:val="superscript"/>
              </w:rPr>
              <w:t>c</w:t>
            </w:r>
          </w:p>
        </w:tc>
        <w:tc>
          <w:tcPr>
            <w:tcW w:w="1303" w:type="pct"/>
            <w:gridSpan w:val="2"/>
            <w:shd w:val="clear" w:color="auto" w:fill="auto"/>
            <w:vAlign w:val="center"/>
          </w:tcPr>
          <w:p w:rsidR="00AE46DA" w:rsidRPr="001825C9" w:rsidRDefault="00AE46DA" w:rsidP="00B21F37">
            <w:pPr>
              <w:pStyle w:val="Default"/>
              <w:ind w:left="-67" w:firstLine="14"/>
              <w:jc w:val="center"/>
              <w:rPr>
                <w:rFonts w:ascii="Arial Narrow" w:hAnsi="Arial Narrow" w:cs="Arial"/>
                <w:sz w:val="20"/>
                <w:szCs w:val="20"/>
                <w:lang w:val="en-AU"/>
              </w:rPr>
            </w:pPr>
            <w:r w:rsidRPr="001825C9">
              <w:rPr>
                <w:rFonts w:ascii="Arial Narrow" w:hAnsi="Arial Narrow" w:cs="Arial"/>
                <w:sz w:val="20"/>
                <w:szCs w:val="20"/>
                <w:lang w:val="en-AU"/>
              </w:rPr>
              <w:t>0.60 (0.45, 0.79)</w:t>
            </w:r>
          </w:p>
        </w:tc>
        <w:tc>
          <w:tcPr>
            <w:tcW w:w="1296" w:type="pct"/>
            <w:gridSpan w:val="2"/>
            <w:shd w:val="clear" w:color="auto" w:fill="auto"/>
            <w:vAlign w:val="center"/>
          </w:tcPr>
          <w:p w:rsidR="00AE46DA" w:rsidRPr="001825C9" w:rsidRDefault="00AE46DA" w:rsidP="00B21F37">
            <w:pPr>
              <w:pStyle w:val="Default"/>
              <w:ind w:left="-1" w:hanging="28"/>
              <w:jc w:val="center"/>
              <w:rPr>
                <w:rFonts w:ascii="Arial Narrow" w:hAnsi="Arial Narrow" w:cs="Arial"/>
                <w:sz w:val="20"/>
                <w:szCs w:val="20"/>
                <w:lang w:val="en-AU"/>
              </w:rPr>
            </w:pPr>
            <w:r w:rsidRPr="001825C9">
              <w:rPr>
                <w:rFonts w:ascii="Arial Narrow" w:hAnsi="Arial Narrow" w:cs="Arial"/>
                <w:sz w:val="20"/>
                <w:szCs w:val="20"/>
                <w:lang w:val="en-AU"/>
              </w:rPr>
              <w:t>0.61 (0.48, 0.77)</w:t>
            </w:r>
          </w:p>
        </w:tc>
        <w:tc>
          <w:tcPr>
            <w:tcW w:w="1300" w:type="pct"/>
            <w:gridSpan w:val="2"/>
            <w:shd w:val="clear" w:color="auto" w:fill="auto"/>
            <w:vAlign w:val="center"/>
          </w:tcPr>
          <w:p w:rsidR="00AE46DA" w:rsidRPr="001825C9" w:rsidRDefault="00F6615C" w:rsidP="00B21F37">
            <w:pPr>
              <w:pStyle w:val="Default"/>
              <w:jc w:val="center"/>
              <w:rPr>
                <w:rFonts w:ascii="Arial Narrow" w:hAnsi="Arial Narrow" w:cs="Arial"/>
                <w:sz w:val="20"/>
                <w:szCs w:val="20"/>
                <w:lang w:val="en-AU"/>
              </w:rPr>
            </w:pPr>
            <w:r>
              <w:rPr>
                <w:rFonts w:ascii="Arial Narrow" w:hAnsi="Arial Narrow" w:cs="Arial"/>
                <w:noProof/>
                <w:sz w:val="20"/>
                <w:szCs w:val="20"/>
                <w:highlight w:val="black"/>
                <w:lang w:val="en-AU"/>
              </w:rPr>
              <w:t>'''''''''' '''''''''''' '''''''''''''</w:t>
            </w:r>
            <w:r w:rsidR="00071E5C" w:rsidRPr="00071E5C">
              <w:rPr>
                <w:rFonts w:eastAsia="Times New Roman" w:cs="Arial"/>
                <w:szCs w:val="20"/>
                <w:vertAlign w:val="superscript"/>
              </w:rPr>
              <w:t>^</w:t>
            </w:r>
          </w:p>
        </w:tc>
      </w:tr>
      <w:tr w:rsidR="00AE46DA" w:rsidRPr="001825C9" w:rsidTr="00B21F37">
        <w:tc>
          <w:tcPr>
            <w:tcW w:w="1101" w:type="pct"/>
            <w:shd w:val="clear" w:color="auto" w:fill="auto"/>
          </w:tcPr>
          <w:p w:rsidR="00AE46DA" w:rsidRPr="001825C9" w:rsidRDefault="00AE46DA" w:rsidP="00B21F37">
            <w:pPr>
              <w:spacing w:before="0" w:after="0"/>
              <w:ind w:left="-43"/>
              <w:jc w:val="left"/>
              <w:rPr>
                <w:rFonts w:ascii="Arial Narrow" w:hAnsi="Arial Narrow"/>
                <w:sz w:val="20"/>
                <w:szCs w:val="20"/>
                <w:vertAlign w:val="superscript"/>
              </w:rPr>
            </w:pPr>
            <w:r w:rsidRPr="001825C9">
              <w:rPr>
                <w:rFonts w:ascii="Arial Narrow" w:hAnsi="Arial Narrow"/>
                <w:sz w:val="20"/>
                <w:szCs w:val="20"/>
              </w:rPr>
              <w:t xml:space="preserve">Stratified p-value </w:t>
            </w:r>
            <w:r w:rsidRPr="001825C9">
              <w:rPr>
                <w:rFonts w:ascii="Arial Narrow" w:hAnsi="Arial Narrow"/>
                <w:sz w:val="20"/>
                <w:szCs w:val="20"/>
                <w:vertAlign w:val="superscript"/>
              </w:rPr>
              <w:t>c</w:t>
            </w:r>
          </w:p>
        </w:tc>
        <w:tc>
          <w:tcPr>
            <w:tcW w:w="1303" w:type="pct"/>
            <w:gridSpan w:val="2"/>
            <w:shd w:val="clear" w:color="auto" w:fill="auto"/>
            <w:vAlign w:val="center"/>
          </w:tcPr>
          <w:p w:rsidR="00AE46DA" w:rsidRPr="001825C9" w:rsidRDefault="00AE46DA" w:rsidP="00B21F37">
            <w:pPr>
              <w:pStyle w:val="Default"/>
              <w:ind w:left="-67" w:firstLine="14"/>
              <w:jc w:val="center"/>
              <w:rPr>
                <w:rFonts w:ascii="Arial Narrow" w:hAnsi="Arial Narrow" w:cs="Arial"/>
                <w:sz w:val="20"/>
                <w:szCs w:val="20"/>
                <w:lang w:val="en-AU"/>
              </w:rPr>
            </w:pPr>
            <w:r w:rsidRPr="001825C9">
              <w:rPr>
                <w:rFonts w:ascii="Arial Narrow" w:hAnsi="Arial Narrow" w:cs="Arial"/>
                <w:sz w:val="20"/>
                <w:szCs w:val="20"/>
                <w:lang w:val="en-AU"/>
              </w:rPr>
              <w:t>0.0002</w:t>
            </w:r>
          </w:p>
        </w:tc>
        <w:tc>
          <w:tcPr>
            <w:tcW w:w="1296" w:type="pct"/>
            <w:gridSpan w:val="2"/>
            <w:shd w:val="clear" w:color="auto" w:fill="auto"/>
            <w:vAlign w:val="center"/>
          </w:tcPr>
          <w:p w:rsidR="00AE46DA" w:rsidRPr="001825C9" w:rsidRDefault="00AE46DA" w:rsidP="00B21F37">
            <w:pPr>
              <w:pStyle w:val="Default"/>
              <w:ind w:left="-1" w:hanging="28"/>
              <w:jc w:val="center"/>
              <w:rPr>
                <w:rFonts w:ascii="Arial Narrow" w:hAnsi="Arial Narrow" w:cs="Arial"/>
                <w:sz w:val="20"/>
                <w:szCs w:val="20"/>
                <w:lang w:val="en-AU"/>
              </w:rPr>
            </w:pPr>
            <w:r w:rsidRPr="001825C9">
              <w:rPr>
                <w:rFonts w:ascii="Arial Narrow" w:hAnsi="Arial Narrow" w:cs="Arial"/>
                <w:sz w:val="20"/>
                <w:szCs w:val="20"/>
                <w:lang w:val="en-AU"/>
              </w:rPr>
              <w:t>&lt;0.0001</w:t>
            </w:r>
          </w:p>
        </w:tc>
        <w:tc>
          <w:tcPr>
            <w:tcW w:w="1300" w:type="pct"/>
            <w:gridSpan w:val="2"/>
            <w:shd w:val="clear" w:color="auto" w:fill="auto"/>
            <w:vAlign w:val="center"/>
          </w:tcPr>
          <w:p w:rsidR="00AE46DA" w:rsidRPr="001825C9" w:rsidRDefault="00F6615C" w:rsidP="00B21F37">
            <w:pPr>
              <w:pStyle w:val="Default"/>
              <w:jc w:val="center"/>
              <w:rPr>
                <w:rFonts w:ascii="Arial Narrow" w:hAnsi="Arial Narrow" w:cs="Arial"/>
                <w:sz w:val="20"/>
                <w:szCs w:val="20"/>
                <w:lang w:val="en-AU"/>
              </w:rPr>
            </w:pPr>
            <w:r>
              <w:rPr>
                <w:rFonts w:ascii="Arial Narrow" w:hAnsi="Arial Narrow" w:cs="Arial"/>
                <w:noProof/>
                <w:sz w:val="20"/>
                <w:szCs w:val="20"/>
                <w:highlight w:val="black"/>
                <w:lang w:val="en-AU"/>
              </w:rPr>
              <w:t>''''''''''''''''''</w:t>
            </w:r>
            <w:r w:rsidR="00071E5C" w:rsidRPr="00071E5C">
              <w:rPr>
                <w:rFonts w:eastAsia="Times New Roman" w:cs="Arial"/>
                <w:szCs w:val="20"/>
                <w:vertAlign w:val="superscript"/>
              </w:rPr>
              <w:t>^</w:t>
            </w:r>
          </w:p>
        </w:tc>
      </w:tr>
    </w:tbl>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 xml:space="preserve">Notes: </w:t>
      </w:r>
      <w:r w:rsidRPr="001825C9">
        <w:rPr>
          <w:rFonts w:ascii="Arial Narrow" w:hAnsi="Arial Narrow"/>
          <w:sz w:val="18"/>
          <w:szCs w:val="18"/>
          <w:vertAlign w:val="superscript"/>
        </w:rPr>
        <w:t>a</w:t>
      </w:r>
      <w:r w:rsidRPr="001825C9">
        <w:rPr>
          <w:rFonts w:ascii="Arial Narrow" w:hAnsi="Arial Narrow"/>
          <w:sz w:val="18"/>
          <w:szCs w:val="18"/>
        </w:rPr>
        <w:t xml:space="preserve"> Control arm = investigator’s choice of irinotecan + cetuximab or FOLFIRI + cetuximab</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lastRenderedPageBreak/>
        <w:t xml:space="preserve">b </w:t>
      </w:r>
      <w:r w:rsidRPr="001825C9">
        <w:rPr>
          <w:rFonts w:ascii="Arial Narrow" w:hAnsi="Arial Narrow"/>
          <w:sz w:val="18"/>
          <w:szCs w:val="18"/>
        </w:rPr>
        <w:t>calculated during the evaluation</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c </w:t>
      </w:r>
      <w:r w:rsidRPr="001825C9">
        <w:rPr>
          <w:rFonts w:ascii="Arial Narrow" w:hAnsi="Arial Narrow"/>
          <w:sz w:val="18"/>
          <w:szCs w:val="18"/>
        </w:rPr>
        <w:t xml:space="preserve">Stratified by ECOG PS, source of cetuximab, and prior irinotecan use at randomisation. </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Abbreviations: CI = confidence interval; CETUX = cetuximab; ECOG PS = European Organization for Research and Treatment of Cancer; ENCO = encorafenib; FAS = full analysis set; HR = hazard ratio; n = number of participants reporting data; N = total participants in group; OS = overall survival</w:t>
      </w:r>
    </w:p>
    <w:p w:rsidR="00AE46DA" w:rsidRDefault="00AE46DA" w:rsidP="00AE46DA">
      <w:pPr>
        <w:spacing w:before="0" w:after="0"/>
        <w:rPr>
          <w:rFonts w:ascii="Arial Narrow" w:hAnsi="Arial Narrow"/>
          <w:sz w:val="18"/>
          <w:szCs w:val="18"/>
        </w:rPr>
      </w:pPr>
      <w:r w:rsidRPr="001825C9">
        <w:rPr>
          <w:rFonts w:ascii="Arial Narrow" w:hAnsi="Arial Narrow"/>
          <w:sz w:val="18"/>
          <w:szCs w:val="18"/>
        </w:rPr>
        <w:t>Source: Table 2-80 p169 of the submission</w:t>
      </w:r>
    </w:p>
    <w:p w:rsidR="00071E5C" w:rsidRPr="00181B37" w:rsidRDefault="00071E5C" w:rsidP="00AE46DA">
      <w:pPr>
        <w:spacing w:before="0" w:after="0"/>
        <w:rPr>
          <w:rFonts w:ascii="Arial Narrow" w:hAnsi="Arial Narrow"/>
          <w:i/>
          <w:sz w:val="18"/>
          <w:szCs w:val="18"/>
        </w:rPr>
      </w:pPr>
      <w:r w:rsidRPr="00181B37">
        <w:rPr>
          <w:rFonts w:ascii="Arial Narrow" w:hAnsi="Arial Narrow"/>
          <w:i/>
          <w:sz w:val="18"/>
          <w:szCs w:val="18"/>
          <w:vertAlign w:val="superscript"/>
        </w:rPr>
        <w:t>^</w:t>
      </w:r>
      <w:r w:rsidRPr="00181B37">
        <w:rPr>
          <w:rFonts w:ascii="Arial Narrow" w:hAnsi="Arial Narrow"/>
          <w:i/>
          <w:sz w:val="18"/>
          <w:szCs w:val="18"/>
        </w:rPr>
        <w:t>OS data cut off May 2</w:t>
      </w:r>
      <w:r w:rsidR="00181B37" w:rsidRPr="00181B37">
        <w:rPr>
          <w:rFonts w:ascii="Arial Narrow" w:hAnsi="Arial Narrow"/>
          <w:i/>
          <w:sz w:val="18"/>
          <w:szCs w:val="18"/>
        </w:rPr>
        <w:t xml:space="preserve">020: manuscript in preparation. </w:t>
      </w:r>
      <w:r w:rsidRPr="00181B37">
        <w:rPr>
          <w:rFonts w:ascii="Arial Narrow" w:hAnsi="Arial Narrow"/>
          <w:i/>
          <w:sz w:val="18"/>
          <w:szCs w:val="18"/>
        </w:rPr>
        <w:t>To be submitted Q3 2021 to BMJ Open</w:t>
      </w:r>
    </w:p>
    <w:p w:rsidR="00AE46DA" w:rsidRPr="001825C9" w:rsidRDefault="00AE46DA" w:rsidP="007D52B9">
      <w:pPr>
        <w:pStyle w:val="ListParagraph"/>
        <w:spacing w:before="160"/>
        <w:rPr>
          <w:color w:val="auto"/>
        </w:rPr>
      </w:pPr>
      <w:r w:rsidRPr="001825C9">
        <w:t>At</w:t>
      </w:r>
      <w:r w:rsidRPr="001825C9">
        <w:rPr>
          <w:rFonts w:cstheme="minorHAnsi"/>
          <w:szCs w:val="24"/>
        </w:rPr>
        <w:t xml:space="preserve"> the </w:t>
      </w:r>
      <w:r w:rsidRPr="001825C9">
        <w:rPr>
          <w:rFonts w:cstheme="minorHAnsi"/>
          <w:i/>
          <w:szCs w:val="24"/>
        </w:rPr>
        <w:t>post hoc</w:t>
      </w:r>
      <w:r w:rsidRPr="001825C9">
        <w:rPr>
          <w:rFonts w:cstheme="minorHAnsi"/>
          <w:szCs w:val="24"/>
        </w:rPr>
        <w:t xml:space="preserve"> survival analysis (data cut 5 May 2020), </w:t>
      </w:r>
      <w:r w:rsidR="00F6615C">
        <w:rPr>
          <w:rFonts w:cstheme="minorHAnsi"/>
          <w:noProof/>
          <w:color w:val="000000"/>
          <w:szCs w:val="24"/>
          <w:highlight w:val="black"/>
        </w:rPr>
        <w:t>''''''''</w:t>
      </w:r>
      <w:r w:rsidRPr="001825C9">
        <w:rPr>
          <w:rFonts w:cstheme="minorHAnsi"/>
          <w:szCs w:val="24"/>
        </w:rPr>
        <w:t>%</w:t>
      </w:r>
      <w:r w:rsidR="00181B37">
        <w:rPr>
          <w:rStyle w:val="FootnoteReference"/>
          <w:rFonts w:cstheme="minorHAnsi"/>
          <w:szCs w:val="24"/>
        </w:rPr>
        <w:footnoteReference w:id="6"/>
      </w:r>
      <w:r w:rsidRPr="001825C9">
        <w:rPr>
          <w:rFonts w:cstheme="minorHAnsi"/>
          <w:szCs w:val="24"/>
        </w:rPr>
        <w:t xml:space="preserve"> of patients in the encorafenib + cetuximab arm and </w:t>
      </w:r>
      <w:r w:rsidR="00F6615C">
        <w:rPr>
          <w:rFonts w:cstheme="minorHAnsi"/>
          <w:noProof/>
          <w:color w:val="000000"/>
          <w:szCs w:val="24"/>
          <w:highlight w:val="black"/>
        </w:rPr>
        <w:t>''''''''</w:t>
      </w:r>
      <w:r w:rsidRPr="001825C9">
        <w:rPr>
          <w:rFonts w:cstheme="minorHAnsi"/>
          <w:szCs w:val="24"/>
        </w:rPr>
        <w:t>%</w:t>
      </w:r>
      <w:r w:rsidR="00181B37">
        <w:rPr>
          <w:rFonts w:cstheme="minorHAnsi"/>
          <w:szCs w:val="24"/>
          <w:vertAlign w:val="superscript"/>
        </w:rPr>
        <w:t>5</w:t>
      </w:r>
      <w:r w:rsidRPr="001825C9">
        <w:rPr>
          <w:rFonts w:cstheme="minorHAnsi"/>
          <w:szCs w:val="24"/>
        </w:rPr>
        <w:t xml:space="preserve"> of the patients in the control arm had died. The median OS was longer in the encorafenib + cetuximab arm compared to the control (</w:t>
      </w:r>
      <w:r w:rsidR="00F6615C">
        <w:rPr>
          <w:rFonts w:cstheme="minorHAnsi"/>
          <w:noProof/>
          <w:color w:val="000000"/>
          <w:szCs w:val="24"/>
          <w:highlight w:val="black"/>
        </w:rPr>
        <w:t>''''''''</w:t>
      </w:r>
      <w:r w:rsidR="00181B37">
        <w:rPr>
          <w:rFonts w:cstheme="minorHAnsi"/>
          <w:szCs w:val="24"/>
          <w:vertAlign w:val="superscript"/>
        </w:rPr>
        <w:t>5</w:t>
      </w:r>
      <w:r w:rsidRPr="001825C9">
        <w:rPr>
          <w:rFonts w:cstheme="minorHAnsi"/>
          <w:szCs w:val="24"/>
        </w:rPr>
        <w:t xml:space="preserve"> vs </w:t>
      </w:r>
      <w:r w:rsidR="00F6615C">
        <w:rPr>
          <w:rFonts w:cstheme="minorHAnsi"/>
          <w:noProof/>
          <w:color w:val="000000"/>
          <w:szCs w:val="24"/>
          <w:highlight w:val="black"/>
        </w:rPr>
        <w:t>''''''''</w:t>
      </w:r>
      <w:r w:rsidR="00181B37">
        <w:rPr>
          <w:rFonts w:cstheme="minorHAnsi"/>
          <w:szCs w:val="24"/>
          <w:vertAlign w:val="superscript"/>
        </w:rPr>
        <w:t>5</w:t>
      </w:r>
      <w:r w:rsidRPr="001825C9">
        <w:rPr>
          <w:rFonts w:cstheme="minorHAnsi"/>
          <w:szCs w:val="24"/>
        </w:rPr>
        <w:t xml:space="preserve"> months; HR = </w:t>
      </w:r>
      <w:r w:rsidR="00F6615C">
        <w:rPr>
          <w:rFonts w:cstheme="minorHAnsi"/>
          <w:noProof/>
          <w:color w:val="000000"/>
          <w:szCs w:val="24"/>
          <w:highlight w:val="black"/>
        </w:rPr>
        <w:t>''''''''</w:t>
      </w:r>
      <w:r w:rsidR="00181B37">
        <w:rPr>
          <w:rFonts w:cstheme="minorHAnsi"/>
          <w:szCs w:val="24"/>
          <w:vertAlign w:val="superscript"/>
        </w:rPr>
        <w:t>5</w:t>
      </w:r>
      <w:r w:rsidRPr="001825C9">
        <w:rPr>
          <w:rFonts w:cstheme="minorHAnsi"/>
          <w:szCs w:val="24"/>
        </w:rPr>
        <w:t xml:space="preserve">, 95% CI: </w:t>
      </w:r>
      <w:r w:rsidR="00F6615C">
        <w:rPr>
          <w:rFonts w:cstheme="minorHAnsi"/>
          <w:noProof/>
          <w:color w:val="000000"/>
          <w:szCs w:val="24"/>
          <w:highlight w:val="black"/>
        </w:rPr>
        <w:t>''''''''</w:t>
      </w:r>
      <w:r w:rsidR="00181B37">
        <w:rPr>
          <w:rFonts w:cstheme="minorHAnsi"/>
          <w:szCs w:val="24"/>
          <w:vertAlign w:val="superscript"/>
        </w:rPr>
        <w:t>5</w:t>
      </w:r>
      <w:r w:rsidRPr="001825C9">
        <w:rPr>
          <w:rFonts w:cstheme="minorHAnsi"/>
          <w:szCs w:val="24"/>
        </w:rPr>
        <w:t xml:space="preserve">, </w:t>
      </w:r>
      <w:r w:rsidR="00F6615C">
        <w:rPr>
          <w:rFonts w:cstheme="minorHAnsi"/>
          <w:noProof/>
          <w:color w:val="000000"/>
          <w:szCs w:val="24"/>
          <w:highlight w:val="black"/>
        </w:rPr>
        <w:t>'''''''''</w:t>
      </w:r>
      <w:r w:rsidR="00181B37">
        <w:rPr>
          <w:rFonts w:cstheme="minorHAnsi"/>
          <w:szCs w:val="24"/>
          <w:vertAlign w:val="superscript"/>
        </w:rPr>
        <w:t>5</w:t>
      </w:r>
      <w:r w:rsidRPr="001825C9">
        <w:rPr>
          <w:rFonts w:cstheme="minorHAnsi"/>
          <w:szCs w:val="24"/>
        </w:rPr>
        <w:t xml:space="preserve">). These results were consistent with the two prior OS </w:t>
      </w:r>
      <w:r w:rsidRPr="001825C9">
        <w:rPr>
          <w:rFonts w:cstheme="minorHAnsi"/>
          <w:color w:val="auto"/>
          <w:szCs w:val="24"/>
        </w:rPr>
        <w:t xml:space="preserve">assessments. The OS results at all three data cuts were statistically significantly different in favour of </w:t>
      </w:r>
      <w:r w:rsidRPr="001825C9">
        <w:rPr>
          <w:iCs/>
          <w:color w:val="auto"/>
        </w:rPr>
        <w:t>encorafenib + cetuximab</w:t>
      </w:r>
      <w:r w:rsidRPr="001825C9">
        <w:rPr>
          <w:rFonts w:cstheme="minorHAnsi"/>
          <w:color w:val="auto"/>
          <w:szCs w:val="24"/>
        </w:rPr>
        <w:t xml:space="preserve">. Furthermore, results from 15 August 2019 and 5 May 2020 also met the ASCO criteria for clinically meaningful goals for CRC defined as improvement </w:t>
      </w:r>
      <w:r w:rsidRPr="001E0979">
        <w:rPr>
          <w:rFonts w:cstheme="minorHAnsi"/>
          <w:color w:val="auto"/>
          <w:szCs w:val="24"/>
        </w:rPr>
        <w:t>of 3-5 months</w:t>
      </w:r>
      <w:r w:rsidRPr="001825C9">
        <w:rPr>
          <w:rFonts w:cstheme="minorHAnsi"/>
          <w:color w:val="auto"/>
          <w:szCs w:val="24"/>
        </w:rPr>
        <w:t xml:space="preserve"> over current OS with </w:t>
      </w:r>
      <w:r w:rsidRPr="001E0979">
        <w:rPr>
          <w:rFonts w:cstheme="minorHAnsi"/>
          <w:color w:val="auto"/>
          <w:szCs w:val="24"/>
        </w:rPr>
        <w:t>target HR = 0.67</w:t>
      </w:r>
      <w:r w:rsidRPr="001825C9">
        <w:rPr>
          <w:rFonts w:cstheme="minorHAnsi"/>
          <w:color w:val="auto"/>
          <w:szCs w:val="24"/>
        </w:rPr>
        <w:t xml:space="preserve">. </w:t>
      </w:r>
      <w:r w:rsidRPr="001825C9">
        <w:rPr>
          <w:color w:val="auto"/>
        </w:rPr>
        <w:t xml:space="preserve">The ESCs </w:t>
      </w:r>
      <w:r w:rsidRPr="001825C9">
        <w:rPr>
          <w:iCs/>
          <w:color w:val="auto"/>
        </w:rPr>
        <w:t>considered that the magnitude of overall survival gain in these patients was modest.</w:t>
      </w:r>
    </w:p>
    <w:p w:rsidR="00AE46DA" w:rsidRPr="001825C9" w:rsidRDefault="00AE46DA" w:rsidP="00AE46DA">
      <w:pPr>
        <w:pStyle w:val="ListParagraph"/>
        <w:rPr>
          <w:color w:val="auto"/>
        </w:rPr>
      </w:pPr>
      <w:bookmarkStart w:id="24" w:name="_Ref64445118"/>
      <w:r w:rsidRPr="001825C9">
        <w:lastRenderedPageBreak/>
        <w:t xml:space="preserve">The ESCs considered the efficacy of encorafenib + cetuximab versus FOLFIRI + cetuximab reported in the BEACON trial may be a reasonable estimate of the efficacy of encorafenib + cetuximab versus FOLFIRI </w:t>
      </w:r>
      <w:r w:rsidR="00F0297A" w:rsidRPr="001825C9">
        <w:t xml:space="preserve">alone </w:t>
      </w:r>
      <w:r w:rsidRPr="001825C9">
        <w:t>in the Australian setting, given that the addition of cetuximab to the control arm is unlikely to have added significant benefit</w:t>
      </w:r>
      <w:r w:rsidRPr="001825C9">
        <w:rPr>
          <w:rStyle w:val="FootnoteReference"/>
        </w:rPr>
        <w:footnoteReference w:id="7"/>
      </w:r>
      <w:r w:rsidR="007D52B9" w:rsidRPr="001825C9">
        <w:rPr>
          <w:vertAlign w:val="superscript"/>
        </w:rPr>
        <w:t>,</w:t>
      </w:r>
      <w:r w:rsidRPr="001825C9">
        <w:rPr>
          <w:rStyle w:val="FootnoteReference"/>
        </w:rPr>
        <w:footnoteReference w:id="8"/>
      </w:r>
      <w:r w:rsidRPr="001825C9">
        <w:t>.</w:t>
      </w:r>
      <w:bookmarkEnd w:id="24"/>
    </w:p>
    <w:p w:rsidR="00AE46DA" w:rsidRPr="001825C9" w:rsidRDefault="00AE46DA" w:rsidP="00AE46DA">
      <w:pPr>
        <w:pStyle w:val="ListParagraph"/>
      </w:pPr>
      <w:r w:rsidRPr="001825C9">
        <w:t>The</w:t>
      </w:r>
      <w:r w:rsidRPr="001825C9">
        <w:rPr>
          <w:color w:val="auto"/>
        </w:rPr>
        <w:t xml:space="preserve"> Kaplan-Meier (KM) estimates for OS from BEACON at the 5 May 2020 analysis of the FAS are presented in Figure 2. The KM plots show a very early (before 2 months) and consistent separation of the two curves for all three data cut-offs.</w:t>
      </w:r>
    </w:p>
    <w:p w:rsidR="00AE46DA" w:rsidRPr="00181B37" w:rsidRDefault="00AE46DA" w:rsidP="00AE46DA">
      <w:pPr>
        <w:pStyle w:val="Caption"/>
        <w:rPr>
          <w:vertAlign w:val="superscript"/>
        </w:rPr>
      </w:pPr>
      <w:r w:rsidRPr="001825C9">
        <w:lastRenderedPageBreak/>
        <w:t>Figure 2: Kaplan-Meier analysis of OS for BEACON (FAS; 5 May 2020)</w:t>
      </w:r>
      <w:r w:rsidR="00181B37">
        <w:rPr>
          <w:vertAlign w:val="superscript"/>
        </w:rPr>
        <w:t>*</w:t>
      </w:r>
    </w:p>
    <w:p w:rsidR="00AE46DA" w:rsidRPr="001825C9" w:rsidRDefault="00F6615C" w:rsidP="00AE46DA">
      <w:pPr>
        <w:spacing w:before="0" w:after="0"/>
      </w:pPr>
      <w:r>
        <w:rPr>
          <w:rFonts w:ascii="Arial Narrow" w:hAnsi="Arial Narrow"/>
          <w:noProof/>
          <w:sz w:val="18"/>
          <w:szCs w:val="18"/>
          <w:lang w:eastAsia="en-AU"/>
        </w:rPr>
        <w:drawing>
          <wp:inline distT="0" distB="0" distL="0" distR="0">
            <wp:extent cx="5731510" cy="3526790"/>
            <wp:effectExtent l="0" t="0" r="2540" b="0"/>
            <wp:docPr id="9" name="Picture 9" title="Figure 2: Kaplan-Meier analysis of OS for BEACON (FAS; 5 May 2020)*"/>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9"/>
                    <a:stretch>
                      <a:fillRect/>
                    </a:stretch>
                  </pic:blipFill>
                  <pic:spPr>
                    <a:xfrm>
                      <a:off x="0" y="0"/>
                      <a:ext cx="5731510" cy="3526790"/>
                    </a:xfrm>
                    <a:prstGeom prst="rect">
                      <a:avLst/>
                    </a:prstGeom>
                  </pic:spPr>
                </pic:pic>
              </a:graphicData>
            </a:graphic>
          </wp:inline>
        </w:drawing>
      </w:r>
      <w:r w:rsidR="00AE46DA" w:rsidRPr="001825C9">
        <w:rPr>
          <w:rFonts w:ascii="Arial Narrow" w:hAnsi="Arial Narrow"/>
          <w:sz w:val="18"/>
          <w:szCs w:val="18"/>
        </w:rPr>
        <w:t>Abbreviations: CETUX = cetuximab; CI = confidence interval; CONTROL = investigator’s choice of irinotecan + cetuximab or FOLFIRI + cetuximab; ENCO = encorafenib; FAS = full analysis set; HR = hazard ratio; OS = overall survival; Ref = reference</w:t>
      </w:r>
    </w:p>
    <w:p w:rsidR="00181B37" w:rsidRDefault="00AE46DA" w:rsidP="00AE46DA">
      <w:pPr>
        <w:spacing w:before="0" w:after="0"/>
        <w:rPr>
          <w:rFonts w:ascii="Arial Narrow" w:hAnsi="Arial Narrow"/>
          <w:sz w:val="18"/>
          <w:szCs w:val="18"/>
        </w:rPr>
      </w:pPr>
      <w:r w:rsidRPr="001825C9">
        <w:rPr>
          <w:rFonts w:ascii="Arial Narrow" w:hAnsi="Arial Narrow"/>
          <w:sz w:val="18"/>
          <w:szCs w:val="18"/>
        </w:rPr>
        <w:t>Source: Figure 2-9 p172 of the submission</w:t>
      </w:r>
    </w:p>
    <w:p w:rsidR="00AE46DA" w:rsidRPr="00181B37" w:rsidRDefault="00181B37" w:rsidP="00AE46DA">
      <w:pPr>
        <w:spacing w:before="0" w:after="0"/>
        <w:rPr>
          <w:rFonts w:ascii="Arial Narrow" w:hAnsi="Arial Narrow"/>
          <w:i/>
          <w:sz w:val="18"/>
          <w:szCs w:val="18"/>
        </w:rPr>
      </w:pPr>
      <w:r w:rsidRPr="00181B37">
        <w:rPr>
          <w:rFonts w:ascii="Arial Narrow" w:hAnsi="Arial Narrow"/>
          <w:i/>
          <w:sz w:val="18"/>
          <w:szCs w:val="18"/>
        </w:rPr>
        <w:t>*OS data cut off May 2020: manuscript in preparation. To be submitted Q3 2021 to BMJ Open</w:t>
      </w:r>
    </w:p>
    <w:p w:rsidR="00AE46DA" w:rsidRPr="001825C9" w:rsidRDefault="00AE46DA" w:rsidP="00AE46DA">
      <w:pPr>
        <w:pStyle w:val="ListParagraph"/>
        <w:rPr>
          <w:color w:val="auto"/>
        </w:rPr>
      </w:pPr>
      <w:r w:rsidRPr="001825C9">
        <w:rPr>
          <w:rFonts w:cstheme="minorHAnsi"/>
          <w:szCs w:val="24"/>
        </w:rPr>
        <w:t xml:space="preserve">As of the 15 August 2019 data cut-off, 45.0% of patients on encorafenib + cetuximab and 47.1% of the control arm had subsequent systemic therapy. Although the choice of drugs was similar in both arms (with the exception of </w:t>
      </w:r>
      <w:r w:rsidRPr="001825C9">
        <w:rPr>
          <w:rFonts w:cstheme="minorHAnsi"/>
          <w:szCs w:val="24"/>
        </w:rPr>
        <w:lastRenderedPageBreak/>
        <w:t xml:space="preserve">oxaliplatin and cetuximab), there were some variations in the incidence of their usage. In the encorafenib + cetuximab arm, subsequent systemic therapy used at high incidence (&gt;10%) included: irinotecan (26.8%), 5FU (25.9%), FA (16.4%) and bevacizumab (12.7%), whilst in the control arm these included: 5FU (19.9%), irinotecan (16.3%), cetuximab (14.5%), oxaliplatin (13.1%), FA (10.9%) and bevacizumab (10.9%; p36 BEACON Addendum CSR 15 Aug 2019). 0.5% of patients on encorafenib + cetuximab and 8.1% of patients in the control arm received a BRAF inhibitor in combination with a MEK inhibitor and EGFR inhibitor. Slight variations in the choice of subsequent therapy between the two arms of BEACON and the incidence of patients in the control arm receiving therapy similar to the triplet </w:t>
      </w:r>
      <w:r w:rsidRPr="001825C9">
        <w:rPr>
          <w:rFonts w:cstheme="minorHAnsi"/>
          <w:color w:val="auto"/>
          <w:szCs w:val="24"/>
        </w:rPr>
        <w:t>arm of BEACON may influence the resulting OS comparison, biasing results against encorafenib + cetuximab. However, no analysis on the effects of subsequent therapy on OS was presented.</w:t>
      </w:r>
    </w:p>
    <w:p w:rsidR="00AE46DA" w:rsidRPr="001825C9" w:rsidRDefault="00AE46DA" w:rsidP="00AE46DA">
      <w:pPr>
        <w:pStyle w:val="Heading3"/>
      </w:pPr>
      <w:r w:rsidRPr="001825C9">
        <w:t xml:space="preserve">Overall </w:t>
      </w:r>
      <w:r w:rsidR="007D52B9" w:rsidRPr="001825C9">
        <w:t>response r</w:t>
      </w:r>
      <w:r w:rsidRPr="001825C9">
        <w:t>ate (ORR) by blinded independent central review (BICR)</w:t>
      </w:r>
    </w:p>
    <w:p w:rsidR="00AE46DA" w:rsidRPr="001825C9" w:rsidRDefault="00AE46DA" w:rsidP="00AE46DA">
      <w:pPr>
        <w:pStyle w:val="ListParagraph"/>
        <w:rPr>
          <w:color w:val="auto"/>
        </w:rPr>
      </w:pPr>
      <w:r w:rsidRPr="001825C9">
        <w:rPr>
          <w:color w:val="auto"/>
        </w:rPr>
        <w:t>A summary of the ORR by BICR for BEACON is presented in Table 6.</w:t>
      </w:r>
    </w:p>
    <w:p w:rsidR="00AE46DA" w:rsidRPr="001825C9" w:rsidRDefault="00AE46DA" w:rsidP="00AE46DA">
      <w:pPr>
        <w:pStyle w:val="Caption"/>
      </w:pPr>
      <w:r w:rsidRPr="001825C9">
        <w:t xml:space="preserve">Table </w:t>
      </w:r>
      <w:r w:rsidR="0099629B">
        <w:rPr>
          <w:noProof/>
        </w:rPr>
        <w:t>6</w:t>
      </w:r>
      <w:r w:rsidRPr="001825C9">
        <w:t>: Results of overall response in BEACON</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154"/>
        <w:gridCol w:w="1155"/>
        <w:gridCol w:w="1155"/>
        <w:gridCol w:w="1139"/>
        <w:gridCol w:w="16"/>
        <w:gridCol w:w="1048"/>
        <w:gridCol w:w="1079"/>
        <w:gridCol w:w="1048"/>
      </w:tblGrid>
      <w:tr w:rsidR="00AE46DA" w:rsidRPr="001825C9" w:rsidTr="00B21F37">
        <w:trPr>
          <w:tblHeader/>
        </w:trPr>
        <w:tc>
          <w:tcPr>
            <w:tcW w:w="708" w:type="pct"/>
            <w:vMerge w:val="restart"/>
            <w:shd w:val="clear" w:color="auto" w:fill="auto"/>
            <w:vAlign w:val="center"/>
          </w:tcPr>
          <w:p w:rsidR="00AE46DA" w:rsidRPr="001825C9" w:rsidRDefault="00AE46DA" w:rsidP="00B21F37">
            <w:pPr>
              <w:pStyle w:val="TableText"/>
              <w:widowControl/>
              <w:spacing w:before="0" w:after="0" w:line="240" w:lineRule="auto"/>
              <w:jc w:val="center"/>
              <w:rPr>
                <w:b/>
                <w:szCs w:val="20"/>
              </w:rPr>
            </w:pPr>
            <w:r w:rsidRPr="001825C9">
              <w:rPr>
                <w:b/>
                <w:szCs w:val="20"/>
              </w:rPr>
              <w:t>ORR</w:t>
            </w:r>
          </w:p>
        </w:tc>
        <w:tc>
          <w:tcPr>
            <w:tcW w:w="1272" w:type="pct"/>
            <w:gridSpan w:val="2"/>
            <w:shd w:val="clear" w:color="auto" w:fill="auto"/>
            <w:vAlign w:val="center"/>
          </w:tcPr>
          <w:p w:rsidR="00AE46DA" w:rsidRPr="001825C9" w:rsidRDefault="00AE46DA" w:rsidP="00B21F37">
            <w:pPr>
              <w:pStyle w:val="TableText"/>
              <w:widowControl/>
              <w:spacing w:before="0" w:after="0" w:line="240" w:lineRule="auto"/>
              <w:jc w:val="center"/>
              <w:rPr>
                <w:b/>
                <w:szCs w:val="20"/>
                <w:vertAlign w:val="superscript"/>
              </w:rPr>
            </w:pPr>
            <w:r w:rsidRPr="001825C9">
              <w:rPr>
                <w:b/>
                <w:szCs w:val="20"/>
              </w:rPr>
              <w:t xml:space="preserve">11 Feb 2019 </w:t>
            </w:r>
            <w:r w:rsidRPr="001825C9">
              <w:rPr>
                <w:b/>
                <w:szCs w:val="20"/>
                <w:vertAlign w:val="superscript"/>
              </w:rPr>
              <w:t>e</w:t>
            </w:r>
          </w:p>
        </w:tc>
        <w:tc>
          <w:tcPr>
            <w:tcW w:w="3021" w:type="pct"/>
            <w:gridSpan w:val="6"/>
            <w:shd w:val="clear" w:color="auto" w:fill="auto"/>
            <w:vAlign w:val="center"/>
          </w:tcPr>
          <w:p w:rsidR="00AE46DA" w:rsidRPr="001825C9" w:rsidRDefault="00AE46DA" w:rsidP="00B21F37">
            <w:pPr>
              <w:pStyle w:val="TableText"/>
              <w:widowControl/>
              <w:spacing w:before="0" w:after="0" w:line="240" w:lineRule="auto"/>
              <w:jc w:val="center"/>
              <w:rPr>
                <w:b/>
                <w:szCs w:val="20"/>
              </w:rPr>
            </w:pPr>
            <w:r w:rsidRPr="001825C9">
              <w:rPr>
                <w:b/>
                <w:szCs w:val="20"/>
              </w:rPr>
              <w:t xml:space="preserve">15 Aug 2019 </w:t>
            </w:r>
            <w:r w:rsidRPr="001825C9">
              <w:rPr>
                <w:b/>
                <w:szCs w:val="20"/>
                <w:vertAlign w:val="superscript"/>
              </w:rPr>
              <w:t>e</w:t>
            </w:r>
          </w:p>
        </w:tc>
      </w:tr>
      <w:tr w:rsidR="00AE46DA" w:rsidRPr="001825C9" w:rsidTr="00B21F37">
        <w:tc>
          <w:tcPr>
            <w:tcW w:w="708" w:type="pct"/>
            <w:vMerge/>
            <w:shd w:val="clear" w:color="auto" w:fill="auto"/>
            <w:vAlign w:val="center"/>
          </w:tcPr>
          <w:p w:rsidR="00AE46DA" w:rsidRPr="001825C9" w:rsidRDefault="00AE46DA" w:rsidP="00B21F37">
            <w:pPr>
              <w:spacing w:before="0" w:after="0"/>
              <w:ind w:left="-43"/>
              <w:jc w:val="center"/>
              <w:rPr>
                <w:rFonts w:ascii="Arial Narrow" w:hAnsi="Arial Narrow"/>
                <w:b/>
                <w:sz w:val="20"/>
                <w:szCs w:val="20"/>
              </w:rPr>
            </w:pPr>
          </w:p>
        </w:tc>
        <w:tc>
          <w:tcPr>
            <w:tcW w:w="636" w:type="pct"/>
            <w:shd w:val="clear" w:color="auto" w:fill="auto"/>
            <w:vAlign w:val="center"/>
          </w:tcPr>
          <w:p w:rsidR="00AE46DA" w:rsidRPr="001825C9" w:rsidRDefault="00AE46DA" w:rsidP="00B21F37">
            <w:pPr>
              <w:pStyle w:val="TableNumber"/>
              <w:widowControl/>
              <w:tabs>
                <w:tab w:val="clear" w:pos="396"/>
              </w:tabs>
              <w:spacing w:before="0" w:after="0" w:line="240" w:lineRule="auto"/>
              <w:ind w:right="-71" w:hanging="90"/>
              <w:rPr>
                <w:b/>
                <w:szCs w:val="20"/>
              </w:rPr>
            </w:pPr>
            <w:r w:rsidRPr="001825C9">
              <w:rPr>
                <w:b/>
                <w:szCs w:val="20"/>
              </w:rPr>
              <w:t>ENCO + CETUX</w:t>
            </w:r>
          </w:p>
          <w:p w:rsidR="00AE46DA" w:rsidRPr="001825C9" w:rsidRDefault="00AE46DA" w:rsidP="00B21F37">
            <w:pPr>
              <w:pStyle w:val="TableNumber"/>
              <w:widowControl/>
              <w:spacing w:before="0" w:after="0" w:line="240" w:lineRule="auto"/>
              <w:ind w:right="-73" w:hanging="77"/>
              <w:rPr>
                <w:b/>
                <w:szCs w:val="20"/>
              </w:rPr>
            </w:pPr>
            <w:r w:rsidRPr="001825C9">
              <w:rPr>
                <w:b/>
                <w:szCs w:val="20"/>
              </w:rPr>
              <w:t>(N = 113)</w:t>
            </w:r>
          </w:p>
        </w:tc>
        <w:tc>
          <w:tcPr>
            <w:tcW w:w="636" w:type="pct"/>
            <w:shd w:val="clear" w:color="auto" w:fill="auto"/>
            <w:vAlign w:val="center"/>
          </w:tcPr>
          <w:p w:rsidR="00AE46DA" w:rsidRPr="001825C9" w:rsidRDefault="00AE46DA" w:rsidP="00B21F37">
            <w:pPr>
              <w:pStyle w:val="TableNumber"/>
              <w:widowControl/>
              <w:tabs>
                <w:tab w:val="clear" w:pos="396"/>
              </w:tabs>
              <w:spacing w:before="0" w:after="0" w:line="240" w:lineRule="auto"/>
              <w:ind w:right="-73" w:hanging="57"/>
              <w:rPr>
                <w:rFonts w:eastAsia="Times New Roman" w:cs="Times New Roman"/>
                <w:b/>
                <w:vertAlign w:val="superscript"/>
              </w:rPr>
            </w:pPr>
            <w:r w:rsidRPr="001825C9">
              <w:rPr>
                <w:rFonts w:eastAsia="Times New Roman" w:cs="Times New Roman"/>
                <w:b/>
              </w:rPr>
              <w:t xml:space="preserve">CONTROL </w:t>
            </w:r>
            <w:r w:rsidRPr="001825C9">
              <w:rPr>
                <w:rFonts w:eastAsia="Times New Roman" w:cs="Times New Roman"/>
                <w:b/>
                <w:vertAlign w:val="superscript"/>
              </w:rPr>
              <w:t>a</w:t>
            </w:r>
          </w:p>
          <w:p w:rsidR="00AE46DA" w:rsidRPr="001825C9" w:rsidRDefault="00AE46DA" w:rsidP="00B21F37">
            <w:pPr>
              <w:pStyle w:val="TableNumber"/>
              <w:widowControl/>
              <w:spacing w:before="0" w:after="0" w:line="240" w:lineRule="auto"/>
              <w:ind w:right="-73"/>
              <w:rPr>
                <w:rFonts w:eastAsia="Times New Roman" w:cs="Times New Roman"/>
                <w:b/>
                <w:szCs w:val="20"/>
              </w:rPr>
            </w:pPr>
            <w:r w:rsidRPr="001825C9">
              <w:rPr>
                <w:rFonts w:eastAsia="Times New Roman" w:cs="Times New Roman"/>
                <w:b/>
                <w:szCs w:val="20"/>
              </w:rPr>
              <w:t>(N = 107)</w:t>
            </w:r>
          </w:p>
        </w:tc>
        <w:tc>
          <w:tcPr>
            <w:tcW w:w="636" w:type="pct"/>
            <w:shd w:val="clear" w:color="auto" w:fill="auto"/>
            <w:vAlign w:val="center"/>
          </w:tcPr>
          <w:p w:rsidR="00AE46DA" w:rsidRPr="001825C9" w:rsidRDefault="00AE46DA" w:rsidP="00B21F37">
            <w:pPr>
              <w:pStyle w:val="TableNumber"/>
              <w:widowControl/>
              <w:spacing w:before="0" w:after="0" w:line="240" w:lineRule="auto"/>
              <w:ind w:right="-73" w:hanging="77"/>
              <w:rPr>
                <w:b/>
                <w:szCs w:val="20"/>
              </w:rPr>
            </w:pPr>
            <w:r w:rsidRPr="001825C9">
              <w:rPr>
                <w:b/>
                <w:szCs w:val="20"/>
              </w:rPr>
              <w:t>ENCO + CETUX</w:t>
            </w:r>
          </w:p>
          <w:p w:rsidR="00AE46DA" w:rsidRPr="001825C9" w:rsidRDefault="00AE46DA" w:rsidP="00B21F37">
            <w:pPr>
              <w:pStyle w:val="TableNumber"/>
              <w:widowControl/>
              <w:spacing w:before="0" w:after="0" w:line="240" w:lineRule="auto"/>
              <w:ind w:right="-73" w:hanging="77"/>
              <w:rPr>
                <w:b/>
                <w:szCs w:val="20"/>
              </w:rPr>
            </w:pPr>
            <w:r w:rsidRPr="001825C9">
              <w:rPr>
                <w:b/>
                <w:szCs w:val="20"/>
              </w:rPr>
              <w:t>(N = 220)</w:t>
            </w:r>
          </w:p>
        </w:tc>
        <w:tc>
          <w:tcPr>
            <w:tcW w:w="636" w:type="pct"/>
            <w:gridSpan w:val="2"/>
            <w:shd w:val="clear" w:color="auto" w:fill="auto"/>
            <w:vAlign w:val="center"/>
          </w:tcPr>
          <w:p w:rsidR="00AE46DA" w:rsidRPr="001825C9" w:rsidRDefault="00AE46DA" w:rsidP="00B21F37">
            <w:pPr>
              <w:pStyle w:val="TableNumber"/>
              <w:widowControl/>
              <w:tabs>
                <w:tab w:val="clear" w:pos="396"/>
              </w:tabs>
              <w:spacing w:before="0" w:after="0" w:line="240" w:lineRule="auto"/>
              <w:ind w:right="-73" w:hanging="70"/>
              <w:rPr>
                <w:rFonts w:eastAsia="Times New Roman" w:cs="Times New Roman"/>
                <w:b/>
                <w:vertAlign w:val="superscript"/>
              </w:rPr>
            </w:pPr>
            <w:r w:rsidRPr="001825C9">
              <w:rPr>
                <w:rFonts w:eastAsia="Times New Roman" w:cs="Times New Roman"/>
                <w:b/>
              </w:rPr>
              <w:t xml:space="preserve">CONTROL </w:t>
            </w:r>
            <w:r w:rsidRPr="001825C9">
              <w:rPr>
                <w:rFonts w:eastAsia="Times New Roman" w:cs="Times New Roman"/>
                <w:b/>
                <w:vertAlign w:val="superscript"/>
              </w:rPr>
              <w:t>a</w:t>
            </w:r>
          </w:p>
          <w:p w:rsidR="00AE46DA" w:rsidRPr="001825C9" w:rsidRDefault="00AE46DA" w:rsidP="00B21F37">
            <w:pPr>
              <w:pStyle w:val="TableNumber"/>
              <w:widowControl/>
              <w:spacing w:before="0" w:after="0" w:line="240" w:lineRule="auto"/>
              <w:ind w:right="-73"/>
              <w:rPr>
                <w:rFonts w:eastAsia="Times New Roman" w:cs="Times New Roman"/>
                <w:b/>
                <w:szCs w:val="20"/>
              </w:rPr>
            </w:pPr>
            <w:r w:rsidRPr="001825C9">
              <w:rPr>
                <w:rFonts w:eastAsia="Times New Roman" w:cs="Times New Roman"/>
                <w:b/>
                <w:szCs w:val="20"/>
              </w:rPr>
              <w:t>(N = 221)</w:t>
            </w:r>
          </w:p>
        </w:tc>
        <w:tc>
          <w:tcPr>
            <w:tcW w:w="577" w:type="pct"/>
            <w:vAlign w:val="center"/>
          </w:tcPr>
          <w:p w:rsidR="00AE46DA" w:rsidRPr="001825C9" w:rsidRDefault="00AE46DA" w:rsidP="00B21F37">
            <w:pPr>
              <w:pStyle w:val="TableNumber"/>
              <w:widowControl/>
              <w:tabs>
                <w:tab w:val="clear" w:pos="396"/>
              </w:tabs>
              <w:spacing w:before="0" w:after="0" w:line="240" w:lineRule="auto"/>
              <w:ind w:left="-49" w:right="-90" w:hanging="56"/>
              <w:rPr>
                <w:b/>
              </w:rPr>
            </w:pPr>
            <w:r w:rsidRPr="001825C9">
              <w:rPr>
                <w:b/>
              </w:rPr>
              <w:t xml:space="preserve">RR (95% CI) </w:t>
            </w:r>
            <w:r w:rsidRPr="001825C9">
              <w:rPr>
                <w:b/>
                <w:vertAlign w:val="superscript"/>
              </w:rPr>
              <w:t>f</w:t>
            </w:r>
          </w:p>
        </w:tc>
        <w:tc>
          <w:tcPr>
            <w:tcW w:w="594" w:type="pct"/>
            <w:vAlign w:val="center"/>
          </w:tcPr>
          <w:p w:rsidR="00AE46DA" w:rsidRPr="001825C9" w:rsidRDefault="00AE46DA" w:rsidP="00B21F37">
            <w:pPr>
              <w:pStyle w:val="TableNumber"/>
              <w:widowControl/>
              <w:tabs>
                <w:tab w:val="clear" w:pos="396"/>
              </w:tabs>
              <w:spacing w:before="0" w:after="0" w:line="240" w:lineRule="auto"/>
              <w:ind w:left="-41" w:right="-73" w:hanging="14"/>
              <w:rPr>
                <w:rFonts w:eastAsia="Times New Roman" w:cs="Times New Roman"/>
                <w:b/>
              </w:rPr>
            </w:pPr>
            <w:r w:rsidRPr="001825C9">
              <w:rPr>
                <w:b/>
              </w:rPr>
              <w:t xml:space="preserve">RD (95%CI) </w:t>
            </w:r>
            <w:r w:rsidRPr="001825C9">
              <w:rPr>
                <w:b/>
                <w:vertAlign w:val="superscript"/>
              </w:rPr>
              <w:t>f</w:t>
            </w:r>
          </w:p>
        </w:tc>
        <w:tc>
          <w:tcPr>
            <w:tcW w:w="578" w:type="pct"/>
            <w:vAlign w:val="center"/>
          </w:tcPr>
          <w:p w:rsidR="00AE46DA" w:rsidRPr="001825C9" w:rsidRDefault="00AE46DA" w:rsidP="00B21F37">
            <w:pPr>
              <w:pStyle w:val="TableNumber"/>
              <w:widowControl/>
              <w:tabs>
                <w:tab w:val="clear" w:pos="396"/>
              </w:tabs>
              <w:spacing w:before="0" w:after="0" w:line="240" w:lineRule="auto"/>
              <w:ind w:right="-96" w:hanging="55"/>
              <w:rPr>
                <w:rFonts w:eastAsia="Times New Roman" w:cs="Times New Roman"/>
                <w:b/>
              </w:rPr>
            </w:pPr>
            <w:r w:rsidRPr="001825C9">
              <w:rPr>
                <w:rFonts w:eastAsia="Times New Roman" w:cs="Times New Roman"/>
                <w:b/>
              </w:rPr>
              <w:t>OR (</w:t>
            </w:r>
            <w:r w:rsidRPr="001825C9">
              <w:rPr>
                <w:b/>
              </w:rPr>
              <w:t xml:space="preserve">95%CI) </w:t>
            </w:r>
            <w:r w:rsidRPr="001825C9">
              <w:rPr>
                <w:b/>
                <w:vertAlign w:val="superscript"/>
              </w:rPr>
              <w:t>f</w:t>
            </w:r>
          </w:p>
        </w:tc>
      </w:tr>
      <w:tr w:rsidR="00AE46DA" w:rsidRPr="001825C9" w:rsidTr="00B21F37">
        <w:tc>
          <w:tcPr>
            <w:tcW w:w="5000" w:type="pct"/>
            <w:gridSpan w:val="9"/>
            <w:shd w:val="clear" w:color="auto" w:fill="auto"/>
          </w:tcPr>
          <w:p w:rsidR="00AE46DA" w:rsidRPr="001825C9" w:rsidRDefault="00AE46DA" w:rsidP="00B21F37">
            <w:pPr>
              <w:pStyle w:val="TableNumber"/>
              <w:widowControl/>
              <w:tabs>
                <w:tab w:val="clear" w:pos="396"/>
              </w:tabs>
              <w:spacing w:before="0" w:after="0" w:line="240" w:lineRule="auto"/>
              <w:ind w:hanging="54"/>
              <w:jc w:val="left"/>
              <w:rPr>
                <w:szCs w:val="20"/>
              </w:rPr>
            </w:pPr>
            <w:r w:rsidRPr="001825C9">
              <w:rPr>
                <w:szCs w:val="20"/>
              </w:rPr>
              <w:t xml:space="preserve">BOR – n (%) </w:t>
            </w:r>
            <w:r w:rsidRPr="001825C9">
              <w:rPr>
                <w:szCs w:val="20"/>
                <w:vertAlign w:val="superscript"/>
              </w:rPr>
              <w:t>b</w:t>
            </w:r>
          </w:p>
        </w:tc>
      </w:tr>
      <w:tr w:rsidR="00AE46DA" w:rsidRPr="001825C9" w:rsidTr="00B21F37">
        <w:tc>
          <w:tcPr>
            <w:tcW w:w="708" w:type="pct"/>
            <w:shd w:val="clear" w:color="auto" w:fill="auto"/>
            <w:vAlign w:val="center"/>
          </w:tcPr>
          <w:p w:rsidR="00AE46DA" w:rsidRPr="001825C9" w:rsidRDefault="00AE46DA" w:rsidP="00B21F37">
            <w:pPr>
              <w:tabs>
                <w:tab w:val="left" w:pos="13"/>
              </w:tabs>
              <w:spacing w:before="0" w:after="0"/>
              <w:ind w:left="-43" w:firstLine="238"/>
              <w:jc w:val="left"/>
              <w:rPr>
                <w:rFonts w:ascii="Arial Narrow" w:hAnsi="Arial Narrow"/>
                <w:sz w:val="20"/>
                <w:szCs w:val="20"/>
              </w:rPr>
            </w:pPr>
            <w:r w:rsidRPr="001825C9">
              <w:rPr>
                <w:rFonts w:ascii="Arial Narrow" w:hAnsi="Arial Narrow"/>
                <w:sz w:val="20"/>
                <w:szCs w:val="20"/>
              </w:rPr>
              <w:t>CR</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6 (5.3)</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(0.0)</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7 (3.2)</w:t>
            </w:r>
          </w:p>
        </w:tc>
        <w:tc>
          <w:tcPr>
            <w:tcW w:w="636"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(0.0)</w:t>
            </w:r>
          </w:p>
        </w:tc>
        <w:tc>
          <w:tcPr>
            <w:tcW w:w="577" w:type="pct"/>
            <w:vAlign w:val="center"/>
          </w:tcPr>
          <w:p w:rsidR="00AE46DA" w:rsidRPr="001825C9" w:rsidRDefault="00AE46DA" w:rsidP="00B21F37">
            <w:pPr>
              <w:pStyle w:val="Default"/>
              <w:ind w:right="-73" w:hanging="56"/>
              <w:jc w:val="center"/>
              <w:rPr>
                <w:rFonts w:ascii="Arial Narrow" w:hAnsi="Arial Narrow"/>
                <w:color w:val="000000" w:themeColor="text1"/>
                <w:sz w:val="20"/>
                <w:szCs w:val="20"/>
                <w:lang w:val="en-AU"/>
              </w:rPr>
            </w:pPr>
            <w:r w:rsidRPr="001825C9">
              <w:rPr>
                <w:rFonts w:ascii="Arial Narrow" w:hAnsi="Arial Narrow"/>
                <w:color w:val="000000" w:themeColor="text1"/>
                <w:sz w:val="20"/>
                <w:szCs w:val="20"/>
                <w:lang w:val="en-AU"/>
              </w:rPr>
              <w:t>NE</w:t>
            </w:r>
          </w:p>
        </w:tc>
        <w:tc>
          <w:tcPr>
            <w:tcW w:w="594" w:type="pc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0.03</w:t>
            </w:r>
          </w:p>
          <w:p w:rsidR="00AE46DA" w:rsidRPr="001825C9" w:rsidRDefault="00AE46DA" w:rsidP="00B21F37">
            <w:pPr>
              <w:spacing w:before="0" w:after="0"/>
              <w:ind w:right="-73" w:hanging="56"/>
              <w:jc w:val="center"/>
              <w:rPr>
                <w:rFonts w:ascii="Arial Narrow" w:hAnsi="Arial Narrow" w:cs="Arial"/>
                <w:color w:val="000000" w:themeColor="text1"/>
                <w:sz w:val="20"/>
                <w:szCs w:val="20"/>
              </w:rPr>
            </w:pPr>
            <w:r w:rsidRPr="001825C9">
              <w:rPr>
                <w:rFonts w:ascii="Arial Narrow" w:hAnsi="Arial Narrow" w:cs="Arial"/>
                <w:b/>
                <w:color w:val="000000" w:themeColor="text1"/>
                <w:sz w:val="20"/>
                <w:szCs w:val="20"/>
              </w:rPr>
              <w:t>(0.01, 0.06)</w:t>
            </w:r>
          </w:p>
        </w:tc>
        <w:tc>
          <w:tcPr>
            <w:tcW w:w="578" w:type="pct"/>
            <w:vAlign w:val="center"/>
          </w:tcPr>
          <w:p w:rsidR="00AE46DA" w:rsidRPr="001825C9" w:rsidRDefault="00AE46DA" w:rsidP="00B21F37">
            <w:pPr>
              <w:pStyle w:val="Default"/>
              <w:ind w:left="-55" w:right="-73" w:hanging="1"/>
              <w:jc w:val="center"/>
              <w:rPr>
                <w:rFonts w:ascii="Arial Narrow" w:hAnsi="Arial Narrow"/>
                <w:color w:val="000000" w:themeColor="text1"/>
                <w:sz w:val="20"/>
                <w:szCs w:val="20"/>
                <w:lang w:val="en-AU"/>
              </w:rPr>
            </w:pPr>
            <w:r w:rsidRPr="001825C9">
              <w:rPr>
                <w:rFonts w:ascii="Arial Narrow" w:hAnsi="Arial Narrow"/>
                <w:color w:val="000000" w:themeColor="text1"/>
                <w:sz w:val="20"/>
                <w:szCs w:val="20"/>
                <w:lang w:val="en-AU"/>
              </w:rPr>
              <w:t>NE</w:t>
            </w:r>
          </w:p>
        </w:tc>
      </w:tr>
      <w:tr w:rsidR="00AE46DA" w:rsidRPr="001825C9" w:rsidTr="00B21F37">
        <w:tc>
          <w:tcPr>
            <w:tcW w:w="708" w:type="pct"/>
            <w:shd w:val="clear" w:color="auto" w:fill="auto"/>
            <w:vAlign w:val="center"/>
          </w:tcPr>
          <w:p w:rsidR="00AE46DA" w:rsidRPr="001825C9" w:rsidRDefault="00AE46DA" w:rsidP="00B21F37">
            <w:pPr>
              <w:tabs>
                <w:tab w:val="left" w:pos="13"/>
              </w:tabs>
              <w:spacing w:before="0" w:after="0"/>
              <w:ind w:left="-43" w:firstLine="238"/>
              <w:jc w:val="left"/>
              <w:rPr>
                <w:rFonts w:ascii="Arial Narrow" w:hAnsi="Arial Narrow"/>
                <w:sz w:val="20"/>
                <w:szCs w:val="20"/>
              </w:rPr>
            </w:pPr>
            <w:r w:rsidRPr="001825C9">
              <w:rPr>
                <w:rFonts w:ascii="Arial Narrow" w:hAnsi="Arial Narrow"/>
                <w:sz w:val="20"/>
                <w:szCs w:val="20"/>
              </w:rPr>
              <w:t>PR</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17 (15.0)</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 (1.9)</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36 (16.4)</w:t>
            </w:r>
          </w:p>
        </w:tc>
        <w:tc>
          <w:tcPr>
            <w:tcW w:w="636"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4 (1.8)</w:t>
            </w:r>
          </w:p>
        </w:tc>
        <w:tc>
          <w:tcPr>
            <w:tcW w:w="577" w:type="pc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9.04</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(3.27, 24.97)</w:t>
            </w:r>
          </w:p>
        </w:tc>
        <w:tc>
          <w:tcPr>
            <w:tcW w:w="594" w:type="pc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0.15</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(0.09, 0.20)</w:t>
            </w:r>
          </w:p>
        </w:tc>
        <w:tc>
          <w:tcPr>
            <w:tcW w:w="578" w:type="pct"/>
            <w:vAlign w:val="center"/>
          </w:tcPr>
          <w:p w:rsidR="00AE46DA" w:rsidRPr="001825C9" w:rsidRDefault="00AE46DA" w:rsidP="00B21F37">
            <w:pPr>
              <w:spacing w:before="0" w:after="0"/>
              <w:ind w:left="-55" w:right="-73" w:hanging="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10.61</w:t>
            </w:r>
          </w:p>
          <w:p w:rsidR="00AE46DA" w:rsidRPr="001825C9" w:rsidRDefault="00AE46DA" w:rsidP="00B21F37">
            <w:pPr>
              <w:spacing w:before="0" w:after="0"/>
              <w:ind w:left="-55" w:right="-73" w:hanging="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(3.71, 30.38)</w:t>
            </w:r>
          </w:p>
        </w:tc>
      </w:tr>
      <w:tr w:rsidR="00AE46DA" w:rsidRPr="001825C9" w:rsidTr="00B21F37">
        <w:tc>
          <w:tcPr>
            <w:tcW w:w="708" w:type="pct"/>
            <w:shd w:val="clear" w:color="auto" w:fill="auto"/>
            <w:vAlign w:val="center"/>
          </w:tcPr>
          <w:p w:rsidR="00AE46DA" w:rsidRPr="001825C9" w:rsidRDefault="00AE46DA" w:rsidP="00B21F37">
            <w:pPr>
              <w:tabs>
                <w:tab w:val="left" w:pos="13"/>
              </w:tabs>
              <w:spacing w:before="0" w:after="0"/>
              <w:ind w:left="-43" w:firstLine="238"/>
              <w:jc w:val="left"/>
              <w:rPr>
                <w:rFonts w:ascii="Arial Narrow" w:hAnsi="Arial Narrow"/>
                <w:sz w:val="20"/>
                <w:szCs w:val="20"/>
              </w:rPr>
            </w:pPr>
            <w:r w:rsidRPr="001825C9">
              <w:rPr>
                <w:rFonts w:ascii="Arial Narrow" w:hAnsi="Arial Narrow"/>
                <w:sz w:val="20"/>
                <w:szCs w:val="20"/>
              </w:rPr>
              <w:t>SD</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57 (50.4)</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26 (24.3)</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117 (53.2)</w:t>
            </w:r>
          </w:p>
        </w:tc>
        <w:tc>
          <w:tcPr>
            <w:tcW w:w="636"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59 (26.7)</w:t>
            </w:r>
          </w:p>
        </w:tc>
        <w:tc>
          <w:tcPr>
            <w:tcW w:w="577" w:type="pc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1.99</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(1.55, 2.56)</w:t>
            </w:r>
          </w:p>
        </w:tc>
        <w:tc>
          <w:tcPr>
            <w:tcW w:w="594" w:type="pc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0.26</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(0.18, 0.35)</w:t>
            </w:r>
          </w:p>
        </w:tc>
        <w:tc>
          <w:tcPr>
            <w:tcW w:w="578" w:type="pct"/>
            <w:vAlign w:val="center"/>
          </w:tcPr>
          <w:p w:rsidR="00AE46DA" w:rsidRPr="001825C9" w:rsidRDefault="00AE46DA" w:rsidP="00B21F37">
            <w:pPr>
              <w:spacing w:before="0" w:after="0"/>
              <w:ind w:left="-55" w:right="-73" w:hanging="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3.12</w:t>
            </w:r>
          </w:p>
          <w:p w:rsidR="00AE46DA" w:rsidRPr="001825C9" w:rsidRDefault="00AE46DA" w:rsidP="00B21F37">
            <w:pPr>
              <w:spacing w:before="0" w:after="0"/>
              <w:ind w:left="-55" w:right="-73" w:hanging="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(2.09, 4.65)</w:t>
            </w:r>
          </w:p>
        </w:tc>
      </w:tr>
      <w:tr w:rsidR="00AE46DA" w:rsidRPr="001825C9" w:rsidTr="00B21F37">
        <w:tc>
          <w:tcPr>
            <w:tcW w:w="708" w:type="pct"/>
            <w:shd w:val="clear" w:color="auto" w:fill="auto"/>
            <w:vAlign w:val="center"/>
          </w:tcPr>
          <w:p w:rsidR="00AE46DA" w:rsidRPr="001825C9" w:rsidRDefault="00AE46DA" w:rsidP="00B21F37">
            <w:pPr>
              <w:tabs>
                <w:tab w:val="left" w:pos="13"/>
              </w:tabs>
              <w:spacing w:before="0" w:after="0"/>
              <w:ind w:left="-43" w:firstLine="238"/>
              <w:jc w:val="left"/>
              <w:rPr>
                <w:rFonts w:ascii="Arial Narrow" w:hAnsi="Arial Narrow"/>
                <w:sz w:val="20"/>
                <w:szCs w:val="20"/>
              </w:rPr>
            </w:pPr>
            <w:r w:rsidRPr="001825C9">
              <w:rPr>
                <w:rFonts w:ascii="Arial Narrow" w:hAnsi="Arial Narrow"/>
                <w:sz w:val="20"/>
                <w:szCs w:val="20"/>
              </w:rPr>
              <w:t>PD</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8 (7.1)</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36 (33.6)</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21 (9.5)</w:t>
            </w:r>
          </w:p>
        </w:tc>
        <w:tc>
          <w:tcPr>
            <w:tcW w:w="636"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82 (37.1)</w:t>
            </w:r>
          </w:p>
        </w:tc>
        <w:tc>
          <w:tcPr>
            <w:tcW w:w="577" w:type="pc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0.26</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(0.17, 0.40)</w:t>
            </w:r>
          </w:p>
        </w:tc>
        <w:tc>
          <w:tcPr>
            <w:tcW w:w="594" w:type="pc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-0.28</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(-0.35, -0.20)</w:t>
            </w:r>
          </w:p>
        </w:tc>
        <w:tc>
          <w:tcPr>
            <w:tcW w:w="578" w:type="pct"/>
            <w:vAlign w:val="center"/>
          </w:tcPr>
          <w:p w:rsidR="00AE46DA" w:rsidRPr="001825C9" w:rsidRDefault="00AE46DA" w:rsidP="00B21F37">
            <w:pPr>
              <w:spacing w:before="0" w:after="0"/>
              <w:ind w:left="-55" w:right="-73" w:hanging="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0.18</w:t>
            </w:r>
          </w:p>
          <w:p w:rsidR="00AE46DA" w:rsidRPr="001825C9" w:rsidRDefault="00AE46DA" w:rsidP="00B21F37">
            <w:pPr>
              <w:spacing w:before="0" w:after="0"/>
              <w:ind w:left="-55" w:right="-73" w:hanging="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(0.11, 0.30)</w:t>
            </w:r>
          </w:p>
        </w:tc>
      </w:tr>
      <w:tr w:rsidR="00AE46DA" w:rsidRPr="001825C9" w:rsidTr="00B21F37">
        <w:tc>
          <w:tcPr>
            <w:tcW w:w="708" w:type="pct"/>
            <w:shd w:val="clear" w:color="auto" w:fill="auto"/>
          </w:tcPr>
          <w:p w:rsidR="00AE46DA" w:rsidRPr="001825C9" w:rsidRDefault="00AE46DA" w:rsidP="00B21F37">
            <w:pPr>
              <w:spacing w:before="0" w:after="0"/>
              <w:ind w:left="-43" w:right="-105" w:firstLine="238"/>
              <w:jc w:val="left"/>
              <w:rPr>
                <w:rFonts w:ascii="Arial Narrow" w:hAnsi="Arial Narrow"/>
                <w:sz w:val="20"/>
                <w:szCs w:val="20"/>
                <w:vertAlign w:val="superscript"/>
              </w:rPr>
            </w:pPr>
            <w:r w:rsidRPr="001825C9">
              <w:rPr>
                <w:rFonts w:ascii="Arial Narrow" w:hAnsi="Arial Narrow"/>
                <w:sz w:val="20"/>
                <w:szCs w:val="20"/>
              </w:rPr>
              <w:lastRenderedPageBreak/>
              <w:t xml:space="preserve">Non-CR/Non-PD </w:t>
            </w:r>
            <w:r w:rsidRPr="001825C9">
              <w:rPr>
                <w:rFonts w:ascii="Arial Narrow" w:hAnsi="Arial Narrow"/>
                <w:sz w:val="20"/>
                <w:szCs w:val="20"/>
                <w:vertAlign w:val="superscript"/>
              </w:rPr>
              <w:t>c</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4 (3.5)</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5 (4.7)</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7 (3.2)</w:t>
            </w:r>
          </w:p>
        </w:tc>
        <w:tc>
          <w:tcPr>
            <w:tcW w:w="636"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6 (2.7)</w:t>
            </w:r>
          </w:p>
        </w:tc>
        <w:tc>
          <w:tcPr>
            <w:tcW w:w="577" w:type="pct"/>
            <w:vAlign w:val="center"/>
          </w:tcPr>
          <w:p w:rsidR="00AE46DA" w:rsidRPr="001825C9" w:rsidRDefault="00AE46DA" w:rsidP="00B21F37">
            <w:pPr>
              <w:spacing w:before="0" w:after="0"/>
              <w:ind w:right="-73" w:hanging="56"/>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1.17</w:t>
            </w:r>
          </w:p>
          <w:p w:rsidR="00AE46DA" w:rsidRPr="001825C9" w:rsidRDefault="00AE46DA" w:rsidP="00B21F37">
            <w:pPr>
              <w:spacing w:before="0" w:after="0"/>
              <w:ind w:right="-73" w:hanging="56"/>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(0.40, 3.43)</w:t>
            </w:r>
          </w:p>
        </w:tc>
        <w:tc>
          <w:tcPr>
            <w:tcW w:w="594" w:type="pct"/>
            <w:vAlign w:val="center"/>
          </w:tcPr>
          <w:p w:rsidR="00AE46DA" w:rsidRPr="001825C9" w:rsidRDefault="00AE46DA" w:rsidP="00B21F37">
            <w:pPr>
              <w:spacing w:before="0" w:after="0"/>
              <w:ind w:right="-73" w:hanging="56"/>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w:t>
            </w:r>
          </w:p>
          <w:p w:rsidR="00AE46DA" w:rsidRPr="001825C9" w:rsidRDefault="00AE46DA" w:rsidP="00B21F37">
            <w:pPr>
              <w:spacing w:before="0" w:after="0"/>
              <w:ind w:right="-73" w:hanging="56"/>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(-0.03, 0.04)</w:t>
            </w:r>
          </w:p>
        </w:tc>
        <w:tc>
          <w:tcPr>
            <w:tcW w:w="578" w:type="pct"/>
            <w:vAlign w:val="center"/>
          </w:tcPr>
          <w:p w:rsidR="00AE46DA" w:rsidRPr="001825C9" w:rsidRDefault="00AE46DA" w:rsidP="00B21F37">
            <w:pPr>
              <w:spacing w:before="0" w:after="0"/>
              <w:ind w:left="-55" w:right="-73" w:hanging="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1.18</w:t>
            </w:r>
          </w:p>
          <w:p w:rsidR="00AE46DA" w:rsidRPr="001825C9" w:rsidRDefault="00AE46DA" w:rsidP="00B21F37">
            <w:pPr>
              <w:spacing w:before="0" w:after="0"/>
              <w:ind w:left="-55" w:right="-73" w:hanging="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(0.39, 3.56)</w:t>
            </w:r>
          </w:p>
        </w:tc>
      </w:tr>
      <w:tr w:rsidR="00AE46DA" w:rsidRPr="001825C9" w:rsidTr="00B21F37">
        <w:tc>
          <w:tcPr>
            <w:tcW w:w="708" w:type="pct"/>
            <w:shd w:val="clear" w:color="auto" w:fill="auto"/>
          </w:tcPr>
          <w:p w:rsidR="00AE46DA" w:rsidRPr="001825C9" w:rsidRDefault="00AE46DA" w:rsidP="00B21F37">
            <w:pPr>
              <w:spacing w:before="0" w:after="0"/>
              <w:ind w:left="-43" w:firstLine="238"/>
              <w:jc w:val="left"/>
              <w:rPr>
                <w:rFonts w:ascii="Arial Narrow" w:hAnsi="Arial Narrow"/>
                <w:sz w:val="20"/>
                <w:szCs w:val="20"/>
              </w:rPr>
            </w:pPr>
            <w:r w:rsidRPr="001825C9">
              <w:rPr>
                <w:rFonts w:ascii="Arial Narrow" w:hAnsi="Arial Narrow"/>
                <w:sz w:val="20"/>
                <w:szCs w:val="20"/>
              </w:rPr>
              <w:t xml:space="preserve">Not evaluable </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21 (18.6)</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38 (35.5)</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32 (14.5)</w:t>
            </w:r>
          </w:p>
        </w:tc>
        <w:tc>
          <w:tcPr>
            <w:tcW w:w="636"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70 (31.7)</w:t>
            </w:r>
          </w:p>
        </w:tc>
        <w:tc>
          <w:tcPr>
            <w:tcW w:w="577" w:type="pc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0.46</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(0.32, 0.67)</w:t>
            </w:r>
          </w:p>
        </w:tc>
        <w:tc>
          <w:tcPr>
            <w:tcW w:w="594" w:type="pc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-0.17</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(-0.25, -0.09)</w:t>
            </w:r>
          </w:p>
        </w:tc>
        <w:tc>
          <w:tcPr>
            <w:tcW w:w="578" w:type="pct"/>
            <w:vAlign w:val="center"/>
          </w:tcPr>
          <w:p w:rsidR="00AE46DA" w:rsidRPr="001825C9" w:rsidRDefault="00AE46DA" w:rsidP="00B21F37">
            <w:pPr>
              <w:spacing w:before="0" w:after="0"/>
              <w:ind w:left="-55" w:right="-73" w:hanging="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0.37</w:t>
            </w:r>
          </w:p>
          <w:p w:rsidR="00AE46DA" w:rsidRPr="001825C9" w:rsidRDefault="00AE46DA" w:rsidP="00B21F37">
            <w:pPr>
              <w:spacing w:before="0" w:after="0"/>
              <w:ind w:left="-55" w:right="-73" w:hanging="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(0.23, 0.59)</w:t>
            </w:r>
          </w:p>
        </w:tc>
      </w:tr>
      <w:tr w:rsidR="00AE46DA" w:rsidRPr="001825C9" w:rsidTr="00B21F37">
        <w:tc>
          <w:tcPr>
            <w:tcW w:w="5000" w:type="pct"/>
            <w:gridSpan w:val="9"/>
            <w:shd w:val="clear" w:color="auto" w:fill="auto"/>
          </w:tcPr>
          <w:p w:rsidR="00AE46DA" w:rsidRPr="001825C9" w:rsidRDefault="007D52B9" w:rsidP="00B21F37">
            <w:pPr>
              <w:pStyle w:val="TableNumber"/>
              <w:widowControl/>
              <w:tabs>
                <w:tab w:val="clear" w:pos="396"/>
              </w:tabs>
              <w:spacing w:before="0" w:after="0" w:line="240" w:lineRule="auto"/>
              <w:ind w:right="-73" w:hanging="56"/>
              <w:jc w:val="left"/>
              <w:rPr>
                <w:szCs w:val="20"/>
              </w:rPr>
            </w:pPr>
            <w:r w:rsidRPr="001825C9">
              <w:rPr>
                <w:szCs w:val="20"/>
              </w:rPr>
              <w:t>Confirmed ORR (CR + PR)</w:t>
            </w:r>
          </w:p>
        </w:tc>
      </w:tr>
      <w:tr w:rsidR="00AE46DA" w:rsidRPr="001825C9" w:rsidTr="00B21F37">
        <w:tc>
          <w:tcPr>
            <w:tcW w:w="708" w:type="pct"/>
            <w:shd w:val="clear" w:color="auto" w:fill="auto"/>
          </w:tcPr>
          <w:p w:rsidR="00AE46DA" w:rsidRPr="001825C9" w:rsidRDefault="00AE46DA" w:rsidP="00B21F37">
            <w:pPr>
              <w:spacing w:before="0" w:after="0"/>
              <w:ind w:left="-43" w:firstLine="252"/>
              <w:jc w:val="left"/>
              <w:rPr>
                <w:rFonts w:ascii="Arial Narrow" w:hAnsi="Arial Narrow"/>
                <w:sz w:val="20"/>
                <w:szCs w:val="20"/>
              </w:rPr>
            </w:pPr>
            <w:r w:rsidRPr="001825C9">
              <w:rPr>
                <w:rFonts w:ascii="Arial Narrow" w:hAnsi="Arial Narrow"/>
                <w:sz w:val="20"/>
                <w:szCs w:val="20"/>
              </w:rPr>
              <w:t xml:space="preserve">n (%) </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bCs/>
                <w:sz w:val="20"/>
                <w:szCs w:val="20"/>
                <w:lang w:val="en-AU"/>
              </w:rPr>
              <w:t>23 (20.4)</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bCs/>
                <w:sz w:val="20"/>
                <w:szCs w:val="20"/>
                <w:lang w:val="en-AU"/>
              </w:rPr>
              <w:t>2 (1.9)</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bCs/>
                <w:sz w:val="20"/>
                <w:szCs w:val="20"/>
                <w:lang w:val="en-AU"/>
              </w:rPr>
              <w:t>43 (19.5)</w:t>
            </w:r>
          </w:p>
        </w:tc>
        <w:tc>
          <w:tcPr>
            <w:tcW w:w="636"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bCs/>
                <w:sz w:val="20"/>
                <w:szCs w:val="20"/>
                <w:lang w:val="en-AU"/>
              </w:rPr>
              <w:t>4 (1.8)</w:t>
            </w:r>
          </w:p>
        </w:tc>
        <w:tc>
          <w:tcPr>
            <w:tcW w:w="577" w:type="pct"/>
            <w:vMerge w:val="restar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10.80</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(3.94, 29.57)</w:t>
            </w:r>
          </w:p>
        </w:tc>
        <w:tc>
          <w:tcPr>
            <w:tcW w:w="594" w:type="pct"/>
            <w:vMerge w:val="restar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0.18</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(0.12, 0.23)</w:t>
            </w:r>
          </w:p>
        </w:tc>
        <w:tc>
          <w:tcPr>
            <w:tcW w:w="578" w:type="pct"/>
            <w:vMerge w:val="restar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13.18</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(4.64, 37.42)</w:t>
            </w:r>
          </w:p>
        </w:tc>
      </w:tr>
      <w:tr w:rsidR="00AE46DA" w:rsidRPr="001825C9" w:rsidTr="00B21F37">
        <w:tc>
          <w:tcPr>
            <w:tcW w:w="708" w:type="pct"/>
            <w:shd w:val="clear" w:color="auto" w:fill="auto"/>
          </w:tcPr>
          <w:p w:rsidR="00AE46DA" w:rsidRPr="001825C9" w:rsidRDefault="00AE46DA" w:rsidP="00B21F37">
            <w:pPr>
              <w:pStyle w:val="Default"/>
              <w:ind w:firstLine="252"/>
              <w:rPr>
                <w:rFonts w:ascii="Arial Narrow" w:hAnsi="Arial Narrow"/>
                <w:sz w:val="20"/>
                <w:szCs w:val="20"/>
                <w:vertAlign w:val="superscript"/>
                <w:lang w:val="en-AU"/>
              </w:rPr>
            </w:pPr>
            <w:r w:rsidRPr="001825C9">
              <w:rPr>
                <w:rFonts w:ascii="Arial Narrow" w:hAnsi="Arial Narrow"/>
                <w:sz w:val="20"/>
                <w:szCs w:val="20"/>
                <w:lang w:val="en-AU"/>
              </w:rPr>
              <w:t xml:space="preserve">95% CI </w:t>
            </w:r>
            <w:r w:rsidRPr="001825C9">
              <w:rPr>
                <w:rFonts w:ascii="Arial Narrow" w:hAnsi="Arial Narrow"/>
                <w:sz w:val="20"/>
                <w:szCs w:val="20"/>
                <w:vertAlign w:val="superscript"/>
                <w:lang w:val="en-AU"/>
              </w:rPr>
              <w:t>d</w:t>
            </w:r>
          </w:p>
        </w:tc>
        <w:tc>
          <w:tcPr>
            <w:tcW w:w="636" w:type="pct"/>
            <w:shd w:val="clear" w:color="auto" w:fill="auto"/>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(13.4, 29.0)</w:t>
            </w:r>
          </w:p>
        </w:tc>
        <w:tc>
          <w:tcPr>
            <w:tcW w:w="636" w:type="pct"/>
            <w:shd w:val="clear" w:color="auto" w:fill="auto"/>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(0.2, 6.6)</w:t>
            </w:r>
          </w:p>
        </w:tc>
        <w:tc>
          <w:tcPr>
            <w:tcW w:w="636" w:type="pct"/>
            <w:shd w:val="clear" w:color="auto" w:fill="auto"/>
          </w:tcPr>
          <w:p w:rsidR="00AE46DA" w:rsidRPr="001825C9" w:rsidRDefault="00AE46DA" w:rsidP="00B21F37">
            <w:pPr>
              <w:pStyle w:val="Default"/>
              <w:ind w:hanging="59"/>
              <w:jc w:val="center"/>
              <w:rPr>
                <w:rFonts w:ascii="Arial Narrow" w:hAnsi="Arial Narrow"/>
                <w:sz w:val="20"/>
                <w:szCs w:val="20"/>
                <w:lang w:val="en-AU"/>
              </w:rPr>
            </w:pPr>
            <w:r w:rsidRPr="001825C9">
              <w:rPr>
                <w:rFonts w:ascii="Arial Narrow" w:hAnsi="Arial Narrow"/>
                <w:sz w:val="20"/>
                <w:szCs w:val="20"/>
                <w:lang w:val="en-AU"/>
              </w:rPr>
              <w:t>(14.5, 25.4)</w:t>
            </w:r>
          </w:p>
        </w:tc>
        <w:tc>
          <w:tcPr>
            <w:tcW w:w="636" w:type="pct"/>
            <w:gridSpan w:val="2"/>
            <w:shd w:val="clear" w:color="auto" w:fill="auto"/>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(0.5, 4.6)</w:t>
            </w:r>
          </w:p>
        </w:tc>
        <w:tc>
          <w:tcPr>
            <w:tcW w:w="577" w:type="pct"/>
            <w:vMerge/>
          </w:tcPr>
          <w:p w:rsidR="00AE46DA" w:rsidRPr="001825C9" w:rsidRDefault="00AE46DA" w:rsidP="00B21F37">
            <w:pPr>
              <w:pStyle w:val="Default"/>
              <w:ind w:right="-66" w:hanging="56"/>
              <w:jc w:val="center"/>
              <w:rPr>
                <w:rFonts w:ascii="Arial Narrow" w:hAnsi="Arial Narrow"/>
                <w:sz w:val="20"/>
                <w:szCs w:val="20"/>
                <w:lang w:val="en-AU"/>
              </w:rPr>
            </w:pPr>
          </w:p>
        </w:tc>
        <w:tc>
          <w:tcPr>
            <w:tcW w:w="594" w:type="pct"/>
            <w:vMerge/>
          </w:tcPr>
          <w:p w:rsidR="00AE46DA" w:rsidRPr="001825C9" w:rsidRDefault="00AE46DA" w:rsidP="00B21F37">
            <w:pPr>
              <w:pStyle w:val="Default"/>
              <w:ind w:right="-66" w:hanging="56"/>
              <w:jc w:val="center"/>
              <w:rPr>
                <w:rFonts w:ascii="Arial Narrow" w:hAnsi="Arial Narrow"/>
                <w:sz w:val="20"/>
                <w:szCs w:val="20"/>
                <w:lang w:val="en-AU"/>
              </w:rPr>
            </w:pPr>
          </w:p>
        </w:tc>
        <w:tc>
          <w:tcPr>
            <w:tcW w:w="578" w:type="pct"/>
            <w:vMerge/>
          </w:tcPr>
          <w:p w:rsidR="00AE46DA" w:rsidRPr="001825C9" w:rsidRDefault="00AE46DA" w:rsidP="00B21F37">
            <w:pPr>
              <w:pStyle w:val="Default"/>
              <w:ind w:right="-66" w:hanging="56"/>
              <w:jc w:val="center"/>
              <w:rPr>
                <w:rFonts w:ascii="Arial Narrow" w:hAnsi="Arial Narrow"/>
                <w:sz w:val="20"/>
                <w:szCs w:val="20"/>
                <w:lang w:val="en-AU"/>
              </w:rPr>
            </w:pPr>
          </w:p>
        </w:tc>
      </w:tr>
      <w:tr w:rsidR="00AE46DA" w:rsidRPr="001825C9" w:rsidTr="00B21F37">
        <w:tc>
          <w:tcPr>
            <w:tcW w:w="708" w:type="pct"/>
            <w:shd w:val="clear" w:color="auto" w:fill="auto"/>
          </w:tcPr>
          <w:p w:rsidR="00AE46DA" w:rsidRPr="001825C9" w:rsidRDefault="00AE46DA" w:rsidP="00B21F37">
            <w:pPr>
              <w:spacing w:before="0" w:after="0"/>
              <w:ind w:left="-43" w:firstLine="252"/>
              <w:jc w:val="left"/>
              <w:rPr>
                <w:rFonts w:ascii="Arial Narrow" w:hAnsi="Arial Narrow"/>
                <w:sz w:val="20"/>
                <w:szCs w:val="20"/>
              </w:rPr>
            </w:pPr>
            <w:r w:rsidRPr="001825C9">
              <w:rPr>
                <w:rFonts w:ascii="Arial Narrow" w:hAnsi="Arial Narrow"/>
                <w:sz w:val="20"/>
                <w:szCs w:val="20"/>
              </w:rPr>
              <w:t xml:space="preserve">p-value </w:t>
            </w:r>
          </w:p>
        </w:tc>
        <w:tc>
          <w:tcPr>
            <w:tcW w:w="1272" w:type="pct"/>
            <w:gridSpan w:val="2"/>
            <w:shd w:val="clear" w:color="auto" w:fill="auto"/>
            <w:vAlign w:val="center"/>
          </w:tcPr>
          <w:p w:rsidR="00AE46DA" w:rsidRPr="001825C9" w:rsidRDefault="00AE46DA" w:rsidP="00B21F37">
            <w:pPr>
              <w:pStyle w:val="TableNumber"/>
              <w:widowControl/>
              <w:tabs>
                <w:tab w:val="clear" w:pos="396"/>
              </w:tabs>
              <w:spacing w:before="0" w:after="0" w:line="240" w:lineRule="auto"/>
              <w:ind w:left="-27" w:hanging="28"/>
              <w:rPr>
                <w:rFonts w:eastAsia="Times New Roman" w:cs="Arial"/>
                <w:szCs w:val="20"/>
              </w:rPr>
            </w:pPr>
            <w:r w:rsidRPr="001825C9">
              <w:rPr>
                <w:szCs w:val="20"/>
              </w:rPr>
              <w:t>p &lt; 0.0001</w:t>
            </w:r>
          </w:p>
        </w:tc>
        <w:tc>
          <w:tcPr>
            <w:tcW w:w="1263" w:type="pct"/>
            <w:gridSpan w:val="2"/>
            <w:shd w:val="clear" w:color="auto" w:fill="auto"/>
            <w:vAlign w:val="center"/>
          </w:tcPr>
          <w:p w:rsidR="00AE46DA" w:rsidRPr="001825C9" w:rsidRDefault="00AE46DA" w:rsidP="00B21F37">
            <w:pPr>
              <w:pStyle w:val="TableNumber"/>
              <w:widowControl/>
              <w:tabs>
                <w:tab w:val="clear" w:pos="396"/>
              </w:tabs>
              <w:spacing w:before="0" w:after="0" w:line="240" w:lineRule="auto"/>
              <w:ind w:right="-66" w:hanging="56"/>
              <w:rPr>
                <w:szCs w:val="20"/>
              </w:rPr>
            </w:pPr>
            <w:r w:rsidRPr="001825C9">
              <w:rPr>
                <w:szCs w:val="20"/>
              </w:rPr>
              <w:t>p &lt; 0.0001</w:t>
            </w:r>
          </w:p>
        </w:tc>
        <w:tc>
          <w:tcPr>
            <w:tcW w:w="1757" w:type="pct"/>
            <w:gridSpan w:val="4"/>
            <w:shd w:val="clear" w:color="auto" w:fill="auto"/>
            <w:vAlign w:val="center"/>
          </w:tcPr>
          <w:p w:rsidR="00AE46DA" w:rsidRPr="001825C9" w:rsidRDefault="00AE46DA" w:rsidP="00B21F37">
            <w:pPr>
              <w:pStyle w:val="TableNumber"/>
              <w:widowControl/>
              <w:tabs>
                <w:tab w:val="clear" w:pos="396"/>
              </w:tabs>
              <w:spacing w:before="0" w:after="0" w:line="240" w:lineRule="auto"/>
              <w:ind w:right="-66" w:hanging="56"/>
              <w:rPr>
                <w:szCs w:val="20"/>
              </w:rPr>
            </w:pPr>
            <w:r w:rsidRPr="001825C9">
              <w:rPr>
                <w:szCs w:val="20"/>
              </w:rPr>
              <w:t>NA</w:t>
            </w:r>
          </w:p>
        </w:tc>
      </w:tr>
      <w:tr w:rsidR="00AE46DA" w:rsidRPr="001825C9" w:rsidTr="00B21F37">
        <w:tc>
          <w:tcPr>
            <w:tcW w:w="5000" w:type="pct"/>
            <w:gridSpan w:val="9"/>
            <w:shd w:val="clear" w:color="auto" w:fill="auto"/>
          </w:tcPr>
          <w:p w:rsidR="00AE46DA" w:rsidRPr="001825C9" w:rsidRDefault="00AE46DA" w:rsidP="007D52B9">
            <w:pPr>
              <w:pStyle w:val="TableNumber"/>
              <w:widowControl/>
              <w:tabs>
                <w:tab w:val="clear" w:pos="396"/>
              </w:tabs>
              <w:spacing w:before="0" w:after="0" w:line="240" w:lineRule="auto"/>
              <w:ind w:right="-66" w:hanging="56"/>
              <w:jc w:val="left"/>
              <w:rPr>
                <w:szCs w:val="20"/>
              </w:rPr>
            </w:pPr>
            <w:r w:rsidRPr="001825C9">
              <w:rPr>
                <w:szCs w:val="20"/>
              </w:rPr>
              <w:t xml:space="preserve">Confirmed </w:t>
            </w:r>
            <w:r w:rsidR="007D52B9" w:rsidRPr="001825C9">
              <w:rPr>
                <w:szCs w:val="20"/>
              </w:rPr>
              <w:t>d</w:t>
            </w:r>
            <w:r w:rsidRPr="001825C9">
              <w:rPr>
                <w:szCs w:val="20"/>
              </w:rPr>
              <w:t>isease control rate (CR + PR + SD + Non-CR/Non-PD)</w:t>
            </w:r>
          </w:p>
        </w:tc>
      </w:tr>
      <w:tr w:rsidR="00AE46DA" w:rsidRPr="001825C9" w:rsidTr="00B21F37">
        <w:tc>
          <w:tcPr>
            <w:tcW w:w="708" w:type="pct"/>
            <w:shd w:val="clear" w:color="auto" w:fill="auto"/>
          </w:tcPr>
          <w:p w:rsidR="00AE46DA" w:rsidRPr="001825C9" w:rsidRDefault="00AE46DA" w:rsidP="00B21F37">
            <w:pPr>
              <w:spacing w:before="0" w:after="0"/>
              <w:ind w:left="-43" w:firstLine="252"/>
              <w:jc w:val="left"/>
              <w:rPr>
                <w:rFonts w:ascii="Arial Narrow" w:hAnsi="Arial Narrow"/>
                <w:sz w:val="20"/>
                <w:szCs w:val="20"/>
              </w:rPr>
            </w:pPr>
            <w:r w:rsidRPr="001825C9">
              <w:rPr>
                <w:rFonts w:ascii="Arial Narrow" w:hAnsi="Arial Narrow"/>
                <w:sz w:val="20"/>
                <w:szCs w:val="20"/>
              </w:rPr>
              <w:t xml:space="preserve">n (%) </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bCs/>
                <w:sz w:val="20"/>
                <w:szCs w:val="20"/>
                <w:lang w:val="en-AU"/>
              </w:rPr>
              <w:t>84 (74.3)</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bCs/>
                <w:sz w:val="20"/>
                <w:szCs w:val="20"/>
                <w:lang w:val="en-AU"/>
              </w:rPr>
              <w:t>33 (30.8)</w:t>
            </w:r>
          </w:p>
        </w:tc>
        <w:tc>
          <w:tcPr>
            <w:tcW w:w="63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bCs/>
                <w:sz w:val="20"/>
                <w:szCs w:val="20"/>
                <w:lang w:val="en-AU"/>
              </w:rPr>
              <w:t>167 (75.9)</w:t>
            </w:r>
          </w:p>
        </w:tc>
        <w:tc>
          <w:tcPr>
            <w:tcW w:w="636"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bCs/>
                <w:sz w:val="20"/>
                <w:szCs w:val="20"/>
                <w:lang w:val="en-AU"/>
              </w:rPr>
              <w:t>69 (31.2)</w:t>
            </w:r>
          </w:p>
        </w:tc>
        <w:tc>
          <w:tcPr>
            <w:tcW w:w="577" w:type="pct"/>
            <w:vMerge w:val="restar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2.43</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(1.97, 3.00)</w:t>
            </w:r>
          </w:p>
        </w:tc>
        <w:tc>
          <w:tcPr>
            <w:tcW w:w="594" w:type="pct"/>
            <w:vMerge w:val="restar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0.45</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(0.36, 0.53)</w:t>
            </w:r>
          </w:p>
        </w:tc>
        <w:tc>
          <w:tcPr>
            <w:tcW w:w="578" w:type="pct"/>
            <w:vMerge w:val="restart"/>
            <w:vAlign w:val="center"/>
          </w:tcPr>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6.94</w:t>
            </w:r>
          </w:p>
          <w:p w:rsidR="00AE46DA" w:rsidRPr="001825C9" w:rsidRDefault="00AE46DA" w:rsidP="00B21F37">
            <w:pPr>
              <w:spacing w:before="0" w:after="0"/>
              <w:ind w:right="-73" w:hanging="56"/>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(4.56, 10.56)</w:t>
            </w:r>
          </w:p>
        </w:tc>
      </w:tr>
      <w:tr w:rsidR="00AE46DA" w:rsidRPr="001825C9" w:rsidTr="00B21F37">
        <w:tc>
          <w:tcPr>
            <w:tcW w:w="708" w:type="pct"/>
            <w:shd w:val="clear" w:color="auto" w:fill="auto"/>
          </w:tcPr>
          <w:p w:rsidR="00AE46DA" w:rsidRPr="00DD147E" w:rsidRDefault="00AE46DA" w:rsidP="00B21F37">
            <w:pPr>
              <w:pStyle w:val="Default"/>
              <w:ind w:firstLine="252"/>
              <w:rPr>
                <w:rFonts w:ascii="Arial Narrow" w:hAnsi="Arial Narrow"/>
                <w:sz w:val="20"/>
                <w:szCs w:val="20"/>
                <w:vertAlign w:val="superscript"/>
                <w:lang w:val="en-AU"/>
              </w:rPr>
            </w:pPr>
            <w:r w:rsidRPr="00DD147E">
              <w:rPr>
                <w:rFonts w:ascii="Arial Narrow" w:hAnsi="Arial Narrow"/>
                <w:sz w:val="20"/>
                <w:szCs w:val="20"/>
                <w:lang w:val="en-AU"/>
              </w:rPr>
              <w:t xml:space="preserve">95% CI </w:t>
            </w:r>
            <w:r w:rsidRPr="00DD147E">
              <w:rPr>
                <w:rFonts w:ascii="Arial Narrow" w:hAnsi="Arial Narrow"/>
                <w:sz w:val="20"/>
                <w:szCs w:val="20"/>
                <w:vertAlign w:val="superscript"/>
                <w:lang w:val="en-AU"/>
              </w:rPr>
              <w:t>d</w:t>
            </w:r>
          </w:p>
        </w:tc>
        <w:tc>
          <w:tcPr>
            <w:tcW w:w="636" w:type="pct"/>
            <w:shd w:val="clear" w:color="auto" w:fill="auto"/>
            <w:vAlign w:val="center"/>
          </w:tcPr>
          <w:p w:rsidR="00AE46DA" w:rsidRPr="00DD147E" w:rsidRDefault="00AE46DA" w:rsidP="00B21F37">
            <w:pPr>
              <w:pStyle w:val="Default"/>
              <w:jc w:val="center"/>
              <w:rPr>
                <w:rFonts w:ascii="Arial Narrow" w:hAnsi="Arial Narrow"/>
                <w:sz w:val="20"/>
                <w:szCs w:val="20"/>
                <w:lang w:val="en-AU"/>
              </w:rPr>
            </w:pPr>
            <w:r w:rsidRPr="00DD147E">
              <w:rPr>
                <w:rFonts w:ascii="Arial Narrow" w:hAnsi="Arial Narrow"/>
                <w:sz w:val="20"/>
                <w:szCs w:val="20"/>
                <w:lang w:val="en-AU"/>
              </w:rPr>
              <w:t>(65.3, 82.1)</w:t>
            </w:r>
          </w:p>
        </w:tc>
        <w:tc>
          <w:tcPr>
            <w:tcW w:w="636" w:type="pct"/>
            <w:shd w:val="clear" w:color="auto" w:fill="auto"/>
            <w:vAlign w:val="center"/>
          </w:tcPr>
          <w:p w:rsidR="00AE46DA" w:rsidRPr="00DD147E" w:rsidRDefault="00AE46DA" w:rsidP="00B21F37">
            <w:pPr>
              <w:pStyle w:val="Default"/>
              <w:ind w:right="-104" w:hanging="68"/>
              <w:jc w:val="center"/>
              <w:rPr>
                <w:rFonts w:ascii="Arial Narrow" w:hAnsi="Arial Narrow"/>
                <w:sz w:val="20"/>
                <w:szCs w:val="20"/>
                <w:lang w:val="en-AU"/>
              </w:rPr>
            </w:pPr>
            <w:r w:rsidRPr="00DD147E">
              <w:rPr>
                <w:rFonts w:ascii="Arial Narrow" w:hAnsi="Arial Narrow"/>
                <w:sz w:val="20"/>
                <w:szCs w:val="20"/>
                <w:lang w:val="en-AU"/>
              </w:rPr>
              <w:t>(22.3, 40.5)</w:t>
            </w:r>
          </w:p>
        </w:tc>
        <w:tc>
          <w:tcPr>
            <w:tcW w:w="636" w:type="pct"/>
            <w:shd w:val="clear" w:color="auto" w:fill="auto"/>
            <w:vAlign w:val="center"/>
          </w:tcPr>
          <w:p w:rsidR="00AE46DA" w:rsidRPr="00DD147E" w:rsidRDefault="00AE46DA" w:rsidP="00B21F37">
            <w:pPr>
              <w:pStyle w:val="Default"/>
              <w:jc w:val="center"/>
              <w:rPr>
                <w:rFonts w:ascii="Arial Narrow" w:hAnsi="Arial Narrow"/>
                <w:sz w:val="20"/>
                <w:szCs w:val="20"/>
                <w:lang w:val="en-AU"/>
              </w:rPr>
            </w:pPr>
            <w:r w:rsidRPr="00DD147E">
              <w:rPr>
                <w:rFonts w:ascii="Arial Narrow" w:hAnsi="Arial Narrow"/>
                <w:sz w:val="20"/>
                <w:szCs w:val="20"/>
                <w:lang w:val="en-AU"/>
              </w:rPr>
              <w:t>(69.7, 81.4)</w:t>
            </w:r>
          </w:p>
        </w:tc>
        <w:tc>
          <w:tcPr>
            <w:tcW w:w="636" w:type="pct"/>
            <w:gridSpan w:val="2"/>
            <w:shd w:val="clear" w:color="auto" w:fill="auto"/>
            <w:vAlign w:val="center"/>
          </w:tcPr>
          <w:p w:rsidR="00AE46DA" w:rsidRPr="00DD147E" w:rsidRDefault="00AE46DA" w:rsidP="00B21F37">
            <w:pPr>
              <w:pStyle w:val="Default"/>
              <w:jc w:val="center"/>
              <w:rPr>
                <w:rFonts w:ascii="Arial Narrow" w:hAnsi="Arial Narrow"/>
                <w:sz w:val="20"/>
                <w:szCs w:val="20"/>
                <w:lang w:val="en-AU"/>
              </w:rPr>
            </w:pPr>
            <w:r w:rsidRPr="00DD147E">
              <w:rPr>
                <w:rFonts w:ascii="Arial Narrow" w:hAnsi="Arial Narrow"/>
                <w:sz w:val="20"/>
                <w:szCs w:val="20"/>
                <w:lang w:val="en-AU"/>
              </w:rPr>
              <w:t>(25.2, 37.8)</w:t>
            </w:r>
          </w:p>
        </w:tc>
        <w:tc>
          <w:tcPr>
            <w:tcW w:w="577" w:type="pct"/>
            <w:vMerge/>
            <w:vAlign w:val="center"/>
          </w:tcPr>
          <w:p w:rsidR="00AE46DA" w:rsidRPr="001825C9" w:rsidRDefault="00AE46DA" w:rsidP="00B21F37">
            <w:pPr>
              <w:pStyle w:val="Default"/>
              <w:jc w:val="center"/>
              <w:rPr>
                <w:rFonts w:ascii="Arial Narrow" w:hAnsi="Arial Narrow"/>
                <w:sz w:val="20"/>
                <w:szCs w:val="20"/>
                <w:lang w:val="en-AU"/>
              </w:rPr>
            </w:pPr>
          </w:p>
        </w:tc>
        <w:tc>
          <w:tcPr>
            <w:tcW w:w="594" w:type="pct"/>
            <w:vMerge/>
            <w:vAlign w:val="center"/>
          </w:tcPr>
          <w:p w:rsidR="00AE46DA" w:rsidRPr="001825C9" w:rsidRDefault="00AE46DA" w:rsidP="00B21F37">
            <w:pPr>
              <w:pStyle w:val="Default"/>
              <w:jc w:val="center"/>
              <w:rPr>
                <w:rFonts w:ascii="Arial Narrow" w:hAnsi="Arial Narrow"/>
                <w:sz w:val="20"/>
                <w:szCs w:val="20"/>
                <w:lang w:val="en-AU"/>
              </w:rPr>
            </w:pPr>
          </w:p>
        </w:tc>
        <w:tc>
          <w:tcPr>
            <w:tcW w:w="578" w:type="pct"/>
            <w:vMerge/>
            <w:vAlign w:val="center"/>
          </w:tcPr>
          <w:p w:rsidR="00AE46DA" w:rsidRPr="001825C9" w:rsidRDefault="00AE46DA" w:rsidP="00B21F37">
            <w:pPr>
              <w:pStyle w:val="Default"/>
              <w:jc w:val="center"/>
              <w:rPr>
                <w:rFonts w:ascii="Arial Narrow" w:hAnsi="Arial Narrow"/>
                <w:sz w:val="20"/>
                <w:szCs w:val="20"/>
                <w:lang w:val="en-AU"/>
              </w:rPr>
            </w:pPr>
          </w:p>
        </w:tc>
      </w:tr>
    </w:tbl>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 xml:space="preserve">Notes: </w:t>
      </w:r>
      <w:r w:rsidRPr="001825C9">
        <w:rPr>
          <w:rFonts w:ascii="Arial Narrow" w:hAnsi="Arial Narrow"/>
          <w:sz w:val="18"/>
          <w:szCs w:val="18"/>
          <w:vertAlign w:val="superscript"/>
        </w:rPr>
        <w:t>a</w:t>
      </w:r>
      <w:r w:rsidRPr="001825C9">
        <w:rPr>
          <w:rFonts w:ascii="Arial Narrow" w:hAnsi="Arial Narrow"/>
          <w:sz w:val="18"/>
          <w:szCs w:val="18"/>
        </w:rPr>
        <w:t xml:space="preserve"> Control arm = investigator’s choice of irinotecan + cetuximab or FOLFIRI + cetuximab</w:t>
      </w:r>
      <w:r w:rsidR="007D52B9" w:rsidRPr="001825C9">
        <w:rPr>
          <w:rFonts w:ascii="Arial Narrow" w:hAnsi="Arial Narrow"/>
          <w:sz w:val="18"/>
          <w:szCs w:val="18"/>
        </w:rPr>
        <w:t>.</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b </w:t>
      </w:r>
      <w:r w:rsidRPr="001825C9">
        <w:rPr>
          <w:rFonts w:ascii="Arial Narrow" w:hAnsi="Arial Narrow"/>
          <w:sz w:val="18"/>
          <w:szCs w:val="18"/>
        </w:rPr>
        <w:t>CR and PR were confirmed by repeat assessments performed not less than 4 weeks after criteria for response were met.</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c </w:t>
      </w:r>
      <w:r w:rsidRPr="001825C9">
        <w:rPr>
          <w:rFonts w:ascii="Arial Narrow" w:hAnsi="Arial Narrow"/>
          <w:sz w:val="18"/>
          <w:szCs w:val="18"/>
        </w:rPr>
        <w:t>Patients with only non-measurable disease, whose best non-target lesion response was Non-CR/non-PD and did not have any new lesions.</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d </w:t>
      </w:r>
      <w:r w:rsidRPr="001825C9">
        <w:rPr>
          <w:rFonts w:ascii="Arial Narrow" w:hAnsi="Arial Narrow"/>
          <w:sz w:val="18"/>
          <w:szCs w:val="18"/>
        </w:rPr>
        <w:t>The CIs for the frequency distribution of each variable were computed using Clopper-Pearson's method.</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e </w:t>
      </w:r>
      <w:r w:rsidRPr="001825C9">
        <w:rPr>
          <w:rFonts w:ascii="Arial Narrow" w:hAnsi="Arial Narrow"/>
          <w:sz w:val="18"/>
          <w:szCs w:val="18"/>
        </w:rPr>
        <w:t>The 11 Feb 2019 ORR was measured in the Response Efficacy Set (first 331 patients randomised into the Phase 3 portion). At the 15 August 2019 data cut the response evaluations were conducted in the FAS.</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f </w:t>
      </w:r>
      <w:r w:rsidRPr="001825C9">
        <w:rPr>
          <w:rFonts w:ascii="Arial Narrow" w:hAnsi="Arial Narrow"/>
          <w:sz w:val="18"/>
          <w:szCs w:val="18"/>
        </w:rPr>
        <w:t xml:space="preserve">RR, RD and OR were calculated during the evaluation </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Abbreviation: BOR = best overall response; CETUX = cetuximab; CI = confidence interval; CR = complete response; ENCO = encorafenib; FAS = full analysis set; HR = hazard ratio; n = number of participants reporting data; N = total participants in group; NA = not applicable; NE = not estimable; OR = odds ratio; ORR = overall response rate; PD = progressive disease; PR = partial response; RD = risk difference; RR = relative risk; SD = stable disease.</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Source: Table 2-83, 2-84 pp175, 177 of the submission; p211 BEACON CSR (11 Feb 2019); p37 BEACON Addendum CSR (15 Aug 2019)</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Bold text indicates a statistically significant difference.</w:t>
      </w:r>
    </w:p>
    <w:p w:rsidR="00AE46DA" w:rsidRPr="001825C9" w:rsidRDefault="00AE46DA" w:rsidP="00AE46DA">
      <w:pPr>
        <w:pStyle w:val="ListParagraph"/>
        <w:rPr>
          <w:color w:val="auto"/>
        </w:rPr>
      </w:pPr>
      <w:r w:rsidRPr="001825C9">
        <w:t xml:space="preserve">The confirmed ORR rate was statistically significantly higher for the encorafenib + cetuximab arm compared to the control arm (19.5% vs 1.8%). Confirmed CRs were observed in patients on encorafenib + cetuximab at both data </w:t>
      </w:r>
      <w:r w:rsidRPr="001825C9">
        <w:lastRenderedPageBreak/>
        <w:t xml:space="preserve">cut-offs (6 patients and 7 patients </w:t>
      </w:r>
      <w:r w:rsidRPr="001825C9">
        <w:rPr>
          <w:color w:val="auto"/>
        </w:rPr>
        <w:t>respectively) and no patients in the control arm achieved a CR at either data cut-off.</w:t>
      </w:r>
    </w:p>
    <w:p w:rsidR="00AE46DA" w:rsidRPr="001825C9" w:rsidRDefault="00AE46DA" w:rsidP="00AE46DA">
      <w:pPr>
        <w:pStyle w:val="Heading3"/>
      </w:pPr>
      <w:r w:rsidRPr="001825C9">
        <w:t>Progression-free survival (PFS) by BICR</w:t>
      </w:r>
    </w:p>
    <w:p w:rsidR="00AE46DA" w:rsidRPr="001825C9" w:rsidRDefault="00AE46DA" w:rsidP="00AE46DA">
      <w:pPr>
        <w:pStyle w:val="ListParagraph"/>
        <w:rPr>
          <w:color w:val="auto"/>
        </w:rPr>
      </w:pPr>
      <w:r w:rsidRPr="001825C9">
        <w:rPr>
          <w:color w:val="auto"/>
        </w:rPr>
        <w:t>A summary of the PFS outcomes based on BICR for BEACON is presented in Table 7.</w:t>
      </w:r>
    </w:p>
    <w:p w:rsidR="00AE46DA" w:rsidRPr="001825C9" w:rsidRDefault="00AE46DA" w:rsidP="00AE46DA">
      <w:pPr>
        <w:pStyle w:val="Caption"/>
      </w:pPr>
      <w:r w:rsidRPr="001825C9">
        <w:t xml:space="preserve">Table </w:t>
      </w:r>
      <w:r w:rsidR="0099629B">
        <w:rPr>
          <w:noProof/>
        </w:rPr>
        <w:t>7</w:t>
      </w:r>
      <w:r w:rsidRPr="001825C9">
        <w:t>: Results of progression-free survival in BEACON (FAS)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58"/>
        <w:gridCol w:w="1562"/>
        <w:gridCol w:w="1560"/>
        <w:gridCol w:w="1506"/>
      </w:tblGrid>
      <w:tr w:rsidR="00AE46DA" w:rsidRPr="001825C9" w:rsidTr="00B21F37">
        <w:trPr>
          <w:tblHeader/>
        </w:trPr>
        <w:tc>
          <w:tcPr>
            <w:tcW w:w="1569" w:type="pct"/>
            <w:vMerge w:val="restart"/>
            <w:shd w:val="clear" w:color="auto" w:fill="auto"/>
            <w:vAlign w:val="center"/>
          </w:tcPr>
          <w:p w:rsidR="00AE46DA" w:rsidRPr="001825C9" w:rsidRDefault="00AE46DA" w:rsidP="00B21F37">
            <w:pPr>
              <w:pStyle w:val="TableText"/>
              <w:widowControl/>
              <w:spacing w:before="0" w:after="0" w:line="240" w:lineRule="auto"/>
              <w:jc w:val="center"/>
              <w:rPr>
                <w:b/>
              </w:rPr>
            </w:pPr>
            <w:r w:rsidRPr="001825C9">
              <w:rPr>
                <w:b/>
              </w:rPr>
              <w:t>PFS</w:t>
            </w:r>
          </w:p>
        </w:tc>
        <w:tc>
          <w:tcPr>
            <w:tcW w:w="1730" w:type="pct"/>
            <w:gridSpan w:val="2"/>
            <w:shd w:val="clear" w:color="auto" w:fill="auto"/>
          </w:tcPr>
          <w:p w:rsidR="00AE46DA" w:rsidRPr="001825C9" w:rsidRDefault="00AE46DA" w:rsidP="00B21F37">
            <w:pPr>
              <w:pStyle w:val="TableText"/>
              <w:widowControl/>
              <w:spacing w:before="0" w:after="0" w:line="240" w:lineRule="auto"/>
              <w:jc w:val="center"/>
              <w:rPr>
                <w:b/>
              </w:rPr>
            </w:pPr>
            <w:r w:rsidRPr="001825C9">
              <w:rPr>
                <w:b/>
              </w:rPr>
              <w:t>11 Feb 2019</w:t>
            </w:r>
          </w:p>
        </w:tc>
        <w:tc>
          <w:tcPr>
            <w:tcW w:w="1700" w:type="pct"/>
            <w:gridSpan w:val="2"/>
            <w:shd w:val="clear" w:color="auto" w:fill="auto"/>
          </w:tcPr>
          <w:p w:rsidR="00AE46DA" w:rsidRPr="001825C9" w:rsidRDefault="00AE46DA" w:rsidP="00B21F37">
            <w:pPr>
              <w:pStyle w:val="TableText"/>
              <w:widowControl/>
              <w:spacing w:before="0" w:after="0" w:line="240" w:lineRule="auto"/>
              <w:jc w:val="center"/>
              <w:rPr>
                <w:b/>
              </w:rPr>
            </w:pPr>
            <w:r w:rsidRPr="001825C9">
              <w:rPr>
                <w:b/>
              </w:rPr>
              <w:t>15 Aug 2019</w:t>
            </w:r>
          </w:p>
        </w:tc>
      </w:tr>
      <w:tr w:rsidR="00AE46DA" w:rsidRPr="001825C9" w:rsidTr="00B21F37">
        <w:tc>
          <w:tcPr>
            <w:tcW w:w="1569" w:type="pct"/>
            <w:vMerge/>
            <w:shd w:val="clear" w:color="auto" w:fill="auto"/>
          </w:tcPr>
          <w:p w:rsidR="00AE46DA" w:rsidRPr="001825C9" w:rsidRDefault="00AE46DA" w:rsidP="00B21F37">
            <w:pPr>
              <w:spacing w:before="0" w:after="0"/>
              <w:ind w:left="-43"/>
              <w:jc w:val="center"/>
              <w:rPr>
                <w:rFonts w:ascii="Arial Narrow" w:hAnsi="Arial Narrow"/>
                <w:sz w:val="20"/>
                <w:szCs w:val="20"/>
              </w:rPr>
            </w:pPr>
          </w:p>
        </w:tc>
        <w:tc>
          <w:tcPr>
            <w:tcW w:w="864" w:type="pct"/>
            <w:shd w:val="clear" w:color="auto" w:fill="auto"/>
          </w:tcPr>
          <w:p w:rsidR="00AE46DA" w:rsidRPr="001825C9" w:rsidRDefault="00AE46DA" w:rsidP="00B21F37">
            <w:pPr>
              <w:pStyle w:val="TableNumber"/>
              <w:widowControl/>
              <w:spacing w:before="0" w:after="0" w:line="240" w:lineRule="auto"/>
              <w:ind w:right="-67" w:hanging="77"/>
              <w:rPr>
                <w:b/>
              </w:rPr>
            </w:pPr>
            <w:r w:rsidRPr="001825C9">
              <w:rPr>
                <w:b/>
              </w:rPr>
              <w:t>ENCO + CET</w:t>
            </w:r>
            <w:r w:rsidR="001F735A" w:rsidRPr="001825C9">
              <w:rPr>
                <w:b/>
              </w:rPr>
              <w:t>U</w:t>
            </w:r>
            <w:r w:rsidRPr="001825C9">
              <w:rPr>
                <w:b/>
              </w:rPr>
              <w:t>X</w:t>
            </w:r>
          </w:p>
          <w:p w:rsidR="00AE46DA" w:rsidRPr="001825C9" w:rsidRDefault="00AE46DA" w:rsidP="00B21F37">
            <w:pPr>
              <w:pStyle w:val="TableNumber"/>
              <w:widowControl/>
              <w:spacing w:before="0" w:after="0" w:line="240" w:lineRule="auto"/>
              <w:ind w:right="-67" w:hanging="77"/>
              <w:rPr>
                <w:b/>
              </w:rPr>
            </w:pPr>
            <w:r w:rsidRPr="001825C9">
              <w:rPr>
                <w:b/>
              </w:rPr>
              <w:t>(N = 220)</w:t>
            </w:r>
          </w:p>
        </w:tc>
        <w:tc>
          <w:tcPr>
            <w:tcW w:w="866" w:type="pct"/>
            <w:shd w:val="clear" w:color="auto" w:fill="auto"/>
          </w:tcPr>
          <w:p w:rsidR="00AE46DA" w:rsidRPr="001825C9" w:rsidRDefault="00AE46DA" w:rsidP="00B21F37">
            <w:pPr>
              <w:pStyle w:val="TableNumber"/>
              <w:widowControl/>
              <w:spacing w:before="0" w:after="0" w:line="240" w:lineRule="auto"/>
              <w:rPr>
                <w:rFonts w:eastAsia="Times New Roman" w:cs="Times New Roman"/>
                <w:b/>
                <w:vertAlign w:val="superscript"/>
              </w:rPr>
            </w:pPr>
            <w:r w:rsidRPr="001825C9">
              <w:rPr>
                <w:rFonts w:eastAsia="Times New Roman" w:cs="Times New Roman"/>
                <w:b/>
              </w:rPr>
              <w:t xml:space="preserve">CONTROL </w:t>
            </w:r>
            <w:r w:rsidRPr="001825C9">
              <w:rPr>
                <w:rFonts w:eastAsia="Times New Roman" w:cs="Times New Roman"/>
                <w:b/>
                <w:vertAlign w:val="superscript"/>
              </w:rPr>
              <w:t>a</w:t>
            </w:r>
          </w:p>
          <w:p w:rsidR="00AE46DA" w:rsidRPr="001825C9" w:rsidRDefault="00AE46DA" w:rsidP="00B21F37">
            <w:pPr>
              <w:pStyle w:val="TableNumber"/>
              <w:widowControl/>
              <w:spacing w:before="0" w:after="0" w:line="240" w:lineRule="auto"/>
              <w:rPr>
                <w:rFonts w:eastAsia="Times New Roman" w:cs="Times New Roman"/>
                <w:b/>
              </w:rPr>
            </w:pPr>
            <w:r w:rsidRPr="001825C9">
              <w:rPr>
                <w:rFonts w:eastAsia="Times New Roman" w:cs="Times New Roman"/>
                <w:b/>
              </w:rPr>
              <w:t>(N = 221)</w:t>
            </w:r>
          </w:p>
        </w:tc>
        <w:tc>
          <w:tcPr>
            <w:tcW w:w="865" w:type="pct"/>
            <w:shd w:val="clear" w:color="auto" w:fill="auto"/>
          </w:tcPr>
          <w:p w:rsidR="00AE46DA" w:rsidRPr="001825C9" w:rsidRDefault="00AE46DA" w:rsidP="00B21F37">
            <w:pPr>
              <w:pStyle w:val="TableNumber"/>
              <w:widowControl/>
              <w:spacing w:before="0" w:after="0" w:line="240" w:lineRule="auto"/>
              <w:ind w:right="-67" w:hanging="77"/>
              <w:rPr>
                <w:b/>
              </w:rPr>
            </w:pPr>
            <w:r w:rsidRPr="001825C9">
              <w:rPr>
                <w:b/>
              </w:rPr>
              <w:t>ENCO + CET</w:t>
            </w:r>
            <w:r w:rsidR="001F735A" w:rsidRPr="001825C9">
              <w:rPr>
                <w:b/>
              </w:rPr>
              <w:t>U</w:t>
            </w:r>
            <w:r w:rsidRPr="001825C9">
              <w:rPr>
                <w:b/>
              </w:rPr>
              <w:t>X</w:t>
            </w:r>
          </w:p>
          <w:p w:rsidR="00AE46DA" w:rsidRPr="001825C9" w:rsidRDefault="00AE46DA" w:rsidP="00B21F37">
            <w:pPr>
              <w:pStyle w:val="TableNumber"/>
              <w:widowControl/>
              <w:spacing w:before="0" w:after="0" w:line="240" w:lineRule="auto"/>
              <w:ind w:right="-67" w:hanging="77"/>
              <w:rPr>
                <w:b/>
              </w:rPr>
            </w:pPr>
            <w:r w:rsidRPr="001825C9">
              <w:rPr>
                <w:b/>
              </w:rPr>
              <w:t>(N = 220)</w:t>
            </w:r>
          </w:p>
        </w:tc>
        <w:tc>
          <w:tcPr>
            <w:tcW w:w="835" w:type="pct"/>
            <w:shd w:val="clear" w:color="auto" w:fill="auto"/>
          </w:tcPr>
          <w:p w:rsidR="00AE46DA" w:rsidRPr="001825C9" w:rsidRDefault="00AE46DA" w:rsidP="00B21F37">
            <w:pPr>
              <w:pStyle w:val="TableNumber"/>
              <w:widowControl/>
              <w:spacing w:before="0" w:after="0" w:line="240" w:lineRule="auto"/>
              <w:rPr>
                <w:rFonts w:eastAsia="Times New Roman" w:cs="Times New Roman"/>
                <w:b/>
                <w:vertAlign w:val="superscript"/>
              </w:rPr>
            </w:pPr>
            <w:r w:rsidRPr="001825C9">
              <w:rPr>
                <w:rFonts w:eastAsia="Times New Roman" w:cs="Times New Roman"/>
                <w:b/>
              </w:rPr>
              <w:t xml:space="preserve">CONTROL </w:t>
            </w:r>
            <w:r w:rsidRPr="001825C9">
              <w:rPr>
                <w:rFonts w:eastAsia="Times New Roman" w:cs="Times New Roman"/>
                <w:b/>
                <w:vertAlign w:val="superscript"/>
              </w:rPr>
              <w:t>a</w:t>
            </w:r>
          </w:p>
          <w:p w:rsidR="00AE46DA" w:rsidRPr="001825C9" w:rsidRDefault="00AE46DA" w:rsidP="00B21F37">
            <w:pPr>
              <w:pStyle w:val="TableNumber"/>
              <w:widowControl/>
              <w:spacing w:before="0" w:after="0" w:line="240" w:lineRule="auto"/>
              <w:rPr>
                <w:rFonts w:eastAsia="Times New Roman" w:cs="Times New Roman"/>
                <w:b/>
              </w:rPr>
            </w:pPr>
            <w:r w:rsidRPr="001825C9">
              <w:rPr>
                <w:rFonts w:eastAsia="Times New Roman" w:cs="Times New Roman"/>
                <w:b/>
              </w:rPr>
              <w:t>(N = 221)</w:t>
            </w:r>
          </w:p>
        </w:tc>
      </w:tr>
      <w:tr w:rsidR="00AE46DA" w:rsidRPr="001825C9" w:rsidTr="00B21F37">
        <w:tc>
          <w:tcPr>
            <w:tcW w:w="1569" w:type="pct"/>
            <w:shd w:val="clear" w:color="auto" w:fill="auto"/>
          </w:tcPr>
          <w:p w:rsidR="00AE46DA" w:rsidRPr="001825C9" w:rsidRDefault="001F735A" w:rsidP="00B21F37">
            <w:pPr>
              <w:spacing w:before="0" w:after="0"/>
              <w:ind w:left="-43"/>
              <w:jc w:val="left"/>
              <w:rPr>
                <w:rFonts w:ascii="Arial Narrow" w:hAnsi="Arial Narrow"/>
                <w:sz w:val="20"/>
                <w:szCs w:val="20"/>
              </w:rPr>
            </w:pPr>
            <w:r w:rsidRPr="001825C9">
              <w:rPr>
                <w:rFonts w:ascii="Arial Narrow" w:hAnsi="Arial Narrow"/>
                <w:sz w:val="20"/>
                <w:szCs w:val="20"/>
              </w:rPr>
              <w:t>Events – n (%)</w:t>
            </w:r>
          </w:p>
        </w:tc>
        <w:tc>
          <w:tcPr>
            <w:tcW w:w="864" w:type="pct"/>
            <w:shd w:val="clear" w:color="auto" w:fill="auto"/>
            <w:vAlign w:val="center"/>
          </w:tcPr>
          <w:p w:rsidR="00AE46DA" w:rsidRPr="001825C9" w:rsidRDefault="00AE46DA" w:rsidP="00B21F37">
            <w:pPr>
              <w:pStyle w:val="TableNumber"/>
              <w:widowControl/>
              <w:tabs>
                <w:tab w:val="clear" w:pos="396"/>
              </w:tabs>
              <w:spacing w:before="0" w:after="0" w:line="240" w:lineRule="auto"/>
              <w:ind w:left="-67" w:firstLine="14"/>
              <w:rPr>
                <w:rFonts w:eastAsia="Times New Roman" w:cs="Arial"/>
                <w:szCs w:val="20"/>
              </w:rPr>
            </w:pPr>
            <w:r w:rsidRPr="001825C9">
              <w:rPr>
                <w:rFonts w:eastAsia="Times New Roman" w:cs="Arial"/>
                <w:szCs w:val="20"/>
              </w:rPr>
              <w:t>133 (60.5)</w:t>
            </w:r>
          </w:p>
        </w:tc>
        <w:tc>
          <w:tcPr>
            <w:tcW w:w="866" w:type="pct"/>
            <w:shd w:val="clear" w:color="auto" w:fill="auto"/>
            <w:vAlign w:val="center"/>
          </w:tcPr>
          <w:p w:rsidR="00AE46DA" w:rsidRPr="001825C9" w:rsidRDefault="00AE46DA" w:rsidP="00B21F37">
            <w:pPr>
              <w:pStyle w:val="TableNumber"/>
              <w:widowControl/>
              <w:tabs>
                <w:tab w:val="clear" w:pos="396"/>
              </w:tabs>
              <w:spacing w:before="0" w:after="0" w:line="240" w:lineRule="auto"/>
              <w:ind w:left="-27" w:hanging="28"/>
              <w:rPr>
                <w:rFonts w:eastAsia="Times New Roman" w:cs="Arial"/>
                <w:szCs w:val="20"/>
              </w:rPr>
            </w:pPr>
            <w:r w:rsidRPr="001825C9">
              <w:rPr>
                <w:rFonts w:eastAsia="Times New Roman" w:cs="Arial"/>
                <w:szCs w:val="20"/>
              </w:rPr>
              <w:t>128 (57.9)</w:t>
            </w:r>
          </w:p>
        </w:tc>
        <w:tc>
          <w:tcPr>
            <w:tcW w:w="865" w:type="pct"/>
            <w:shd w:val="clear" w:color="auto" w:fill="auto"/>
            <w:vAlign w:val="center"/>
          </w:tcPr>
          <w:p w:rsidR="00AE46DA" w:rsidRPr="001825C9" w:rsidRDefault="00AE46DA" w:rsidP="00B21F37">
            <w:pPr>
              <w:pStyle w:val="TableNumber"/>
              <w:widowControl/>
              <w:tabs>
                <w:tab w:val="clear" w:pos="396"/>
              </w:tabs>
              <w:spacing w:before="0" w:after="0" w:line="240" w:lineRule="auto"/>
              <w:ind w:hanging="28"/>
              <w:rPr>
                <w:rFonts w:eastAsia="Times New Roman" w:cs="Arial"/>
                <w:szCs w:val="20"/>
              </w:rPr>
            </w:pPr>
            <w:r w:rsidRPr="001825C9">
              <w:rPr>
                <w:rFonts w:eastAsia="Times New Roman" w:cs="Arial"/>
                <w:szCs w:val="20"/>
              </w:rPr>
              <w:t>167 (75.9)</w:t>
            </w:r>
          </w:p>
        </w:tc>
        <w:tc>
          <w:tcPr>
            <w:tcW w:w="835" w:type="pct"/>
            <w:shd w:val="clear" w:color="auto" w:fill="auto"/>
            <w:vAlign w:val="center"/>
          </w:tcPr>
          <w:p w:rsidR="00AE46DA" w:rsidRPr="001825C9" w:rsidRDefault="00AE46DA" w:rsidP="00B21F37">
            <w:pPr>
              <w:pStyle w:val="TableNumber"/>
              <w:widowControl/>
              <w:tabs>
                <w:tab w:val="clear" w:pos="396"/>
              </w:tabs>
              <w:spacing w:before="0" w:after="0" w:line="240" w:lineRule="auto"/>
              <w:ind w:hanging="54"/>
              <w:rPr>
                <w:rFonts w:eastAsia="Times New Roman" w:cs="Arial"/>
                <w:szCs w:val="20"/>
              </w:rPr>
            </w:pPr>
            <w:r w:rsidRPr="001825C9">
              <w:rPr>
                <w:rFonts w:eastAsia="Times New Roman" w:cs="Arial"/>
                <w:szCs w:val="20"/>
              </w:rPr>
              <w:t>147 (66.5)</w:t>
            </w:r>
          </w:p>
        </w:tc>
      </w:tr>
      <w:tr w:rsidR="00AE46DA" w:rsidRPr="001825C9" w:rsidTr="00B21F37">
        <w:trPr>
          <w:trHeight w:val="165"/>
        </w:trPr>
        <w:tc>
          <w:tcPr>
            <w:tcW w:w="1569" w:type="pct"/>
            <w:shd w:val="clear" w:color="auto" w:fill="auto"/>
          </w:tcPr>
          <w:p w:rsidR="00AE46DA" w:rsidRPr="001825C9" w:rsidRDefault="00AE46DA" w:rsidP="00B21F37">
            <w:pPr>
              <w:spacing w:before="0" w:after="0"/>
              <w:ind w:left="-43"/>
              <w:jc w:val="left"/>
              <w:rPr>
                <w:rFonts w:ascii="Arial Narrow" w:hAnsi="Arial Narrow"/>
                <w:sz w:val="20"/>
                <w:szCs w:val="20"/>
              </w:rPr>
            </w:pPr>
            <w:r w:rsidRPr="001825C9">
              <w:rPr>
                <w:rFonts w:ascii="Arial Narrow" w:hAnsi="Arial Narrow"/>
                <w:sz w:val="20"/>
                <w:szCs w:val="20"/>
              </w:rPr>
              <w:t>Median (95% CI), months</w:t>
            </w:r>
          </w:p>
        </w:tc>
        <w:tc>
          <w:tcPr>
            <w:tcW w:w="864"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4.21 (3.71, 5.36)</w:t>
            </w:r>
          </w:p>
        </w:tc>
        <w:tc>
          <w:tcPr>
            <w:tcW w:w="866"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1.51 (1.45, 1.71)</w:t>
            </w:r>
          </w:p>
        </w:tc>
        <w:tc>
          <w:tcPr>
            <w:tcW w:w="865"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4.27 (4.07, 5.45)</w:t>
            </w:r>
          </w:p>
        </w:tc>
        <w:tc>
          <w:tcPr>
            <w:tcW w:w="835" w:type="pct"/>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1.54 (1.48, 1.91)</w:t>
            </w:r>
          </w:p>
        </w:tc>
      </w:tr>
      <w:tr w:rsidR="00AE46DA" w:rsidRPr="001825C9" w:rsidTr="00B21F37">
        <w:tc>
          <w:tcPr>
            <w:tcW w:w="1569" w:type="pct"/>
            <w:shd w:val="clear" w:color="auto" w:fill="auto"/>
          </w:tcPr>
          <w:p w:rsidR="00AE46DA" w:rsidRPr="001825C9" w:rsidRDefault="00AE46DA" w:rsidP="00B21F37">
            <w:pPr>
              <w:spacing w:before="0" w:after="0"/>
              <w:ind w:left="-43"/>
              <w:jc w:val="left"/>
              <w:rPr>
                <w:rFonts w:ascii="Arial Narrow" w:hAnsi="Arial Narrow"/>
                <w:sz w:val="20"/>
                <w:szCs w:val="20"/>
                <w:vertAlign w:val="superscript"/>
              </w:rPr>
            </w:pPr>
            <w:r w:rsidRPr="001825C9">
              <w:rPr>
                <w:rFonts w:ascii="Arial Narrow" w:hAnsi="Arial Narrow"/>
                <w:sz w:val="20"/>
                <w:szCs w:val="20"/>
              </w:rPr>
              <w:t xml:space="preserve">Difference in median PFS, months </w:t>
            </w:r>
            <w:r w:rsidRPr="001825C9">
              <w:rPr>
                <w:rFonts w:ascii="Arial Narrow" w:hAnsi="Arial Narrow"/>
                <w:sz w:val="20"/>
                <w:szCs w:val="20"/>
                <w:vertAlign w:val="superscript"/>
              </w:rPr>
              <w:t>b</w:t>
            </w:r>
          </w:p>
        </w:tc>
        <w:tc>
          <w:tcPr>
            <w:tcW w:w="1730" w:type="pct"/>
            <w:gridSpan w:val="2"/>
            <w:shd w:val="clear" w:color="auto" w:fill="auto"/>
            <w:vAlign w:val="center"/>
          </w:tcPr>
          <w:p w:rsidR="00AE46DA" w:rsidRPr="001825C9" w:rsidRDefault="00AE46DA" w:rsidP="00B21F37">
            <w:pPr>
              <w:pStyle w:val="TableNumber"/>
              <w:widowControl/>
              <w:tabs>
                <w:tab w:val="clear" w:pos="396"/>
              </w:tabs>
              <w:spacing w:before="0" w:after="0" w:line="240" w:lineRule="auto"/>
              <w:ind w:left="-67" w:firstLine="14"/>
              <w:rPr>
                <w:rFonts w:cs="Arial"/>
                <w:szCs w:val="20"/>
              </w:rPr>
            </w:pPr>
            <w:r w:rsidRPr="001825C9">
              <w:rPr>
                <w:rFonts w:cs="Arial"/>
                <w:szCs w:val="20"/>
              </w:rPr>
              <w:t>2.70</w:t>
            </w:r>
          </w:p>
        </w:tc>
        <w:tc>
          <w:tcPr>
            <w:tcW w:w="1700" w:type="pct"/>
            <w:gridSpan w:val="2"/>
            <w:shd w:val="clear" w:color="auto" w:fill="auto"/>
            <w:vAlign w:val="center"/>
          </w:tcPr>
          <w:p w:rsidR="00AE46DA" w:rsidRPr="001825C9" w:rsidRDefault="00AE46DA" w:rsidP="00B21F37">
            <w:pPr>
              <w:pStyle w:val="TableNumber"/>
              <w:widowControl/>
              <w:tabs>
                <w:tab w:val="clear" w:pos="396"/>
              </w:tabs>
              <w:spacing w:before="0" w:after="0" w:line="240" w:lineRule="auto"/>
              <w:ind w:left="-1" w:hanging="28"/>
              <w:rPr>
                <w:rFonts w:cs="Arial"/>
                <w:szCs w:val="20"/>
              </w:rPr>
            </w:pPr>
            <w:r w:rsidRPr="001825C9">
              <w:rPr>
                <w:rFonts w:cs="Arial"/>
                <w:szCs w:val="20"/>
              </w:rPr>
              <w:t>2.73</w:t>
            </w:r>
          </w:p>
        </w:tc>
      </w:tr>
      <w:tr w:rsidR="00AE46DA" w:rsidRPr="001825C9" w:rsidTr="00B21F37">
        <w:trPr>
          <w:trHeight w:val="60"/>
        </w:trPr>
        <w:tc>
          <w:tcPr>
            <w:tcW w:w="1569" w:type="pct"/>
            <w:shd w:val="clear" w:color="auto" w:fill="auto"/>
          </w:tcPr>
          <w:p w:rsidR="00AE46DA" w:rsidRPr="001825C9" w:rsidRDefault="00AE46DA" w:rsidP="00B21F37">
            <w:pPr>
              <w:spacing w:before="0" w:after="0"/>
              <w:ind w:left="-43"/>
              <w:jc w:val="left"/>
              <w:rPr>
                <w:rFonts w:ascii="Arial Narrow" w:hAnsi="Arial Narrow"/>
                <w:sz w:val="20"/>
                <w:szCs w:val="20"/>
                <w:vertAlign w:val="superscript"/>
              </w:rPr>
            </w:pPr>
            <w:r w:rsidRPr="001825C9">
              <w:rPr>
                <w:rFonts w:ascii="Arial Narrow" w:hAnsi="Arial Narrow"/>
                <w:sz w:val="20"/>
                <w:szCs w:val="20"/>
              </w:rPr>
              <w:t xml:space="preserve">Stratified HR (95% CI) </w:t>
            </w:r>
            <w:r w:rsidRPr="001825C9">
              <w:rPr>
                <w:rFonts w:ascii="Arial Narrow" w:hAnsi="Arial Narrow"/>
                <w:sz w:val="20"/>
                <w:szCs w:val="20"/>
                <w:vertAlign w:val="superscript"/>
              </w:rPr>
              <w:t>c</w:t>
            </w:r>
          </w:p>
        </w:tc>
        <w:tc>
          <w:tcPr>
            <w:tcW w:w="1730"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0.40 (0.31, 0.52)</w:t>
            </w:r>
          </w:p>
        </w:tc>
        <w:tc>
          <w:tcPr>
            <w:tcW w:w="1700"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0.44 (0.35, 0.55)</w:t>
            </w:r>
          </w:p>
        </w:tc>
      </w:tr>
      <w:tr w:rsidR="00AE46DA" w:rsidRPr="001825C9" w:rsidTr="00B21F37">
        <w:tc>
          <w:tcPr>
            <w:tcW w:w="1569" w:type="pct"/>
            <w:shd w:val="clear" w:color="auto" w:fill="auto"/>
          </w:tcPr>
          <w:p w:rsidR="00AE46DA" w:rsidRPr="001825C9" w:rsidRDefault="00AE46DA" w:rsidP="00B21F37">
            <w:pPr>
              <w:spacing w:before="0" w:after="0"/>
              <w:ind w:left="-43"/>
              <w:jc w:val="left"/>
              <w:rPr>
                <w:rFonts w:ascii="Arial Narrow" w:hAnsi="Arial Narrow"/>
                <w:sz w:val="20"/>
                <w:szCs w:val="20"/>
                <w:vertAlign w:val="superscript"/>
              </w:rPr>
            </w:pPr>
            <w:r w:rsidRPr="001825C9">
              <w:rPr>
                <w:rFonts w:ascii="Arial Narrow" w:hAnsi="Arial Narrow"/>
                <w:sz w:val="20"/>
                <w:szCs w:val="20"/>
              </w:rPr>
              <w:t xml:space="preserve">Stratified p-value </w:t>
            </w:r>
            <w:r w:rsidRPr="001825C9">
              <w:rPr>
                <w:rFonts w:ascii="Arial Narrow" w:hAnsi="Arial Narrow"/>
                <w:sz w:val="20"/>
                <w:szCs w:val="20"/>
                <w:vertAlign w:val="superscript"/>
              </w:rPr>
              <w:t>c</w:t>
            </w:r>
          </w:p>
        </w:tc>
        <w:tc>
          <w:tcPr>
            <w:tcW w:w="1730"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&lt; 0.0001</w:t>
            </w:r>
          </w:p>
        </w:tc>
        <w:tc>
          <w:tcPr>
            <w:tcW w:w="1700" w:type="pct"/>
            <w:gridSpan w:val="2"/>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&lt;0.0001</w:t>
            </w:r>
          </w:p>
        </w:tc>
      </w:tr>
    </w:tbl>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 xml:space="preserve">Notes: </w:t>
      </w:r>
      <w:r w:rsidRPr="001825C9">
        <w:rPr>
          <w:rFonts w:ascii="Arial Narrow" w:hAnsi="Arial Narrow"/>
          <w:sz w:val="18"/>
          <w:szCs w:val="18"/>
          <w:vertAlign w:val="superscript"/>
        </w:rPr>
        <w:t>a</w:t>
      </w:r>
      <w:r w:rsidRPr="001825C9">
        <w:rPr>
          <w:rFonts w:ascii="Arial Narrow" w:hAnsi="Arial Narrow"/>
          <w:sz w:val="18"/>
          <w:szCs w:val="18"/>
        </w:rPr>
        <w:t xml:space="preserve"> Control arm = investigator’s choice of irinotecan + cetuximab or FOLFIRI + cetuximab</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b </w:t>
      </w:r>
      <w:r w:rsidRPr="001825C9">
        <w:rPr>
          <w:rFonts w:ascii="Arial Narrow" w:hAnsi="Arial Narrow"/>
          <w:sz w:val="18"/>
          <w:szCs w:val="18"/>
        </w:rPr>
        <w:t>calculated during the evaluation</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c </w:t>
      </w:r>
      <w:r w:rsidRPr="001825C9">
        <w:rPr>
          <w:rFonts w:ascii="Arial Narrow" w:hAnsi="Arial Narrow"/>
          <w:sz w:val="18"/>
          <w:szCs w:val="18"/>
        </w:rPr>
        <w:t>Stratified by ECOG PS, source of cetuximab, and prior irinotecan use at randomisation.</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Abbreviations: CI = confidence interval; CETUX = cetuximab; ENCO = encorafenib; FAS = full analysis set; HR = hazard ratio; n = number of participants reporting data; N = total participants in group; PFS = progression-free survival</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Source: Table 2-89, p183 of the submission</w:t>
      </w:r>
    </w:p>
    <w:p w:rsidR="00AE46DA" w:rsidRPr="001825C9" w:rsidRDefault="00AE46DA" w:rsidP="00AE46DA">
      <w:pPr>
        <w:pStyle w:val="ListParagraph"/>
        <w:rPr>
          <w:color w:val="auto"/>
        </w:rPr>
      </w:pPr>
      <w:r w:rsidRPr="001825C9">
        <w:rPr>
          <w:rFonts w:cstheme="minorHAnsi"/>
          <w:color w:val="auto"/>
          <w:szCs w:val="24"/>
        </w:rPr>
        <w:t xml:space="preserve">The PFS results at both data cuts were </w:t>
      </w:r>
      <w:r w:rsidR="001F735A" w:rsidRPr="001825C9">
        <w:rPr>
          <w:rFonts w:cstheme="minorHAnsi"/>
          <w:color w:val="auto"/>
          <w:szCs w:val="24"/>
        </w:rPr>
        <w:t xml:space="preserve">similar and </w:t>
      </w:r>
      <w:r w:rsidRPr="001825C9">
        <w:rPr>
          <w:rFonts w:cstheme="minorHAnsi"/>
          <w:color w:val="auto"/>
          <w:szCs w:val="24"/>
        </w:rPr>
        <w:t xml:space="preserve">statistically significantly different in favour of </w:t>
      </w:r>
      <w:r w:rsidRPr="001825C9">
        <w:rPr>
          <w:iCs/>
          <w:color w:val="auto"/>
        </w:rPr>
        <w:t>encorafenib + cetuximab</w:t>
      </w:r>
      <w:r w:rsidRPr="001825C9">
        <w:rPr>
          <w:rFonts w:cstheme="minorHAnsi"/>
          <w:color w:val="auto"/>
          <w:szCs w:val="24"/>
        </w:rPr>
        <w:t>.</w:t>
      </w:r>
    </w:p>
    <w:p w:rsidR="00AE46DA" w:rsidRPr="001825C9" w:rsidRDefault="00AE46DA" w:rsidP="00AE46DA">
      <w:pPr>
        <w:pStyle w:val="ListParagraph"/>
        <w:rPr>
          <w:color w:val="auto"/>
        </w:rPr>
      </w:pPr>
      <w:r w:rsidRPr="001825C9">
        <w:rPr>
          <w:rFonts w:cstheme="minorHAnsi"/>
          <w:color w:val="auto"/>
          <w:szCs w:val="24"/>
        </w:rPr>
        <w:lastRenderedPageBreak/>
        <w:t xml:space="preserve">The KM plots for PFS in BEACON at the 15 August 2019 analysis of the FAS are presented in Figure 3. The KM plots show a very early (before 2 months) separation in favour of </w:t>
      </w:r>
      <w:r w:rsidRPr="001825C9">
        <w:rPr>
          <w:iCs/>
          <w:color w:val="auto"/>
        </w:rPr>
        <w:t>encorafenib + cetuximab,</w:t>
      </w:r>
      <w:r w:rsidRPr="001825C9">
        <w:rPr>
          <w:color w:val="auto"/>
        </w:rPr>
        <w:t xml:space="preserve"> </w:t>
      </w:r>
      <w:r w:rsidRPr="001825C9">
        <w:rPr>
          <w:rFonts w:cstheme="minorHAnsi"/>
          <w:color w:val="auto"/>
          <w:szCs w:val="24"/>
        </w:rPr>
        <w:t>before the two curves start to converge from approximately 6 months.</w:t>
      </w:r>
    </w:p>
    <w:p w:rsidR="00AE46DA" w:rsidRPr="00D40262" w:rsidRDefault="00AE46DA" w:rsidP="00AE46DA">
      <w:pPr>
        <w:pStyle w:val="Caption"/>
        <w:rPr>
          <w:u w:val="single"/>
          <w:vertAlign w:val="superscript"/>
        </w:rPr>
      </w:pPr>
      <w:r w:rsidRPr="001825C9">
        <w:t>Figure 3: Kaplan-Meier analysis of PFS for BEACON (FAS; 15 August 2019)</w:t>
      </w:r>
    </w:p>
    <w:p w:rsidR="00AE46DA" w:rsidRPr="001825C9" w:rsidRDefault="00F6615C" w:rsidP="00AE46DA">
      <w:pPr>
        <w:rPr>
          <w:u w:val="single"/>
        </w:rPr>
      </w:pPr>
      <w:r w:rsidRPr="00374462">
        <w:rPr>
          <w:noProof/>
          <w:shd w:val="clear" w:color="auto" w:fill="C0C0C1"/>
          <w:lang w:eastAsia="en-AU"/>
        </w:rPr>
        <w:drawing>
          <wp:inline distT="0" distB="0" distL="0" distR="0" wp14:anchorId="5832D92C" wp14:editId="31C251FD">
            <wp:extent cx="5731510" cy="3686175"/>
            <wp:effectExtent l="0" t="0" r="2540" b="9525"/>
            <wp:docPr id="27" name="Picture 27" title="Figure 3: Kaplan-Meier analysis of PFS for BEACON (FAS; 15 Augus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686175"/>
                    </a:xfrm>
                    <a:prstGeom prst="rect">
                      <a:avLst/>
                    </a:prstGeom>
                  </pic:spPr>
                </pic:pic>
              </a:graphicData>
            </a:graphic>
          </wp:inline>
        </w:drawing>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Abbreviations: CETUX = cetuximab; CI = confidence interval; CONTROL = investigator’s choice of irinotecan + cetuximab or FOLFIRI + cetuximab; ENCO = encorafenib; FAS = full analysis set; HR = hazard ratio; PFS = progression-free survival; Ref = reference</w:t>
      </w:r>
    </w:p>
    <w:p w:rsidR="00AE46DA" w:rsidRDefault="00AE46DA" w:rsidP="00AE46DA">
      <w:pPr>
        <w:spacing w:before="0" w:after="0"/>
        <w:rPr>
          <w:rFonts w:ascii="Arial Narrow" w:hAnsi="Arial Narrow"/>
          <w:sz w:val="18"/>
          <w:szCs w:val="18"/>
        </w:rPr>
      </w:pPr>
      <w:r w:rsidRPr="001825C9">
        <w:rPr>
          <w:rFonts w:ascii="Arial Narrow" w:hAnsi="Arial Narrow"/>
          <w:sz w:val="18"/>
          <w:szCs w:val="18"/>
        </w:rPr>
        <w:lastRenderedPageBreak/>
        <w:t>Source: Figure 2-13, p185 of the submission</w:t>
      </w:r>
    </w:p>
    <w:p w:rsidR="00AE46DA" w:rsidRPr="001825C9" w:rsidRDefault="00AE46DA" w:rsidP="00AE46DA">
      <w:pPr>
        <w:pStyle w:val="Heading3"/>
      </w:pPr>
      <w:r w:rsidRPr="001825C9">
        <w:t>Quality of life (QoL)</w:t>
      </w:r>
    </w:p>
    <w:p w:rsidR="00AE46DA" w:rsidRPr="001825C9" w:rsidRDefault="00AE46DA" w:rsidP="00AE46DA">
      <w:pPr>
        <w:pStyle w:val="Heading4"/>
      </w:pPr>
      <w:r w:rsidRPr="001825C9">
        <w:t>EORTC QLQ-C30</w:t>
      </w:r>
    </w:p>
    <w:p w:rsidR="00AE46DA" w:rsidRPr="001825C9" w:rsidRDefault="00AE46DA" w:rsidP="00AE46DA">
      <w:pPr>
        <w:pStyle w:val="ListParagraph"/>
        <w:rPr>
          <w:color w:val="auto"/>
        </w:rPr>
      </w:pPr>
      <w:r w:rsidRPr="001825C9">
        <w:rPr>
          <w:rFonts w:cs="Arial"/>
          <w:szCs w:val="24"/>
        </w:rPr>
        <w:t xml:space="preserve">The estimated median time to definitive 10% deterioration in the global health state score (Figure 4) was </w:t>
      </w:r>
      <w:r w:rsidR="00F6615C">
        <w:rPr>
          <w:rFonts w:cs="Arial"/>
          <w:noProof/>
          <w:color w:val="000000"/>
          <w:szCs w:val="24"/>
          <w:highlight w:val="black"/>
        </w:rPr>
        <w:t>'''''''''</w:t>
      </w:r>
      <w:r w:rsidR="002E5CD1" w:rsidRPr="002E5CD1">
        <w:rPr>
          <w:rStyle w:val="FootnoteReference"/>
          <w:rFonts w:cs="Arial"/>
          <w:szCs w:val="24"/>
        </w:rPr>
        <w:footnoteReference w:id="9"/>
      </w:r>
      <w:r w:rsidRPr="001825C9">
        <w:rPr>
          <w:rFonts w:cs="Arial"/>
          <w:szCs w:val="24"/>
        </w:rPr>
        <w:t xml:space="preserve"> months longer in the encorafenib + cetuximab arm compared to the control arm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xml:space="preserve"> months and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xml:space="preserve"> months respectively; HR =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Similar median time to definitive 10% deterioration results were seen in the emotional functioning score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xml:space="preserve"> vs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xml:space="preserve"> months, HR =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physical functioning score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xml:space="preserve"> vs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xml:space="preserve"> months, HR =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and the social functioning score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xml:space="preserve"> vs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xml:space="preserve"> months, HR = </w:t>
      </w:r>
      <w:r w:rsidR="00F6615C">
        <w:rPr>
          <w:rFonts w:cs="Arial"/>
          <w:noProof/>
          <w:color w:val="000000"/>
          <w:szCs w:val="24"/>
          <w:highlight w:val="black"/>
        </w:rPr>
        <w:t>''''''</w:t>
      </w:r>
      <w:r w:rsidR="002E5CD1" w:rsidRPr="002E5CD1">
        <w:rPr>
          <w:rFonts w:cs="Arial"/>
          <w:szCs w:val="24"/>
          <w:vertAlign w:val="superscript"/>
        </w:rPr>
        <w:t>8</w:t>
      </w:r>
      <w:r w:rsidRPr="001825C9">
        <w:rPr>
          <w:rFonts w:cs="Arial"/>
          <w:szCs w:val="24"/>
        </w:rPr>
        <w:t xml:space="preserve">). </w:t>
      </w:r>
      <w:r w:rsidRPr="001825C9">
        <w:rPr>
          <w:rFonts w:cs="Arial"/>
          <w:iCs/>
          <w:szCs w:val="24"/>
        </w:rPr>
        <w:t xml:space="preserve">The submission did not present the total health state scores for the EORTC QLQ-C30. </w:t>
      </w:r>
      <w:r w:rsidRPr="001825C9">
        <w:rPr>
          <w:rFonts w:cs="Arial"/>
          <w:color w:val="auto"/>
          <w:szCs w:val="24"/>
        </w:rPr>
        <w:t>Compliance for the EORTC QLQ-C30 assessment was also not provided by the submission</w:t>
      </w:r>
      <w:r w:rsidRPr="001825C9">
        <w:rPr>
          <w:rFonts w:cs="Arial"/>
          <w:iCs/>
          <w:color w:val="auto"/>
          <w:szCs w:val="24"/>
        </w:rPr>
        <w:t>.</w:t>
      </w:r>
    </w:p>
    <w:p w:rsidR="00AE46DA" w:rsidRPr="002E5CD1" w:rsidRDefault="00AE46DA" w:rsidP="00AE46DA">
      <w:pPr>
        <w:pStyle w:val="Caption"/>
        <w:rPr>
          <w:vertAlign w:val="superscript"/>
        </w:rPr>
      </w:pPr>
      <w:r w:rsidRPr="001825C9">
        <w:lastRenderedPageBreak/>
        <w:t>Figure 4: EORTC QLQ-C30 Global Health Status: time to definitive 10% deterioration (15 August 2019)</w:t>
      </w:r>
      <w:r w:rsidR="002E5CD1">
        <w:rPr>
          <w:vertAlign w:val="superscript"/>
        </w:rPr>
        <w:t>*</w:t>
      </w:r>
    </w:p>
    <w:p w:rsidR="00AE46DA" w:rsidRPr="001825C9" w:rsidRDefault="00F6615C" w:rsidP="00AE46DA">
      <w:pPr>
        <w:spacing w:before="0" w:after="0"/>
        <w:rPr>
          <w:rFonts w:ascii="Arial Narrow" w:hAnsi="Arial Narrow"/>
          <w:sz w:val="18"/>
          <w:szCs w:val="18"/>
        </w:rPr>
      </w:pPr>
      <w:r>
        <w:rPr>
          <w:rFonts w:ascii="Arial Narrow" w:hAnsi="Arial Narrow"/>
          <w:noProof/>
          <w:sz w:val="18"/>
          <w:szCs w:val="18"/>
          <w:lang w:eastAsia="en-AU"/>
        </w:rPr>
        <w:drawing>
          <wp:inline distT="0" distB="0" distL="0" distR="0">
            <wp:extent cx="5731510" cy="3438525"/>
            <wp:effectExtent l="0" t="0" r="2540" b="9525"/>
            <wp:docPr id="6" name="Picture 6" title="Figure 4: EORTC QLQ-C30 Global Health Status: time to definitive 10% deterioration (15 August 2019)*"/>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9"/>
                    <a:stretch>
                      <a:fillRect/>
                    </a:stretch>
                  </pic:blipFill>
                  <pic:spPr>
                    <a:xfrm>
                      <a:off x="0" y="0"/>
                      <a:ext cx="5731510" cy="3438525"/>
                    </a:xfrm>
                    <a:prstGeom prst="rect">
                      <a:avLst/>
                    </a:prstGeom>
                  </pic:spPr>
                </pic:pic>
              </a:graphicData>
            </a:graphic>
          </wp:inline>
        </w:drawing>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Abbreviations: BINI = binimetinib; CETUX = cetuximab; CI = confidence interval; CONTROL = investigator’s choice of irinotecan + cetuximab or FOLFIRI + cetuximab; ENCO = encorafenib; EORTC-QLQ = European Organization for Research and Treatment of Cancer quality of life questionnaire; HR = hazard ratio; Ref = reference</w:t>
      </w:r>
    </w:p>
    <w:p w:rsidR="002E5CD1" w:rsidRDefault="00AE46DA" w:rsidP="00AE46DA">
      <w:pPr>
        <w:spacing w:before="0" w:after="0"/>
        <w:rPr>
          <w:rFonts w:ascii="Arial Narrow" w:hAnsi="Arial Narrow"/>
          <w:sz w:val="18"/>
          <w:szCs w:val="18"/>
        </w:rPr>
      </w:pPr>
      <w:r w:rsidRPr="001825C9">
        <w:rPr>
          <w:rFonts w:ascii="Arial Narrow" w:hAnsi="Arial Narrow"/>
          <w:sz w:val="18"/>
          <w:szCs w:val="18"/>
        </w:rPr>
        <w:t>Source: Figure 2-14, p188 of the submission</w:t>
      </w:r>
    </w:p>
    <w:p w:rsidR="00AE46DA" w:rsidRPr="001825C9" w:rsidRDefault="002E5CD1" w:rsidP="00AE46DA">
      <w:pPr>
        <w:spacing w:before="0" w:after="0"/>
        <w:rPr>
          <w:rFonts w:ascii="Arial Narrow" w:hAnsi="Arial Narrow"/>
          <w:sz w:val="18"/>
          <w:szCs w:val="18"/>
        </w:rPr>
      </w:pPr>
      <w:r>
        <w:rPr>
          <w:rFonts w:ascii="Arial Narrow" w:hAnsi="Arial Narrow"/>
          <w:sz w:val="18"/>
          <w:szCs w:val="18"/>
          <w:vertAlign w:val="superscript"/>
        </w:rPr>
        <w:t>*</w:t>
      </w:r>
      <w:r w:rsidRPr="002E5CD1">
        <w:rPr>
          <w:rFonts w:ascii="Arial Narrow" w:hAnsi="Arial Narrow"/>
          <w:i/>
          <w:sz w:val="18"/>
          <w:szCs w:val="18"/>
        </w:rPr>
        <w:t>QoL data cut off August 2019: manuscript in preparation. To be submitted Q4 2021 to ESMO Open</w:t>
      </w:r>
    </w:p>
    <w:p w:rsidR="00AE46DA" w:rsidRPr="001825C9" w:rsidRDefault="00AE46DA" w:rsidP="00AE46DA">
      <w:pPr>
        <w:pStyle w:val="Heading4"/>
      </w:pPr>
      <w:r w:rsidRPr="001825C9">
        <w:t>FACT-C</w:t>
      </w:r>
    </w:p>
    <w:p w:rsidR="00AE46DA" w:rsidRPr="001825C9" w:rsidRDefault="00AE46DA" w:rsidP="00AE46DA">
      <w:pPr>
        <w:pStyle w:val="ListParagraph"/>
        <w:rPr>
          <w:color w:val="auto"/>
        </w:rPr>
      </w:pPr>
      <w:r w:rsidRPr="001825C9">
        <w:rPr>
          <w:rFonts w:cs="Arial"/>
          <w:szCs w:val="24"/>
        </w:rPr>
        <w:lastRenderedPageBreak/>
        <w:t xml:space="preserve">The estimated median time to definitive </w:t>
      </w:r>
      <w:r w:rsidRPr="00383E75">
        <w:rPr>
          <w:rFonts w:cs="Arial"/>
          <w:szCs w:val="24"/>
        </w:rPr>
        <w:t>10</w:t>
      </w:r>
      <w:r w:rsidRPr="001825C9">
        <w:rPr>
          <w:rFonts w:cs="Arial"/>
          <w:szCs w:val="24"/>
        </w:rPr>
        <w:t>% deterioration in the CRC subscale score (Figure 5) was 4.10 months longer in the encorafenib + cetuximab arm compared to the control arm (</w:t>
      </w:r>
      <w:r w:rsidR="00F6615C">
        <w:rPr>
          <w:rFonts w:cs="Arial"/>
          <w:noProof/>
          <w:color w:val="000000"/>
          <w:szCs w:val="24"/>
          <w:highlight w:val="black"/>
        </w:rPr>
        <w:t>'''''''''</w:t>
      </w:r>
      <w:r w:rsidR="00AB0397" w:rsidRPr="00AB0397">
        <w:rPr>
          <w:rStyle w:val="FootnoteReference"/>
          <w:rFonts w:cs="Arial"/>
          <w:szCs w:val="24"/>
        </w:rPr>
        <w:footnoteReference w:id="10"/>
      </w:r>
      <w:r w:rsidRPr="001825C9">
        <w:rPr>
          <w:rFonts w:cs="Arial"/>
          <w:szCs w:val="24"/>
        </w:rPr>
        <w:t xml:space="preserve"> months and </w:t>
      </w:r>
      <w:r w:rsidR="00F6615C">
        <w:rPr>
          <w:rFonts w:cs="Arial"/>
          <w:noProof/>
          <w:color w:val="000000"/>
          <w:szCs w:val="24"/>
          <w:highlight w:val="black"/>
        </w:rPr>
        <w:t>''''''''</w:t>
      </w:r>
      <w:r w:rsidR="00AB0397">
        <w:rPr>
          <w:rFonts w:cs="Arial"/>
          <w:szCs w:val="24"/>
          <w:vertAlign w:val="superscript"/>
        </w:rPr>
        <w:t>9</w:t>
      </w:r>
      <w:r w:rsidRPr="001825C9">
        <w:rPr>
          <w:rFonts w:cs="Arial"/>
          <w:szCs w:val="24"/>
        </w:rPr>
        <w:t xml:space="preserve"> months respectively; HR = </w:t>
      </w:r>
      <w:r w:rsidR="00F6615C">
        <w:rPr>
          <w:rFonts w:cs="Arial"/>
          <w:noProof/>
          <w:color w:val="000000"/>
          <w:szCs w:val="24"/>
          <w:highlight w:val="black"/>
        </w:rPr>
        <w:t>''''''''</w:t>
      </w:r>
      <w:r w:rsidR="00AB0397">
        <w:rPr>
          <w:rFonts w:cs="Arial"/>
          <w:szCs w:val="24"/>
          <w:vertAlign w:val="superscript"/>
        </w:rPr>
        <w:t>9</w:t>
      </w:r>
      <w:r w:rsidRPr="001825C9">
        <w:rPr>
          <w:rFonts w:cs="Arial"/>
          <w:szCs w:val="24"/>
        </w:rPr>
        <w:t xml:space="preserve">). Similar median time to definitive </w:t>
      </w:r>
      <w:r w:rsidRPr="00383E75">
        <w:rPr>
          <w:rFonts w:cs="Arial"/>
          <w:szCs w:val="24"/>
        </w:rPr>
        <w:t>10</w:t>
      </w:r>
      <w:r w:rsidRPr="001825C9">
        <w:rPr>
          <w:rFonts w:cs="Arial"/>
          <w:szCs w:val="24"/>
        </w:rPr>
        <w:t>% deterioration results were seen in the functional well-being subscale score (</w:t>
      </w:r>
      <w:r w:rsidR="00F6615C">
        <w:rPr>
          <w:rFonts w:cs="Arial"/>
          <w:noProof/>
          <w:color w:val="000000"/>
          <w:szCs w:val="24"/>
          <w:highlight w:val="black"/>
        </w:rPr>
        <w:t>'''''''''</w:t>
      </w:r>
      <w:r w:rsidR="00AB0397">
        <w:rPr>
          <w:rFonts w:cs="Arial"/>
          <w:szCs w:val="24"/>
          <w:vertAlign w:val="superscript"/>
        </w:rPr>
        <w:t>9</w:t>
      </w:r>
      <w:r w:rsidRPr="001825C9">
        <w:rPr>
          <w:rFonts w:cs="Arial"/>
          <w:szCs w:val="24"/>
        </w:rPr>
        <w:t xml:space="preserve"> vs </w:t>
      </w:r>
      <w:r w:rsidR="00F6615C">
        <w:rPr>
          <w:rFonts w:cs="Arial"/>
          <w:noProof/>
          <w:color w:val="000000"/>
          <w:szCs w:val="24"/>
          <w:highlight w:val="black"/>
        </w:rPr>
        <w:t>''''''''</w:t>
      </w:r>
      <w:r w:rsidR="00AB0397">
        <w:rPr>
          <w:rFonts w:cs="Arial"/>
          <w:szCs w:val="24"/>
          <w:vertAlign w:val="superscript"/>
        </w:rPr>
        <w:t>9</w:t>
      </w:r>
      <w:r w:rsidRPr="001825C9">
        <w:rPr>
          <w:rFonts w:cs="Arial"/>
          <w:szCs w:val="24"/>
        </w:rPr>
        <w:t xml:space="preserve"> months, HR = </w:t>
      </w:r>
      <w:r w:rsidR="00F6615C">
        <w:rPr>
          <w:rFonts w:cs="Arial"/>
          <w:noProof/>
          <w:color w:val="000000"/>
          <w:szCs w:val="24"/>
          <w:highlight w:val="black"/>
        </w:rPr>
        <w:t>''''''''</w:t>
      </w:r>
      <w:r w:rsidR="00AB0397">
        <w:rPr>
          <w:rFonts w:cs="Arial"/>
          <w:szCs w:val="24"/>
          <w:vertAlign w:val="superscript"/>
        </w:rPr>
        <w:t>9</w:t>
      </w:r>
      <w:r w:rsidRPr="001825C9">
        <w:rPr>
          <w:rFonts w:cs="Arial"/>
          <w:szCs w:val="24"/>
        </w:rPr>
        <w:t>), emotional well-being subscale score (</w:t>
      </w:r>
      <w:r w:rsidR="00F6615C">
        <w:rPr>
          <w:rFonts w:cs="Arial"/>
          <w:noProof/>
          <w:color w:val="000000"/>
          <w:szCs w:val="24"/>
          <w:highlight w:val="black"/>
        </w:rPr>
        <w:t>'''''''''</w:t>
      </w:r>
      <w:r w:rsidR="00AB0397">
        <w:rPr>
          <w:rFonts w:cs="Arial"/>
          <w:szCs w:val="24"/>
          <w:vertAlign w:val="superscript"/>
        </w:rPr>
        <w:t>9</w:t>
      </w:r>
      <w:r w:rsidRPr="001825C9">
        <w:rPr>
          <w:rFonts w:cs="Arial"/>
          <w:szCs w:val="24"/>
        </w:rPr>
        <w:t xml:space="preserve"> months vs </w:t>
      </w:r>
      <w:r w:rsidR="00F6615C">
        <w:rPr>
          <w:rFonts w:cs="Arial"/>
          <w:noProof/>
          <w:color w:val="000000"/>
          <w:szCs w:val="24"/>
          <w:highlight w:val="black"/>
        </w:rPr>
        <w:t>''''''''</w:t>
      </w:r>
      <w:r w:rsidR="00AB0397">
        <w:rPr>
          <w:rFonts w:cs="Arial"/>
          <w:szCs w:val="24"/>
          <w:vertAlign w:val="superscript"/>
        </w:rPr>
        <w:t>9</w:t>
      </w:r>
      <w:r w:rsidRPr="001825C9">
        <w:rPr>
          <w:rFonts w:cs="Arial"/>
          <w:szCs w:val="24"/>
        </w:rPr>
        <w:t xml:space="preserve"> months, HR = </w:t>
      </w:r>
      <w:r w:rsidR="00F6615C">
        <w:rPr>
          <w:rFonts w:cs="Arial"/>
          <w:noProof/>
          <w:color w:val="000000"/>
          <w:szCs w:val="24"/>
          <w:highlight w:val="black"/>
        </w:rPr>
        <w:t>''''''''</w:t>
      </w:r>
      <w:r w:rsidR="00AB0397">
        <w:rPr>
          <w:rFonts w:cs="Arial"/>
          <w:szCs w:val="24"/>
          <w:vertAlign w:val="superscript"/>
        </w:rPr>
        <w:t>9</w:t>
      </w:r>
      <w:r w:rsidRPr="001825C9">
        <w:rPr>
          <w:rFonts w:cs="Arial"/>
          <w:szCs w:val="24"/>
        </w:rPr>
        <w:t>), physical well-being subscale score (</w:t>
      </w:r>
      <w:r w:rsidR="00F6615C">
        <w:rPr>
          <w:rFonts w:cs="Arial"/>
          <w:noProof/>
          <w:color w:val="000000"/>
          <w:szCs w:val="24"/>
          <w:highlight w:val="black"/>
        </w:rPr>
        <w:t>'''''''''</w:t>
      </w:r>
      <w:r w:rsidR="00AB0397">
        <w:rPr>
          <w:rFonts w:cs="Arial"/>
          <w:szCs w:val="24"/>
          <w:vertAlign w:val="superscript"/>
        </w:rPr>
        <w:t>9</w:t>
      </w:r>
      <w:r w:rsidRPr="001825C9">
        <w:rPr>
          <w:rFonts w:cs="Arial"/>
          <w:szCs w:val="24"/>
        </w:rPr>
        <w:t xml:space="preserve"> months vs </w:t>
      </w:r>
      <w:r w:rsidR="00F6615C">
        <w:rPr>
          <w:rFonts w:cs="Arial"/>
          <w:noProof/>
          <w:color w:val="000000"/>
          <w:szCs w:val="24"/>
          <w:highlight w:val="black"/>
        </w:rPr>
        <w:t>''''''''</w:t>
      </w:r>
      <w:r w:rsidR="00AB0397">
        <w:rPr>
          <w:rFonts w:cs="Arial"/>
          <w:szCs w:val="24"/>
          <w:vertAlign w:val="superscript"/>
        </w:rPr>
        <w:t>9</w:t>
      </w:r>
      <w:r w:rsidRPr="001825C9">
        <w:rPr>
          <w:rFonts w:cs="Arial"/>
          <w:szCs w:val="24"/>
        </w:rPr>
        <w:t xml:space="preserve"> months, HR = </w:t>
      </w:r>
      <w:r w:rsidR="00F6615C">
        <w:rPr>
          <w:rFonts w:cs="Arial"/>
          <w:noProof/>
          <w:color w:val="000000"/>
          <w:szCs w:val="24"/>
          <w:highlight w:val="black"/>
        </w:rPr>
        <w:t>'''''''''</w:t>
      </w:r>
      <w:r w:rsidR="00AB0397">
        <w:rPr>
          <w:rFonts w:cs="Arial"/>
          <w:szCs w:val="24"/>
          <w:vertAlign w:val="superscript"/>
        </w:rPr>
        <w:t>9</w:t>
      </w:r>
      <w:r w:rsidRPr="001825C9">
        <w:rPr>
          <w:rFonts w:cs="Arial"/>
          <w:szCs w:val="24"/>
        </w:rPr>
        <w:t>), and the social well-being subscale score (</w:t>
      </w:r>
      <w:r w:rsidR="00F6615C">
        <w:rPr>
          <w:rFonts w:cs="Arial"/>
          <w:noProof/>
          <w:color w:val="000000"/>
          <w:szCs w:val="24"/>
          <w:highlight w:val="black"/>
        </w:rPr>
        <w:t>'''''''''</w:t>
      </w:r>
      <w:r w:rsidR="00AB0397">
        <w:rPr>
          <w:rFonts w:cs="Arial"/>
          <w:szCs w:val="24"/>
          <w:vertAlign w:val="superscript"/>
        </w:rPr>
        <w:t>9</w:t>
      </w:r>
      <w:r w:rsidRPr="001825C9">
        <w:rPr>
          <w:rFonts w:cs="Arial"/>
          <w:szCs w:val="24"/>
        </w:rPr>
        <w:t xml:space="preserve"> months vs </w:t>
      </w:r>
      <w:r w:rsidR="00F6615C">
        <w:rPr>
          <w:rFonts w:cs="Arial"/>
          <w:noProof/>
          <w:color w:val="000000"/>
          <w:szCs w:val="24"/>
          <w:highlight w:val="black"/>
        </w:rPr>
        <w:t>''''''''</w:t>
      </w:r>
      <w:r w:rsidR="00AB0397">
        <w:rPr>
          <w:rFonts w:cs="Arial"/>
          <w:szCs w:val="24"/>
          <w:vertAlign w:val="superscript"/>
        </w:rPr>
        <w:t>9</w:t>
      </w:r>
      <w:r w:rsidRPr="001825C9">
        <w:rPr>
          <w:rFonts w:cs="Arial"/>
          <w:szCs w:val="24"/>
        </w:rPr>
        <w:t xml:space="preserve"> months, HR = </w:t>
      </w:r>
      <w:r w:rsidR="00F6615C">
        <w:rPr>
          <w:rFonts w:cs="Arial"/>
          <w:noProof/>
          <w:color w:val="000000"/>
          <w:szCs w:val="24"/>
          <w:highlight w:val="black"/>
        </w:rPr>
        <w:t>''''''''</w:t>
      </w:r>
      <w:r w:rsidR="00AB0397">
        <w:rPr>
          <w:rFonts w:cs="Arial"/>
          <w:szCs w:val="24"/>
          <w:vertAlign w:val="superscript"/>
        </w:rPr>
        <w:t>9</w:t>
      </w:r>
      <w:r w:rsidRPr="001825C9">
        <w:rPr>
          <w:rFonts w:cs="Arial"/>
          <w:szCs w:val="24"/>
        </w:rPr>
        <w:t>). As was noted with the EORTC QLQ-C30 assessment, compliance with the FACT-C assessment was not provided by the submission</w:t>
      </w:r>
      <w:r w:rsidRPr="001825C9">
        <w:rPr>
          <w:rFonts w:cs="Arial"/>
          <w:iCs/>
          <w:szCs w:val="24"/>
        </w:rPr>
        <w:t>.</w:t>
      </w:r>
    </w:p>
    <w:p w:rsidR="00AE46DA" w:rsidRPr="002E5CD1" w:rsidRDefault="00AE46DA" w:rsidP="00AE46DA">
      <w:pPr>
        <w:pStyle w:val="Caption"/>
      </w:pPr>
      <w:r w:rsidRPr="001825C9">
        <w:lastRenderedPageBreak/>
        <w:t>Figure 5: FACT-C CRC subscale score: time to definitive 10% deterioration (15 August 2019)</w:t>
      </w:r>
      <w:r w:rsidR="002E5CD1">
        <w:rPr>
          <w:vertAlign w:val="superscript"/>
        </w:rPr>
        <w:t>*</w:t>
      </w:r>
    </w:p>
    <w:p w:rsidR="00AE46DA" w:rsidRPr="001825C9" w:rsidRDefault="00F6615C" w:rsidP="00AE46DA">
      <w:r>
        <w:rPr>
          <w:noProof/>
          <w:lang w:eastAsia="en-AU"/>
        </w:rPr>
        <w:drawing>
          <wp:inline distT="0" distB="0" distL="0" distR="0">
            <wp:extent cx="5731510" cy="3438525"/>
            <wp:effectExtent l="0" t="0" r="2540" b="9525"/>
            <wp:docPr id="5" name="Picture 5" title="Figure 5: FACT-C CRC subscale score: time to definitive 10% deterioration (15 August 2019)*"/>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stretch>
                      <a:fillRect/>
                    </a:stretch>
                  </pic:blipFill>
                  <pic:spPr>
                    <a:xfrm>
                      <a:off x="0" y="0"/>
                      <a:ext cx="5731510" cy="3438525"/>
                    </a:xfrm>
                    <a:prstGeom prst="rect">
                      <a:avLst/>
                    </a:prstGeom>
                  </pic:spPr>
                </pic:pic>
              </a:graphicData>
            </a:graphic>
          </wp:inline>
        </w:drawing>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Abbreviations: BINI = binimetinib; CETUX = cetuximab; CI = confidence interval; CONTROL = investigator’s choice of irinotecan + cetuximab or FOLFIRI + cetuximab; CRC = colorectal cancer; ENCO = encorafenib; FACT-C = Functional Assessment of Cancer Therapy - Colon Cancer; HR = hazard ratio; Ref = reference</w:t>
      </w:r>
    </w:p>
    <w:p w:rsidR="002E5CD1" w:rsidRDefault="00AE46DA" w:rsidP="00AE46DA">
      <w:pPr>
        <w:spacing w:before="0" w:after="0"/>
        <w:rPr>
          <w:rFonts w:ascii="Arial Narrow" w:hAnsi="Arial Narrow"/>
          <w:sz w:val="18"/>
          <w:szCs w:val="18"/>
        </w:rPr>
      </w:pPr>
      <w:r w:rsidRPr="001825C9">
        <w:rPr>
          <w:rFonts w:ascii="Arial Narrow" w:hAnsi="Arial Narrow"/>
          <w:sz w:val="18"/>
          <w:szCs w:val="18"/>
        </w:rPr>
        <w:t>Source: August 2019 Supplementary Tables, file name ‘FACTC_CCS_fas_15AUG2019_03FEB2020’</w:t>
      </w:r>
    </w:p>
    <w:p w:rsidR="00AE46DA" w:rsidRPr="001825C9" w:rsidRDefault="002E5CD1" w:rsidP="00AE46DA">
      <w:pPr>
        <w:spacing w:before="0" w:after="0"/>
        <w:rPr>
          <w:rFonts w:ascii="Arial Narrow" w:hAnsi="Arial Narrow"/>
          <w:sz w:val="18"/>
          <w:szCs w:val="18"/>
        </w:rPr>
      </w:pPr>
      <w:r>
        <w:rPr>
          <w:rFonts w:ascii="Arial Narrow" w:hAnsi="Arial Narrow"/>
          <w:sz w:val="18"/>
          <w:szCs w:val="18"/>
          <w:vertAlign w:val="superscript"/>
        </w:rPr>
        <w:t>*</w:t>
      </w:r>
      <w:r w:rsidRPr="002E5CD1">
        <w:rPr>
          <w:rFonts w:ascii="Arial Narrow" w:hAnsi="Arial Narrow"/>
          <w:i/>
          <w:sz w:val="18"/>
          <w:szCs w:val="18"/>
        </w:rPr>
        <w:t xml:space="preserve"> QoL data cut off August 2019: manuscript in preparation. To be submitted Q4 2021 to ESMO Open</w:t>
      </w:r>
      <w:r>
        <w:rPr>
          <w:rStyle w:val="CommentReference"/>
        </w:rPr>
        <w:t xml:space="preserve"> </w:t>
      </w:r>
    </w:p>
    <w:p w:rsidR="00AE46DA" w:rsidRPr="001825C9" w:rsidRDefault="00AE46DA" w:rsidP="00AE46DA">
      <w:pPr>
        <w:pStyle w:val="Heading4"/>
      </w:pPr>
      <w:r w:rsidRPr="001825C9">
        <w:t>EQ-5D-5L</w:t>
      </w:r>
    </w:p>
    <w:p w:rsidR="00AE46DA" w:rsidRPr="00F0739D" w:rsidRDefault="00AE46DA" w:rsidP="00AE46DA">
      <w:pPr>
        <w:pStyle w:val="ListParagraph"/>
        <w:rPr>
          <w:color w:val="auto"/>
        </w:rPr>
      </w:pPr>
      <w:r w:rsidRPr="001825C9">
        <w:rPr>
          <w:rFonts w:cs="Arial"/>
          <w:szCs w:val="24"/>
        </w:rPr>
        <w:lastRenderedPageBreak/>
        <w:t xml:space="preserve">The estimated median time to definitive </w:t>
      </w:r>
      <w:r w:rsidRPr="00383E75">
        <w:rPr>
          <w:rFonts w:cs="Arial"/>
          <w:szCs w:val="24"/>
        </w:rPr>
        <w:t>10</w:t>
      </w:r>
      <w:r w:rsidRPr="001825C9">
        <w:rPr>
          <w:rFonts w:cs="Arial"/>
          <w:szCs w:val="24"/>
        </w:rPr>
        <w:t xml:space="preserve">% deterioration in the visual analogue score (Figure 6) was </w:t>
      </w:r>
      <w:r w:rsidR="00F6615C">
        <w:rPr>
          <w:rFonts w:cs="Arial"/>
          <w:noProof/>
          <w:color w:val="000000"/>
          <w:szCs w:val="24"/>
          <w:highlight w:val="black"/>
        </w:rPr>
        <w:t>''''''''</w:t>
      </w:r>
      <w:r w:rsidR="00AB0397" w:rsidRPr="00AB0397">
        <w:rPr>
          <w:rStyle w:val="FootnoteReference"/>
          <w:rFonts w:cs="Arial"/>
          <w:szCs w:val="24"/>
        </w:rPr>
        <w:footnoteReference w:id="11"/>
      </w:r>
      <w:r w:rsidRPr="001825C9">
        <w:rPr>
          <w:rFonts w:cs="Arial"/>
          <w:szCs w:val="24"/>
        </w:rPr>
        <w:t xml:space="preserve"> months longer in the encorafenib + cetuximab arm compared to the control arm (</w:t>
      </w:r>
      <w:r w:rsidR="00F6615C">
        <w:rPr>
          <w:rFonts w:cs="Arial"/>
          <w:noProof/>
          <w:color w:val="000000"/>
          <w:szCs w:val="24"/>
          <w:highlight w:val="black"/>
        </w:rPr>
        <w:t>'''''''''</w:t>
      </w:r>
      <w:r w:rsidR="00AB0397">
        <w:rPr>
          <w:rFonts w:cs="Arial"/>
          <w:szCs w:val="24"/>
          <w:vertAlign w:val="superscript"/>
        </w:rPr>
        <w:t>10</w:t>
      </w:r>
      <w:r w:rsidRPr="001825C9">
        <w:rPr>
          <w:rFonts w:cs="Arial"/>
          <w:szCs w:val="24"/>
        </w:rPr>
        <w:t xml:space="preserve"> months and </w:t>
      </w:r>
      <w:r w:rsidR="00F6615C">
        <w:rPr>
          <w:rFonts w:cs="Arial"/>
          <w:noProof/>
          <w:color w:val="000000"/>
          <w:szCs w:val="24"/>
          <w:highlight w:val="black"/>
        </w:rPr>
        <w:t>''''''''</w:t>
      </w:r>
      <w:r w:rsidR="00AB0397">
        <w:rPr>
          <w:rFonts w:cs="Arial"/>
          <w:szCs w:val="24"/>
          <w:vertAlign w:val="superscript"/>
        </w:rPr>
        <w:t>10</w:t>
      </w:r>
      <w:r w:rsidRPr="001825C9">
        <w:rPr>
          <w:rFonts w:cs="Arial"/>
          <w:szCs w:val="24"/>
        </w:rPr>
        <w:t xml:space="preserve"> months respectively; HR = </w:t>
      </w:r>
      <w:r w:rsidR="00F6615C">
        <w:rPr>
          <w:rFonts w:cs="Arial"/>
          <w:noProof/>
          <w:color w:val="000000"/>
          <w:szCs w:val="24"/>
          <w:highlight w:val="black"/>
        </w:rPr>
        <w:t>'''''''''</w:t>
      </w:r>
      <w:r w:rsidR="00AB0397">
        <w:rPr>
          <w:rFonts w:cs="Arial"/>
          <w:szCs w:val="24"/>
          <w:vertAlign w:val="superscript"/>
        </w:rPr>
        <w:t>10</w:t>
      </w:r>
      <w:r w:rsidRPr="001825C9">
        <w:rPr>
          <w:rFonts w:cs="Arial"/>
          <w:szCs w:val="24"/>
        </w:rPr>
        <w:t>). Compliance with the EQ-5D-5L assessment was not provided by the submission</w:t>
      </w:r>
      <w:r w:rsidRPr="001825C9">
        <w:rPr>
          <w:rFonts w:cs="Arial"/>
          <w:i/>
          <w:szCs w:val="24"/>
        </w:rPr>
        <w:t xml:space="preserve">. </w:t>
      </w:r>
      <w:r w:rsidRPr="001825C9">
        <w:rPr>
          <w:rFonts w:cs="Arial"/>
          <w:iCs/>
          <w:szCs w:val="24"/>
        </w:rPr>
        <w:t>The submission reported the utility values arising within BEACON as part of the economic evaluation.</w:t>
      </w:r>
      <w:r w:rsidRPr="001825C9">
        <w:rPr>
          <w:rFonts w:cs="Arial"/>
          <w:i/>
          <w:szCs w:val="24"/>
        </w:rPr>
        <w:t xml:space="preserve"> </w:t>
      </w:r>
      <w:r w:rsidRPr="001825C9">
        <w:rPr>
          <w:rFonts w:cs="Arial"/>
          <w:iCs/>
          <w:szCs w:val="24"/>
        </w:rPr>
        <w:t xml:space="preserve">In summary, </w:t>
      </w:r>
      <w:r w:rsidRPr="001825C9">
        <w:rPr>
          <w:rFonts w:cs="Arial"/>
          <w:szCs w:val="24"/>
        </w:rPr>
        <w:t xml:space="preserve">the utility values for encorafenib + cetuximab were </w:t>
      </w:r>
      <w:r w:rsidR="00F6615C">
        <w:rPr>
          <w:rFonts w:cs="Arial"/>
          <w:noProof/>
          <w:color w:val="000000"/>
          <w:szCs w:val="24"/>
          <w:highlight w:val="black"/>
        </w:rPr>
        <w:t>'''''''''''</w:t>
      </w:r>
      <w:r w:rsidR="00AB0397">
        <w:rPr>
          <w:rFonts w:cs="Arial"/>
          <w:szCs w:val="24"/>
          <w:vertAlign w:val="superscript"/>
        </w:rPr>
        <w:t>10</w:t>
      </w:r>
      <w:r w:rsidRPr="001825C9">
        <w:rPr>
          <w:rFonts w:cs="Arial"/>
          <w:szCs w:val="24"/>
        </w:rPr>
        <w:t xml:space="preserve"> for patients pre-progression and </w:t>
      </w:r>
      <w:r w:rsidR="00F6615C">
        <w:rPr>
          <w:rFonts w:cs="Arial"/>
          <w:noProof/>
          <w:color w:val="000000"/>
          <w:szCs w:val="24"/>
          <w:highlight w:val="black"/>
        </w:rPr>
        <w:t>''''''''''''</w:t>
      </w:r>
      <w:r w:rsidR="00AB0397">
        <w:rPr>
          <w:rFonts w:cs="Arial"/>
          <w:szCs w:val="24"/>
          <w:vertAlign w:val="superscript"/>
        </w:rPr>
        <w:t>10</w:t>
      </w:r>
      <w:r w:rsidRPr="001825C9">
        <w:rPr>
          <w:rFonts w:cs="Arial"/>
          <w:szCs w:val="24"/>
        </w:rPr>
        <w:t xml:space="preserve"> post-progression; and for the control arm </w:t>
      </w:r>
      <w:r w:rsidR="00F6615C">
        <w:rPr>
          <w:rFonts w:cs="Arial"/>
          <w:noProof/>
          <w:color w:val="000000"/>
          <w:szCs w:val="24"/>
          <w:highlight w:val="black"/>
        </w:rPr>
        <w:t>'''''''''''</w:t>
      </w:r>
      <w:r w:rsidR="00AB0397">
        <w:rPr>
          <w:rFonts w:cs="Arial"/>
          <w:szCs w:val="24"/>
          <w:vertAlign w:val="superscript"/>
        </w:rPr>
        <w:t>10</w:t>
      </w:r>
      <w:r w:rsidRPr="001825C9">
        <w:rPr>
          <w:rFonts w:cs="Arial"/>
          <w:szCs w:val="24"/>
        </w:rPr>
        <w:t xml:space="preserve"> pre-progression and </w:t>
      </w:r>
      <w:r w:rsidR="00F6615C">
        <w:rPr>
          <w:rFonts w:cs="Arial"/>
          <w:noProof/>
          <w:color w:val="000000"/>
          <w:szCs w:val="24"/>
          <w:highlight w:val="black"/>
        </w:rPr>
        <w:t>''''''''''</w:t>
      </w:r>
      <w:r w:rsidR="00AB0397">
        <w:rPr>
          <w:rFonts w:cs="Arial"/>
          <w:szCs w:val="24"/>
          <w:vertAlign w:val="superscript"/>
        </w:rPr>
        <w:t>10</w:t>
      </w:r>
      <w:r w:rsidRPr="001825C9">
        <w:rPr>
          <w:rFonts w:cs="Arial"/>
          <w:szCs w:val="24"/>
        </w:rPr>
        <w:t xml:space="preserve"> post progression. While BEACON applied the EQ-5D-5L, the resulting utility values were derived using the UK tariffs for the EQ-5D-3L and applying the crosswalk algorithm to the trial observed health related QoL ratings. This approach is addressed further in </w:t>
      </w:r>
      <w:r w:rsidRPr="00F0739D">
        <w:rPr>
          <w:rFonts w:cs="Arial"/>
          <w:szCs w:val="24"/>
        </w:rPr>
        <w:t xml:space="preserve">paragraph </w:t>
      </w:r>
      <w:r w:rsidR="00F0739D" w:rsidRPr="00F0739D">
        <w:rPr>
          <w:rFonts w:cs="Arial"/>
          <w:szCs w:val="24"/>
        </w:rPr>
        <w:t>6.52</w:t>
      </w:r>
      <w:r w:rsidR="0056025A" w:rsidRPr="00F0739D">
        <w:rPr>
          <w:rFonts w:cs="Arial"/>
          <w:szCs w:val="24"/>
        </w:rPr>
        <w:t>)</w:t>
      </w:r>
      <w:r w:rsidRPr="00F0739D">
        <w:rPr>
          <w:rFonts w:cs="Arial"/>
          <w:i/>
          <w:szCs w:val="24"/>
        </w:rPr>
        <w:t>.</w:t>
      </w:r>
    </w:p>
    <w:p w:rsidR="00AE46DA" w:rsidRPr="002E5CD1" w:rsidRDefault="00AE46DA" w:rsidP="00AE46DA">
      <w:pPr>
        <w:pStyle w:val="Caption"/>
      </w:pPr>
      <w:r w:rsidRPr="001825C9">
        <w:lastRenderedPageBreak/>
        <w:t>Figure 6: EQ-5D-5L VAS: time to definitive 10% deterioration (15 August 2019)</w:t>
      </w:r>
      <w:r w:rsidR="002E5CD1">
        <w:rPr>
          <w:vertAlign w:val="superscript"/>
        </w:rPr>
        <w:t>*</w:t>
      </w:r>
    </w:p>
    <w:p w:rsidR="00AE46DA" w:rsidRPr="001825C9" w:rsidRDefault="00F6615C" w:rsidP="00AE46DA">
      <w:pPr>
        <w:spacing w:before="0" w:after="0"/>
        <w:rPr>
          <w:rFonts w:ascii="Arial Narrow" w:hAnsi="Arial Narrow"/>
          <w:sz w:val="18"/>
          <w:szCs w:val="18"/>
        </w:rPr>
      </w:pPr>
      <w:r>
        <w:rPr>
          <w:rFonts w:ascii="Arial Narrow" w:hAnsi="Arial Narrow"/>
          <w:noProof/>
          <w:sz w:val="18"/>
          <w:szCs w:val="18"/>
          <w:lang w:eastAsia="en-AU"/>
        </w:rPr>
        <w:drawing>
          <wp:inline distT="0" distB="0" distL="0" distR="0">
            <wp:extent cx="5731510" cy="3438525"/>
            <wp:effectExtent l="0" t="0" r="2540" b="9525"/>
            <wp:docPr id="4" name="Picture 4" title="Figure 6: EQ-5D-5L VAS: time to definitive 10% deterioration (15 August 2019)*"/>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stretch>
                      <a:fillRect/>
                    </a:stretch>
                  </pic:blipFill>
                  <pic:spPr>
                    <a:xfrm>
                      <a:off x="0" y="0"/>
                      <a:ext cx="5731510" cy="3438525"/>
                    </a:xfrm>
                    <a:prstGeom prst="rect">
                      <a:avLst/>
                    </a:prstGeom>
                  </pic:spPr>
                </pic:pic>
              </a:graphicData>
            </a:graphic>
          </wp:inline>
        </w:drawing>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Abbreviations: BINI = binimetinib; CETUX = cetuximab; CI = confidence interval; CONTROL = investigator’s choice of irinotecan + cetuximab or FOLFIRI + cetuximab; CRC = colorectal cancer; ENCO = encorafenib; EQ-5D-5L = EuroQol-5D-5L; HR = hazard ratio; Ref = reference; VAS = visual Analog Score</w:t>
      </w:r>
    </w:p>
    <w:p w:rsidR="002E5CD1" w:rsidRDefault="00AE46DA" w:rsidP="00AE46DA">
      <w:pPr>
        <w:spacing w:before="0" w:after="0"/>
        <w:rPr>
          <w:rFonts w:ascii="Arial Narrow" w:hAnsi="Arial Narrow"/>
          <w:sz w:val="18"/>
          <w:szCs w:val="18"/>
        </w:rPr>
      </w:pPr>
      <w:r w:rsidRPr="001825C9">
        <w:rPr>
          <w:rFonts w:ascii="Arial Narrow" w:hAnsi="Arial Narrow"/>
          <w:sz w:val="18"/>
          <w:szCs w:val="18"/>
        </w:rPr>
        <w:t>Source: Figure 2-16, p190 of the submission</w:t>
      </w:r>
    </w:p>
    <w:p w:rsidR="002E5CD1" w:rsidRPr="001825C9" w:rsidRDefault="002E5CD1" w:rsidP="002E5CD1">
      <w:pPr>
        <w:spacing w:before="0" w:after="0"/>
        <w:rPr>
          <w:rFonts w:ascii="Arial Narrow" w:hAnsi="Arial Narrow"/>
          <w:sz w:val="18"/>
          <w:szCs w:val="18"/>
        </w:rPr>
      </w:pPr>
      <w:r>
        <w:rPr>
          <w:rFonts w:ascii="Arial Narrow" w:hAnsi="Arial Narrow"/>
          <w:sz w:val="18"/>
          <w:szCs w:val="18"/>
          <w:vertAlign w:val="superscript"/>
        </w:rPr>
        <w:t>*</w:t>
      </w:r>
      <w:r w:rsidRPr="002E5CD1">
        <w:rPr>
          <w:rFonts w:ascii="Arial Narrow" w:hAnsi="Arial Narrow"/>
          <w:i/>
          <w:sz w:val="18"/>
          <w:szCs w:val="18"/>
        </w:rPr>
        <w:t xml:space="preserve"> QoL data cut off August 2019: manuscript in preparation. To be submitted Q4 2021 to ESMO Open</w:t>
      </w:r>
      <w:r>
        <w:rPr>
          <w:rStyle w:val="CommentReference"/>
        </w:rPr>
        <w:t xml:space="preserve"> </w:t>
      </w:r>
    </w:p>
    <w:p w:rsidR="00AE46DA" w:rsidRPr="001825C9" w:rsidRDefault="00AE46DA" w:rsidP="00AE46DA">
      <w:pPr>
        <w:spacing w:before="0" w:after="0"/>
        <w:rPr>
          <w:rFonts w:ascii="Arial Narrow" w:hAnsi="Arial Narrow"/>
          <w:sz w:val="18"/>
          <w:szCs w:val="18"/>
        </w:rPr>
      </w:pPr>
    </w:p>
    <w:p w:rsidR="00AE46DA" w:rsidRPr="001825C9" w:rsidRDefault="00AE46DA" w:rsidP="00DB5031">
      <w:pPr>
        <w:pStyle w:val="PBACESHeading2"/>
        <w:spacing w:before="240"/>
      </w:pPr>
      <w:bookmarkStart w:id="25" w:name="_Toc61968413"/>
      <w:r w:rsidRPr="001825C9">
        <w:lastRenderedPageBreak/>
        <w:t>Comparative harms</w:t>
      </w:r>
      <w:bookmarkEnd w:id="25"/>
    </w:p>
    <w:p w:rsidR="00AE46DA" w:rsidRPr="001825C9" w:rsidRDefault="00AE46DA" w:rsidP="00AE46DA">
      <w:pPr>
        <w:pStyle w:val="ListParagraph"/>
        <w:rPr>
          <w:color w:val="auto"/>
        </w:rPr>
      </w:pPr>
      <w:r w:rsidRPr="001825C9">
        <w:t>An analysis of safety was presented using results from the 15 August 2019 data cut-off. An overview of the adverse events (AEs) is presented in Table 8.</w:t>
      </w:r>
    </w:p>
    <w:p w:rsidR="00AE46DA" w:rsidRPr="001825C9" w:rsidRDefault="00AE46DA" w:rsidP="00AE46DA">
      <w:pPr>
        <w:pStyle w:val="Caption"/>
      </w:pPr>
      <w:r w:rsidRPr="001825C9">
        <w:lastRenderedPageBreak/>
        <w:t>Table 8: Summary of adverse events in BEACON (Safety Population)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9"/>
        <w:gridCol w:w="1370"/>
        <w:gridCol w:w="992"/>
        <w:gridCol w:w="1553"/>
        <w:gridCol w:w="1564"/>
      </w:tblGrid>
      <w:tr w:rsidR="00AE46DA" w:rsidRPr="001825C9" w:rsidTr="00B21F37">
        <w:trPr>
          <w:tblHeader/>
        </w:trPr>
        <w:tc>
          <w:tcPr>
            <w:tcW w:w="3539" w:type="dxa"/>
            <w:shd w:val="clear" w:color="auto" w:fill="auto"/>
            <w:vAlign w:val="center"/>
          </w:tcPr>
          <w:p w:rsidR="00AE46DA" w:rsidRPr="00DD147E" w:rsidRDefault="00AE46DA" w:rsidP="00B21F37">
            <w:pPr>
              <w:pStyle w:val="TableText"/>
              <w:keepNext/>
              <w:keepLines/>
              <w:spacing w:before="0" w:after="0" w:line="240" w:lineRule="auto"/>
              <w:jc w:val="center"/>
              <w:rPr>
                <w:b/>
              </w:rPr>
            </w:pPr>
            <w:r w:rsidRPr="00DD147E">
              <w:rPr>
                <w:b/>
              </w:rPr>
              <w:t>n (%)</w:t>
            </w:r>
          </w:p>
        </w:tc>
        <w:tc>
          <w:tcPr>
            <w:tcW w:w="1370" w:type="dxa"/>
            <w:shd w:val="clear" w:color="auto" w:fill="auto"/>
            <w:vAlign w:val="center"/>
          </w:tcPr>
          <w:p w:rsidR="00AE46DA" w:rsidRPr="00DD147E" w:rsidRDefault="00AE46DA" w:rsidP="00B21F37">
            <w:pPr>
              <w:pStyle w:val="TableNumber"/>
              <w:keepNext/>
              <w:keepLines/>
              <w:spacing w:before="0" w:after="0" w:line="240" w:lineRule="auto"/>
              <w:ind w:right="-67" w:hanging="77"/>
              <w:rPr>
                <w:b/>
              </w:rPr>
            </w:pPr>
            <w:r w:rsidRPr="00DD147E">
              <w:rPr>
                <w:b/>
              </w:rPr>
              <w:t>ENCO + CETUX</w:t>
            </w:r>
          </w:p>
          <w:p w:rsidR="00AE46DA" w:rsidRPr="00DD147E" w:rsidRDefault="00AE46DA" w:rsidP="00B21F37">
            <w:pPr>
              <w:pStyle w:val="TableNumber"/>
              <w:keepNext/>
              <w:keepLines/>
              <w:spacing w:before="0" w:after="0" w:line="240" w:lineRule="auto"/>
              <w:ind w:right="-67" w:hanging="77"/>
              <w:rPr>
                <w:b/>
              </w:rPr>
            </w:pPr>
            <w:r w:rsidRPr="00DD147E">
              <w:rPr>
                <w:b/>
              </w:rPr>
              <w:t>(N = 216)</w:t>
            </w:r>
          </w:p>
        </w:tc>
        <w:tc>
          <w:tcPr>
            <w:tcW w:w="992" w:type="dxa"/>
            <w:shd w:val="clear" w:color="auto" w:fill="auto"/>
            <w:vAlign w:val="center"/>
          </w:tcPr>
          <w:p w:rsidR="00AE46DA" w:rsidRPr="00DD147E" w:rsidRDefault="00AE46DA" w:rsidP="00B21F37">
            <w:pPr>
              <w:pStyle w:val="TableNumber"/>
              <w:keepNext/>
              <w:keepLines/>
              <w:spacing w:before="0" w:after="0" w:line="240" w:lineRule="auto"/>
              <w:rPr>
                <w:rFonts w:eastAsia="Times New Roman" w:cs="Times New Roman"/>
                <w:b/>
                <w:vertAlign w:val="superscript"/>
              </w:rPr>
            </w:pPr>
            <w:r w:rsidRPr="00DD147E">
              <w:rPr>
                <w:rFonts w:eastAsia="Times New Roman" w:cs="Times New Roman"/>
                <w:b/>
              </w:rPr>
              <w:t xml:space="preserve">CONTROL </w:t>
            </w:r>
            <w:r w:rsidRPr="00DD147E">
              <w:rPr>
                <w:rFonts w:eastAsia="Times New Roman" w:cs="Times New Roman"/>
                <w:b/>
                <w:vertAlign w:val="superscript"/>
              </w:rPr>
              <w:t>a</w:t>
            </w:r>
          </w:p>
          <w:p w:rsidR="00AE46DA" w:rsidRPr="00DD147E" w:rsidRDefault="00AE46DA" w:rsidP="00B21F37">
            <w:pPr>
              <w:pStyle w:val="TableNumber"/>
              <w:keepNext/>
              <w:keepLines/>
              <w:spacing w:before="0" w:after="0" w:line="240" w:lineRule="auto"/>
              <w:rPr>
                <w:rFonts w:eastAsia="Times New Roman" w:cs="Times New Roman"/>
                <w:b/>
              </w:rPr>
            </w:pPr>
            <w:r w:rsidRPr="00DD147E">
              <w:rPr>
                <w:rFonts w:eastAsia="Times New Roman" w:cs="Times New Roman"/>
                <w:b/>
              </w:rPr>
              <w:t>(N = 193)</w:t>
            </w:r>
          </w:p>
        </w:tc>
        <w:tc>
          <w:tcPr>
            <w:tcW w:w="1553" w:type="dxa"/>
            <w:shd w:val="clear" w:color="auto" w:fill="auto"/>
            <w:vAlign w:val="center"/>
          </w:tcPr>
          <w:p w:rsidR="00AE46DA" w:rsidRPr="00DD147E" w:rsidRDefault="00AE46DA" w:rsidP="00B21F37">
            <w:pPr>
              <w:pStyle w:val="TableText"/>
              <w:keepNext/>
              <w:keepLines/>
              <w:spacing w:before="0" w:after="0" w:line="240" w:lineRule="auto"/>
              <w:jc w:val="center"/>
              <w:rPr>
                <w:b/>
                <w:vertAlign w:val="superscript"/>
              </w:rPr>
            </w:pPr>
            <w:r w:rsidRPr="00DD147E">
              <w:rPr>
                <w:b/>
              </w:rPr>
              <w:t xml:space="preserve">RR (95% CI) </w:t>
            </w:r>
            <w:r w:rsidRPr="00DD147E">
              <w:rPr>
                <w:b/>
                <w:vertAlign w:val="superscript"/>
              </w:rPr>
              <w:t>b</w:t>
            </w:r>
          </w:p>
        </w:tc>
        <w:tc>
          <w:tcPr>
            <w:tcW w:w="1564" w:type="dxa"/>
            <w:shd w:val="clear" w:color="auto" w:fill="auto"/>
            <w:vAlign w:val="center"/>
          </w:tcPr>
          <w:p w:rsidR="00AE46DA" w:rsidRPr="00DD147E" w:rsidRDefault="00AE46DA" w:rsidP="00B21F37">
            <w:pPr>
              <w:pStyle w:val="TableText"/>
              <w:keepNext/>
              <w:keepLines/>
              <w:spacing w:before="0" w:after="0" w:line="240" w:lineRule="auto"/>
              <w:jc w:val="center"/>
              <w:rPr>
                <w:b/>
                <w:vertAlign w:val="superscript"/>
              </w:rPr>
            </w:pPr>
            <w:r w:rsidRPr="00DD147E">
              <w:rPr>
                <w:b/>
              </w:rPr>
              <w:t xml:space="preserve">RD (95% CI) </w:t>
            </w:r>
            <w:r w:rsidRPr="00DD147E">
              <w:rPr>
                <w:b/>
                <w:vertAlign w:val="superscript"/>
              </w:rPr>
              <w:t>b</w:t>
            </w:r>
          </w:p>
        </w:tc>
      </w:tr>
      <w:tr w:rsidR="00AE46DA" w:rsidRPr="001825C9" w:rsidTr="00B21F37">
        <w:tc>
          <w:tcPr>
            <w:tcW w:w="3539" w:type="dxa"/>
            <w:shd w:val="clear" w:color="auto" w:fill="auto"/>
            <w:vAlign w:val="center"/>
          </w:tcPr>
          <w:p w:rsidR="00AE46DA" w:rsidRPr="00DD147E" w:rsidRDefault="00AE46DA" w:rsidP="00B21F37">
            <w:pPr>
              <w:pStyle w:val="Default"/>
              <w:keepNext/>
              <w:keepLines/>
              <w:widowControl w:val="0"/>
              <w:rPr>
                <w:rFonts w:ascii="Arial Narrow" w:hAnsi="Arial Narrow"/>
                <w:sz w:val="20"/>
                <w:szCs w:val="20"/>
                <w:vertAlign w:val="superscript"/>
                <w:lang w:val="en-AU"/>
              </w:rPr>
            </w:pPr>
            <w:r w:rsidRPr="00DD147E">
              <w:rPr>
                <w:rFonts w:ascii="Arial Narrow" w:hAnsi="Arial Narrow"/>
                <w:sz w:val="20"/>
                <w:szCs w:val="20"/>
                <w:lang w:val="en-AU"/>
              </w:rPr>
              <w:t xml:space="preserve">On-treatment deaths </w:t>
            </w:r>
            <w:r w:rsidRPr="00DD147E">
              <w:rPr>
                <w:rFonts w:ascii="Arial Narrow" w:hAnsi="Arial Narrow"/>
                <w:sz w:val="20"/>
                <w:szCs w:val="20"/>
                <w:vertAlign w:val="superscript"/>
                <w:lang w:val="en-AU"/>
              </w:rPr>
              <w:t>c</w:t>
            </w:r>
          </w:p>
        </w:tc>
        <w:tc>
          <w:tcPr>
            <w:tcW w:w="1370" w:type="dxa"/>
            <w:shd w:val="clear" w:color="auto" w:fill="auto"/>
            <w:vAlign w:val="center"/>
          </w:tcPr>
          <w:p w:rsidR="00AE46DA" w:rsidRPr="00DD147E" w:rsidRDefault="00AE46DA" w:rsidP="00B21F37">
            <w:pPr>
              <w:pStyle w:val="Default"/>
              <w:keepNext/>
              <w:keepLines/>
              <w:widowControl w:val="0"/>
              <w:jc w:val="center"/>
              <w:rPr>
                <w:rFonts w:ascii="Arial Narrow" w:hAnsi="Arial Narrow" w:cs="Arial"/>
                <w:sz w:val="20"/>
                <w:szCs w:val="20"/>
                <w:lang w:val="en-AU"/>
              </w:rPr>
            </w:pPr>
            <w:r w:rsidRPr="00DD147E">
              <w:rPr>
                <w:rFonts w:ascii="Arial Narrow" w:hAnsi="Arial Narrow" w:cs="Arial"/>
                <w:sz w:val="20"/>
                <w:szCs w:val="20"/>
                <w:lang w:val="en-AU"/>
              </w:rPr>
              <w:t>38 (17.6)</w:t>
            </w:r>
          </w:p>
        </w:tc>
        <w:tc>
          <w:tcPr>
            <w:tcW w:w="992" w:type="dxa"/>
            <w:shd w:val="clear" w:color="auto" w:fill="auto"/>
            <w:vAlign w:val="center"/>
          </w:tcPr>
          <w:p w:rsidR="00AE46DA" w:rsidRPr="00DD147E" w:rsidRDefault="00AE46DA" w:rsidP="00B21F37">
            <w:pPr>
              <w:pStyle w:val="Default"/>
              <w:keepNext/>
              <w:keepLines/>
              <w:widowControl w:val="0"/>
              <w:jc w:val="center"/>
              <w:rPr>
                <w:rFonts w:ascii="Arial Narrow" w:hAnsi="Arial Narrow" w:cs="Arial"/>
                <w:sz w:val="20"/>
                <w:szCs w:val="20"/>
                <w:lang w:val="en-AU"/>
              </w:rPr>
            </w:pPr>
            <w:r w:rsidRPr="00DD147E">
              <w:rPr>
                <w:rFonts w:ascii="Arial Narrow" w:hAnsi="Arial Narrow" w:cs="Arial"/>
                <w:sz w:val="20"/>
                <w:szCs w:val="20"/>
                <w:lang w:val="en-AU"/>
              </w:rPr>
              <w:t>29 (15.0)</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1.17 (0.75, 1.82)</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0.03 (-0.05, 0.10) </w:t>
            </w:r>
          </w:p>
        </w:tc>
      </w:tr>
      <w:tr w:rsidR="00AE46DA" w:rsidRPr="001825C9" w:rsidTr="00B21F37">
        <w:tc>
          <w:tcPr>
            <w:tcW w:w="3539" w:type="dxa"/>
            <w:shd w:val="clear" w:color="auto" w:fill="auto"/>
            <w:vAlign w:val="center"/>
          </w:tcPr>
          <w:p w:rsidR="00AE46DA" w:rsidRPr="00DD147E" w:rsidRDefault="00AE46DA" w:rsidP="00B21F37">
            <w:pPr>
              <w:pStyle w:val="Default"/>
              <w:keepNext/>
              <w:keepLines/>
              <w:widowControl w:val="0"/>
              <w:rPr>
                <w:rFonts w:ascii="Arial Narrow" w:hAnsi="Arial Narrow"/>
                <w:sz w:val="20"/>
                <w:szCs w:val="20"/>
                <w:lang w:val="en-AU"/>
              </w:rPr>
            </w:pPr>
            <w:r w:rsidRPr="00DD147E">
              <w:rPr>
                <w:rFonts w:ascii="Arial Narrow" w:hAnsi="Arial Narrow"/>
                <w:sz w:val="20"/>
                <w:szCs w:val="20"/>
                <w:lang w:val="en-AU"/>
              </w:rPr>
              <w:t xml:space="preserve">On-treatment AEs leading to </w:t>
            </w:r>
            <w:r w:rsidR="003C7F05" w:rsidRPr="00DD147E">
              <w:rPr>
                <w:rFonts w:ascii="Arial Narrow" w:hAnsi="Arial Narrow"/>
                <w:sz w:val="20"/>
                <w:szCs w:val="20"/>
                <w:lang w:val="en-AU"/>
              </w:rPr>
              <w:t>death</w:t>
            </w:r>
          </w:p>
        </w:tc>
        <w:tc>
          <w:tcPr>
            <w:tcW w:w="1370" w:type="dxa"/>
            <w:shd w:val="clear" w:color="auto" w:fill="auto"/>
            <w:vAlign w:val="center"/>
          </w:tcPr>
          <w:p w:rsidR="00AE46DA" w:rsidRPr="00DD147E" w:rsidRDefault="00AE46DA" w:rsidP="00B21F37">
            <w:pPr>
              <w:pStyle w:val="Default"/>
              <w:keepNext/>
              <w:keepLines/>
              <w:widowControl w:val="0"/>
              <w:jc w:val="center"/>
              <w:rPr>
                <w:rFonts w:ascii="Arial Narrow" w:hAnsi="Arial Narrow" w:cs="Arial"/>
                <w:sz w:val="20"/>
                <w:szCs w:val="20"/>
                <w:lang w:val="en-AU"/>
              </w:rPr>
            </w:pPr>
            <w:r w:rsidRPr="00DD147E">
              <w:rPr>
                <w:rFonts w:ascii="Arial Narrow" w:hAnsi="Arial Narrow" w:cs="Arial"/>
                <w:sz w:val="20"/>
                <w:szCs w:val="20"/>
                <w:lang w:val="en-AU"/>
              </w:rPr>
              <w:t>8 (3.7)</w:t>
            </w:r>
          </w:p>
        </w:tc>
        <w:tc>
          <w:tcPr>
            <w:tcW w:w="992" w:type="dxa"/>
            <w:shd w:val="clear" w:color="auto" w:fill="auto"/>
            <w:vAlign w:val="center"/>
          </w:tcPr>
          <w:p w:rsidR="00AE46DA" w:rsidRPr="00DD147E" w:rsidRDefault="00AE46DA" w:rsidP="00B21F37">
            <w:pPr>
              <w:pStyle w:val="Default"/>
              <w:keepNext/>
              <w:keepLines/>
              <w:widowControl w:val="0"/>
              <w:jc w:val="center"/>
              <w:rPr>
                <w:rFonts w:ascii="Arial Narrow" w:hAnsi="Arial Narrow" w:cs="Arial"/>
                <w:sz w:val="20"/>
                <w:szCs w:val="20"/>
                <w:lang w:val="en-AU"/>
              </w:rPr>
            </w:pPr>
            <w:r w:rsidRPr="00DD147E">
              <w:rPr>
                <w:rFonts w:ascii="Arial Narrow" w:hAnsi="Arial Narrow" w:cs="Arial"/>
                <w:sz w:val="20"/>
                <w:szCs w:val="20"/>
                <w:lang w:val="en-AU"/>
              </w:rPr>
              <w:t>8 (4.1)</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0.89 (0.34, 2.33)</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0.00 (-0.04, 0.03) </w:t>
            </w:r>
          </w:p>
        </w:tc>
      </w:tr>
      <w:tr w:rsidR="00AE46DA" w:rsidRPr="001825C9" w:rsidTr="00B21F37">
        <w:tc>
          <w:tcPr>
            <w:tcW w:w="3539" w:type="dxa"/>
            <w:shd w:val="clear" w:color="auto" w:fill="auto"/>
            <w:vAlign w:val="center"/>
          </w:tcPr>
          <w:p w:rsidR="00AE46DA" w:rsidRPr="00DD147E" w:rsidRDefault="003C7F05" w:rsidP="00B21F37">
            <w:pPr>
              <w:pStyle w:val="Default"/>
              <w:keepNext/>
              <w:keepLines/>
              <w:widowControl w:val="0"/>
              <w:rPr>
                <w:rFonts w:ascii="Arial Narrow" w:hAnsi="Arial Narrow"/>
                <w:sz w:val="20"/>
                <w:szCs w:val="20"/>
                <w:lang w:val="en-AU"/>
              </w:rPr>
            </w:pPr>
            <w:r w:rsidRPr="00DD147E">
              <w:rPr>
                <w:rFonts w:ascii="Arial Narrow" w:hAnsi="Arial Narrow"/>
                <w:sz w:val="20"/>
                <w:szCs w:val="20"/>
                <w:lang w:val="en-AU"/>
              </w:rPr>
              <w:t>Any AEs</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212 (98.1)</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190 (98.4)</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1.00 (0.97, 1.02)</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0.00 (-0.03, 0.02) </w:t>
            </w:r>
          </w:p>
        </w:tc>
      </w:tr>
      <w:tr w:rsidR="00AE46DA" w:rsidRPr="001825C9" w:rsidTr="00B21F37">
        <w:tc>
          <w:tcPr>
            <w:tcW w:w="3539" w:type="dxa"/>
            <w:shd w:val="clear" w:color="auto" w:fill="auto"/>
            <w:vAlign w:val="center"/>
          </w:tcPr>
          <w:p w:rsidR="00AE46DA" w:rsidRPr="00DD147E" w:rsidRDefault="003C7F05" w:rsidP="00B21F37">
            <w:pPr>
              <w:pStyle w:val="TableText"/>
              <w:keepNext/>
              <w:keepLines/>
              <w:spacing w:before="0" w:after="0" w:line="240" w:lineRule="auto"/>
              <w:ind w:left="246"/>
              <w:rPr>
                <w:szCs w:val="20"/>
              </w:rPr>
            </w:pPr>
            <w:r w:rsidRPr="00DD147E">
              <w:rPr>
                <w:szCs w:val="20"/>
              </w:rPr>
              <w:t>Grade ≥3 AE</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124 (57.4)</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124 (64.2)</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0.89 (0.76, 1.04)</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-0.07 (-0.16, 0.03) </w:t>
            </w:r>
          </w:p>
        </w:tc>
      </w:tr>
      <w:tr w:rsidR="00AE46DA" w:rsidRPr="001825C9" w:rsidTr="00B21F37">
        <w:tc>
          <w:tcPr>
            <w:tcW w:w="3539" w:type="dxa"/>
            <w:shd w:val="clear" w:color="auto" w:fill="auto"/>
            <w:vAlign w:val="center"/>
          </w:tcPr>
          <w:p w:rsidR="00AE46DA" w:rsidRPr="00DD147E" w:rsidRDefault="00AE46DA" w:rsidP="00B21F37">
            <w:pPr>
              <w:pStyle w:val="Default"/>
              <w:keepNext/>
              <w:keepLines/>
              <w:widowControl w:val="0"/>
              <w:ind w:firstLine="246"/>
              <w:rPr>
                <w:rFonts w:ascii="Arial Narrow" w:hAnsi="Arial Narrow"/>
                <w:sz w:val="20"/>
                <w:szCs w:val="20"/>
                <w:lang w:val="en-AU"/>
              </w:rPr>
            </w:pPr>
            <w:r w:rsidRPr="00DD147E">
              <w:rPr>
                <w:rFonts w:ascii="Arial Narrow" w:hAnsi="Arial Narrow"/>
                <w:sz w:val="20"/>
                <w:szCs w:val="20"/>
                <w:lang w:val="en-AU"/>
              </w:rPr>
              <w:t>Treatment related AEs</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196 (90.7)</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178 (92.2)</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0.98 (0.93, 1.04)</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-0.01 (-0.07, 0.04)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ind w:firstLine="246"/>
              <w:rPr>
                <w:szCs w:val="20"/>
              </w:rPr>
            </w:pPr>
            <w:r w:rsidRPr="00DD147E">
              <w:rPr>
                <w:szCs w:val="20"/>
              </w:rPr>
              <w:t>Grade ≥3 treatment related AE</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46 (21.3)</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82 (42.5)</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b/>
                <w:sz w:val="20"/>
                <w:szCs w:val="20"/>
              </w:rPr>
            </w:pPr>
            <w:r w:rsidRPr="00DD147E">
              <w:rPr>
                <w:rFonts w:ascii="Arial Narrow" w:hAnsi="Arial Narrow" w:cs="Arial"/>
                <w:b/>
                <w:sz w:val="20"/>
                <w:szCs w:val="20"/>
              </w:rPr>
              <w:t>0.50 (0.37, 0.68)</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w:t>
            </w:r>
            <w:r w:rsidRPr="00DD147E">
              <w:rPr>
                <w:rFonts w:ascii="Arial Narrow" w:hAnsi="Arial Narrow" w:cs="Arial"/>
                <w:b/>
                <w:sz w:val="20"/>
                <w:szCs w:val="20"/>
              </w:rPr>
              <w:t>-0.21 (-0.30, -0.12</w:t>
            </w:r>
            <w:r w:rsidRPr="00DD147E">
              <w:rPr>
                <w:rFonts w:ascii="Arial Narrow" w:hAnsi="Arial Narrow" w:cs="Arial"/>
                <w:sz w:val="20"/>
                <w:szCs w:val="20"/>
              </w:rPr>
              <w:t xml:space="preserve">)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rPr>
                <w:szCs w:val="20"/>
              </w:rPr>
            </w:pPr>
            <w:r w:rsidRPr="00DD147E">
              <w:rPr>
                <w:szCs w:val="20"/>
              </w:rPr>
              <w:t>Any SAEs</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86 (39.8)</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77 (39.9)</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1.00 (0.79, 1.27)</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0.00 (-0.10, 0.09)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ind w:firstLine="246"/>
              <w:rPr>
                <w:szCs w:val="20"/>
              </w:rPr>
            </w:pPr>
            <w:r w:rsidRPr="00DD147E">
              <w:rPr>
                <w:szCs w:val="20"/>
              </w:rPr>
              <w:t>Grade ≥3 SAE</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74 (34.4)</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67 (34.7)</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0.99 (0.76, 1.29)</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0.00 (-0.10, 0.09)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ind w:firstLine="246"/>
              <w:rPr>
                <w:szCs w:val="20"/>
              </w:rPr>
            </w:pPr>
            <w:r w:rsidRPr="00DD147E">
              <w:rPr>
                <w:szCs w:val="20"/>
              </w:rPr>
              <w:t>Treatment related SAE</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21 (9.7)</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25 (13.0)</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0.75 (0.43, 1.30)</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-0.03 (-0.09, 0.03)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ind w:firstLine="246"/>
              <w:rPr>
                <w:szCs w:val="20"/>
              </w:rPr>
            </w:pPr>
            <w:r w:rsidRPr="00DD147E">
              <w:rPr>
                <w:szCs w:val="20"/>
              </w:rPr>
              <w:t>Grade ≥3 treatment related SAE</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13 (6.0)</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22 (11.4)</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0.53 (0.27, 1.02)</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-0.05 (-0.11, 0.00)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rPr>
                <w:rFonts w:eastAsia="Times New Roman" w:cs="Times New Roman"/>
                <w:szCs w:val="20"/>
              </w:rPr>
            </w:pPr>
            <w:r w:rsidRPr="00DD147E">
              <w:rPr>
                <w:rFonts w:eastAsia="Times New Roman" w:cs="Times New Roman"/>
                <w:szCs w:val="20"/>
              </w:rPr>
              <w:t>A</w:t>
            </w:r>
            <w:r w:rsidR="003C7F05" w:rsidRPr="00DD147E">
              <w:rPr>
                <w:rFonts w:eastAsia="Times New Roman" w:cs="Times New Roman"/>
                <w:szCs w:val="20"/>
              </w:rPr>
              <w:t>Es requiring additional therapy</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205 (94.9)</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182 (94.3)</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1.01 (0.96, 1.05)</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0.01 (-0.04, 0.05)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ind w:left="246"/>
              <w:rPr>
                <w:rFonts w:eastAsia="Times New Roman" w:cs="Times New Roman"/>
                <w:szCs w:val="20"/>
              </w:rPr>
            </w:pPr>
            <w:r w:rsidRPr="00DD147E">
              <w:rPr>
                <w:szCs w:val="20"/>
              </w:rPr>
              <w:t xml:space="preserve">Grade ≥3 </w:t>
            </w:r>
            <w:r w:rsidRPr="00DD147E">
              <w:rPr>
                <w:rFonts w:eastAsia="Times New Roman" w:cs="Times New Roman"/>
                <w:szCs w:val="20"/>
              </w:rPr>
              <w:t>requiring additional therapy</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107 (49.5)</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100 (51.8)</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0.96 (0.79, 1.16)</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-0.02 (-0.12, 0.07)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rPr>
                <w:rFonts w:eastAsia="Times New Roman" w:cs="Times New Roman"/>
                <w:szCs w:val="20"/>
                <w:vertAlign w:val="superscript"/>
              </w:rPr>
            </w:pPr>
            <w:r w:rsidRPr="00DD147E">
              <w:rPr>
                <w:rFonts w:eastAsia="Times New Roman" w:cs="Times New Roman"/>
                <w:szCs w:val="20"/>
              </w:rPr>
              <w:t xml:space="preserve">AEs requiring dose interruption </w:t>
            </w:r>
            <w:r w:rsidRPr="00DD147E">
              <w:rPr>
                <w:rFonts w:eastAsia="Times New Roman" w:cs="Times New Roman"/>
                <w:szCs w:val="20"/>
                <w:vertAlign w:val="superscript"/>
              </w:rPr>
              <w:t>d</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110 (50.9)</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107 (55.4)</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0.92 (0.77, 1.10)</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-0.05 (-0.14, 0.05)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ind w:left="246"/>
              <w:rPr>
                <w:rFonts w:eastAsia="Times New Roman" w:cs="Times New Roman"/>
                <w:szCs w:val="20"/>
              </w:rPr>
            </w:pPr>
            <w:r w:rsidRPr="00DD147E">
              <w:rPr>
                <w:szCs w:val="20"/>
              </w:rPr>
              <w:t xml:space="preserve">Grade ≥3 </w:t>
            </w:r>
            <w:r w:rsidRPr="00DD147E">
              <w:rPr>
                <w:rFonts w:eastAsia="Times New Roman" w:cs="Times New Roman"/>
                <w:szCs w:val="20"/>
              </w:rPr>
              <w:t xml:space="preserve">AEs requiring dose interruption </w:t>
            </w:r>
            <w:r w:rsidRPr="00DD147E">
              <w:rPr>
                <w:rFonts w:eastAsia="Times New Roman" w:cs="Times New Roman"/>
                <w:szCs w:val="20"/>
                <w:vertAlign w:val="superscript"/>
              </w:rPr>
              <w:t>d</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72 (33.3)</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72 (37.3)</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0.89 (0.69, 1.16)</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-0.04 (-0.13, 0.05)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rPr>
                <w:rFonts w:eastAsia="Times New Roman" w:cs="Times New Roman"/>
                <w:szCs w:val="20"/>
              </w:rPr>
            </w:pPr>
            <w:r w:rsidRPr="00DD147E">
              <w:rPr>
                <w:rFonts w:eastAsia="Times New Roman" w:cs="Times New Roman"/>
                <w:szCs w:val="20"/>
              </w:rPr>
              <w:t xml:space="preserve">AEs requiring dose reduction </w:t>
            </w:r>
            <w:r w:rsidRPr="00DD147E">
              <w:rPr>
                <w:rFonts w:eastAsia="Times New Roman" w:cs="Times New Roman"/>
                <w:szCs w:val="20"/>
                <w:vertAlign w:val="superscript"/>
              </w:rPr>
              <w:t>d</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26 (12.0)</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61 (31.6)</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b/>
                <w:sz w:val="20"/>
                <w:szCs w:val="20"/>
              </w:rPr>
            </w:pPr>
            <w:r w:rsidRPr="00DD147E">
              <w:rPr>
                <w:rFonts w:ascii="Arial Narrow" w:hAnsi="Arial Narrow" w:cs="Arial"/>
                <w:b/>
                <w:sz w:val="20"/>
                <w:szCs w:val="20"/>
              </w:rPr>
              <w:t>0.38 (0.25, 0.58)</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w:t>
            </w:r>
            <w:r w:rsidRPr="00DD147E">
              <w:rPr>
                <w:rFonts w:ascii="Arial Narrow" w:hAnsi="Arial Narrow" w:cs="Arial"/>
                <w:b/>
                <w:sz w:val="20"/>
                <w:szCs w:val="20"/>
              </w:rPr>
              <w:t>-0.20 (-0.27, -0.12</w:t>
            </w:r>
            <w:r w:rsidRPr="00DD147E">
              <w:rPr>
                <w:rFonts w:ascii="Arial Narrow" w:hAnsi="Arial Narrow" w:cs="Arial"/>
                <w:sz w:val="20"/>
                <w:szCs w:val="20"/>
              </w:rPr>
              <w:t xml:space="preserve">)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ind w:left="246"/>
              <w:rPr>
                <w:rFonts w:eastAsia="Times New Roman" w:cs="Times New Roman"/>
                <w:szCs w:val="20"/>
              </w:rPr>
            </w:pPr>
            <w:r w:rsidRPr="00DD147E">
              <w:rPr>
                <w:szCs w:val="20"/>
              </w:rPr>
              <w:t xml:space="preserve">Grade ≥3 </w:t>
            </w:r>
            <w:r w:rsidRPr="00DD147E">
              <w:rPr>
                <w:rFonts w:eastAsia="Times New Roman" w:cs="Times New Roman"/>
                <w:szCs w:val="20"/>
              </w:rPr>
              <w:t xml:space="preserve">AEs requiring dose reduction </w:t>
            </w:r>
            <w:r w:rsidRPr="00DD147E">
              <w:rPr>
                <w:rFonts w:eastAsia="Times New Roman" w:cs="Times New Roman"/>
                <w:szCs w:val="20"/>
                <w:vertAlign w:val="superscript"/>
              </w:rPr>
              <w:t>d</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8 (3.7)</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32 (16.6)</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b/>
                <w:sz w:val="20"/>
                <w:szCs w:val="20"/>
              </w:rPr>
            </w:pPr>
            <w:r w:rsidRPr="00DD147E">
              <w:rPr>
                <w:rFonts w:ascii="Arial Narrow" w:hAnsi="Arial Narrow" w:cs="Arial"/>
                <w:b/>
                <w:sz w:val="20"/>
                <w:szCs w:val="20"/>
              </w:rPr>
              <w:t>0.22 (0.11, 0.47)</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b/>
                <w:sz w:val="20"/>
                <w:szCs w:val="20"/>
              </w:rPr>
            </w:pPr>
            <w:r w:rsidRPr="00DD147E">
              <w:rPr>
                <w:rFonts w:ascii="Arial Narrow" w:hAnsi="Arial Narrow" w:cs="Arial"/>
                <w:sz w:val="20"/>
                <w:szCs w:val="20"/>
              </w:rPr>
              <w:t xml:space="preserve"> </w:t>
            </w:r>
            <w:r w:rsidRPr="00DD147E">
              <w:rPr>
                <w:rFonts w:ascii="Arial Narrow" w:hAnsi="Arial Narrow" w:cs="Arial"/>
                <w:b/>
                <w:sz w:val="20"/>
                <w:szCs w:val="20"/>
              </w:rPr>
              <w:t xml:space="preserve">-0.13 (-0.19, -0.07) </w:t>
            </w:r>
          </w:p>
        </w:tc>
      </w:tr>
      <w:tr w:rsidR="00AE46DA" w:rsidRPr="001825C9" w:rsidTr="00B21F37">
        <w:tc>
          <w:tcPr>
            <w:tcW w:w="3539" w:type="dxa"/>
            <w:shd w:val="clear" w:color="auto" w:fill="auto"/>
            <w:vAlign w:val="center"/>
          </w:tcPr>
          <w:p w:rsidR="00AE46DA" w:rsidRPr="00DD147E" w:rsidRDefault="00AE46DA" w:rsidP="00B21F37">
            <w:pPr>
              <w:pStyle w:val="Default"/>
              <w:keepNext/>
              <w:keepLines/>
              <w:widowControl w:val="0"/>
              <w:rPr>
                <w:rFonts w:ascii="Arial Narrow" w:hAnsi="Arial Narrow"/>
                <w:sz w:val="20"/>
                <w:szCs w:val="20"/>
                <w:lang w:val="en-AU"/>
              </w:rPr>
            </w:pPr>
            <w:r w:rsidRPr="00DD147E">
              <w:rPr>
                <w:rFonts w:ascii="Arial Narrow" w:hAnsi="Arial Narrow"/>
                <w:sz w:val="20"/>
                <w:szCs w:val="20"/>
                <w:lang w:val="en-AU"/>
              </w:rPr>
              <w:t xml:space="preserve">AEs leading to discontinuation </w:t>
            </w:r>
            <w:r w:rsidRPr="00DD147E">
              <w:rPr>
                <w:rFonts w:ascii="Arial" w:eastAsia="Times New Roman" w:hAnsi="Arial" w:cs="Arial"/>
                <w:sz w:val="20"/>
                <w:szCs w:val="20"/>
                <w:vertAlign w:val="superscript"/>
                <w:lang w:val="en-AU"/>
              </w:rPr>
              <w:t>d</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26 (12.0)</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33 (17.1)</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0.70 (0.44, 1.13)</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-0.05 (-0.12, 0.02) </w:t>
            </w:r>
          </w:p>
        </w:tc>
      </w:tr>
      <w:tr w:rsidR="00AE46DA" w:rsidRPr="001825C9" w:rsidTr="00B21F37">
        <w:tc>
          <w:tcPr>
            <w:tcW w:w="3539" w:type="dxa"/>
            <w:shd w:val="clear" w:color="auto" w:fill="auto"/>
            <w:vAlign w:val="center"/>
          </w:tcPr>
          <w:p w:rsidR="00AE46DA" w:rsidRPr="00DD147E" w:rsidRDefault="00AE46DA" w:rsidP="00B21F37">
            <w:pPr>
              <w:pStyle w:val="TableText"/>
              <w:keepNext/>
              <w:keepLines/>
              <w:spacing w:before="0" w:after="0" w:line="240" w:lineRule="auto"/>
              <w:ind w:left="246"/>
              <w:rPr>
                <w:rFonts w:eastAsia="Times New Roman" w:cs="Times New Roman"/>
                <w:szCs w:val="20"/>
              </w:rPr>
            </w:pPr>
            <w:r w:rsidRPr="00DD147E">
              <w:rPr>
                <w:szCs w:val="20"/>
              </w:rPr>
              <w:t>Grade ≥3 AEs leading to discontinuation</w:t>
            </w:r>
            <w:r w:rsidRPr="00DD147E">
              <w:rPr>
                <w:rFonts w:eastAsia="Times New Roman" w:cs="Times New Roman"/>
                <w:szCs w:val="20"/>
                <w:vertAlign w:val="superscript"/>
              </w:rPr>
              <w:t xml:space="preserve"> d</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24 (11.1)</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24 (12.4)</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0.89 (0.53, 1.52)</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-0.01 (-0.08, 0.05) </w:t>
            </w:r>
          </w:p>
        </w:tc>
      </w:tr>
      <w:tr w:rsidR="00AE46DA" w:rsidRPr="001825C9" w:rsidTr="00B21F37">
        <w:tc>
          <w:tcPr>
            <w:tcW w:w="3539" w:type="dxa"/>
            <w:shd w:val="clear" w:color="auto" w:fill="auto"/>
            <w:vAlign w:val="center"/>
          </w:tcPr>
          <w:p w:rsidR="00AE46DA" w:rsidRPr="00DD147E" w:rsidRDefault="00AE46DA" w:rsidP="00B21F37">
            <w:pPr>
              <w:pStyle w:val="Default"/>
              <w:keepNext/>
              <w:keepLines/>
              <w:widowControl w:val="0"/>
              <w:rPr>
                <w:rFonts w:ascii="Arial Narrow" w:hAnsi="Arial Narrow"/>
                <w:sz w:val="20"/>
                <w:szCs w:val="20"/>
                <w:lang w:val="en-AU"/>
              </w:rPr>
            </w:pPr>
            <w:r w:rsidRPr="00DD147E">
              <w:rPr>
                <w:rFonts w:ascii="Arial Narrow" w:hAnsi="Arial Narrow"/>
                <w:sz w:val="20"/>
                <w:szCs w:val="20"/>
                <w:lang w:val="en-AU"/>
              </w:rPr>
              <w:t>AEs leading to d</w:t>
            </w:r>
            <w:r w:rsidR="003C7F05" w:rsidRPr="00DD147E">
              <w:rPr>
                <w:rFonts w:ascii="Arial Narrow" w:hAnsi="Arial Narrow"/>
                <w:sz w:val="20"/>
                <w:szCs w:val="20"/>
                <w:lang w:val="en-AU"/>
              </w:rPr>
              <w:t>iscontinuation of all treatment</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20 (9.3)</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21 (10.9)</w:t>
            </w:r>
          </w:p>
        </w:tc>
        <w:tc>
          <w:tcPr>
            <w:tcW w:w="1553" w:type="dxa"/>
            <w:shd w:val="clear" w:color="auto" w:fill="auto"/>
            <w:vAlign w:val="bottom"/>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0.85 (0.48, 1.52)</w:t>
            </w:r>
          </w:p>
        </w:tc>
        <w:tc>
          <w:tcPr>
            <w:tcW w:w="1564" w:type="dxa"/>
            <w:shd w:val="clear" w:color="auto" w:fill="auto"/>
            <w:vAlign w:val="bottom"/>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 xml:space="preserve"> -0.02 (-0.07, 0.04) </w:t>
            </w:r>
          </w:p>
        </w:tc>
      </w:tr>
      <w:tr w:rsidR="00AE46DA" w:rsidRPr="001825C9" w:rsidTr="00B21F37">
        <w:tc>
          <w:tcPr>
            <w:tcW w:w="3539" w:type="dxa"/>
            <w:shd w:val="clear" w:color="auto" w:fill="auto"/>
            <w:vAlign w:val="center"/>
          </w:tcPr>
          <w:p w:rsidR="00AE46DA" w:rsidRPr="00DD147E" w:rsidRDefault="00AE46DA" w:rsidP="00B21F37">
            <w:pPr>
              <w:pStyle w:val="Default"/>
              <w:keepNext/>
              <w:keepLines/>
              <w:widowControl w:val="0"/>
              <w:ind w:left="246"/>
              <w:rPr>
                <w:rFonts w:ascii="Arial Narrow" w:hAnsi="Arial Narrow"/>
                <w:sz w:val="20"/>
                <w:szCs w:val="20"/>
                <w:lang w:val="en-AU"/>
              </w:rPr>
            </w:pPr>
            <w:r w:rsidRPr="00DD147E">
              <w:rPr>
                <w:rFonts w:ascii="Arial Narrow" w:hAnsi="Arial Narrow"/>
                <w:sz w:val="20"/>
                <w:szCs w:val="20"/>
                <w:lang w:val="en-AU"/>
              </w:rPr>
              <w:t>Grade ≥3 AEs leading to discontinuation of all treatment</w:t>
            </w:r>
          </w:p>
        </w:tc>
        <w:tc>
          <w:tcPr>
            <w:tcW w:w="1370"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19 (8.8)</w:t>
            </w:r>
          </w:p>
        </w:tc>
        <w:tc>
          <w:tcPr>
            <w:tcW w:w="992" w:type="dxa"/>
            <w:shd w:val="clear" w:color="auto" w:fill="auto"/>
            <w:vAlign w:val="center"/>
          </w:tcPr>
          <w:p w:rsidR="00AE46DA" w:rsidRPr="00DD147E" w:rsidRDefault="00AE46DA" w:rsidP="00B21F37">
            <w:pPr>
              <w:pStyle w:val="TableText"/>
              <w:keepNext/>
              <w:keepLines/>
              <w:spacing w:before="0" w:after="0" w:line="240" w:lineRule="auto"/>
              <w:jc w:val="center"/>
              <w:rPr>
                <w:rFonts w:cs="Arial"/>
                <w:szCs w:val="20"/>
              </w:rPr>
            </w:pPr>
            <w:r w:rsidRPr="00DD147E">
              <w:rPr>
                <w:rFonts w:cs="Arial"/>
                <w:szCs w:val="20"/>
              </w:rPr>
              <w:t>17 (8.8)</w:t>
            </w:r>
          </w:p>
        </w:tc>
        <w:tc>
          <w:tcPr>
            <w:tcW w:w="1553" w:type="dxa"/>
            <w:shd w:val="clear" w:color="auto" w:fill="auto"/>
            <w:vAlign w:val="center"/>
          </w:tcPr>
          <w:p w:rsidR="00AE46DA" w:rsidRPr="00DD147E" w:rsidRDefault="00AE46DA" w:rsidP="00B21F37">
            <w:pPr>
              <w:keepNext/>
              <w:keepLines/>
              <w:widowControl w:val="0"/>
              <w:spacing w:before="0" w:after="0"/>
              <w:ind w:right="-8" w:hanging="84"/>
              <w:jc w:val="center"/>
              <w:rPr>
                <w:rFonts w:ascii="Arial Narrow" w:hAnsi="Arial Narrow" w:cs="Arial"/>
                <w:sz w:val="20"/>
                <w:szCs w:val="20"/>
              </w:rPr>
            </w:pPr>
            <w:r w:rsidRPr="00DD147E">
              <w:rPr>
                <w:rFonts w:ascii="Arial Narrow" w:hAnsi="Arial Narrow" w:cs="Arial"/>
                <w:sz w:val="20"/>
                <w:szCs w:val="20"/>
              </w:rPr>
              <w:t>1.00 (0.53, 1.87)</w:t>
            </w:r>
          </w:p>
        </w:tc>
        <w:tc>
          <w:tcPr>
            <w:tcW w:w="1564" w:type="dxa"/>
            <w:shd w:val="clear" w:color="auto" w:fill="auto"/>
            <w:vAlign w:val="center"/>
          </w:tcPr>
          <w:p w:rsidR="00AE46DA" w:rsidRPr="00DD147E" w:rsidRDefault="00AE46DA" w:rsidP="00B21F37">
            <w:pPr>
              <w:keepNext/>
              <w:keepLines/>
              <w:widowControl w:val="0"/>
              <w:spacing w:before="0" w:after="0"/>
              <w:ind w:hanging="54"/>
              <w:jc w:val="center"/>
              <w:rPr>
                <w:rFonts w:ascii="Arial Narrow" w:hAnsi="Arial Narrow" w:cs="Arial"/>
                <w:sz w:val="20"/>
                <w:szCs w:val="20"/>
              </w:rPr>
            </w:pPr>
            <w:r w:rsidRPr="00DD147E">
              <w:rPr>
                <w:rFonts w:ascii="Arial Narrow" w:hAnsi="Arial Narrow" w:cs="Arial"/>
                <w:sz w:val="20"/>
                <w:szCs w:val="20"/>
              </w:rPr>
              <w:t>0.00 (-0.06, 0.05)</w:t>
            </w:r>
          </w:p>
        </w:tc>
      </w:tr>
    </w:tbl>
    <w:p w:rsidR="00AE46DA" w:rsidRPr="001825C9" w:rsidRDefault="00AE46DA" w:rsidP="00AE46DA">
      <w:pPr>
        <w:keepNext/>
        <w:keepLines/>
        <w:widowControl w:val="0"/>
        <w:spacing w:before="0" w:after="0"/>
        <w:rPr>
          <w:rFonts w:ascii="Arial Narrow" w:hAnsi="Arial Narrow"/>
          <w:sz w:val="18"/>
          <w:szCs w:val="18"/>
        </w:rPr>
      </w:pPr>
      <w:r w:rsidRPr="001825C9">
        <w:rPr>
          <w:rFonts w:ascii="Arial Narrow" w:hAnsi="Arial Narrow"/>
          <w:sz w:val="18"/>
          <w:szCs w:val="18"/>
        </w:rPr>
        <w:t xml:space="preserve">Notes: </w:t>
      </w:r>
      <w:r w:rsidRPr="001825C9">
        <w:rPr>
          <w:rFonts w:ascii="Arial Narrow" w:hAnsi="Arial Narrow"/>
          <w:sz w:val="18"/>
          <w:szCs w:val="18"/>
          <w:vertAlign w:val="superscript"/>
        </w:rPr>
        <w:t>a</w:t>
      </w:r>
      <w:r w:rsidRPr="001825C9">
        <w:rPr>
          <w:rFonts w:ascii="Arial Narrow" w:hAnsi="Arial Narrow"/>
          <w:sz w:val="18"/>
          <w:szCs w:val="18"/>
        </w:rPr>
        <w:t xml:space="preserve"> Control arm = investigator’s choice of irinotecan + cetuximab or FOLFIRI + cetuximab</w:t>
      </w:r>
    </w:p>
    <w:p w:rsidR="00AE46DA" w:rsidRPr="001825C9" w:rsidRDefault="00AE46DA" w:rsidP="00AE46DA">
      <w:pPr>
        <w:keepNext/>
        <w:keepLines/>
        <w:widowControl w:val="0"/>
        <w:spacing w:before="0" w:after="0"/>
        <w:rPr>
          <w:rFonts w:ascii="Arial Narrow" w:hAnsi="Arial Narrow"/>
          <w:sz w:val="18"/>
          <w:szCs w:val="18"/>
        </w:rPr>
      </w:pPr>
      <w:r w:rsidRPr="001825C9">
        <w:rPr>
          <w:rFonts w:ascii="Arial Narrow" w:hAnsi="Arial Narrow"/>
          <w:sz w:val="18"/>
          <w:szCs w:val="18"/>
          <w:vertAlign w:val="superscript"/>
        </w:rPr>
        <w:t xml:space="preserve">b </w:t>
      </w:r>
      <w:r w:rsidRPr="001825C9">
        <w:rPr>
          <w:rFonts w:ascii="Arial Narrow" w:hAnsi="Arial Narrow"/>
          <w:sz w:val="18"/>
          <w:szCs w:val="18"/>
        </w:rPr>
        <w:t>RD and RR was calculated during the evaluation</w:t>
      </w:r>
    </w:p>
    <w:p w:rsidR="00AE46DA" w:rsidRPr="001825C9" w:rsidRDefault="00AE46DA" w:rsidP="00AE46DA">
      <w:pPr>
        <w:keepNext/>
        <w:keepLines/>
        <w:widowControl w:val="0"/>
        <w:spacing w:before="0" w:after="0"/>
        <w:rPr>
          <w:rFonts w:ascii="Arial Narrow" w:hAnsi="Arial Narrow"/>
          <w:sz w:val="18"/>
          <w:szCs w:val="18"/>
        </w:rPr>
      </w:pPr>
      <w:r w:rsidRPr="001825C9">
        <w:rPr>
          <w:rFonts w:ascii="Arial Narrow" w:hAnsi="Arial Narrow"/>
          <w:sz w:val="18"/>
          <w:szCs w:val="18"/>
          <w:vertAlign w:val="superscript"/>
        </w:rPr>
        <w:t xml:space="preserve">c </w:t>
      </w:r>
      <w:r w:rsidRPr="001825C9">
        <w:rPr>
          <w:rFonts w:ascii="Arial Narrow" w:hAnsi="Arial Narrow"/>
          <w:sz w:val="18"/>
          <w:szCs w:val="18"/>
        </w:rPr>
        <w:t>deaths occurring during treatment or within 30 days of the last dose du</w:t>
      </w:r>
      <w:r w:rsidR="003C7F05" w:rsidRPr="001825C9">
        <w:rPr>
          <w:rFonts w:ascii="Arial Narrow" w:hAnsi="Arial Narrow"/>
          <w:sz w:val="18"/>
          <w:szCs w:val="18"/>
        </w:rPr>
        <w:t>e to AEs or disease progression</w:t>
      </w:r>
    </w:p>
    <w:p w:rsidR="00AE46DA" w:rsidRPr="001825C9" w:rsidRDefault="00AE46DA" w:rsidP="00AE46DA">
      <w:pPr>
        <w:keepNext/>
        <w:keepLines/>
        <w:widowControl w:val="0"/>
        <w:spacing w:before="0" w:after="0"/>
        <w:rPr>
          <w:rFonts w:ascii="Arial Narrow" w:hAnsi="Arial Narrow"/>
          <w:sz w:val="18"/>
          <w:szCs w:val="18"/>
        </w:rPr>
      </w:pPr>
      <w:r w:rsidRPr="001825C9">
        <w:rPr>
          <w:rFonts w:ascii="Arial Narrow" w:hAnsi="Arial Narrow"/>
          <w:sz w:val="18"/>
          <w:szCs w:val="18"/>
          <w:vertAlign w:val="superscript"/>
        </w:rPr>
        <w:t xml:space="preserve">d </w:t>
      </w:r>
      <w:r w:rsidRPr="001825C9">
        <w:rPr>
          <w:rFonts w:ascii="Arial Narrow" w:hAnsi="Arial Narrow"/>
          <w:sz w:val="18"/>
          <w:szCs w:val="18"/>
        </w:rPr>
        <w:t>any study drug</w:t>
      </w:r>
    </w:p>
    <w:p w:rsidR="00AE46DA" w:rsidRPr="001825C9" w:rsidRDefault="00AE46DA" w:rsidP="00AE46DA">
      <w:pPr>
        <w:keepNext/>
        <w:keepLines/>
        <w:widowControl w:val="0"/>
        <w:spacing w:before="0" w:after="0"/>
        <w:rPr>
          <w:rFonts w:ascii="Arial Narrow" w:hAnsi="Arial Narrow"/>
          <w:sz w:val="18"/>
          <w:szCs w:val="18"/>
        </w:rPr>
      </w:pPr>
      <w:r w:rsidRPr="001825C9">
        <w:rPr>
          <w:rFonts w:ascii="Arial Narrow" w:hAnsi="Arial Narrow"/>
          <w:sz w:val="18"/>
          <w:szCs w:val="18"/>
        </w:rPr>
        <w:t>Abbreviations: AE = adverse event; CI = confidence interval; CETUX = cetuximab; ENCO = encorafenib; n = number of participants reporting data; N = total participants in group; RD = risk difference; RR = relative risk; SAE = serious adverse event</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Source: Table 2-93 pp193-194 of the submission</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Bold text indicates a statistically significant difference.</w:t>
      </w:r>
    </w:p>
    <w:p w:rsidR="00AE46DA" w:rsidRPr="001825C9" w:rsidRDefault="00AE46DA" w:rsidP="00AE46DA">
      <w:pPr>
        <w:pStyle w:val="ListParagraph"/>
        <w:rPr>
          <w:color w:val="auto"/>
        </w:rPr>
      </w:pPr>
      <w:r w:rsidRPr="001825C9">
        <w:lastRenderedPageBreak/>
        <w:t>A similar proportion of patients on encorafenib + cetuximab compared with control arm in BEACON experienced AEs (98.1% vs 98.4%, respectively), but fewer Grade ≥3 AEs (57.4% vs 64.2%). Fewer patients on encorafenib + cetuximab experienced treatment-related AEs (TRAEs) and even fewer Grade ≥3 TRAEs. The difference in Grade ≥3 TRAEs was statistically significant.</w:t>
      </w:r>
      <w:r w:rsidRPr="001825C9">
        <w:rPr>
          <w:i/>
        </w:rPr>
        <w:t xml:space="preserve"> </w:t>
      </w:r>
      <w:r w:rsidRPr="001825C9">
        <w:t>The incidence of serious AEs (SAEs) and Grade ≥3 SAEs was similar between the encorafenib + cetuximab and control arms. However, there were fewer treatment-related SAEs and Grade ≥3 treatment-related SAEs in the encorafenib + cetuximab arm compared to the control arm.</w:t>
      </w:r>
    </w:p>
    <w:p w:rsidR="00AE46DA" w:rsidRPr="001825C9" w:rsidRDefault="00AE46DA" w:rsidP="00AE46DA">
      <w:pPr>
        <w:pStyle w:val="ListParagraph"/>
        <w:rPr>
          <w:color w:val="auto"/>
        </w:rPr>
      </w:pPr>
      <w:r w:rsidRPr="001825C9">
        <w:rPr>
          <w:color w:val="auto"/>
        </w:rPr>
        <w:t>Eight patients in both arms experienced AEs resulting in on-treatment deaths. In the encorafenib + cetuximab arm, the causes of death included intestinal obstruction (2 patients) and aspiration (2 patients), large intestine perforation, cardio-respiratory arrest, gastrointestinal haemorrhage, and sepsis. In the control arm, the causes of death included anaphylactic reaction, cardo-respiratory arrest, cerebral ischemia, lung infection, peritonitis, pneumocystis jirovecii pneumonia, respiratory failure and subileus.</w:t>
      </w:r>
    </w:p>
    <w:p w:rsidR="00AE46DA" w:rsidRPr="001825C9" w:rsidRDefault="00AE46DA" w:rsidP="00AE46DA">
      <w:pPr>
        <w:pStyle w:val="ListParagraph"/>
        <w:rPr>
          <w:color w:val="auto"/>
        </w:rPr>
      </w:pPr>
      <w:r w:rsidRPr="001825C9">
        <w:rPr>
          <w:color w:val="auto"/>
        </w:rPr>
        <w:t>AEs of all Grades and Grade ≥3 that were statistically significantly different are presented Table 9. The time to onset of the first Grade ≥3 AE was 4.73 months (95% CI: 3.94, 6.44) in the encorafenib + cetuximab arm and 1.41 months (95% CI: 1.08, 2.07) in the control arm. No Grade ≥3 AEs were statistically significantly higher in the encorafenib + cetuximab arm compared to the control arm.</w:t>
      </w:r>
    </w:p>
    <w:p w:rsidR="00AE46DA" w:rsidRPr="001825C9" w:rsidRDefault="00AE46DA" w:rsidP="00AE46DA">
      <w:pPr>
        <w:pStyle w:val="Caption"/>
      </w:pPr>
      <w:r w:rsidRPr="001825C9">
        <w:lastRenderedPageBreak/>
        <w:t>Table 9: Summary of AEs occurring in ≥ 10% of patients or Grade ≥ 3 AEs (≥5% in any treatment arm) of BEACON that were statistically significant (Safety Population)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23"/>
        <w:gridCol w:w="843"/>
        <w:gridCol w:w="844"/>
        <w:gridCol w:w="844"/>
        <w:gridCol w:w="844"/>
        <w:gridCol w:w="1105"/>
        <w:gridCol w:w="1106"/>
        <w:gridCol w:w="1105"/>
        <w:gridCol w:w="1106"/>
      </w:tblGrid>
      <w:tr w:rsidR="00AE46DA" w:rsidRPr="001825C9" w:rsidTr="00B21F37">
        <w:trPr>
          <w:trHeight w:val="292"/>
          <w:tblHeader/>
        </w:trPr>
        <w:tc>
          <w:tcPr>
            <w:tcW w:w="1223" w:type="dxa"/>
            <w:shd w:val="clear" w:color="auto" w:fill="auto"/>
            <w:vAlign w:val="center"/>
          </w:tcPr>
          <w:p w:rsidR="00AE46DA" w:rsidRPr="001825C9" w:rsidRDefault="00AE46DA" w:rsidP="00B21F37">
            <w:pPr>
              <w:pStyle w:val="TableText"/>
              <w:widowControl/>
              <w:spacing w:before="0" w:after="0" w:line="240" w:lineRule="auto"/>
              <w:jc w:val="center"/>
              <w:rPr>
                <w:b/>
              </w:rPr>
            </w:pPr>
            <w:r w:rsidRPr="001825C9">
              <w:rPr>
                <w:b/>
              </w:rPr>
              <w:t>n (%)</w:t>
            </w:r>
          </w:p>
        </w:tc>
        <w:tc>
          <w:tcPr>
            <w:tcW w:w="1687" w:type="dxa"/>
            <w:gridSpan w:val="2"/>
            <w:shd w:val="clear" w:color="auto" w:fill="auto"/>
            <w:vAlign w:val="center"/>
          </w:tcPr>
          <w:p w:rsidR="00AE46DA" w:rsidRPr="001825C9" w:rsidRDefault="00AE46DA" w:rsidP="00B21F37">
            <w:pPr>
              <w:pStyle w:val="TableNumber"/>
              <w:widowControl/>
              <w:spacing w:before="0" w:after="0" w:line="240" w:lineRule="auto"/>
              <w:ind w:right="-67" w:hanging="77"/>
              <w:rPr>
                <w:b/>
              </w:rPr>
            </w:pPr>
            <w:r w:rsidRPr="001825C9">
              <w:rPr>
                <w:b/>
              </w:rPr>
              <w:t>ENCO + CETU</w:t>
            </w:r>
            <w:r w:rsidR="00F0297A" w:rsidRPr="001825C9">
              <w:rPr>
                <w:b/>
              </w:rPr>
              <w:t>X</w:t>
            </w:r>
          </w:p>
          <w:p w:rsidR="00AE46DA" w:rsidRPr="001825C9" w:rsidRDefault="00AE46DA" w:rsidP="00B21F37">
            <w:pPr>
              <w:pStyle w:val="TableNumber"/>
              <w:widowControl/>
              <w:spacing w:before="0" w:after="0" w:line="240" w:lineRule="auto"/>
              <w:ind w:right="-67" w:hanging="77"/>
              <w:rPr>
                <w:b/>
              </w:rPr>
            </w:pPr>
            <w:r w:rsidRPr="001825C9">
              <w:rPr>
                <w:b/>
              </w:rPr>
              <w:t>(N = 216)</w:t>
            </w:r>
          </w:p>
        </w:tc>
        <w:tc>
          <w:tcPr>
            <w:tcW w:w="1688" w:type="dxa"/>
            <w:gridSpan w:val="2"/>
            <w:shd w:val="clear" w:color="auto" w:fill="auto"/>
            <w:vAlign w:val="center"/>
          </w:tcPr>
          <w:p w:rsidR="00AE46DA" w:rsidRPr="001825C9" w:rsidRDefault="00AE46DA" w:rsidP="00B21F37">
            <w:pPr>
              <w:pStyle w:val="TableNumber"/>
              <w:widowControl/>
              <w:spacing w:before="0" w:after="0" w:line="240" w:lineRule="auto"/>
              <w:rPr>
                <w:rFonts w:eastAsia="Times New Roman" w:cs="Times New Roman"/>
                <w:b/>
                <w:vertAlign w:val="superscript"/>
              </w:rPr>
            </w:pPr>
            <w:r w:rsidRPr="001825C9">
              <w:rPr>
                <w:rFonts w:eastAsia="Times New Roman" w:cs="Times New Roman"/>
                <w:b/>
              </w:rPr>
              <w:t xml:space="preserve">CONTROL </w:t>
            </w:r>
            <w:r w:rsidR="00F0297A" w:rsidRPr="001825C9">
              <w:rPr>
                <w:rFonts w:eastAsia="Times New Roman" w:cs="Times New Roman"/>
                <w:b/>
                <w:vertAlign w:val="superscript"/>
              </w:rPr>
              <w:t>a</w:t>
            </w:r>
          </w:p>
          <w:p w:rsidR="00AE46DA" w:rsidRPr="001825C9" w:rsidRDefault="00AE46DA" w:rsidP="00B21F37">
            <w:pPr>
              <w:pStyle w:val="TableNumber"/>
              <w:widowControl/>
              <w:spacing w:before="0" w:after="0" w:line="240" w:lineRule="auto"/>
              <w:rPr>
                <w:rFonts w:eastAsia="Times New Roman" w:cs="Times New Roman"/>
                <w:b/>
                <w:vertAlign w:val="superscript"/>
              </w:rPr>
            </w:pPr>
            <w:r w:rsidRPr="001825C9">
              <w:rPr>
                <w:rFonts w:eastAsia="Times New Roman" w:cs="Times New Roman"/>
                <w:b/>
              </w:rPr>
              <w:t>(N = 193)</w:t>
            </w:r>
          </w:p>
        </w:tc>
        <w:tc>
          <w:tcPr>
            <w:tcW w:w="2211" w:type="dxa"/>
            <w:gridSpan w:val="2"/>
            <w:shd w:val="clear" w:color="auto" w:fill="auto"/>
            <w:vAlign w:val="center"/>
          </w:tcPr>
          <w:p w:rsidR="00AE46DA" w:rsidRPr="001825C9" w:rsidRDefault="00AE46DA" w:rsidP="00B21F37">
            <w:pPr>
              <w:spacing w:before="0" w:after="0"/>
              <w:jc w:val="center"/>
              <w:rPr>
                <w:rFonts w:ascii="Arial Narrow" w:hAnsi="Arial Narrow"/>
                <w:b/>
                <w:sz w:val="20"/>
                <w:szCs w:val="20"/>
              </w:rPr>
            </w:pPr>
            <w:r w:rsidRPr="001825C9">
              <w:rPr>
                <w:rFonts w:ascii="Arial Narrow" w:hAnsi="Arial Narrow"/>
                <w:b/>
                <w:sz w:val="20"/>
                <w:szCs w:val="20"/>
              </w:rPr>
              <w:t>All Grades</w:t>
            </w:r>
          </w:p>
        </w:tc>
        <w:tc>
          <w:tcPr>
            <w:tcW w:w="2211" w:type="dxa"/>
            <w:gridSpan w:val="2"/>
            <w:shd w:val="clear" w:color="auto" w:fill="auto"/>
            <w:vAlign w:val="center"/>
          </w:tcPr>
          <w:p w:rsidR="00AE46DA" w:rsidRPr="001825C9" w:rsidRDefault="00AE46DA" w:rsidP="00B21F37">
            <w:pPr>
              <w:spacing w:before="0" w:after="0"/>
              <w:jc w:val="center"/>
              <w:rPr>
                <w:rFonts w:ascii="Arial Narrow" w:hAnsi="Arial Narrow"/>
                <w:b/>
                <w:sz w:val="20"/>
                <w:szCs w:val="20"/>
              </w:rPr>
            </w:pPr>
            <w:r w:rsidRPr="001825C9">
              <w:rPr>
                <w:rFonts w:ascii="Arial Narrow" w:hAnsi="Arial Narrow"/>
                <w:b/>
                <w:sz w:val="20"/>
                <w:szCs w:val="20"/>
              </w:rPr>
              <w:t>Grade ≥3</w:t>
            </w:r>
          </w:p>
        </w:tc>
      </w:tr>
      <w:tr w:rsidR="00AE46DA" w:rsidRPr="001825C9" w:rsidTr="00B21F37">
        <w:trPr>
          <w:tblHeader/>
        </w:trPr>
        <w:tc>
          <w:tcPr>
            <w:tcW w:w="1223" w:type="dxa"/>
            <w:shd w:val="clear" w:color="auto" w:fill="auto"/>
            <w:vAlign w:val="center"/>
          </w:tcPr>
          <w:p w:rsidR="00AE46DA" w:rsidRPr="001825C9" w:rsidRDefault="00AE46DA" w:rsidP="00B21F37">
            <w:pPr>
              <w:pStyle w:val="TableText"/>
              <w:widowControl/>
              <w:spacing w:before="0" w:after="0" w:line="240" w:lineRule="auto"/>
              <w:jc w:val="center"/>
              <w:rPr>
                <w:b/>
              </w:rPr>
            </w:pPr>
          </w:p>
        </w:tc>
        <w:tc>
          <w:tcPr>
            <w:tcW w:w="843" w:type="dxa"/>
            <w:shd w:val="clear" w:color="auto" w:fill="auto"/>
            <w:vAlign w:val="center"/>
          </w:tcPr>
          <w:p w:rsidR="00AE46DA" w:rsidRPr="001825C9" w:rsidRDefault="00AE46DA" w:rsidP="00B21F37">
            <w:pPr>
              <w:pStyle w:val="TableNumber"/>
              <w:widowControl/>
              <w:spacing w:before="0" w:after="0" w:line="240" w:lineRule="auto"/>
              <w:ind w:right="-67" w:hanging="77"/>
              <w:rPr>
                <w:b/>
              </w:rPr>
            </w:pPr>
            <w:r w:rsidRPr="001825C9">
              <w:rPr>
                <w:b/>
              </w:rPr>
              <w:t>All Grades</w:t>
            </w:r>
          </w:p>
        </w:tc>
        <w:tc>
          <w:tcPr>
            <w:tcW w:w="844" w:type="dxa"/>
            <w:shd w:val="clear" w:color="auto" w:fill="auto"/>
            <w:vAlign w:val="center"/>
          </w:tcPr>
          <w:p w:rsidR="00AE46DA" w:rsidRPr="001825C9" w:rsidRDefault="00AE46DA" w:rsidP="00B21F37">
            <w:pPr>
              <w:pStyle w:val="TableNumber"/>
              <w:widowControl/>
              <w:spacing w:before="0" w:after="0" w:line="240" w:lineRule="auto"/>
              <w:ind w:right="-67" w:hanging="77"/>
              <w:rPr>
                <w:b/>
              </w:rPr>
            </w:pPr>
            <w:r w:rsidRPr="001825C9">
              <w:rPr>
                <w:b/>
              </w:rPr>
              <w:t>Grade ≥3</w:t>
            </w:r>
          </w:p>
        </w:tc>
        <w:tc>
          <w:tcPr>
            <w:tcW w:w="844" w:type="dxa"/>
            <w:shd w:val="clear" w:color="auto" w:fill="auto"/>
            <w:vAlign w:val="center"/>
          </w:tcPr>
          <w:p w:rsidR="00AE46DA" w:rsidRPr="001825C9" w:rsidRDefault="00AE46DA" w:rsidP="00B21F37">
            <w:pPr>
              <w:pStyle w:val="TableNumber"/>
              <w:widowControl/>
              <w:spacing w:before="0" w:after="0" w:line="240" w:lineRule="auto"/>
              <w:ind w:right="-67" w:hanging="77"/>
              <w:rPr>
                <w:b/>
              </w:rPr>
            </w:pPr>
            <w:r w:rsidRPr="001825C9">
              <w:rPr>
                <w:b/>
              </w:rPr>
              <w:t>All Grades</w:t>
            </w:r>
          </w:p>
        </w:tc>
        <w:tc>
          <w:tcPr>
            <w:tcW w:w="844" w:type="dxa"/>
            <w:shd w:val="clear" w:color="auto" w:fill="auto"/>
            <w:vAlign w:val="center"/>
          </w:tcPr>
          <w:p w:rsidR="00AE46DA" w:rsidRPr="001825C9" w:rsidRDefault="00AE46DA" w:rsidP="00B21F37">
            <w:pPr>
              <w:pStyle w:val="TableNumber"/>
              <w:widowControl/>
              <w:spacing w:before="0" w:after="0" w:line="240" w:lineRule="auto"/>
              <w:ind w:right="-67" w:hanging="77"/>
              <w:rPr>
                <w:b/>
              </w:rPr>
            </w:pPr>
            <w:r w:rsidRPr="001825C9">
              <w:rPr>
                <w:b/>
              </w:rPr>
              <w:t>Grade ≥3</w:t>
            </w:r>
          </w:p>
        </w:tc>
        <w:tc>
          <w:tcPr>
            <w:tcW w:w="1105" w:type="dxa"/>
            <w:shd w:val="clear" w:color="auto" w:fill="auto"/>
            <w:vAlign w:val="center"/>
          </w:tcPr>
          <w:p w:rsidR="00AE46DA" w:rsidRPr="001825C9" w:rsidRDefault="00AE46DA" w:rsidP="00B21F37">
            <w:pPr>
              <w:pStyle w:val="TableText"/>
              <w:widowControl/>
              <w:spacing w:before="0" w:after="0" w:line="240" w:lineRule="auto"/>
              <w:jc w:val="center"/>
              <w:rPr>
                <w:b/>
              </w:rPr>
            </w:pPr>
            <w:r w:rsidRPr="001825C9">
              <w:rPr>
                <w:b/>
              </w:rPr>
              <w:t xml:space="preserve">RR (95% CI) </w:t>
            </w:r>
            <w:r w:rsidRPr="001825C9">
              <w:rPr>
                <w:b/>
                <w:vertAlign w:val="superscript"/>
              </w:rPr>
              <w:t>b</w:t>
            </w:r>
          </w:p>
        </w:tc>
        <w:tc>
          <w:tcPr>
            <w:tcW w:w="1106" w:type="dxa"/>
            <w:shd w:val="clear" w:color="auto" w:fill="auto"/>
            <w:vAlign w:val="center"/>
          </w:tcPr>
          <w:p w:rsidR="00AE46DA" w:rsidRPr="001825C9" w:rsidRDefault="00AE46DA" w:rsidP="00B21F37">
            <w:pPr>
              <w:pStyle w:val="TableText"/>
              <w:widowControl/>
              <w:spacing w:before="0" w:after="0" w:line="240" w:lineRule="auto"/>
              <w:jc w:val="center"/>
              <w:rPr>
                <w:b/>
              </w:rPr>
            </w:pPr>
            <w:r w:rsidRPr="001825C9">
              <w:rPr>
                <w:b/>
              </w:rPr>
              <w:t xml:space="preserve">RD (95% CI) </w:t>
            </w:r>
            <w:r w:rsidRPr="001825C9">
              <w:rPr>
                <w:b/>
                <w:vertAlign w:val="superscript"/>
              </w:rPr>
              <w:t>b</w:t>
            </w:r>
          </w:p>
        </w:tc>
        <w:tc>
          <w:tcPr>
            <w:tcW w:w="1105" w:type="dxa"/>
            <w:shd w:val="clear" w:color="auto" w:fill="auto"/>
            <w:vAlign w:val="center"/>
          </w:tcPr>
          <w:p w:rsidR="00AE46DA" w:rsidRPr="001825C9" w:rsidRDefault="00AE46DA" w:rsidP="00B21F37">
            <w:pPr>
              <w:pStyle w:val="TableText"/>
              <w:widowControl/>
              <w:spacing w:before="0" w:after="0" w:line="240" w:lineRule="auto"/>
              <w:jc w:val="center"/>
              <w:rPr>
                <w:b/>
              </w:rPr>
            </w:pPr>
            <w:r w:rsidRPr="001825C9">
              <w:rPr>
                <w:b/>
              </w:rPr>
              <w:t xml:space="preserve">RR (95% CI) </w:t>
            </w:r>
            <w:r w:rsidRPr="001825C9">
              <w:rPr>
                <w:b/>
                <w:vertAlign w:val="superscript"/>
              </w:rPr>
              <w:t>b</w:t>
            </w:r>
          </w:p>
        </w:tc>
        <w:tc>
          <w:tcPr>
            <w:tcW w:w="1106" w:type="dxa"/>
            <w:shd w:val="clear" w:color="auto" w:fill="auto"/>
            <w:vAlign w:val="center"/>
          </w:tcPr>
          <w:p w:rsidR="00AE46DA" w:rsidRPr="001825C9" w:rsidRDefault="00AE46DA" w:rsidP="00B21F37">
            <w:pPr>
              <w:pStyle w:val="TableText"/>
              <w:widowControl/>
              <w:spacing w:before="0" w:after="0" w:line="240" w:lineRule="auto"/>
              <w:jc w:val="center"/>
              <w:rPr>
                <w:b/>
              </w:rPr>
            </w:pPr>
            <w:r w:rsidRPr="001825C9">
              <w:rPr>
                <w:b/>
              </w:rPr>
              <w:t xml:space="preserve">RD (95% CI) </w:t>
            </w:r>
            <w:r w:rsidRPr="001825C9">
              <w:rPr>
                <w:b/>
                <w:vertAlign w:val="superscript"/>
              </w:rPr>
              <w:t>b</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Any AE</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212 (98.1)</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124 (57.4)</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190 (98.4)</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124 (64.2)</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1.00</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(0.97, 1.02)</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(-0.03, 0.02)</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0.89</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(0.76, 1.04)</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-0.07</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(-0.16, 0.03)</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Diarrhoea</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83 (38.4)</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6 (2.8)</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94 (48.7)</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20 (10.4)</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0.79</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(0.63, 0.99)</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-0.10</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(-0.20, -0.01)</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0.27</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(0.11, 0.65)</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-0.08</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(-0.12, -0.03)</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Dermatitis acneiform</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65 (30.1)</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 (0.5)</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77 (39.9)</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5 (2.6)</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0.75</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(0.58, 0.99)</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-0.10</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(-0.19, -0.01)</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0.18</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(0.02, 1.52)</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-0.02</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(-0.05, 0.00)</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Arthralgia</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49 (22.7)</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3 (1.4)</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3 (1.6)</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14.59</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b/>
                <w:color w:val="000000" w:themeColor="text1"/>
                <w:sz w:val="20"/>
                <w:szCs w:val="20"/>
              </w:rPr>
              <w:t>(4.62, 46.07)</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0.21</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(0.15, 0.27)</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NE</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0.01</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(0.00, 0.03)</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Headache</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43 (19.9)</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5 (2.6)</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7.68</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b/>
                <w:color w:val="000000" w:themeColor="text1"/>
                <w:sz w:val="20"/>
                <w:szCs w:val="20"/>
              </w:rPr>
              <w:t>(3.11, 19.00)</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0.17</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(0.12, 0.23)</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NE</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(0.00, 0.00)</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Myalgia</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33 (15.3)</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 (0.5)</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4 (2.1)</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7.37</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(2.66, 20.43)</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0.13</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(0.08, 0.18)</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NE</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(0.00, 0.01)</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Musculoskeletal pain</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29 (13.4)</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5 (2.6)</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5.18</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(2.05, 13.12)</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0.11</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(0.06, 0.16)</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NE</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(0.00, 0.00)</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Pain in extremity</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25 (11.6)</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 (1.0)</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11.17</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(2.68, 46.54)</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0.11</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(0.06, 0.15)</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NE</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(0.00, 0.00)</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Pruritus</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24 (11.1)</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10 (5.2)</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2.14</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(1.05, 4.37)</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0.06</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(0.01, 0.11)</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NE</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(0.00, 0.00)</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color w:val="auto"/>
                <w:sz w:val="20"/>
                <w:szCs w:val="20"/>
                <w:vertAlign w:val="superscript"/>
                <w:lang w:val="en-AU"/>
              </w:rPr>
            </w:pPr>
            <w:r w:rsidRPr="001825C9">
              <w:rPr>
                <w:rFonts w:ascii="Arial Narrow" w:hAnsi="Arial Narrow"/>
                <w:color w:val="auto"/>
                <w:sz w:val="20"/>
                <w:szCs w:val="20"/>
                <w:lang w:val="en-AU"/>
              </w:rPr>
              <w:t xml:space="preserve">Stomatitis </w:t>
            </w:r>
            <w:r w:rsidRPr="001825C9">
              <w:rPr>
                <w:rFonts w:ascii="Arial Narrow" w:hAnsi="Arial Narrow"/>
                <w:color w:val="auto"/>
                <w:sz w:val="20"/>
                <w:szCs w:val="20"/>
                <w:vertAlign w:val="superscript"/>
                <w:lang w:val="en-AU"/>
              </w:rPr>
              <w:t>c</w:t>
            </w:r>
          </w:p>
        </w:tc>
        <w:tc>
          <w:tcPr>
            <w:tcW w:w="843" w:type="dxa"/>
            <w:shd w:val="clear" w:color="auto" w:fill="auto"/>
            <w:vAlign w:val="center"/>
          </w:tcPr>
          <w:p w:rsidR="00AE46DA" w:rsidRPr="001825C9" w:rsidRDefault="00AE46DA" w:rsidP="00B21F37">
            <w:pPr>
              <w:pStyle w:val="Default"/>
              <w:jc w:val="center"/>
              <w:rPr>
                <w:rFonts w:ascii="Arial Narrow" w:hAnsi="Arial Narrow"/>
                <w:color w:val="auto"/>
                <w:sz w:val="20"/>
                <w:szCs w:val="20"/>
                <w:lang w:val="en-AU"/>
              </w:rPr>
            </w:pPr>
            <w:r w:rsidRPr="001825C9">
              <w:rPr>
                <w:rFonts w:ascii="Arial Narrow" w:hAnsi="Arial Narrow"/>
                <w:color w:val="auto"/>
                <w:sz w:val="20"/>
                <w:szCs w:val="20"/>
                <w:lang w:val="en-AU"/>
              </w:rPr>
              <w:t>13 (6.0)</w:t>
            </w:r>
          </w:p>
        </w:tc>
        <w:tc>
          <w:tcPr>
            <w:tcW w:w="844" w:type="dxa"/>
            <w:shd w:val="clear" w:color="auto" w:fill="auto"/>
            <w:vAlign w:val="center"/>
          </w:tcPr>
          <w:p w:rsidR="00AE46DA" w:rsidRPr="001825C9" w:rsidRDefault="00AE46DA" w:rsidP="00B21F37">
            <w:pPr>
              <w:pStyle w:val="Default"/>
              <w:jc w:val="center"/>
              <w:rPr>
                <w:rFonts w:ascii="Arial Narrow" w:hAnsi="Arial Narrow"/>
                <w:color w:val="auto"/>
                <w:sz w:val="20"/>
                <w:szCs w:val="20"/>
                <w:lang w:val="en-AU"/>
              </w:rPr>
            </w:pPr>
            <w:r w:rsidRPr="001825C9">
              <w:rPr>
                <w:rFonts w:ascii="Arial Narrow" w:hAnsi="Arial Narrow"/>
                <w:color w:val="auto"/>
                <w:sz w:val="20"/>
                <w:szCs w:val="20"/>
                <w:lang w:val="en-AU"/>
              </w:rPr>
              <w:t>0 (0)</w:t>
            </w:r>
          </w:p>
        </w:tc>
        <w:tc>
          <w:tcPr>
            <w:tcW w:w="844" w:type="dxa"/>
            <w:shd w:val="clear" w:color="auto" w:fill="auto"/>
            <w:vAlign w:val="center"/>
          </w:tcPr>
          <w:p w:rsidR="00AE46DA" w:rsidRPr="001825C9" w:rsidRDefault="00AE46DA" w:rsidP="00B21F37">
            <w:pPr>
              <w:pStyle w:val="Default"/>
              <w:jc w:val="center"/>
              <w:rPr>
                <w:rFonts w:ascii="Arial Narrow" w:hAnsi="Arial Narrow"/>
                <w:color w:val="auto"/>
                <w:sz w:val="20"/>
                <w:szCs w:val="20"/>
                <w:lang w:val="en-AU"/>
              </w:rPr>
            </w:pPr>
            <w:r w:rsidRPr="001825C9">
              <w:rPr>
                <w:rFonts w:ascii="Arial Narrow" w:hAnsi="Arial Narrow"/>
                <w:color w:val="auto"/>
                <w:sz w:val="20"/>
                <w:szCs w:val="20"/>
                <w:lang w:val="en-AU"/>
              </w:rPr>
              <w:t>45 (23.3)</w:t>
            </w:r>
          </w:p>
        </w:tc>
        <w:tc>
          <w:tcPr>
            <w:tcW w:w="844" w:type="dxa"/>
            <w:shd w:val="clear" w:color="auto" w:fill="auto"/>
            <w:vAlign w:val="center"/>
          </w:tcPr>
          <w:p w:rsidR="00AE46DA" w:rsidRPr="001825C9" w:rsidRDefault="00AE46DA" w:rsidP="00B21F37">
            <w:pPr>
              <w:pStyle w:val="Default"/>
              <w:jc w:val="center"/>
              <w:rPr>
                <w:rFonts w:ascii="Arial Narrow" w:hAnsi="Arial Narrow"/>
                <w:color w:val="auto"/>
                <w:sz w:val="20"/>
                <w:szCs w:val="20"/>
                <w:lang w:val="en-AU"/>
              </w:rPr>
            </w:pPr>
            <w:r w:rsidRPr="001825C9">
              <w:rPr>
                <w:rFonts w:ascii="Arial Narrow" w:hAnsi="Arial Narrow"/>
                <w:color w:val="auto"/>
                <w:sz w:val="20"/>
                <w:szCs w:val="20"/>
                <w:lang w:val="en-AU"/>
              </w:rPr>
              <w:t>4 (2.1)</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0.26</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(0.14, 0.46)</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-0.17</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(-0.24, -0.11)</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NE</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-0.02</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(-0.04, 0.00)</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Hypokalaemia</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13 (6.0)</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 (0.9)</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27 (14.0)</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6 (3.1)</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0.43</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(0.23, 0.81)</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-0.08</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(-0.14, -0.02)</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0.30</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(0.06, 1.46)</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-0.02</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(-0.05, 0.01)</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Alopecia</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9 (4.2)</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21 (10.9)</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 (0)</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0.38</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(0.18, 0.82)</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-0.07</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(-0.12, -0.02)</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NE</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w:t>
            </w:r>
          </w:p>
          <w:p w:rsidR="00AE46DA" w:rsidRPr="001825C9" w:rsidRDefault="00AE46DA" w:rsidP="00B21F37">
            <w:pPr>
              <w:spacing w:before="0" w:after="0"/>
              <w:ind w:right="-45" w:firstLine="1"/>
              <w:jc w:val="center"/>
              <w:rPr>
                <w:rFonts w:ascii="Arial Narrow" w:hAnsi="Arial Narrow" w:cs="Arial"/>
                <w:color w:val="000000" w:themeColor="text1"/>
                <w:sz w:val="20"/>
                <w:szCs w:val="20"/>
              </w:rPr>
            </w:pPr>
            <w:r w:rsidRPr="001825C9">
              <w:rPr>
                <w:rFonts w:ascii="Arial Narrow" w:hAnsi="Arial Narrow" w:cs="Arial"/>
                <w:color w:val="000000" w:themeColor="text1"/>
                <w:sz w:val="20"/>
                <w:szCs w:val="20"/>
              </w:rPr>
              <w:t>(0.00, 0.00)</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Neutropenia</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3 (1.4)</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 (0.9)</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36 (18.7)</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20 (10.4)</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0.07</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(0.02, 0.24)</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-0.17</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(-0.23, -0.12)</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0.09</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(0.02, 0.38)</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-0.09</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(-0.14, -0.05)</w:t>
            </w:r>
          </w:p>
        </w:tc>
      </w:tr>
      <w:tr w:rsidR="00AE46DA" w:rsidRPr="001825C9" w:rsidTr="00B21F37">
        <w:tc>
          <w:tcPr>
            <w:tcW w:w="1223" w:type="dxa"/>
            <w:shd w:val="clear" w:color="auto" w:fill="auto"/>
            <w:vAlign w:val="center"/>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Neutrophil count decreased</w:t>
            </w:r>
          </w:p>
        </w:tc>
        <w:tc>
          <w:tcPr>
            <w:tcW w:w="843"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 (0.5)</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 (0.5)</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21 (10.9)</w:t>
            </w:r>
          </w:p>
        </w:tc>
        <w:tc>
          <w:tcPr>
            <w:tcW w:w="844" w:type="dxa"/>
            <w:shd w:val="clear" w:color="auto" w:fill="auto"/>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16 (8.3)</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0.04</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(0.01, 0.31)</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-0.10</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(-0.15, -0.06)</w:t>
            </w:r>
          </w:p>
        </w:tc>
        <w:tc>
          <w:tcPr>
            <w:tcW w:w="1105"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0.06</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(0.01, 0.42)</w:t>
            </w:r>
          </w:p>
        </w:tc>
        <w:tc>
          <w:tcPr>
            <w:tcW w:w="1106" w:type="dxa"/>
            <w:shd w:val="clear" w:color="auto" w:fill="auto"/>
            <w:vAlign w:val="center"/>
          </w:tcPr>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-0.08</w:t>
            </w:r>
          </w:p>
          <w:p w:rsidR="00AE46DA" w:rsidRPr="001825C9" w:rsidRDefault="00AE46DA" w:rsidP="00B21F37">
            <w:pPr>
              <w:spacing w:before="0" w:after="0"/>
              <w:ind w:right="-45" w:firstLine="1"/>
              <w:jc w:val="center"/>
              <w:rPr>
                <w:rFonts w:ascii="Arial Narrow" w:hAnsi="Arial Narrow" w:cs="Arial"/>
                <w:b/>
                <w:color w:val="000000" w:themeColor="text1"/>
                <w:sz w:val="20"/>
                <w:szCs w:val="20"/>
              </w:rPr>
            </w:pPr>
            <w:r w:rsidRPr="001825C9">
              <w:rPr>
                <w:rFonts w:ascii="Arial Narrow" w:hAnsi="Arial Narrow" w:cs="Arial"/>
                <w:b/>
                <w:color w:val="000000" w:themeColor="text1"/>
                <w:sz w:val="20"/>
                <w:szCs w:val="20"/>
              </w:rPr>
              <w:t>(-0.12, -0.04)</w:t>
            </w:r>
          </w:p>
        </w:tc>
      </w:tr>
    </w:tbl>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 xml:space="preserve">Notes: </w:t>
      </w:r>
      <w:r w:rsidRPr="001825C9">
        <w:rPr>
          <w:rFonts w:ascii="Arial Narrow" w:hAnsi="Arial Narrow"/>
          <w:sz w:val="18"/>
          <w:szCs w:val="18"/>
          <w:vertAlign w:val="superscript"/>
        </w:rPr>
        <w:t>a</w:t>
      </w:r>
      <w:r w:rsidRPr="001825C9">
        <w:rPr>
          <w:rFonts w:ascii="Arial Narrow" w:hAnsi="Arial Narrow"/>
          <w:sz w:val="18"/>
          <w:szCs w:val="18"/>
        </w:rPr>
        <w:t xml:space="preserve"> Control arm = investigator’s choice of irinotecan + cetuximab or FOLFIRI + cetuximab</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lastRenderedPageBreak/>
        <w:t xml:space="preserve">b </w:t>
      </w:r>
      <w:r w:rsidRPr="001825C9">
        <w:rPr>
          <w:rFonts w:ascii="Arial Narrow" w:hAnsi="Arial Narrow"/>
          <w:sz w:val="18"/>
          <w:szCs w:val="18"/>
        </w:rPr>
        <w:t>RD and RR was calculated during the evaluation</w:t>
      </w:r>
    </w:p>
    <w:p w:rsidR="00AE46DA" w:rsidRPr="001825C9" w:rsidRDefault="00AE46DA" w:rsidP="00AE46DA">
      <w:pPr>
        <w:tabs>
          <w:tab w:val="left" w:pos="2325"/>
        </w:tabs>
        <w:spacing w:before="0" w:after="0"/>
        <w:rPr>
          <w:rFonts w:ascii="Arial Narrow" w:hAnsi="Arial Narrow"/>
          <w:sz w:val="18"/>
          <w:szCs w:val="18"/>
        </w:rPr>
      </w:pPr>
      <w:r w:rsidRPr="001825C9">
        <w:rPr>
          <w:rFonts w:ascii="Arial Narrow" w:hAnsi="Arial Narrow"/>
          <w:sz w:val="18"/>
          <w:szCs w:val="18"/>
          <w:vertAlign w:val="superscript"/>
        </w:rPr>
        <w:t xml:space="preserve">c </w:t>
      </w:r>
      <w:r w:rsidRPr="001825C9">
        <w:rPr>
          <w:rFonts w:ascii="Arial Narrow" w:hAnsi="Arial Narrow"/>
          <w:sz w:val="18"/>
          <w:szCs w:val="18"/>
        </w:rPr>
        <w:t>added during evaluation</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Abbreviations: AE = adverse event; CI = confidence interval; CETUX = cetuximab; ENCO = encorafenib; n = number of participants reporting data; N = total participants in group; NE = not estimable; RD = risk difference; RR = relative risk</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Source: Table 2-94 pp195 of the submission</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Bold text indicates a statistically significant difference.</w:t>
      </w:r>
    </w:p>
    <w:p w:rsidR="00AE46DA" w:rsidRPr="001825C9" w:rsidRDefault="00AE46DA" w:rsidP="00AE46DA">
      <w:pPr>
        <w:pStyle w:val="ListParagraph"/>
      </w:pPr>
      <w:r w:rsidRPr="001825C9">
        <w:t>The ESCs considered that, in view of the expected additional toxicity (e.g. rash) of adding cetuximab to FOLFIRI for BRAF positive patients, the comparative results of the BEACON trial may underestimate the toxicity of encorafenib + cetuximab over FOLFIRI alone.</w:t>
      </w:r>
    </w:p>
    <w:p w:rsidR="00AE46DA" w:rsidRPr="001825C9" w:rsidRDefault="00AE46DA" w:rsidP="00321E61">
      <w:pPr>
        <w:pStyle w:val="PBACESHeading2"/>
      </w:pPr>
      <w:bookmarkStart w:id="26" w:name="_Toc61968414"/>
      <w:bookmarkStart w:id="27" w:name="_Toc413139281"/>
      <w:r w:rsidRPr="001825C9">
        <w:t>Benefits and harms</w:t>
      </w:r>
      <w:bookmarkEnd w:id="26"/>
    </w:p>
    <w:p w:rsidR="00AE46DA" w:rsidRPr="001825C9" w:rsidRDefault="00AE46DA" w:rsidP="00AE46DA">
      <w:pPr>
        <w:pStyle w:val="ListParagraph"/>
      </w:pPr>
      <w:r w:rsidRPr="001825C9">
        <w:t>A summary of the comparative benefits and harms for encorafenib + cetuximab versus FOLFIRI/Ir + cetuximab based on BEACON is presented in Table 10.</w:t>
      </w:r>
      <w:bookmarkStart w:id="28" w:name="_Toc413139282"/>
      <w:bookmarkEnd w:id="27"/>
    </w:p>
    <w:p w:rsidR="00AE46DA" w:rsidRPr="001825C9" w:rsidRDefault="00AE46DA" w:rsidP="00AE46DA">
      <w:pPr>
        <w:pStyle w:val="Caption"/>
      </w:pPr>
      <w:r w:rsidRPr="001825C9">
        <w:t>Table 10: Summary of comparative benefits and harms for encorafenib + cetuximab and FOLFIRI/Ir + cetuximab (</w:t>
      </w:r>
      <w:r w:rsidR="00F0297A" w:rsidRPr="001825C9">
        <w:t>c</w:t>
      </w:r>
      <w:r w:rsidRPr="001825C9">
        <w:t>ontrol)</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Summary of comparative benefits and harms for encorafenib + cetuximab and FOLFIRI/Ir + cetuximab (control)"/>
      </w:tblPr>
      <w:tblGrid>
        <w:gridCol w:w="1588"/>
        <w:gridCol w:w="931"/>
        <w:gridCol w:w="9"/>
        <w:gridCol w:w="150"/>
        <w:gridCol w:w="994"/>
        <w:gridCol w:w="622"/>
        <w:gridCol w:w="373"/>
        <w:gridCol w:w="1001"/>
        <w:gridCol w:w="1645"/>
        <w:gridCol w:w="58"/>
        <w:gridCol w:w="1645"/>
      </w:tblGrid>
      <w:tr w:rsidR="00AE46DA" w:rsidRPr="001825C9" w:rsidTr="00F34D0F">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11"/>
            <w:shd w:val="clear" w:color="auto" w:fill="auto"/>
          </w:tcPr>
          <w:p w:rsidR="00AE46DA" w:rsidRPr="001825C9" w:rsidRDefault="00AE46DA" w:rsidP="00B21F37">
            <w:pPr>
              <w:pStyle w:val="TableText"/>
              <w:keepNext/>
              <w:keepLines/>
              <w:widowControl/>
              <w:spacing w:before="0" w:after="0" w:line="240" w:lineRule="auto"/>
              <w:rPr>
                <w:lang w:val="en-AU"/>
              </w:rPr>
            </w:pPr>
            <w:r w:rsidRPr="001825C9">
              <w:rPr>
                <w:lang w:val="en-AU"/>
              </w:rPr>
              <w:t>Benefits</w:t>
            </w:r>
          </w:p>
        </w:tc>
      </w:tr>
      <w:tr w:rsidR="00AE46DA" w:rsidRPr="001825C9" w:rsidTr="00B21F37">
        <w:trPr>
          <w:trHeight w:val="150"/>
        </w:trPr>
        <w:tc>
          <w:tcPr>
            <w:tcW w:w="5000" w:type="pct"/>
            <w:gridSpan w:val="11"/>
          </w:tcPr>
          <w:p w:rsidR="00AE46DA" w:rsidRPr="00F6615C" w:rsidRDefault="00AE46DA" w:rsidP="00B21F37">
            <w:pPr>
              <w:pStyle w:val="TableText"/>
              <w:keepNext/>
              <w:keepLines/>
              <w:widowControl/>
              <w:spacing w:before="0" w:after="0" w:line="240" w:lineRule="auto"/>
              <w:rPr>
                <w:b/>
                <w:vertAlign w:val="superscript"/>
                <w:lang w:val="en-AU"/>
              </w:rPr>
            </w:pPr>
            <w:r w:rsidRPr="00F6615C">
              <w:rPr>
                <w:b/>
                <w:lang w:val="en-AU"/>
              </w:rPr>
              <w:t xml:space="preserve">Overall survival (median duration of follow-up not defined within </w:t>
            </w:r>
            <w:r w:rsidR="00F0297A" w:rsidRPr="00F6615C">
              <w:rPr>
                <w:b/>
                <w:lang w:val="en-AU"/>
              </w:rPr>
              <w:t xml:space="preserve">the </w:t>
            </w:r>
            <w:r w:rsidRPr="00F6615C">
              <w:rPr>
                <w:b/>
                <w:lang w:val="en-AU"/>
              </w:rPr>
              <w:t>su</w:t>
            </w:r>
            <w:r w:rsidR="00F0297A" w:rsidRPr="00F6615C">
              <w:rPr>
                <w:b/>
                <w:lang w:val="en-AU"/>
              </w:rPr>
              <w:t>bmission; data cut 05 May 2020)</w:t>
            </w:r>
          </w:p>
        </w:tc>
      </w:tr>
      <w:tr w:rsidR="00AE46DA" w:rsidRPr="001825C9" w:rsidTr="00B21F37">
        <w:trPr>
          <w:trHeight w:val="479"/>
        </w:trPr>
        <w:tc>
          <w:tcPr>
            <w:tcW w:w="1398" w:type="pct"/>
            <w:gridSpan w:val="2"/>
            <w:shd w:val="clear" w:color="auto" w:fill="auto"/>
            <w:vAlign w:val="center"/>
          </w:tcPr>
          <w:p w:rsidR="00AE46DA" w:rsidRPr="00F6615C" w:rsidRDefault="00AE46DA" w:rsidP="00B21F37">
            <w:pPr>
              <w:pStyle w:val="TableText"/>
              <w:keepNext/>
              <w:keepLines/>
              <w:widowControl/>
              <w:spacing w:before="0" w:after="0" w:line="240" w:lineRule="auto"/>
              <w:jc w:val="center"/>
              <w:rPr>
                <w:b/>
                <w:lang w:val="en-AU"/>
              </w:rPr>
            </w:pPr>
            <w:r w:rsidRPr="00F6615C">
              <w:rPr>
                <w:b/>
                <w:lang w:val="en-AU"/>
              </w:rPr>
              <w:t>Event</w:t>
            </w:r>
          </w:p>
        </w:tc>
        <w:tc>
          <w:tcPr>
            <w:tcW w:w="984" w:type="pct"/>
            <w:gridSpan w:val="4"/>
            <w:shd w:val="clear" w:color="auto" w:fill="auto"/>
            <w:vAlign w:val="center"/>
          </w:tcPr>
          <w:p w:rsidR="00AE46DA" w:rsidRPr="00F6615C" w:rsidRDefault="00AE46DA" w:rsidP="00B21F37">
            <w:pPr>
              <w:pStyle w:val="TableText"/>
              <w:keepNext/>
              <w:keepLines/>
              <w:widowControl/>
              <w:spacing w:before="0" w:after="0" w:line="240" w:lineRule="auto"/>
              <w:jc w:val="center"/>
              <w:rPr>
                <w:b/>
                <w:lang w:val="en-AU"/>
              </w:rPr>
            </w:pPr>
            <w:r w:rsidRPr="00F6615C">
              <w:rPr>
                <w:b/>
                <w:lang w:val="en-AU"/>
              </w:rPr>
              <w:t>ENCO + CETUX</w:t>
            </w:r>
          </w:p>
          <w:p w:rsidR="00AE46DA" w:rsidRPr="00F6615C" w:rsidRDefault="00AE46DA" w:rsidP="00B21F37">
            <w:pPr>
              <w:pStyle w:val="TableText"/>
              <w:keepNext/>
              <w:keepLines/>
              <w:widowControl/>
              <w:spacing w:before="0" w:after="0" w:line="240" w:lineRule="auto"/>
              <w:jc w:val="center"/>
              <w:rPr>
                <w:b/>
                <w:lang w:val="en-AU"/>
              </w:rPr>
            </w:pPr>
            <w:r w:rsidRPr="00F6615C">
              <w:rPr>
                <w:b/>
                <w:lang w:val="en-AU"/>
              </w:rPr>
              <w:t>n/N (%)</w:t>
            </w:r>
          </w:p>
        </w:tc>
        <w:tc>
          <w:tcPr>
            <w:tcW w:w="759" w:type="pct"/>
            <w:gridSpan w:val="2"/>
            <w:shd w:val="clear" w:color="auto" w:fill="auto"/>
            <w:vAlign w:val="center"/>
          </w:tcPr>
          <w:p w:rsidR="00AE46DA" w:rsidRPr="00F6615C" w:rsidRDefault="00AE46DA" w:rsidP="00B21F37">
            <w:pPr>
              <w:pStyle w:val="TableText"/>
              <w:keepNext/>
              <w:keepLines/>
              <w:widowControl/>
              <w:spacing w:before="0" w:after="0" w:line="240" w:lineRule="auto"/>
              <w:jc w:val="center"/>
              <w:rPr>
                <w:b/>
                <w:vertAlign w:val="superscript"/>
                <w:lang w:val="en-AU"/>
              </w:rPr>
            </w:pPr>
            <w:r w:rsidRPr="00F6615C">
              <w:rPr>
                <w:b/>
                <w:lang w:val="en-AU"/>
              </w:rPr>
              <w:t xml:space="preserve">Control </w:t>
            </w:r>
            <w:r w:rsidRPr="00F6615C">
              <w:rPr>
                <w:b/>
                <w:vertAlign w:val="superscript"/>
                <w:lang w:val="en-AU"/>
              </w:rPr>
              <w:t>a</w:t>
            </w:r>
          </w:p>
          <w:p w:rsidR="00AE46DA" w:rsidRPr="00F6615C" w:rsidRDefault="00AE46DA" w:rsidP="00B21F37">
            <w:pPr>
              <w:pStyle w:val="TableText"/>
              <w:keepNext/>
              <w:keepLines/>
              <w:widowControl/>
              <w:spacing w:before="0" w:after="0" w:line="240" w:lineRule="auto"/>
              <w:jc w:val="center"/>
              <w:rPr>
                <w:b/>
                <w:lang w:val="en-AU"/>
              </w:rPr>
            </w:pPr>
            <w:r w:rsidRPr="00F6615C">
              <w:rPr>
                <w:b/>
                <w:lang w:val="en-AU"/>
              </w:rPr>
              <w:t>n/N (%)</w:t>
            </w:r>
          </w:p>
        </w:tc>
        <w:tc>
          <w:tcPr>
            <w:tcW w:w="944" w:type="pct"/>
            <w:gridSpan w:val="2"/>
            <w:shd w:val="clear" w:color="auto" w:fill="auto"/>
            <w:vAlign w:val="center"/>
          </w:tcPr>
          <w:p w:rsidR="00AE46DA" w:rsidRPr="00F6615C" w:rsidRDefault="00AE46DA" w:rsidP="00B21F37">
            <w:pPr>
              <w:pStyle w:val="TableText"/>
              <w:keepNext/>
              <w:keepLines/>
              <w:widowControl/>
              <w:spacing w:before="0" w:after="0" w:line="240" w:lineRule="auto"/>
              <w:jc w:val="center"/>
              <w:rPr>
                <w:b/>
                <w:lang w:val="en-AU"/>
              </w:rPr>
            </w:pPr>
            <w:r w:rsidRPr="00F6615C">
              <w:rPr>
                <w:b/>
                <w:lang w:val="en-AU"/>
              </w:rPr>
              <w:t>Absolute difference</w:t>
            </w:r>
          </w:p>
        </w:tc>
        <w:tc>
          <w:tcPr>
            <w:tcW w:w="915" w:type="pct"/>
            <w:shd w:val="clear" w:color="auto" w:fill="auto"/>
            <w:vAlign w:val="center"/>
          </w:tcPr>
          <w:p w:rsidR="00AE46DA" w:rsidRPr="00F6615C" w:rsidRDefault="00AE46DA" w:rsidP="00B21F37">
            <w:pPr>
              <w:pStyle w:val="TableText"/>
              <w:keepNext/>
              <w:keepLines/>
              <w:widowControl/>
              <w:spacing w:before="0" w:after="0" w:line="240" w:lineRule="auto"/>
              <w:jc w:val="center"/>
              <w:rPr>
                <w:b/>
                <w:lang w:val="en-AU"/>
              </w:rPr>
            </w:pPr>
            <w:r w:rsidRPr="00F6615C">
              <w:rPr>
                <w:b/>
                <w:lang w:val="en-AU"/>
              </w:rPr>
              <w:t>HR (95% CI)</w:t>
            </w:r>
          </w:p>
        </w:tc>
      </w:tr>
      <w:tr w:rsidR="00AE46DA" w:rsidRPr="001825C9" w:rsidTr="00B21F37">
        <w:tc>
          <w:tcPr>
            <w:tcW w:w="1398" w:type="pct"/>
            <w:gridSpan w:val="2"/>
            <w:shd w:val="clear" w:color="auto" w:fill="auto"/>
            <w:vAlign w:val="center"/>
          </w:tcPr>
          <w:p w:rsidR="00AE46DA" w:rsidRPr="00F6615C" w:rsidRDefault="00AE46DA" w:rsidP="00B21F37">
            <w:pPr>
              <w:pStyle w:val="TableNumber"/>
              <w:keepNext/>
              <w:keepLines/>
              <w:widowControl/>
              <w:spacing w:before="0" w:after="0" w:line="240" w:lineRule="auto"/>
              <w:ind w:firstLine="37"/>
              <w:jc w:val="left"/>
              <w:rPr>
                <w:lang w:val="en-AU"/>
              </w:rPr>
            </w:pPr>
            <w:r w:rsidRPr="00F6615C">
              <w:rPr>
                <w:szCs w:val="20"/>
                <w:lang w:val="en-AU"/>
              </w:rPr>
              <w:t>Death events – n (%)</w:t>
            </w:r>
          </w:p>
        </w:tc>
        <w:tc>
          <w:tcPr>
            <w:tcW w:w="984" w:type="pct"/>
            <w:gridSpan w:val="4"/>
            <w:shd w:val="clear" w:color="auto" w:fill="auto"/>
            <w:vAlign w:val="center"/>
          </w:tcPr>
          <w:p w:rsidR="00AE46DA" w:rsidRPr="00F6615C" w:rsidRDefault="00F6615C" w:rsidP="00B21F37">
            <w:pPr>
              <w:pStyle w:val="TableText"/>
              <w:keepNext/>
              <w:keepLines/>
              <w:widowControl/>
              <w:spacing w:before="0" w:after="0" w:line="240" w:lineRule="auto"/>
              <w:jc w:val="center"/>
              <w:rPr>
                <w:vertAlign w:val="superscript"/>
                <w:lang w:val="en-AU"/>
              </w:rPr>
            </w:pPr>
            <w:r>
              <w:rPr>
                <w:rFonts w:eastAsia="Times New Roman" w:cs="Arial"/>
                <w:noProof/>
                <w:color w:val="000000"/>
                <w:szCs w:val="20"/>
                <w:highlight w:val="black"/>
                <w:lang w:val="en-AU"/>
              </w:rPr>
              <w:t>'''''''''''''''''''' '''''''''''''</w:t>
            </w:r>
            <w:r w:rsidR="002E5CD1" w:rsidRPr="002E5CD1">
              <w:rPr>
                <w:rFonts w:eastAsia="Times New Roman" w:cs="Arial"/>
                <w:szCs w:val="20"/>
                <w:vertAlign w:val="superscript"/>
                <w:lang w:val="en-AU"/>
              </w:rPr>
              <w:t>^</w:t>
            </w:r>
          </w:p>
        </w:tc>
        <w:tc>
          <w:tcPr>
            <w:tcW w:w="759" w:type="pct"/>
            <w:gridSpan w:val="2"/>
            <w:shd w:val="clear" w:color="auto" w:fill="auto"/>
            <w:vAlign w:val="center"/>
          </w:tcPr>
          <w:p w:rsidR="00AE46DA" w:rsidRPr="00F6615C" w:rsidRDefault="00F6615C" w:rsidP="00B21F37">
            <w:pPr>
              <w:pStyle w:val="TableText"/>
              <w:keepNext/>
              <w:keepLines/>
              <w:widowControl/>
              <w:spacing w:before="0" w:after="0" w:line="240" w:lineRule="auto"/>
              <w:jc w:val="center"/>
              <w:rPr>
                <w:lang w:val="en-AU"/>
              </w:rPr>
            </w:pPr>
            <w:r>
              <w:rPr>
                <w:rFonts w:eastAsia="Times New Roman" w:cs="Arial"/>
                <w:noProof/>
                <w:color w:val="000000"/>
                <w:szCs w:val="20"/>
                <w:highlight w:val="black"/>
                <w:lang w:val="en-AU"/>
              </w:rPr>
              <w:t>''''''''''''''''''' '''''''''''''''</w:t>
            </w:r>
            <w:r w:rsidR="002E5CD1" w:rsidRPr="002E5CD1">
              <w:rPr>
                <w:rFonts w:eastAsia="Times New Roman" w:cs="Arial"/>
                <w:szCs w:val="20"/>
                <w:vertAlign w:val="superscript"/>
                <w:lang w:val="en-AU"/>
              </w:rPr>
              <w:t xml:space="preserve"> ^</w:t>
            </w:r>
          </w:p>
        </w:tc>
        <w:tc>
          <w:tcPr>
            <w:tcW w:w="944" w:type="pct"/>
            <w:gridSpan w:val="2"/>
            <w:shd w:val="clear" w:color="auto" w:fill="auto"/>
            <w:vAlign w:val="center"/>
          </w:tcPr>
          <w:p w:rsidR="00AE46DA" w:rsidRPr="00F6615C" w:rsidRDefault="00AE46DA" w:rsidP="00B21F37">
            <w:pPr>
              <w:pStyle w:val="TableText"/>
              <w:keepNext/>
              <w:keepLines/>
              <w:widowControl/>
              <w:spacing w:before="0" w:after="0" w:line="240" w:lineRule="auto"/>
              <w:jc w:val="center"/>
              <w:rPr>
                <w:highlight w:val="yellow"/>
                <w:lang w:val="en-AU"/>
              </w:rPr>
            </w:pPr>
          </w:p>
        </w:tc>
        <w:tc>
          <w:tcPr>
            <w:tcW w:w="915" w:type="pct"/>
            <w:vMerge w:val="restart"/>
            <w:shd w:val="clear" w:color="auto" w:fill="auto"/>
            <w:vAlign w:val="center"/>
          </w:tcPr>
          <w:p w:rsidR="00AE46DA" w:rsidRPr="00F6615C" w:rsidRDefault="00F6615C" w:rsidP="00B21F37">
            <w:pPr>
              <w:pStyle w:val="TableText"/>
              <w:keepNext/>
              <w:keepLines/>
              <w:widowControl/>
              <w:spacing w:before="0" w:after="0" w:line="240" w:lineRule="auto"/>
              <w:jc w:val="center"/>
              <w:rPr>
                <w:rFonts w:cs="Arial"/>
                <w:b/>
                <w:szCs w:val="20"/>
                <w:highlight w:val="black"/>
                <w:lang w:val="en-AU"/>
              </w:rPr>
            </w:pPr>
            <w:r>
              <w:rPr>
                <w:rFonts w:cs="Arial"/>
                <w:b/>
                <w:noProof/>
                <w:color w:val="000000"/>
                <w:szCs w:val="20"/>
                <w:highlight w:val="black"/>
                <w:lang w:val="en-AU"/>
              </w:rPr>
              <w:t>'''''''' '''''''''' ''''''''''</w:t>
            </w:r>
          </w:p>
          <w:p w:rsidR="00AE46DA" w:rsidRPr="00DD147E" w:rsidRDefault="00F6615C" w:rsidP="00B21F37">
            <w:pPr>
              <w:pStyle w:val="TableText"/>
              <w:keepNext/>
              <w:keepLines/>
              <w:widowControl/>
              <w:spacing w:before="0" w:after="0" w:line="240" w:lineRule="auto"/>
              <w:jc w:val="center"/>
              <w:rPr>
                <w:vertAlign w:val="superscript"/>
                <w:lang w:val="en-AU"/>
              </w:rPr>
            </w:pPr>
            <w:r>
              <w:rPr>
                <w:rFonts w:cs="Arial"/>
                <w:b/>
                <w:noProof/>
                <w:color w:val="000000"/>
                <w:szCs w:val="20"/>
                <w:highlight w:val="black"/>
                <w:lang w:val="en-AU"/>
              </w:rPr>
              <w:t>''''''''''''''''''</w:t>
            </w:r>
            <w:r w:rsidR="00AE46DA" w:rsidRPr="00DD147E">
              <w:rPr>
                <w:rFonts w:cs="Arial"/>
                <w:szCs w:val="20"/>
                <w:lang w:val="en-AU"/>
              </w:rPr>
              <w:t xml:space="preserve"> </w:t>
            </w:r>
            <w:r w:rsidR="00AE46DA" w:rsidRPr="00DD147E">
              <w:rPr>
                <w:rFonts w:cs="Arial"/>
                <w:szCs w:val="20"/>
                <w:vertAlign w:val="superscript"/>
                <w:lang w:val="en-AU"/>
              </w:rPr>
              <w:t>b</w:t>
            </w:r>
          </w:p>
        </w:tc>
      </w:tr>
      <w:tr w:rsidR="00AE46DA" w:rsidRPr="001825C9" w:rsidTr="00B21F37">
        <w:tc>
          <w:tcPr>
            <w:tcW w:w="1398" w:type="pct"/>
            <w:gridSpan w:val="2"/>
            <w:shd w:val="clear" w:color="auto" w:fill="auto"/>
            <w:vAlign w:val="center"/>
          </w:tcPr>
          <w:p w:rsidR="00AE46DA" w:rsidRPr="00F6615C" w:rsidRDefault="00AE46DA" w:rsidP="00B21F37">
            <w:pPr>
              <w:keepNext/>
              <w:keepLines/>
              <w:spacing w:before="0"/>
              <w:ind w:firstLine="37"/>
              <w:jc w:val="left"/>
              <w:rPr>
                <w:rFonts w:ascii="Arial Narrow" w:hAnsi="Arial Narrow"/>
                <w:sz w:val="20"/>
                <w:szCs w:val="20"/>
                <w:lang w:val="en-AU"/>
              </w:rPr>
            </w:pPr>
            <w:r w:rsidRPr="00F6615C">
              <w:rPr>
                <w:rFonts w:ascii="Arial Narrow" w:hAnsi="Arial Narrow"/>
                <w:sz w:val="20"/>
                <w:szCs w:val="20"/>
                <w:lang w:val="en-AU"/>
              </w:rPr>
              <w:t>Median OS, months (95% CI)</w:t>
            </w:r>
          </w:p>
        </w:tc>
        <w:tc>
          <w:tcPr>
            <w:tcW w:w="984" w:type="pct"/>
            <w:gridSpan w:val="4"/>
            <w:shd w:val="clear" w:color="auto" w:fill="auto"/>
            <w:vAlign w:val="center"/>
          </w:tcPr>
          <w:p w:rsidR="00AE46DA" w:rsidRPr="00F6615C" w:rsidRDefault="00F6615C" w:rsidP="00B21F37">
            <w:pPr>
              <w:pStyle w:val="TableText"/>
              <w:keepNext/>
              <w:keepLines/>
              <w:widowControl/>
              <w:spacing w:before="0" w:after="0" w:line="240" w:lineRule="auto"/>
              <w:jc w:val="center"/>
              <w:rPr>
                <w:vertAlign w:val="superscript"/>
                <w:lang w:val="en-AU"/>
              </w:rPr>
            </w:pPr>
            <w:r>
              <w:rPr>
                <w:rFonts w:eastAsia="Times New Roman" w:cs="Arial"/>
                <w:noProof/>
                <w:color w:val="000000"/>
                <w:szCs w:val="20"/>
                <w:highlight w:val="black"/>
                <w:lang w:val="en-AU"/>
              </w:rPr>
              <w:t xml:space="preserve">'''''''''' </w:t>
            </w:r>
            <w:r w:rsidR="00AE46DA" w:rsidRPr="002E5CD1">
              <w:rPr>
                <w:rFonts w:eastAsia="Times New Roman" w:cs="Arial"/>
                <w:szCs w:val="20"/>
                <w:vertAlign w:val="superscript"/>
                <w:lang w:val="en-AU"/>
              </w:rPr>
              <w:t>c</w:t>
            </w:r>
            <w:r w:rsidR="002E5CD1" w:rsidRPr="002E5CD1">
              <w:rPr>
                <w:rFonts w:eastAsia="Times New Roman" w:cs="Arial"/>
                <w:szCs w:val="20"/>
                <w:vertAlign w:val="superscript"/>
                <w:lang w:val="en-AU"/>
              </w:rPr>
              <w:t>, ^</w:t>
            </w:r>
          </w:p>
        </w:tc>
        <w:tc>
          <w:tcPr>
            <w:tcW w:w="759" w:type="pct"/>
            <w:gridSpan w:val="2"/>
            <w:shd w:val="clear" w:color="auto" w:fill="auto"/>
            <w:vAlign w:val="center"/>
          </w:tcPr>
          <w:p w:rsidR="00AE46DA" w:rsidRPr="00F6615C" w:rsidRDefault="00F6615C" w:rsidP="00B21F37">
            <w:pPr>
              <w:pStyle w:val="TableText"/>
              <w:keepNext/>
              <w:keepLines/>
              <w:widowControl/>
              <w:spacing w:before="0" w:after="0" w:line="240" w:lineRule="auto"/>
              <w:jc w:val="center"/>
              <w:rPr>
                <w:vertAlign w:val="superscript"/>
                <w:lang w:val="en-AU"/>
              </w:rPr>
            </w:pPr>
            <w:r>
              <w:rPr>
                <w:rFonts w:eastAsia="Times New Roman" w:cs="Arial"/>
                <w:noProof/>
                <w:color w:val="000000"/>
                <w:szCs w:val="20"/>
                <w:highlight w:val="black"/>
                <w:lang w:val="en-AU"/>
              </w:rPr>
              <w:t xml:space="preserve">'''''''''' </w:t>
            </w:r>
            <w:r w:rsidR="00AE46DA" w:rsidRPr="002E5CD1">
              <w:rPr>
                <w:rFonts w:eastAsia="Times New Roman" w:cs="Arial"/>
                <w:szCs w:val="20"/>
                <w:vertAlign w:val="superscript"/>
                <w:lang w:val="en-AU"/>
              </w:rPr>
              <w:t>c</w:t>
            </w:r>
            <w:r w:rsidR="002E5CD1">
              <w:rPr>
                <w:rFonts w:eastAsia="Times New Roman" w:cs="Arial"/>
                <w:szCs w:val="20"/>
                <w:vertAlign w:val="superscript"/>
                <w:lang w:val="en-AU"/>
              </w:rPr>
              <w:t xml:space="preserve">, </w:t>
            </w:r>
            <w:r w:rsidR="002E5CD1" w:rsidRPr="002E5CD1">
              <w:rPr>
                <w:rFonts w:eastAsia="Times New Roman" w:cs="Arial"/>
                <w:szCs w:val="20"/>
                <w:vertAlign w:val="superscript"/>
                <w:lang w:val="en-AU"/>
              </w:rPr>
              <w:t>^</w:t>
            </w:r>
          </w:p>
        </w:tc>
        <w:tc>
          <w:tcPr>
            <w:tcW w:w="944" w:type="pct"/>
            <w:gridSpan w:val="2"/>
            <w:shd w:val="clear" w:color="auto" w:fill="auto"/>
            <w:vAlign w:val="center"/>
          </w:tcPr>
          <w:p w:rsidR="00AE46DA" w:rsidRPr="00F6615C" w:rsidRDefault="00F6615C" w:rsidP="00B21F37">
            <w:pPr>
              <w:pStyle w:val="TableText"/>
              <w:keepNext/>
              <w:keepLines/>
              <w:widowControl/>
              <w:spacing w:before="0" w:after="0" w:line="240" w:lineRule="auto"/>
              <w:jc w:val="center"/>
              <w:rPr>
                <w:lang w:val="en-AU"/>
              </w:rPr>
            </w:pPr>
            <w:r>
              <w:rPr>
                <w:rFonts w:cs="Arial"/>
                <w:noProof/>
                <w:color w:val="000000"/>
                <w:szCs w:val="20"/>
                <w:highlight w:val="black"/>
                <w:lang w:val="en-AU"/>
              </w:rPr>
              <w:t>'''''''''''</w:t>
            </w:r>
            <w:r w:rsidR="002E5CD1" w:rsidRPr="002E5CD1">
              <w:rPr>
                <w:rFonts w:eastAsia="Times New Roman" w:cs="Arial"/>
                <w:szCs w:val="20"/>
                <w:vertAlign w:val="superscript"/>
                <w:lang w:val="en-AU"/>
              </w:rPr>
              <w:t>^</w:t>
            </w:r>
          </w:p>
        </w:tc>
        <w:tc>
          <w:tcPr>
            <w:tcW w:w="915" w:type="pct"/>
            <w:vMerge/>
            <w:shd w:val="clear" w:color="auto" w:fill="auto"/>
            <w:vAlign w:val="center"/>
          </w:tcPr>
          <w:p w:rsidR="00AE46DA" w:rsidRPr="00DD147E" w:rsidRDefault="00AE46DA" w:rsidP="00B21F37">
            <w:pPr>
              <w:pStyle w:val="TableText"/>
              <w:keepNext/>
              <w:keepLines/>
              <w:widowControl/>
              <w:jc w:val="center"/>
              <w:rPr>
                <w:lang w:val="en-AU"/>
              </w:rPr>
            </w:pPr>
          </w:p>
        </w:tc>
      </w:tr>
      <w:tr w:rsidR="00AE46DA" w:rsidRPr="001825C9" w:rsidTr="00B21F37">
        <w:tc>
          <w:tcPr>
            <w:tcW w:w="1398" w:type="pct"/>
            <w:gridSpan w:val="2"/>
            <w:shd w:val="clear" w:color="auto" w:fill="auto"/>
            <w:vAlign w:val="center"/>
          </w:tcPr>
          <w:p w:rsidR="00AE46DA" w:rsidRPr="00F6615C" w:rsidRDefault="00AE46DA" w:rsidP="00B21F37">
            <w:pPr>
              <w:keepNext/>
              <w:keepLines/>
              <w:spacing w:before="0"/>
              <w:ind w:firstLine="37"/>
              <w:jc w:val="left"/>
              <w:rPr>
                <w:rFonts w:ascii="Arial Narrow" w:hAnsi="Arial Narrow"/>
                <w:sz w:val="20"/>
                <w:szCs w:val="20"/>
                <w:lang w:val="en-AU"/>
              </w:rPr>
            </w:pPr>
            <w:r w:rsidRPr="00F6615C">
              <w:rPr>
                <w:rFonts w:ascii="Arial Narrow" w:hAnsi="Arial Narrow"/>
                <w:sz w:val="20"/>
                <w:szCs w:val="20"/>
                <w:lang w:val="en-AU"/>
              </w:rPr>
              <w:t>% Survival estimates at 6 months (95% CI)</w:t>
            </w:r>
          </w:p>
        </w:tc>
        <w:tc>
          <w:tcPr>
            <w:tcW w:w="984" w:type="pct"/>
            <w:gridSpan w:val="4"/>
            <w:shd w:val="clear" w:color="auto" w:fill="auto"/>
            <w:vAlign w:val="center"/>
          </w:tcPr>
          <w:p w:rsidR="00AE46DA" w:rsidRPr="00F6615C" w:rsidRDefault="00F6615C" w:rsidP="00B21F37">
            <w:pPr>
              <w:pStyle w:val="TableText"/>
              <w:keepNext/>
              <w:keepLines/>
              <w:widowControl/>
              <w:spacing w:before="0" w:after="0" w:line="240" w:lineRule="auto"/>
              <w:jc w:val="center"/>
              <w:rPr>
                <w:rFonts w:eastAsia="Times New Roman" w:cs="Arial"/>
                <w:szCs w:val="20"/>
                <w:lang w:val="en-AU"/>
              </w:rPr>
            </w:pPr>
            <w:r>
              <w:rPr>
                <w:rFonts w:eastAsia="Times New Roman" w:cs="Arial"/>
                <w:noProof/>
                <w:color w:val="000000"/>
                <w:szCs w:val="20"/>
                <w:highlight w:val="black"/>
                <w:lang w:val="en-AU"/>
              </w:rPr>
              <w:t>'''''''''' ''''''''''''' ''''''''''''''</w:t>
            </w:r>
            <w:r w:rsidR="002E5CD1" w:rsidRPr="002E5CD1">
              <w:rPr>
                <w:rFonts w:eastAsia="Times New Roman" w:cs="Arial"/>
                <w:szCs w:val="20"/>
                <w:vertAlign w:val="superscript"/>
                <w:lang w:val="en-AU"/>
              </w:rPr>
              <w:t xml:space="preserve"> ^</w:t>
            </w:r>
          </w:p>
        </w:tc>
        <w:tc>
          <w:tcPr>
            <w:tcW w:w="759" w:type="pct"/>
            <w:gridSpan w:val="2"/>
            <w:shd w:val="clear" w:color="auto" w:fill="auto"/>
            <w:vAlign w:val="center"/>
          </w:tcPr>
          <w:p w:rsidR="00AE46DA" w:rsidRPr="00F6615C" w:rsidRDefault="00F6615C" w:rsidP="00B21F37">
            <w:pPr>
              <w:pStyle w:val="TableText"/>
              <w:keepNext/>
              <w:keepLines/>
              <w:widowControl/>
              <w:spacing w:before="0" w:after="0" w:line="240" w:lineRule="auto"/>
              <w:jc w:val="center"/>
              <w:rPr>
                <w:rFonts w:eastAsia="Times New Roman" w:cs="Arial"/>
                <w:szCs w:val="20"/>
                <w:lang w:val="en-AU"/>
              </w:rPr>
            </w:pPr>
            <w:r>
              <w:rPr>
                <w:rFonts w:eastAsia="Times New Roman" w:cs="Arial"/>
                <w:noProof/>
                <w:color w:val="000000"/>
                <w:szCs w:val="20"/>
                <w:highlight w:val="black"/>
                <w:lang w:val="en-AU"/>
              </w:rPr>
              <w:t>'''''</w:t>
            </w:r>
            <w:r w:rsidR="00B80B3F">
              <w:rPr>
                <w:rFonts w:eastAsia="Times New Roman" w:cs="Arial"/>
                <w:noProof/>
                <w:color w:val="000000"/>
                <w:szCs w:val="20"/>
                <w:highlight w:val="black"/>
                <w:lang w:val="en-AU"/>
              </w:rPr>
              <w:t>'''''' ''''''''''''' '''''''''</w:t>
            </w:r>
            <w:r>
              <w:rPr>
                <w:rFonts w:eastAsia="Times New Roman" w:cs="Arial"/>
                <w:noProof/>
                <w:color w:val="000000"/>
                <w:szCs w:val="20"/>
                <w:highlight w:val="black"/>
                <w:lang w:val="en-AU"/>
              </w:rPr>
              <w:t>''</w:t>
            </w:r>
            <w:r w:rsidR="002E5CD1" w:rsidRPr="002E5CD1">
              <w:rPr>
                <w:rFonts w:eastAsia="Times New Roman" w:cs="Arial"/>
                <w:szCs w:val="20"/>
                <w:vertAlign w:val="superscript"/>
                <w:lang w:val="en-AU"/>
              </w:rPr>
              <w:t xml:space="preserve"> ^</w:t>
            </w:r>
          </w:p>
        </w:tc>
        <w:tc>
          <w:tcPr>
            <w:tcW w:w="944" w:type="pct"/>
            <w:gridSpan w:val="2"/>
            <w:shd w:val="clear" w:color="auto" w:fill="auto"/>
            <w:vAlign w:val="center"/>
          </w:tcPr>
          <w:p w:rsidR="00AE46DA" w:rsidRPr="00F6615C" w:rsidRDefault="00F6615C" w:rsidP="00B21F37">
            <w:pPr>
              <w:pStyle w:val="TableText"/>
              <w:keepNext/>
              <w:keepLines/>
              <w:widowControl/>
              <w:spacing w:before="0" w:after="0" w:line="240" w:lineRule="auto"/>
              <w:jc w:val="center"/>
              <w:rPr>
                <w:rFonts w:cs="Arial"/>
                <w:szCs w:val="20"/>
                <w:lang w:val="en-AU"/>
              </w:rPr>
            </w:pPr>
            <w:r>
              <w:rPr>
                <w:rFonts w:cs="Arial"/>
                <w:noProof/>
                <w:color w:val="000000"/>
                <w:szCs w:val="20"/>
                <w:highlight w:val="black"/>
                <w:lang w:val="en-AU"/>
              </w:rPr>
              <w:t>'''''''''''</w:t>
            </w:r>
            <w:r w:rsidR="002E5CD1" w:rsidRPr="002E5CD1">
              <w:rPr>
                <w:rFonts w:eastAsia="Times New Roman" w:cs="Arial"/>
                <w:szCs w:val="20"/>
                <w:vertAlign w:val="superscript"/>
                <w:lang w:val="en-AU"/>
              </w:rPr>
              <w:t>^</w:t>
            </w:r>
          </w:p>
        </w:tc>
        <w:tc>
          <w:tcPr>
            <w:tcW w:w="915" w:type="pct"/>
            <w:shd w:val="clear" w:color="auto" w:fill="auto"/>
            <w:vAlign w:val="center"/>
          </w:tcPr>
          <w:p w:rsidR="00AE46DA" w:rsidRPr="00DD147E" w:rsidRDefault="00AE46DA" w:rsidP="00B21F37">
            <w:pPr>
              <w:pStyle w:val="TableText"/>
              <w:keepNext/>
              <w:keepLines/>
              <w:widowControl/>
              <w:spacing w:before="0" w:after="0" w:line="240" w:lineRule="auto"/>
              <w:jc w:val="center"/>
              <w:rPr>
                <w:lang w:val="en-AU"/>
              </w:rPr>
            </w:pPr>
          </w:p>
        </w:tc>
      </w:tr>
      <w:tr w:rsidR="00AE46DA" w:rsidRPr="001825C9" w:rsidTr="00B21F37">
        <w:tc>
          <w:tcPr>
            <w:tcW w:w="1398" w:type="pct"/>
            <w:gridSpan w:val="2"/>
            <w:shd w:val="clear" w:color="auto" w:fill="auto"/>
            <w:vAlign w:val="center"/>
          </w:tcPr>
          <w:p w:rsidR="00AE46DA" w:rsidRPr="00F6615C" w:rsidRDefault="00AE46DA" w:rsidP="00B21F37">
            <w:pPr>
              <w:keepNext/>
              <w:keepLines/>
              <w:spacing w:before="0"/>
              <w:ind w:firstLine="37"/>
              <w:jc w:val="left"/>
              <w:rPr>
                <w:rFonts w:ascii="Arial Narrow" w:hAnsi="Arial Narrow"/>
                <w:sz w:val="20"/>
                <w:szCs w:val="20"/>
                <w:lang w:val="en-AU"/>
              </w:rPr>
            </w:pPr>
            <w:r w:rsidRPr="00F6615C">
              <w:rPr>
                <w:rFonts w:ascii="Arial Narrow" w:hAnsi="Arial Narrow"/>
                <w:sz w:val="20"/>
                <w:szCs w:val="20"/>
                <w:lang w:val="en-AU"/>
              </w:rPr>
              <w:t>% Survival estimates at 18 months (95% CI)</w:t>
            </w:r>
          </w:p>
        </w:tc>
        <w:tc>
          <w:tcPr>
            <w:tcW w:w="984" w:type="pct"/>
            <w:gridSpan w:val="4"/>
            <w:shd w:val="clear" w:color="auto" w:fill="auto"/>
            <w:vAlign w:val="center"/>
          </w:tcPr>
          <w:p w:rsidR="00AE46DA" w:rsidRPr="00F6615C" w:rsidRDefault="00F6615C" w:rsidP="00B21F37">
            <w:pPr>
              <w:pStyle w:val="TableText"/>
              <w:keepNext/>
              <w:keepLines/>
              <w:widowControl/>
              <w:spacing w:before="0" w:after="0" w:line="240" w:lineRule="auto"/>
              <w:jc w:val="center"/>
              <w:rPr>
                <w:rFonts w:eastAsia="Times New Roman" w:cs="Arial"/>
                <w:szCs w:val="20"/>
                <w:lang w:val="en-AU"/>
              </w:rPr>
            </w:pPr>
            <w:r>
              <w:rPr>
                <w:rFonts w:eastAsia="Times New Roman" w:cs="Arial"/>
                <w:noProof/>
                <w:color w:val="000000"/>
                <w:szCs w:val="20"/>
                <w:highlight w:val="black"/>
                <w:lang w:val="en-AU"/>
              </w:rPr>
              <w:t>'''''''''' ''''''''''''''' '''''''''''</w:t>
            </w:r>
            <w:r w:rsidR="002E5CD1" w:rsidRPr="002E5CD1">
              <w:rPr>
                <w:rFonts w:eastAsia="Times New Roman" w:cs="Arial"/>
                <w:szCs w:val="20"/>
                <w:vertAlign w:val="superscript"/>
                <w:lang w:val="en-AU"/>
              </w:rPr>
              <w:t xml:space="preserve"> ^</w:t>
            </w:r>
          </w:p>
        </w:tc>
        <w:tc>
          <w:tcPr>
            <w:tcW w:w="759" w:type="pct"/>
            <w:gridSpan w:val="2"/>
            <w:shd w:val="clear" w:color="auto" w:fill="auto"/>
            <w:vAlign w:val="center"/>
          </w:tcPr>
          <w:p w:rsidR="00AE46DA" w:rsidRPr="00F6615C" w:rsidRDefault="00F6615C" w:rsidP="00B21F37">
            <w:pPr>
              <w:pStyle w:val="TableText"/>
              <w:keepNext/>
              <w:keepLines/>
              <w:widowControl/>
              <w:spacing w:before="0" w:after="0" w:line="240" w:lineRule="auto"/>
              <w:jc w:val="center"/>
              <w:rPr>
                <w:rFonts w:eastAsia="Times New Roman" w:cs="Arial"/>
                <w:szCs w:val="20"/>
                <w:lang w:val="en-AU"/>
              </w:rPr>
            </w:pPr>
            <w:r>
              <w:rPr>
                <w:rFonts w:eastAsia="Times New Roman" w:cs="Arial"/>
                <w:noProof/>
                <w:color w:val="000000"/>
                <w:szCs w:val="20"/>
                <w:highlight w:val="black"/>
                <w:lang w:val="en-AU"/>
              </w:rPr>
              <w:t>'</w:t>
            </w:r>
            <w:r w:rsidR="00B80B3F">
              <w:rPr>
                <w:rFonts w:eastAsia="Times New Roman" w:cs="Arial"/>
                <w:noProof/>
                <w:color w:val="000000"/>
                <w:szCs w:val="20"/>
                <w:highlight w:val="black"/>
                <w:lang w:val="en-AU"/>
              </w:rPr>
              <w:t>'''''''''' '''''''''''' ''''''</w:t>
            </w:r>
            <w:r>
              <w:rPr>
                <w:rFonts w:eastAsia="Times New Roman" w:cs="Arial"/>
                <w:noProof/>
                <w:color w:val="000000"/>
                <w:szCs w:val="20"/>
                <w:highlight w:val="black"/>
                <w:lang w:val="en-AU"/>
              </w:rPr>
              <w:t>''''''</w:t>
            </w:r>
            <w:r w:rsidR="002E5CD1" w:rsidRPr="002E5CD1">
              <w:rPr>
                <w:rFonts w:eastAsia="Times New Roman" w:cs="Arial"/>
                <w:szCs w:val="20"/>
                <w:vertAlign w:val="superscript"/>
                <w:lang w:val="en-AU"/>
              </w:rPr>
              <w:t xml:space="preserve"> ^</w:t>
            </w:r>
          </w:p>
        </w:tc>
        <w:tc>
          <w:tcPr>
            <w:tcW w:w="944" w:type="pct"/>
            <w:gridSpan w:val="2"/>
            <w:shd w:val="clear" w:color="auto" w:fill="auto"/>
            <w:vAlign w:val="center"/>
          </w:tcPr>
          <w:p w:rsidR="00AE46DA" w:rsidRPr="00F6615C" w:rsidRDefault="00F6615C" w:rsidP="00B21F37">
            <w:pPr>
              <w:pStyle w:val="TableText"/>
              <w:keepNext/>
              <w:keepLines/>
              <w:widowControl/>
              <w:spacing w:before="0" w:after="0" w:line="240" w:lineRule="auto"/>
              <w:jc w:val="center"/>
              <w:rPr>
                <w:rFonts w:cs="Arial"/>
                <w:szCs w:val="20"/>
                <w:lang w:val="en-AU"/>
              </w:rPr>
            </w:pPr>
            <w:r>
              <w:rPr>
                <w:rFonts w:cs="Arial"/>
                <w:noProof/>
                <w:color w:val="000000"/>
                <w:szCs w:val="20"/>
                <w:highlight w:val="black"/>
                <w:lang w:val="en-AU"/>
              </w:rPr>
              <w:t>''''''''''</w:t>
            </w:r>
            <w:r w:rsidR="002E5CD1" w:rsidRPr="002E5CD1">
              <w:rPr>
                <w:rFonts w:eastAsia="Times New Roman" w:cs="Arial"/>
                <w:szCs w:val="20"/>
                <w:vertAlign w:val="superscript"/>
                <w:lang w:val="en-AU"/>
              </w:rPr>
              <w:t>^</w:t>
            </w:r>
          </w:p>
        </w:tc>
        <w:tc>
          <w:tcPr>
            <w:tcW w:w="915" w:type="pct"/>
            <w:shd w:val="clear" w:color="auto" w:fill="auto"/>
            <w:vAlign w:val="center"/>
          </w:tcPr>
          <w:p w:rsidR="00AE46DA" w:rsidRPr="00DD147E" w:rsidRDefault="00AE46DA" w:rsidP="00B21F37">
            <w:pPr>
              <w:pStyle w:val="TableText"/>
              <w:keepNext/>
              <w:keepLines/>
              <w:widowControl/>
              <w:spacing w:before="0" w:after="0" w:line="240" w:lineRule="auto"/>
              <w:jc w:val="center"/>
              <w:rPr>
                <w:lang w:val="en-AU"/>
              </w:rPr>
            </w:pPr>
          </w:p>
        </w:tc>
      </w:tr>
      <w:tr w:rsidR="00AE46DA" w:rsidRPr="001825C9" w:rsidTr="00B21F37">
        <w:tc>
          <w:tcPr>
            <w:tcW w:w="1398" w:type="pct"/>
            <w:gridSpan w:val="2"/>
            <w:shd w:val="clear" w:color="auto" w:fill="auto"/>
            <w:vAlign w:val="center"/>
          </w:tcPr>
          <w:p w:rsidR="00AE46DA" w:rsidRPr="00DD147E" w:rsidRDefault="00AE46DA" w:rsidP="00B21F37">
            <w:pPr>
              <w:keepNext/>
              <w:keepLines/>
              <w:spacing w:before="0"/>
              <w:ind w:firstLine="37"/>
              <w:jc w:val="left"/>
              <w:rPr>
                <w:rFonts w:ascii="Arial Narrow" w:hAnsi="Arial Narrow"/>
                <w:sz w:val="20"/>
                <w:szCs w:val="20"/>
                <w:lang w:val="en-AU"/>
              </w:rPr>
            </w:pPr>
            <w:r w:rsidRPr="00DD147E">
              <w:rPr>
                <w:rFonts w:ascii="Arial Narrow" w:hAnsi="Arial Narrow"/>
                <w:sz w:val="20"/>
                <w:szCs w:val="20"/>
                <w:lang w:val="en-AU"/>
              </w:rPr>
              <w:t>% Survival estimates at 34 months (95% CI)</w:t>
            </w:r>
          </w:p>
        </w:tc>
        <w:tc>
          <w:tcPr>
            <w:tcW w:w="984" w:type="pct"/>
            <w:gridSpan w:val="4"/>
            <w:shd w:val="clear" w:color="auto" w:fill="auto"/>
            <w:vAlign w:val="center"/>
          </w:tcPr>
          <w:p w:rsidR="00AE46DA" w:rsidRPr="00F6615C" w:rsidRDefault="00F6615C" w:rsidP="00B21F37">
            <w:pPr>
              <w:pStyle w:val="TableText"/>
              <w:keepNext/>
              <w:keepLines/>
              <w:widowControl/>
              <w:spacing w:before="0" w:after="0" w:line="240" w:lineRule="auto"/>
              <w:jc w:val="center"/>
              <w:rPr>
                <w:rFonts w:eastAsia="Times New Roman" w:cs="Arial"/>
                <w:szCs w:val="20"/>
                <w:lang w:val="en-AU"/>
              </w:rPr>
            </w:pPr>
            <w:r>
              <w:rPr>
                <w:rFonts w:eastAsia="Times New Roman" w:cs="Arial"/>
                <w:noProof/>
                <w:color w:val="000000"/>
                <w:szCs w:val="20"/>
                <w:highlight w:val="black"/>
                <w:lang w:val="en-AU"/>
              </w:rPr>
              <w:t>'''''''''' ''''''''''''''' '''''''''''</w:t>
            </w:r>
            <w:r w:rsidR="002E5CD1" w:rsidRPr="002E5CD1">
              <w:rPr>
                <w:rFonts w:eastAsia="Times New Roman" w:cs="Arial"/>
                <w:szCs w:val="20"/>
                <w:vertAlign w:val="superscript"/>
                <w:lang w:val="en-AU"/>
              </w:rPr>
              <w:t xml:space="preserve"> ^</w:t>
            </w:r>
          </w:p>
        </w:tc>
        <w:tc>
          <w:tcPr>
            <w:tcW w:w="759" w:type="pct"/>
            <w:gridSpan w:val="2"/>
            <w:shd w:val="clear" w:color="auto" w:fill="auto"/>
            <w:vAlign w:val="center"/>
          </w:tcPr>
          <w:p w:rsidR="00AE46DA" w:rsidRPr="00F6615C" w:rsidRDefault="00F6615C" w:rsidP="00B21F37">
            <w:pPr>
              <w:pStyle w:val="TableText"/>
              <w:keepNext/>
              <w:keepLines/>
              <w:widowControl/>
              <w:spacing w:before="0" w:after="0" w:line="240" w:lineRule="auto"/>
              <w:jc w:val="center"/>
              <w:rPr>
                <w:rFonts w:eastAsia="Times New Roman" w:cs="Arial"/>
                <w:szCs w:val="20"/>
                <w:lang w:val="en-AU"/>
              </w:rPr>
            </w:pPr>
            <w:r>
              <w:rPr>
                <w:rFonts w:eastAsia="Times New Roman" w:cs="Arial"/>
                <w:noProof/>
                <w:color w:val="000000"/>
                <w:szCs w:val="20"/>
                <w:highlight w:val="black"/>
                <w:lang w:val="en-AU"/>
              </w:rPr>
              <w:t>'''''''' ''''''''''''' ''''''''''</w:t>
            </w:r>
            <w:r w:rsidR="002E5CD1" w:rsidRPr="002E5CD1">
              <w:rPr>
                <w:rFonts w:eastAsia="Times New Roman" w:cs="Arial"/>
                <w:szCs w:val="20"/>
                <w:vertAlign w:val="superscript"/>
                <w:lang w:val="en-AU"/>
              </w:rPr>
              <w:t xml:space="preserve"> ^</w:t>
            </w:r>
          </w:p>
        </w:tc>
        <w:tc>
          <w:tcPr>
            <w:tcW w:w="944" w:type="pct"/>
            <w:gridSpan w:val="2"/>
            <w:shd w:val="clear" w:color="auto" w:fill="auto"/>
            <w:vAlign w:val="center"/>
          </w:tcPr>
          <w:p w:rsidR="00AE46DA" w:rsidRPr="00F6615C" w:rsidRDefault="00F6615C" w:rsidP="00B21F37">
            <w:pPr>
              <w:pStyle w:val="TableText"/>
              <w:keepNext/>
              <w:keepLines/>
              <w:widowControl/>
              <w:spacing w:before="0" w:after="0" w:line="240" w:lineRule="auto"/>
              <w:jc w:val="center"/>
              <w:rPr>
                <w:rFonts w:cs="Arial"/>
                <w:szCs w:val="20"/>
                <w:lang w:val="en-AU"/>
              </w:rPr>
            </w:pPr>
            <w:r>
              <w:rPr>
                <w:rFonts w:cs="Arial"/>
                <w:noProof/>
                <w:color w:val="000000"/>
                <w:szCs w:val="20"/>
                <w:highlight w:val="black"/>
                <w:lang w:val="en-AU"/>
              </w:rPr>
              <w:t>''''''''</w:t>
            </w:r>
            <w:r w:rsidR="002E5CD1" w:rsidRPr="002E5CD1">
              <w:rPr>
                <w:rFonts w:eastAsia="Times New Roman" w:cs="Arial"/>
                <w:szCs w:val="20"/>
                <w:vertAlign w:val="superscript"/>
                <w:lang w:val="en-AU"/>
              </w:rPr>
              <w:t>^</w:t>
            </w:r>
          </w:p>
        </w:tc>
        <w:tc>
          <w:tcPr>
            <w:tcW w:w="915" w:type="pct"/>
            <w:shd w:val="clear" w:color="auto" w:fill="auto"/>
            <w:vAlign w:val="center"/>
          </w:tcPr>
          <w:p w:rsidR="00AE46DA" w:rsidRPr="00DD147E" w:rsidRDefault="00AE46DA" w:rsidP="00B21F37">
            <w:pPr>
              <w:pStyle w:val="TableText"/>
              <w:keepNext/>
              <w:keepLines/>
              <w:widowControl/>
              <w:spacing w:before="0" w:after="0" w:line="240" w:lineRule="auto"/>
              <w:jc w:val="center"/>
              <w:rPr>
                <w:lang w:val="en-AU"/>
              </w:rPr>
            </w:pPr>
          </w:p>
        </w:tc>
      </w:tr>
      <w:tr w:rsidR="00AE46DA" w:rsidRPr="001825C9" w:rsidTr="00B21F37">
        <w:tc>
          <w:tcPr>
            <w:tcW w:w="5000" w:type="pct"/>
            <w:gridSpan w:val="11"/>
          </w:tcPr>
          <w:p w:rsidR="00AE46DA" w:rsidRPr="00DD147E" w:rsidRDefault="00AE46DA" w:rsidP="00B21F37">
            <w:pPr>
              <w:pStyle w:val="TableText"/>
              <w:keepNext/>
              <w:keepLines/>
              <w:widowControl/>
              <w:spacing w:before="0" w:after="0" w:line="240" w:lineRule="auto"/>
              <w:rPr>
                <w:b/>
                <w:lang w:val="en-AU"/>
              </w:rPr>
            </w:pPr>
            <w:r w:rsidRPr="00DD147E">
              <w:rPr>
                <w:b/>
                <w:lang w:val="en-AU"/>
              </w:rPr>
              <w:t xml:space="preserve">Progression-free survival (median duration of follow-up 14.7 months; data cut 15 Aug 2019) </w:t>
            </w:r>
            <w:r w:rsidRPr="00DD147E">
              <w:rPr>
                <w:b/>
                <w:vertAlign w:val="superscript"/>
                <w:lang w:val="en-AU"/>
              </w:rPr>
              <w:t>d</w:t>
            </w:r>
          </w:p>
        </w:tc>
      </w:tr>
      <w:tr w:rsidR="00AE46DA" w:rsidRPr="001825C9" w:rsidTr="00B21F37">
        <w:tc>
          <w:tcPr>
            <w:tcW w:w="1403" w:type="pct"/>
            <w:gridSpan w:val="3"/>
          </w:tcPr>
          <w:p w:rsidR="00AE46DA" w:rsidRPr="00DD147E" w:rsidRDefault="00AE46DA" w:rsidP="00B21F37">
            <w:pPr>
              <w:pStyle w:val="TableText"/>
              <w:keepNext/>
              <w:keepLines/>
              <w:widowControl/>
              <w:spacing w:before="0" w:after="0" w:line="240" w:lineRule="auto"/>
              <w:rPr>
                <w:lang w:val="en-AU"/>
              </w:rPr>
            </w:pPr>
            <w:r w:rsidRPr="00DD147E">
              <w:rPr>
                <w:szCs w:val="20"/>
                <w:lang w:val="en-AU"/>
              </w:rPr>
              <w:lastRenderedPageBreak/>
              <w:t>Progressed – n (%)</w:t>
            </w:r>
          </w:p>
        </w:tc>
        <w:tc>
          <w:tcPr>
            <w:tcW w:w="979" w:type="pct"/>
            <w:gridSpan w:val="3"/>
            <w:vAlign w:val="center"/>
          </w:tcPr>
          <w:p w:rsidR="00AE46DA" w:rsidRPr="00DD147E" w:rsidRDefault="00AE46DA" w:rsidP="00B21F37">
            <w:pPr>
              <w:pStyle w:val="TableText"/>
              <w:keepNext/>
              <w:keepLines/>
              <w:widowControl/>
              <w:spacing w:before="0" w:after="0" w:line="240" w:lineRule="auto"/>
              <w:jc w:val="center"/>
              <w:rPr>
                <w:b/>
                <w:lang w:val="en-AU"/>
              </w:rPr>
            </w:pPr>
            <w:r w:rsidRPr="00DD147E">
              <w:rPr>
                <w:rFonts w:eastAsia="Times New Roman" w:cs="Arial"/>
                <w:szCs w:val="20"/>
                <w:lang w:val="en-AU"/>
              </w:rPr>
              <w:t>167/220 (75.9)</w:t>
            </w:r>
          </w:p>
        </w:tc>
        <w:tc>
          <w:tcPr>
            <w:tcW w:w="759" w:type="pct"/>
            <w:gridSpan w:val="2"/>
            <w:vAlign w:val="center"/>
          </w:tcPr>
          <w:p w:rsidR="00AE46DA" w:rsidRPr="00DD147E" w:rsidRDefault="00AE46DA" w:rsidP="00B21F37">
            <w:pPr>
              <w:pStyle w:val="TableText"/>
              <w:keepNext/>
              <w:keepLines/>
              <w:widowControl/>
              <w:spacing w:before="0" w:after="0" w:line="240" w:lineRule="auto"/>
              <w:jc w:val="center"/>
              <w:rPr>
                <w:b/>
                <w:lang w:val="en-AU"/>
              </w:rPr>
            </w:pPr>
            <w:r w:rsidRPr="00DD147E">
              <w:rPr>
                <w:rFonts w:eastAsia="Times New Roman" w:cs="Arial"/>
                <w:szCs w:val="20"/>
                <w:lang w:val="en-AU"/>
              </w:rPr>
              <w:t>147/221 (66.5)</w:t>
            </w:r>
          </w:p>
        </w:tc>
        <w:tc>
          <w:tcPr>
            <w:tcW w:w="944" w:type="pct"/>
            <w:gridSpan w:val="2"/>
            <w:vAlign w:val="center"/>
          </w:tcPr>
          <w:p w:rsidR="00AE46DA" w:rsidRPr="00DD147E" w:rsidRDefault="00AE46DA" w:rsidP="00B21F37">
            <w:pPr>
              <w:pStyle w:val="TableText"/>
              <w:keepNext/>
              <w:keepLines/>
              <w:widowControl/>
              <w:spacing w:before="0" w:after="0" w:line="240" w:lineRule="auto"/>
              <w:jc w:val="center"/>
              <w:rPr>
                <w:b/>
                <w:lang w:val="en-AU"/>
              </w:rPr>
            </w:pPr>
          </w:p>
        </w:tc>
        <w:tc>
          <w:tcPr>
            <w:tcW w:w="915" w:type="pct"/>
            <w:vMerge w:val="restart"/>
            <w:vAlign w:val="center"/>
          </w:tcPr>
          <w:p w:rsidR="00AE46DA" w:rsidRPr="00DD147E" w:rsidRDefault="00AE46DA" w:rsidP="00B21F37">
            <w:pPr>
              <w:pStyle w:val="TableText"/>
              <w:keepNext/>
              <w:keepLines/>
              <w:widowControl/>
              <w:spacing w:before="0" w:after="0" w:line="240" w:lineRule="auto"/>
              <w:jc w:val="center"/>
              <w:rPr>
                <w:b/>
                <w:szCs w:val="20"/>
                <w:lang w:val="en-AU"/>
              </w:rPr>
            </w:pPr>
            <w:r w:rsidRPr="00DD147E">
              <w:rPr>
                <w:b/>
                <w:szCs w:val="20"/>
                <w:lang w:val="en-AU"/>
              </w:rPr>
              <w:t>0.44 (0.35, 0.55)</w:t>
            </w:r>
          </w:p>
          <w:p w:rsidR="00AE46DA" w:rsidRPr="00DD147E" w:rsidRDefault="00AE46DA" w:rsidP="00B21F37">
            <w:pPr>
              <w:pStyle w:val="TableText"/>
              <w:keepNext/>
              <w:keepLines/>
              <w:widowControl/>
              <w:spacing w:before="0" w:after="0" w:line="240" w:lineRule="auto"/>
              <w:jc w:val="center"/>
              <w:rPr>
                <w:b/>
                <w:lang w:val="en-AU"/>
              </w:rPr>
            </w:pPr>
            <w:r w:rsidRPr="00DD147E">
              <w:rPr>
                <w:b/>
                <w:szCs w:val="20"/>
                <w:lang w:val="en-AU"/>
              </w:rPr>
              <w:t>&lt;0.0001</w:t>
            </w:r>
            <w:r w:rsidRPr="00DD147E">
              <w:rPr>
                <w:szCs w:val="20"/>
                <w:lang w:val="en-AU"/>
              </w:rPr>
              <w:t xml:space="preserve"> </w:t>
            </w:r>
            <w:r w:rsidRPr="00DD147E">
              <w:rPr>
                <w:szCs w:val="20"/>
                <w:vertAlign w:val="superscript"/>
                <w:lang w:val="en-AU"/>
              </w:rPr>
              <w:t>b</w:t>
            </w:r>
          </w:p>
        </w:tc>
      </w:tr>
      <w:tr w:rsidR="00AE46DA" w:rsidRPr="001825C9" w:rsidTr="00B21F37">
        <w:tc>
          <w:tcPr>
            <w:tcW w:w="1403" w:type="pct"/>
            <w:gridSpan w:val="3"/>
          </w:tcPr>
          <w:p w:rsidR="00AE46DA" w:rsidRPr="00DD147E" w:rsidRDefault="00AE46DA" w:rsidP="00B21F37">
            <w:pPr>
              <w:keepNext/>
              <w:keepLines/>
              <w:spacing w:before="0"/>
              <w:ind w:left="-43"/>
              <w:jc w:val="left"/>
              <w:rPr>
                <w:rFonts w:ascii="Arial Narrow" w:hAnsi="Arial Narrow"/>
                <w:sz w:val="20"/>
                <w:szCs w:val="20"/>
                <w:lang w:val="en-AU"/>
              </w:rPr>
            </w:pPr>
            <w:r w:rsidRPr="00DD147E">
              <w:rPr>
                <w:rFonts w:ascii="Arial Narrow" w:hAnsi="Arial Narrow"/>
                <w:sz w:val="20"/>
                <w:szCs w:val="20"/>
                <w:lang w:val="en-AU"/>
              </w:rPr>
              <w:t>Median PFS, months (95% CI)</w:t>
            </w:r>
          </w:p>
        </w:tc>
        <w:tc>
          <w:tcPr>
            <w:tcW w:w="979" w:type="pct"/>
            <w:gridSpan w:val="3"/>
            <w:vAlign w:val="center"/>
          </w:tcPr>
          <w:p w:rsidR="00AE46DA" w:rsidRPr="00DD147E" w:rsidRDefault="00AE46DA" w:rsidP="00B21F37">
            <w:pPr>
              <w:pStyle w:val="TableText"/>
              <w:keepNext/>
              <w:keepLines/>
              <w:widowControl/>
              <w:spacing w:before="0" w:after="0" w:line="240" w:lineRule="auto"/>
              <w:jc w:val="center"/>
              <w:rPr>
                <w:b/>
                <w:lang w:val="en-AU"/>
              </w:rPr>
            </w:pPr>
            <w:r w:rsidRPr="00DD147E">
              <w:rPr>
                <w:szCs w:val="20"/>
                <w:lang w:val="en-AU"/>
              </w:rPr>
              <w:t>4.27 (4.07, 5.45)</w:t>
            </w:r>
          </w:p>
        </w:tc>
        <w:tc>
          <w:tcPr>
            <w:tcW w:w="759" w:type="pct"/>
            <w:gridSpan w:val="2"/>
            <w:vAlign w:val="center"/>
          </w:tcPr>
          <w:p w:rsidR="00AE46DA" w:rsidRPr="00DD147E" w:rsidRDefault="00AE46DA" w:rsidP="00B21F37">
            <w:pPr>
              <w:pStyle w:val="TableText"/>
              <w:keepNext/>
              <w:keepLines/>
              <w:widowControl/>
              <w:spacing w:before="0" w:after="0" w:line="240" w:lineRule="auto"/>
              <w:jc w:val="center"/>
              <w:rPr>
                <w:b/>
                <w:lang w:val="en-AU"/>
              </w:rPr>
            </w:pPr>
            <w:r w:rsidRPr="00DD147E">
              <w:rPr>
                <w:szCs w:val="20"/>
                <w:lang w:val="en-AU"/>
              </w:rPr>
              <w:t>1.54 (1.48, 1.91)</w:t>
            </w:r>
          </w:p>
        </w:tc>
        <w:tc>
          <w:tcPr>
            <w:tcW w:w="944" w:type="pct"/>
            <w:gridSpan w:val="2"/>
            <w:vAlign w:val="center"/>
          </w:tcPr>
          <w:p w:rsidR="00AE46DA" w:rsidRPr="00DD147E" w:rsidRDefault="00AE46DA" w:rsidP="00B21F37">
            <w:pPr>
              <w:pStyle w:val="TableText"/>
              <w:keepNext/>
              <w:keepLines/>
              <w:widowControl/>
              <w:spacing w:before="0" w:after="0" w:line="240" w:lineRule="auto"/>
              <w:jc w:val="center"/>
              <w:rPr>
                <w:b/>
                <w:lang w:val="en-AU"/>
              </w:rPr>
            </w:pPr>
            <w:r w:rsidRPr="00DD147E">
              <w:rPr>
                <w:rFonts w:cs="Arial"/>
                <w:szCs w:val="20"/>
                <w:lang w:val="en-AU"/>
              </w:rPr>
              <w:t>2.73</w:t>
            </w:r>
          </w:p>
        </w:tc>
        <w:tc>
          <w:tcPr>
            <w:tcW w:w="915" w:type="pct"/>
            <w:vMerge/>
            <w:vAlign w:val="center"/>
          </w:tcPr>
          <w:p w:rsidR="00AE46DA" w:rsidRPr="00DD147E" w:rsidRDefault="00AE46DA" w:rsidP="00B21F37">
            <w:pPr>
              <w:pStyle w:val="TableText"/>
              <w:keepNext/>
              <w:keepLines/>
              <w:widowControl/>
              <w:spacing w:before="0" w:after="0" w:line="240" w:lineRule="auto"/>
              <w:jc w:val="center"/>
              <w:rPr>
                <w:b/>
                <w:lang w:val="en-AU"/>
              </w:rPr>
            </w:pPr>
          </w:p>
        </w:tc>
      </w:tr>
      <w:tr w:rsidR="00AE46DA" w:rsidRPr="001825C9" w:rsidTr="00B21F37">
        <w:tc>
          <w:tcPr>
            <w:tcW w:w="1403" w:type="pct"/>
            <w:gridSpan w:val="3"/>
          </w:tcPr>
          <w:p w:rsidR="00AE46DA" w:rsidRPr="00DD147E" w:rsidRDefault="00AE46DA" w:rsidP="00B21F37">
            <w:pPr>
              <w:pStyle w:val="TableText"/>
              <w:keepNext/>
              <w:keepLines/>
              <w:widowControl/>
              <w:spacing w:before="0" w:after="0" w:line="240" w:lineRule="auto"/>
              <w:rPr>
                <w:lang w:val="en-AU"/>
              </w:rPr>
            </w:pPr>
            <w:r w:rsidRPr="00DD147E">
              <w:rPr>
                <w:lang w:val="en-AU"/>
              </w:rPr>
              <w:t xml:space="preserve">% Progression-free estimates at 6 months </w:t>
            </w:r>
          </w:p>
        </w:tc>
        <w:tc>
          <w:tcPr>
            <w:tcW w:w="979" w:type="pct"/>
            <w:gridSpan w:val="3"/>
            <w:vAlign w:val="center"/>
          </w:tcPr>
          <w:p w:rsidR="00AE46DA" w:rsidRPr="00B80B3F" w:rsidRDefault="00AE46DA" w:rsidP="00B21F37">
            <w:pPr>
              <w:pStyle w:val="TableText"/>
              <w:keepNext/>
              <w:keepLines/>
              <w:widowControl/>
              <w:spacing w:before="0" w:after="0" w:line="240" w:lineRule="auto"/>
              <w:jc w:val="center"/>
              <w:rPr>
                <w:lang w:val="en-AU"/>
              </w:rPr>
            </w:pPr>
            <w:r w:rsidRPr="00B80B3F">
              <w:rPr>
                <w:lang w:val="en-AU"/>
              </w:rPr>
              <w:t>36.2 (29.5, 42.9)</w:t>
            </w:r>
          </w:p>
        </w:tc>
        <w:tc>
          <w:tcPr>
            <w:tcW w:w="759" w:type="pct"/>
            <w:gridSpan w:val="2"/>
            <w:vAlign w:val="center"/>
          </w:tcPr>
          <w:p w:rsidR="00AE46DA" w:rsidRPr="00B80B3F" w:rsidRDefault="00AE46DA" w:rsidP="00B21F37">
            <w:pPr>
              <w:pStyle w:val="TableText"/>
              <w:keepNext/>
              <w:keepLines/>
              <w:widowControl/>
              <w:spacing w:before="0" w:after="0" w:line="240" w:lineRule="auto"/>
              <w:jc w:val="center"/>
              <w:rPr>
                <w:lang w:val="en-AU"/>
              </w:rPr>
            </w:pPr>
            <w:r w:rsidRPr="00B80B3F">
              <w:rPr>
                <w:lang w:val="en-AU"/>
              </w:rPr>
              <w:t>14.3 (9.1, 20.6)</w:t>
            </w:r>
          </w:p>
        </w:tc>
        <w:tc>
          <w:tcPr>
            <w:tcW w:w="944" w:type="pct"/>
            <w:gridSpan w:val="2"/>
            <w:vAlign w:val="center"/>
          </w:tcPr>
          <w:p w:rsidR="00AE46DA" w:rsidRPr="00B80B3F" w:rsidRDefault="00AE46DA" w:rsidP="00B21F37">
            <w:pPr>
              <w:pStyle w:val="TableText"/>
              <w:keepNext/>
              <w:keepLines/>
              <w:widowControl/>
              <w:spacing w:before="0" w:after="0" w:line="240" w:lineRule="auto"/>
              <w:jc w:val="center"/>
              <w:rPr>
                <w:lang w:val="en-AU"/>
              </w:rPr>
            </w:pPr>
            <w:r w:rsidRPr="00B80B3F">
              <w:rPr>
                <w:lang w:val="en-AU"/>
              </w:rPr>
              <w:t>21.9</w:t>
            </w:r>
          </w:p>
        </w:tc>
        <w:tc>
          <w:tcPr>
            <w:tcW w:w="915" w:type="pct"/>
          </w:tcPr>
          <w:p w:rsidR="00AE46DA" w:rsidRPr="00DD147E" w:rsidRDefault="00AE46DA" w:rsidP="00B21F37">
            <w:pPr>
              <w:pStyle w:val="TableText"/>
              <w:keepNext/>
              <w:keepLines/>
              <w:widowControl/>
              <w:spacing w:before="0" w:after="0" w:line="240" w:lineRule="auto"/>
              <w:rPr>
                <w:b/>
                <w:lang w:val="en-AU"/>
              </w:rPr>
            </w:pPr>
          </w:p>
        </w:tc>
      </w:tr>
      <w:tr w:rsidR="00AE46DA" w:rsidRPr="001825C9" w:rsidTr="00B21F37">
        <w:tc>
          <w:tcPr>
            <w:tcW w:w="1403" w:type="pct"/>
            <w:gridSpan w:val="3"/>
          </w:tcPr>
          <w:p w:rsidR="00AE46DA" w:rsidRPr="001825C9" w:rsidRDefault="00AE46DA" w:rsidP="00B21F37">
            <w:pPr>
              <w:pStyle w:val="TableText"/>
              <w:keepNext/>
              <w:keepLines/>
              <w:widowControl/>
              <w:spacing w:before="0" w:after="0" w:line="240" w:lineRule="auto"/>
              <w:rPr>
                <w:b/>
                <w:lang w:val="en-AU"/>
              </w:rPr>
            </w:pPr>
            <w:r w:rsidRPr="001825C9">
              <w:rPr>
                <w:lang w:val="en-AU"/>
              </w:rPr>
              <w:t>% Progression-free estimates at 14 months</w:t>
            </w:r>
          </w:p>
        </w:tc>
        <w:tc>
          <w:tcPr>
            <w:tcW w:w="979" w:type="pct"/>
            <w:gridSpan w:val="3"/>
            <w:vAlign w:val="center"/>
          </w:tcPr>
          <w:p w:rsidR="00AE46DA" w:rsidRPr="001825C9" w:rsidRDefault="00AE46DA" w:rsidP="00B21F37">
            <w:pPr>
              <w:pStyle w:val="TableText"/>
              <w:keepNext/>
              <w:keepLines/>
              <w:widowControl/>
              <w:spacing w:before="0" w:after="0" w:line="240" w:lineRule="auto"/>
              <w:jc w:val="center"/>
              <w:rPr>
                <w:lang w:val="en-AU"/>
              </w:rPr>
            </w:pPr>
            <w:r w:rsidRPr="001825C9">
              <w:rPr>
                <w:lang w:val="en-AU"/>
              </w:rPr>
              <w:t>5.3 (1.9, 11.1)</w:t>
            </w:r>
          </w:p>
        </w:tc>
        <w:tc>
          <w:tcPr>
            <w:tcW w:w="759" w:type="pct"/>
            <w:gridSpan w:val="2"/>
            <w:vAlign w:val="center"/>
          </w:tcPr>
          <w:p w:rsidR="00AE46DA" w:rsidRPr="001825C9" w:rsidRDefault="00AE46DA" w:rsidP="00B21F37">
            <w:pPr>
              <w:pStyle w:val="TableText"/>
              <w:keepNext/>
              <w:keepLines/>
              <w:widowControl/>
              <w:spacing w:before="0" w:after="0" w:line="240" w:lineRule="auto"/>
              <w:jc w:val="center"/>
              <w:rPr>
                <w:lang w:val="en-AU"/>
              </w:rPr>
            </w:pPr>
            <w:r w:rsidRPr="001825C9">
              <w:rPr>
                <w:lang w:val="en-AU"/>
              </w:rPr>
              <w:t>NR (NR, NR)</w:t>
            </w:r>
          </w:p>
        </w:tc>
        <w:tc>
          <w:tcPr>
            <w:tcW w:w="944" w:type="pct"/>
            <w:gridSpan w:val="2"/>
            <w:vAlign w:val="center"/>
          </w:tcPr>
          <w:p w:rsidR="00AE46DA" w:rsidRPr="001825C9" w:rsidRDefault="00AE46DA" w:rsidP="00B21F37">
            <w:pPr>
              <w:pStyle w:val="TableText"/>
              <w:keepNext/>
              <w:keepLines/>
              <w:widowControl/>
              <w:spacing w:before="0" w:after="0" w:line="240" w:lineRule="auto"/>
              <w:jc w:val="center"/>
              <w:rPr>
                <w:b/>
                <w:lang w:val="en-AU"/>
              </w:rPr>
            </w:pPr>
            <w:r w:rsidRPr="001825C9">
              <w:rPr>
                <w:rFonts w:cs="Arial"/>
                <w:szCs w:val="20"/>
                <w:lang w:val="en-AU"/>
              </w:rPr>
              <w:t>NE</w:t>
            </w:r>
          </w:p>
        </w:tc>
        <w:tc>
          <w:tcPr>
            <w:tcW w:w="915" w:type="pct"/>
          </w:tcPr>
          <w:p w:rsidR="00AE46DA" w:rsidRPr="001825C9" w:rsidRDefault="00AE46DA" w:rsidP="00B21F37">
            <w:pPr>
              <w:pStyle w:val="TableText"/>
              <w:keepNext/>
              <w:keepLines/>
              <w:widowControl/>
              <w:spacing w:before="0" w:after="0" w:line="240" w:lineRule="auto"/>
              <w:rPr>
                <w:b/>
                <w:lang w:val="en-AU"/>
              </w:rPr>
            </w:pPr>
          </w:p>
        </w:tc>
      </w:tr>
      <w:tr w:rsidR="00AE46DA" w:rsidRPr="001825C9" w:rsidTr="00B21F37">
        <w:tc>
          <w:tcPr>
            <w:tcW w:w="5000" w:type="pct"/>
            <w:gridSpan w:val="11"/>
            <w:tcBorders>
              <w:top w:val="double" w:sz="4" w:space="0" w:color="auto"/>
            </w:tcBorders>
          </w:tcPr>
          <w:p w:rsidR="00AE46DA" w:rsidRPr="001825C9" w:rsidRDefault="00AE46DA" w:rsidP="00B21F37">
            <w:pPr>
              <w:pStyle w:val="TableText"/>
              <w:keepNext/>
              <w:keepLines/>
              <w:widowControl/>
              <w:rPr>
                <w:b/>
                <w:lang w:val="en-AU"/>
              </w:rPr>
            </w:pPr>
            <w:r w:rsidRPr="001825C9">
              <w:rPr>
                <w:b/>
                <w:lang w:val="en-AU"/>
              </w:rPr>
              <w:t xml:space="preserve">Harms (median duration of follow-up 14.7 months; data cut 15 Aug 2019) </w:t>
            </w:r>
            <w:r w:rsidRPr="001825C9">
              <w:rPr>
                <w:b/>
                <w:vertAlign w:val="superscript"/>
                <w:lang w:val="en-AU"/>
              </w:rPr>
              <w:t>d</w:t>
            </w:r>
          </w:p>
        </w:tc>
      </w:tr>
      <w:tr w:rsidR="00AE46DA" w:rsidRPr="001825C9" w:rsidTr="00B21F37">
        <w:trPr>
          <w:trHeight w:val="255"/>
        </w:trPr>
        <w:tc>
          <w:tcPr>
            <w:tcW w:w="881" w:type="pct"/>
            <w:vMerge w:val="restart"/>
            <w:shd w:val="clear" w:color="auto" w:fill="auto"/>
            <w:vAlign w:val="center"/>
          </w:tcPr>
          <w:p w:rsidR="00AE46DA" w:rsidRPr="001825C9" w:rsidRDefault="00AE46DA" w:rsidP="00F0297A">
            <w:pPr>
              <w:pStyle w:val="TableText"/>
              <w:keepNext/>
              <w:keepLines/>
              <w:widowControl/>
              <w:spacing w:before="0" w:after="0" w:line="240" w:lineRule="auto"/>
              <w:rPr>
                <w:b/>
                <w:lang w:val="en-AU"/>
              </w:rPr>
            </w:pPr>
            <w:r w:rsidRPr="001825C9">
              <w:rPr>
                <w:b/>
                <w:lang w:val="en-AU"/>
              </w:rPr>
              <w:t>Potentially clinically relevant AEs (all Grades) n</w:t>
            </w:r>
          </w:p>
        </w:tc>
        <w:tc>
          <w:tcPr>
            <w:tcW w:w="605" w:type="pct"/>
            <w:gridSpan w:val="3"/>
            <w:vMerge w:val="restart"/>
            <w:shd w:val="clear" w:color="auto" w:fill="auto"/>
            <w:vAlign w:val="center"/>
          </w:tcPr>
          <w:p w:rsidR="00AE46DA" w:rsidRPr="001825C9" w:rsidRDefault="00AE46DA" w:rsidP="00B21F37">
            <w:pPr>
              <w:pStyle w:val="TableText"/>
              <w:keepNext/>
              <w:keepLines/>
              <w:widowControl/>
              <w:spacing w:before="0" w:after="0" w:line="240" w:lineRule="auto"/>
              <w:jc w:val="center"/>
              <w:rPr>
                <w:b/>
                <w:lang w:val="en-AU"/>
              </w:rPr>
            </w:pPr>
            <w:r w:rsidRPr="001825C9">
              <w:rPr>
                <w:b/>
                <w:lang w:val="en-AU"/>
              </w:rPr>
              <w:t>ENCO + CETUX</w:t>
            </w:r>
          </w:p>
          <w:p w:rsidR="00AE46DA" w:rsidRPr="001825C9" w:rsidRDefault="00AE46DA" w:rsidP="00B21F37">
            <w:pPr>
              <w:pStyle w:val="TableText"/>
              <w:keepNext/>
              <w:keepLines/>
              <w:widowControl/>
              <w:spacing w:before="0" w:after="0" w:line="240" w:lineRule="auto"/>
              <w:jc w:val="center"/>
              <w:rPr>
                <w:b/>
                <w:lang w:val="en-AU"/>
              </w:rPr>
            </w:pPr>
            <w:r w:rsidRPr="001825C9">
              <w:rPr>
                <w:b/>
                <w:lang w:val="en-AU"/>
              </w:rPr>
              <w:t xml:space="preserve">(N = 216) </w:t>
            </w:r>
          </w:p>
        </w:tc>
        <w:tc>
          <w:tcPr>
            <w:tcW w:w="551" w:type="pct"/>
            <w:vMerge w:val="restart"/>
            <w:shd w:val="clear" w:color="auto" w:fill="auto"/>
            <w:vAlign w:val="center"/>
          </w:tcPr>
          <w:p w:rsidR="00AE46DA" w:rsidRPr="001825C9" w:rsidRDefault="00AE46DA" w:rsidP="00B21F37">
            <w:pPr>
              <w:pStyle w:val="TableText"/>
              <w:keepNext/>
              <w:keepLines/>
              <w:widowControl/>
              <w:spacing w:before="0" w:after="0" w:line="240" w:lineRule="auto"/>
              <w:jc w:val="center"/>
              <w:rPr>
                <w:b/>
                <w:vertAlign w:val="superscript"/>
                <w:lang w:val="en-AU"/>
              </w:rPr>
            </w:pPr>
            <w:r w:rsidRPr="001825C9">
              <w:rPr>
                <w:b/>
                <w:lang w:val="en-AU"/>
              </w:rPr>
              <w:t xml:space="preserve">Control </w:t>
            </w:r>
            <w:r w:rsidRPr="001825C9">
              <w:rPr>
                <w:b/>
                <w:vertAlign w:val="superscript"/>
                <w:lang w:val="en-AU"/>
              </w:rPr>
              <w:t>a</w:t>
            </w:r>
          </w:p>
          <w:p w:rsidR="00AE46DA" w:rsidRPr="001825C9" w:rsidRDefault="00AE46DA" w:rsidP="00B21F37">
            <w:pPr>
              <w:pStyle w:val="TableText"/>
              <w:keepNext/>
              <w:keepLines/>
              <w:widowControl/>
              <w:spacing w:before="0" w:after="0" w:line="240" w:lineRule="auto"/>
              <w:jc w:val="center"/>
              <w:rPr>
                <w:b/>
                <w:vertAlign w:val="superscript"/>
                <w:lang w:val="en-AU"/>
              </w:rPr>
            </w:pPr>
            <w:r w:rsidRPr="001825C9">
              <w:rPr>
                <w:b/>
                <w:lang w:val="en-AU"/>
              </w:rPr>
              <w:t>(N = 193)</w:t>
            </w:r>
          </w:p>
        </w:tc>
        <w:tc>
          <w:tcPr>
            <w:tcW w:w="1107" w:type="pct"/>
            <w:gridSpan w:val="3"/>
            <w:shd w:val="clear" w:color="auto" w:fill="auto"/>
            <w:vAlign w:val="center"/>
          </w:tcPr>
          <w:p w:rsidR="00AE46DA" w:rsidRPr="001825C9" w:rsidRDefault="00AE46DA" w:rsidP="00B21F37">
            <w:pPr>
              <w:pStyle w:val="TableText"/>
              <w:keepNext/>
              <w:keepLines/>
              <w:widowControl/>
              <w:spacing w:before="0" w:after="0" w:line="240" w:lineRule="auto"/>
              <w:jc w:val="center"/>
              <w:rPr>
                <w:b/>
                <w:lang w:val="en-AU"/>
              </w:rPr>
            </w:pPr>
            <w:r w:rsidRPr="001825C9">
              <w:rPr>
                <w:b/>
                <w:lang w:val="en-AU"/>
              </w:rPr>
              <w:t>Event rate / 100 patients</w:t>
            </w:r>
          </w:p>
        </w:tc>
        <w:tc>
          <w:tcPr>
            <w:tcW w:w="912" w:type="pct"/>
            <w:vMerge w:val="restart"/>
            <w:shd w:val="clear" w:color="auto" w:fill="auto"/>
            <w:vAlign w:val="center"/>
          </w:tcPr>
          <w:p w:rsidR="00AE46DA" w:rsidRPr="001825C9" w:rsidRDefault="00AE46DA" w:rsidP="00B21F37">
            <w:pPr>
              <w:pStyle w:val="TableText"/>
              <w:keepNext/>
              <w:keepLines/>
              <w:widowControl/>
              <w:spacing w:before="0" w:after="0" w:line="240" w:lineRule="auto"/>
              <w:jc w:val="center"/>
              <w:rPr>
                <w:b/>
                <w:lang w:val="en-AU"/>
              </w:rPr>
            </w:pPr>
            <w:r w:rsidRPr="001825C9">
              <w:rPr>
                <w:b/>
                <w:lang w:val="en-AU"/>
              </w:rPr>
              <w:t>RR</w:t>
            </w:r>
          </w:p>
          <w:p w:rsidR="00AE46DA" w:rsidRPr="001825C9" w:rsidRDefault="00AE46DA" w:rsidP="00B21F37">
            <w:pPr>
              <w:pStyle w:val="TableText"/>
              <w:keepNext/>
              <w:keepLines/>
              <w:widowControl/>
              <w:spacing w:before="0" w:after="0" w:line="240" w:lineRule="auto"/>
              <w:jc w:val="center"/>
              <w:rPr>
                <w:b/>
                <w:vertAlign w:val="superscript"/>
                <w:lang w:val="en-AU"/>
              </w:rPr>
            </w:pPr>
            <w:r w:rsidRPr="001825C9">
              <w:rPr>
                <w:b/>
                <w:lang w:val="en-AU"/>
              </w:rPr>
              <w:t xml:space="preserve">(95% CI) </w:t>
            </w:r>
            <w:r w:rsidRPr="001825C9">
              <w:rPr>
                <w:b/>
                <w:vertAlign w:val="superscript"/>
                <w:lang w:val="en-AU"/>
              </w:rPr>
              <w:t>f</w:t>
            </w:r>
          </w:p>
        </w:tc>
        <w:tc>
          <w:tcPr>
            <w:tcW w:w="944" w:type="pct"/>
            <w:gridSpan w:val="2"/>
            <w:vMerge w:val="restart"/>
            <w:shd w:val="clear" w:color="auto" w:fill="auto"/>
            <w:vAlign w:val="center"/>
          </w:tcPr>
          <w:p w:rsidR="00AE46DA" w:rsidRPr="001825C9" w:rsidRDefault="00AE46DA" w:rsidP="00B21F37">
            <w:pPr>
              <w:pStyle w:val="TableText"/>
              <w:keepNext/>
              <w:keepLines/>
              <w:widowControl/>
              <w:spacing w:before="0" w:after="0" w:line="240" w:lineRule="auto"/>
              <w:jc w:val="center"/>
              <w:rPr>
                <w:b/>
                <w:lang w:val="en-AU"/>
              </w:rPr>
            </w:pPr>
            <w:r w:rsidRPr="001825C9">
              <w:rPr>
                <w:b/>
                <w:lang w:val="en-AU"/>
              </w:rPr>
              <w:t>RD</w:t>
            </w:r>
          </w:p>
          <w:p w:rsidR="00AE46DA" w:rsidRPr="001825C9" w:rsidRDefault="00AE46DA" w:rsidP="00B21F37">
            <w:pPr>
              <w:pStyle w:val="TableText"/>
              <w:keepNext/>
              <w:keepLines/>
              <w:widowControl/>
              <w:spacing w:before="0" w:after="0" w:line="240" w:lineRule="auto"/>
              <w:jc w:val="center"/>
              <w:rPr>
                <w:b/>
                <w:vertAlign w:val="superscript"/>
                <w:lang w:val="en-AU"/>
              </w:rPr>
            </w:pPr>
            <w:r w:rsidRPr="001825C9">
              <w:rPr>
                <w:b/>
                <w:lang w:val="en-AU"/>
              </w:rPr>
              <w:t xml:space="preserve">(95% CI) </w:t>
            </w:r>
            <w:r w:rsidRPr="001825C9">
              <w:rPr>
                <w:b/>
                <w:vertAlign w:val="superscript"/>
                <w:lang w:val="en-AU"/>
              </w:rPr>
              <w:t>f</w:t>
            </w:r>
          </w:p>
        </w:tc>
      </w:tr>
      <w:tr w:rsidR="00AE46DA" w:rsidRPr="001825C9" w:rsidTr="00B21F37">
        <w:trPr>
          <w:trHeight w:val="54"/>
        </w:trPr>
        <w:tc>
          <w:tcPr>
            <w:tcW w:w="881" w:type="pct"/>
            <w:vMerge/>
            <w:shd w:val="clear" w:color="auto" w:fill="auto"/>
            <w:vAlign w:val="center"/>
          </w:tcPr>
          <w:p w:rsidR="00AE46DA" w:rsidRPr="001825C9" w:rsidRDefault="00AE46DA" w:rsidP="00B21F37">
            <w:pPr>
              <w:pStyle w:val="TableText"/>
              <w:keepNext/>
              <w:keepLines/>
              <w:widowControl/>
              <w:spacing w:before="0" w:after="0" w:line="240" w:lineRule="auto"/>
              <w:jc w:val="center"/>
              <w:rPr>
                <w:b/>
                <w:lang w:val="en-AU"/>
              </w:rPr>
            </w:pPr>
          </w:p>
        </w:tc>
        <w:tc>
          <w:tcPr>
            <w:tcW w:w="605" w:type="pct"/>
            <w:gridSpan w:val="3"/>
            <w:vMerge/>
            <w:shd w:val="clear" w:color="auto" w:fill="auto"/>
            <w:vAlign w:val="center"/>
          </w:tcPr>
          <w:p w:rsidR="00AE46DA" w:rsidRPr="001825C9" w:rsidRDefault="00AE46DA" w:rsidP="00B21F37">
            <w:pPr>
              <w:pStyle w:val="TableText"/>
              <w:keepNext/>
              <w:keepLines/>
              <w:widowControl/>
              <w:spacing w:before="0" w:after="0" w:line="240" w:lineRule="auto"/>
              <w:jc w:val="center"/>
              <w:rPr>
                <w:b/>
                <w:lang w:val="en-AU"/>
              </w:rPr>
            </w:pPr>
          </w:p>
        </w:tc>
        <w:tc>
          <w:tcPr>
            <w:tcW w:w="551" w:type="pct"/>
            <w:vMerge/>
            <w:shd w:val="clear" w:color="auto" w:fill="auto"/>
            <w:vAlign w:val="center"/>
          </w:tcPr>
          <w:p w:rsidR="00AE46DA" w:rsidRPr="001825C9" w:rsidRDefault="00AE46DA" w:rsidP="00B21F37">
            <w:pPr>
              <w:pStyle w:val="TableText"/>
              <w:keepNext/>
              <w:keepLines/>
              <w:widowControl/>
              <w:spacing w:before="0" w:after="0" w:line="240" w:lineRule="auto"/>
              <w:jc w:val="center"/>
              <w:rPr>
                <w:b/>
                <w:lang w:val="en-AU"/>
              </w:rPr>
            </w:pPr>
          </w:p>
        </w:tc>
        <w:tc>
          <w:tcPr>
            <w:tcW w:w="552" w:type="pct"/>
            <w:gridSpan w:val="2"/>
            <w:shd w:val="clear" w:color="auto" w:fill="auto"/>
            <w:vAlign w:val="center"/>
          </w:tcPr>
          <w:p w:rsidR="00AE46DA" w:rsidRPr="001825C9" w:rsidRDefault="00AE46DA" w:rsidP="00B21F37">
            <w:pPr>
              <w:pStyle w:val="TableText"/>
              <w:keepNext/>
              <w:keepLines/>
              <w:widowControl/>
              <w:spacing w:before="0" w:after="0" w:line="240" w:lineRule="auto"/>
              <w:jc w:val="center"/>
              <w:rPr>
                <w:b/>
                <w:lang w:val="en-AU"/>
              </w:rPr>
            </w:pPr>
            <w:r w:rsidRPr="001825C9">
              <w:rPr>
                <w:b/>
                <w:lang w:val="en-AU"/>
              </w:rPr>
              <w:t>ENCO + CETUX</w:t>
            </w:r>
          </w:p>
        </w:tc>
        <w:tc>
          <w:tcPr>
            <w:tcW w:w="555" w:type="pct"/>
            <w:shd w:val="clear" w:color="auto" w:fill="auto"/>
            <w:vAlign w:val="center"/>
          </w:tcPr>
          <w:p w:rsidR="00AE46DA" w:rsidRPr="001825C9" w:rsidRDefault="00AE46DA" w:rsidP="00B21F37">
            <w:pPr>
              <w:pStyle w:val="TableText"/>
              <w:keepNext/>
              <w:keepLines/>
              <w:widowControl/>
              <w:spacing w:before="0" w:after="0" w:line="240" w:lineRule="auto"/>
              <w:jc w:val="center"/>
              <w:rPr>
                <w:b/>
                <w:vertAlign w:val="superscript"/>
                <w:lang w:val="en-AU"/>
              </w:rPr>
            </w:pPr>
            <w:r w:rsidRPr="001825C9">
              <w:rPr>
                <w:b/>
                <w:lang w:val="en-AU"/>
              </w:rPr>
              <w:t xml:space="preserve">Control </w:t>
            </w:r>
            <w:r w:rsidRPr="001825C9">
              <w:rPr>
                <w:b/>
                <w:vertAlign w:val="superscript"/>
                <w:lang w:val="en-AU"/>
              </w:rPr>
              <w:t>a</w:t>
            </w:r>
          </w:p>
          <w:p w:rsidR="00AE46DA" w:rsidRPr="001825C9" w:rsidRDefault="00AE46DA" w:rsidP="00B21F37">
            <w:pPr>
              <w:pStyle w:val="TableText"/>
              <w:keepNext/>
              <w:keepLines/>
              <w:widowControl/>
              <w:spacing w:before="0" w:after="0" w:line="240" w:lineRule="auto"/>
              <w:jc w:val="center"/>
              <w:rPr>
                <w:b/>
                <w:lang w:val="en-AU"/>
              </w:rPr>
            </w:pPr>
          </w:p>
        </w:tc>
        <w:tc>
          <w:tcPr>
            <w:tcW w:w="912" w:type="pct"/>
            <w:vMerge/>
            <w:shd w:val="clear" w:color="auto" w:fill="auto"/>
            <w:vAlign w:val="center"/>
          </w:tcPr>
          <w:p w:rsidR="00AE46DA" w:rsidRPr="001825C9" w:rsidRDefault="00AE46DA" w:rsidP="00B21F37">
            <w:pPr>
              <w:pStyle w:val="TableText"/>
              <w:keepNext/>
              <w:keepLines/>
              <w:widowControl/>
              <w:spacing w:before="0" w:after="0" w:line="240" w:lineRule="auto"/>
              <w:jc w:val="center"/>
              <w:rPr>
                <w:b/>
                <w:lang w:val="en-AU"/>
              </w:rPr>
            </w:pPr>
          </w:p>
        </w:tc>
        <w:tc>
          <w:tcPr>
            <w:tcW w:w="944" w:type="pct"/>
            <w:gridSpan w:val="2"/>
            <w:vMerge/>
            <w:shd w:val="clear" w:color="auto" w:fill="auto"/>
            <w:vAlign w:val="center"/>
          </w:tcPr>
          <w:p w:rsidR="00AE46DA" w:rsidRPr="001825C9" w:rsidRDefault="00AE46DA" w:rsidP="00B21F37">
            <w:pPr>
              <w:pStyle w:val="TableText"/>
              <w:keepNext/>
              <w:keepLines/>
              <w:widowControl/>
              <w:spacing w:before="0" w:after="0" w:line="240" w:lineRule="auto"/>
              <w:jc w:val="center"/>
              <w:rPr>
                <w:b/>
                <w:lang w:val="en-AU"/>
              </w:rPr>
            </w:pP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lang w:val="en-AU"/>
              </w:rPr>
            </w:pPr>
            <w:r w:rsidRPr="001825C9">
              <w:rPr>
                <w:szCs w:val="20"/>
                <w:lang w:val="en-AU"/>
              </w:rPr>
              <w:t>Arthralgia</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49</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3</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22.7</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1.6</w:t>
            </w:r>
          </w:p>
        </w:tc>
        <w:tc>
          <w:tcPr>
            <w:tcW w:w="912" w:type="pct"/>
            <w:shd w:val="clear" w:color="auto" w:fill="auto"/>
            <w:vAlign w:val="center"/>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0.21 (0.15, 0.27)</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14.59 (4.62, 46.07)</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lang w:val="en-AU"/>
              </w:rPr>
            </w:pPr>
            <w:r w:rsidRPr="001825C9">
              <w:rPr>
                <w:szCs w:val="20"/>
                <w:lang w:val="en-AU"/>
              </w:rPr>
              <w:t>Headache</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43</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5</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19.9</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2.6</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0.17 (0.12, 0.23)</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7.68 (3.11, 19.00)</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lang w:val="en-AU"/>
              </w:rPr>
            </w:pPr>
            <w:r w:rsidRPr="001825C9">
              <w:rPr>
                <w:szCs w:val="20"/>
                <w:lang w:val="en-AU"/>
              </w:rPr>
              <w:t>Myalgia</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33</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4</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15.3</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2.1</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0.13 (0.08, 0.18)</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7.37 (2.66, 20.43)</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lang w:val="en-AU"/>
              </w:rPr>
            </w:pPr>
            <w:r w:rsidRPr="001825C9">
              <w:rPr>
                <w:szCs w:val="20"/>
                <w:lang w:val="en-AU"/>
              </w:rPr>
              <w:t>Musculoskeletal pain</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29</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5</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13.4</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2.6</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0.11 (0.06, 0.16)</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5.18 (2.05, 13.12)</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lang w:val="en-AU"/>
              </w:rPr>
            </w:pPr>
            <w:r w:rsidRPr="001825C9">
              <w:rPr>
                <w:szCs w:val="20"/>
                <w:lang w:val="en-AU"/>
              </w:rPr>
              <w:t>Pain in extremity</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25</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2</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11.6</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1.0</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0.11 (0.06, 0.15)</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11.17 (2.68, 46.54)</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lang w:val="en-AU"/>
              </w:rPr>
            </w:pPr>
            <w:r w:rsidRPr="001825C9">
              <w:rPr>
                <w:szCs w:val="20"/>
                <w:lang w:val="en-AU"/>
              </w:rPr>
              <w:t>Pruritus</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24</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10</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11.1</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5.2</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0.06 (0.01, 0.11)</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2.14 (1.05, 4.37)</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lang w:val="en-AU"/>
              </w:rPr>
            </w:pPr>
            <w:r w:rsidRPr="001825C9">
              <w:rPr>
                <w:szCs w:val="20"/>
                <w:lang w:val="en-AU"/>
              </w:rPr>
              <w:t xml:space="preserve">Stomatitis </w:t>
            </w:r>
            <w:r w:rsidRPr="001825C9">
              <w:rPr>
                <w:szCs w:val="20"/>
                <w:vertAlign w:val="superscript"/>
                <w:lang w:val="en-AU"/>
              </w:rPr>
              <w:t>e</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13</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45</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6.0</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23.3</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-0.17 (-0.24, -0.11)</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0.26 (0.14, 0.46)</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i/>
                <w:szCs w:val="20"/>
                <w:lang w:val="en-AU"/>
              </w:rPr>
            </w:pPr>
            <w:r w:rsidRPr="001825C9">
              <w:rPr>
                <w:szCs w:val="20"/>
                <w:lang w:val="en-AU"/>
              </w:rPr>
              <w:t>Neutropenia</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3</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36</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1.4</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18.7</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-0.17 (-0.23, -0.12)</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0.07 (0.02, 0.24)</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i/>
                <w:szCs w:val="20"/>
                <w:lang w:val="en-AU"/>
              </w:rPr>
            </w:pPr>
            <w:r w:rsidRPr="001825C9">
              <w:rPr>
                <w:szCs w:val="20"/>
                <w:lang w:val="en-AU"/>
              </w:rPr>
              <w:t>Diarrhoea</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83</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94</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38.4</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48.7</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-0.10 (-0.20, -0.01)</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0.79 (0.63, 0.99)</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i/>
                <w:szCs w:val="20"/>
                <w:lang w:val="en-AU"/>
              </w:rPr>
            </w:pPr>
            <w:r w:rsidRPr="001825C9">
              <w:rPr>
                <w:szCs w:val="20"/>
                <w:lang w:val="en-AU"/>
              </w:rPr>
              <w:t>Dermatitis acneiform</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65</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77</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30.1</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i/>
                <w:szCs w:val="20"/>
                <w:lang w:val="en-AU"/>
              </w:rPr>
            </w:pPr>
            <w:r w:rsidRPr="001825C9">
              <w:rPr>
                <w:szCs w:val="20"/>
                <w:lang w:val="en-AU"/>
              </w:rPr>
              <w:t>39.9</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-0.10 (-0.19, -0.01)</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0.75 (0.58, 0.99)</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szCs w:val="20"/>
                <w:lang w:val="en-AU"/>
              </w:rPr>
            </w:pPr>
            <w:r w:rsidRPr="001825C9">
              <w:rPr>
                <w:szCs w:val="20"/>
                <w:lang w:val="en-AU"/>
              </w:rPr>
              <w:t>Neutrophil count decreased</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szCs w:val="20"/>
                <w:lang w:val="en-AU"/>
              </w:rPr>
            </w:pPr>
            <w:r w:rsidRPr="001825C9">
              <w:rPr>
                <w:szCs w:val="20"/>
                <w:lang w:val="en-AU"/>
              </w:rPr>
              <w:t>1</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szCs w:val="20"/>
                <w:lang w:val="en-AU"/>
              </w:rPr>
            </w:pPr>
            <w:r w:rsidRPr="001825C9">
              <w:rPr>
                <w:szCs w:val="20"/>
                <w:lang w:val="en-AU"/>
              </w:rPr>
              <w:t>21</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szCs w:val="20"/>
                <w:lang w:val="en-AU"/>
              </w:rPr>
            </w:pPr>
            <w:r w:rsidRPr="001825C9">
              <w:rPr>
                <w:szCs w:val="20"/>
                <w:lang w:val="en-AU"/>
              </w:rPr>
              <w:t>0.5</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szCs w:val="20"/>
                <w:lang w:val="en-AU"/>
              </w:rPr>
            </w:pPr>
            <w:r w:rsidRPr="001825C9">
              <w:rPr>
                <w:szCs w:val="20"/>
                <w:lang w:val="en-AU"/>
              </w:rPr>
              <w:t>10.9</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-0.10 (-0.15, -0.06)</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0.04 (0.01, 0.31)</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lang w:val="en-AU"/>
              </w:rPr>
            </w:pPr>
            <w:r w:rsidRPr="001825C9">
              <w:rPr>
                <w:szCs w:val="20"/>
                <w:lang w:val="en-AU"/>
              </w:rPr>
              <w:t>Hypokalaemia</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13</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27</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6.0</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14.0</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-0.08 (-0.14, -0.02)</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0.43 (0.23, 0.81)</w:t>
            </w:r>
          </w:p>
        </w:tc>
      </w:tr>
      <w:tr w:rsidR="00AE46DA" w:rsidRPr="001825C9" w:rsidTr="0056025A">
        <w:trPr>
          <w:trHeight w:val="57"/>
        </w:trPr>
        <w:tc>
          <w:tcPr>
            <w:tcW w:w="881" w:type="pct"/>
            <w:shd w:val="clear" w:color="auto" w:fill="auto"/>
            <w:vAlign w:val="center"/>
          </w:tcPr>
          <w:p w:rsidR="00AE46DA" w:rsidRPr="001825C9" w:rsidRDefault="00AE46DA" w:rsidP="00B21F37">
            <w:pPr>
              <w:pStyle w:val="TableText"/>
              <w:keepNext/>
              <w:keepLines/>
              <w:widowControl/>
              <w:spacing w:before="0" w:after="0" w:line="240" w:lineRule="auto"/>
              <w:rPr>
                <w:lang w:val="en-AU"/>
              </w:rPr>
            </w:pPr>
            <w:r w:rsidRPr="001825C9">
              <w:rPr>
                <w:szCs w:val="20"/>
                <w:lang w:val="en-AU"/>
              </w:rPr>
              <w:t>Alopecia</w:t>
            </w:r>
          </w:p>
        </w:tc>
        <w:tc>
          <w:tcPr>
            <w:tcW w:w="605" w:type="pct"/>
            <w:gridSpan w:val="3"/>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9</w:t>
            </w:r>
          </w:p>
        </w:tc>
        <w:tc>
          <w:tcPr>
            <w:tcW w:w="551"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21</w:t>
            </w:r>
          </w:p>
        </w:tc>
        <w:tc>
          <w:tcPr>
            <w:tcW w:w="552" w:type="pct"/>
            <w:gridSpan w:val="2"/>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4.2</w:t>
            </w:r>
          </w:p>
        </w:tc>
        <w:tc>
          <w:tcPr>
            <w:tcW w:w="555" w:type="pct"/>
            <w:shd w:val="clear" w:color="auto" w:fill="auto"/>
            <w:vAlign w:val="center"/>
          </w:tcPr>
          <w:p w:rsidR="00AE46DA" w:rsidRPr="001825C9" w:rsidRDefault="00AE46DA" w:rsidP="0056025A">
            <w:pPr>
              <w:pStyle w:val="TableText"/>
              <w:keepNext/>
              <w:keepLines/>
              <w:widowControl/>
              <w:spacing w:before="0" w:after="0" w:line="240" w:lineRule="auto"/>
              <w:jc w:val="center"/>
              <w:rPr>
                <w:lang w:val="en-AU"/>
              </w:rPr>
            </w:pPr>
            <w:r w:rsidRPr="001825C9">
              <w:rPr>
                <w:szCs w:val="20"/>
                <w:lang w:val="en-AU"/>
              </w:rPr>
              <w:t>10.9</w:t>
            </w:r>
          </w:p>
        </w:tc>
        <w:tc>
          <w:tcPr>
            <w:tcW w:w="912" w:type="pct"/>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-0.07 (-0.12, -0.02)</w:t>
            </w:r>
          </w:p>
        </w:tc>
        <w:tc>
          <w:tcPr>
            <w:tcW w:w="944" w:type="pct"/>
            <w:gridSpan w:val="2"/>
            <w:shd w:val="clear" w:color="auto" w:fill="auto"/>
            <w:vAlign w:val="bottom"/>
          </w:tcPr>
          <w:p w:rsidR="00AE46DA" w:rsidRPr="001825C9" w:rsidRDefault="00AE46DA" w:rsidP="0056025A">
            <w:pPr>
              <w:keepNext/>
              <w:keepLines/>
              <w:spacing w:before="0" w:after="0"/>
              <w:ind w:right="-45"/>
              <w:jc w:val="center"/>
              <w:rPr>
                <w:rFonts w:ascii="Arial Narrow" w:hAnsi="Arial Narrow" w:cs="Arial"/>
                <w:b/>
                <w:color w:val="000000" w:themeColor="text1"/>
                <w:sz w:val="20"/>
                <w:szCs w:val="20"/>
                <w:lang w:val="en-AU"/>
              </w:rPr>
            </w:pPr>
            <w:r w:rsidRPr="001825C9">
              <w:rPr>
                <w:rFonts w:ascii="Arial Narrow" w:hAnsi="Arial Narrow" w:cs="Arial"/>
                <w:b/>
                <w:color w:val="000000" w:themeColor="text1"/>
                <w:sz w:val="20"/>
                <w:szCs w:val="20"/>
                <w:lang w:val="en-AU"/>
              </w:rPr>
              <w:t>0.38 (0.18, 0.82)</w:t>
            </w:r>
          </w:p>
        </w:tc>
      </w:tr>
    </w:tbl>
    <w:p w:rsidR="00AE46DA" w:rsidRPr="001825C9" w:rsidRDefault="00AE46DA" w:rsidP="00AE46DA">
      <w:pPr>
        <w:keepNext/>
        <w:keepLines/>
        <w:spacing w:before="0" w:after="0"/>
        <w:rPr>
          <w:rFonts w:ascii="Arial Narrow" w:hAnsi="Arial Narrow"/>
          <w:sz w:val="18"/>
          <w:szCs w:val="18"/>
        </w:rPr>
      </w:pPr>
      <w:r w:rsidRPr="001825C9">
        <w:rPr>
          <w:rFonts w:ascii="Arial Narrow" w:hAnsi="Arial Narrow"/>
          <w:sz w:val="18"/>
          <w:szCs w:val="18"/>
        </w:rPr>
        <w:t xml:space="preserve">Notes: </w:t>
      </w:r>
      <w:r w:rsidRPr="001825C9">
        <w:rPr>
          <w:rFonts w:ascii="Arial Narrow" w:hAnsi="Arial Narrow"/>
          <w:sz w:val="18"/>
          <w:szCs w:val="18"/>
          <w:vertAlign w:val="superscript"/>
        </w:rPr>
        <w:t>a</w:t>
      </w:r>
      <w:r w:rsidRPr="001825C9">
        <w:rPr>
          <w:rFonts w:ascii="Arial Narrow" w:hAnsi="Arial Narrow"/>
          <w:sz w:val="18"/>
          <w:szCs w:val="18"/>
        </w:rPr>
        <w:t xml:space="preserve"> Control arm = investigator’s choice of irinotecan + cetuximab or FOLFIRI + cetuximab</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b</w:t>
      </w:r>
      <w:r w:rsidRPr="001825C9">
        <w:rPr>
          <w:rFonts w:ascii="Arial Narrow" w:hAnsi="Arial Narrow"/>
          <w:sz w:val="18"/>
          <w:szCs w:val="18"/>
        </w:rPr>
        <w:t xml:space="preserve"> Stratified by ECOG PS, source of cetuximab, and prior irinotecan use at randomisation</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c </w:t>
      </w:r>
      <w:r w:rsidRPr="001825C9">
        <w:rPr>
          <w:rFonts w:ascii="Arial Narrow" w:hAnsi="Arial Narrow"/>
          <w:sz w:val="18"/>
          <w:szCs w:val="18"/>
        </w:rPr>
        <w:t>95% CI was not reported</w:t>
      </w:r>
    </w:p>
    <w:p w:rsidR="00AE46DA" w:rsidRPr="001825C9" w:rsidRDefault="00AE46DA" w:rsidP="00AE46DA">
      <w:pPr>
        <w:pStyle w:val="TableFooter"/>
        <w:widowControl/>
        <w:spacing w:after="0"/>
        <w:contextualSpacing w:val="0"/>
        <w:rPr>
          <w:szCs w:val="18"/>
        </w:rPr>
      </w:pPr>
      <w:r w:rsidRPr="001825C9">
        <w:rPr>
          <w:szCs w:val="18"/>
          <w:vertAlign w:val="superscript"/>
        </w:rPr>
        <w:t xml:space="preserve">d </w:t>
      </w:r>
      <w:r w:rsidRPr="001825C9">
        <w:rPr>
          <w:szCs w:val="18"/>
        </w:rPr>
        <w:t>Defined as the duration between randomisation and cut-off date in total population (N = 665)</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e </w:t>
      </w:r>
      <w:r w:rsidRPr="001825C9">
        <w:rPr>
          <w:rFonts w:ascii="Arial Narrow" w:hAnsi="Arial Narrow"/>
          <w:sz w:val="18"/>
          <w:szCs w:val="18"/>
        </w:rPr>
        <w:t xml:space="preserve">added during evaluation </w:t>
      </w:r>
    </w:p>
    <w:p w:rsidR="002E5CD1"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f </w:t>
      </w:r>
      <w:r w:rsidRPr="001825C9">
        <w:rPr>
          <w:rFonts w:ascii="Arial Narrow" w:hAnsi="Arial Narrow"/>
          <w:sz w:val="18"/>
          <w:szCs w:val="18"/>
        </w:rPr>
        <w:t>RD and RR was calculated during the evaluation</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Abbreviations: AE = adverse event; CI = confidence interval; CETUX = cetuximab; ENCO = encorafenib; HR = hazard ratio; n = number of participants reporting data; N = total participants in group; NE = not estimable; NR = Not Reported; OS = overall survival; PFS = progression-free survival; RD = risk difference; RR = relative risk</w:t>
      </w:r>
    </w:p>
    <w:p w:rsidR="00AE46DA" w:rsidRPr="001825C9" w:rsidRDefault="00AE46DA" w:rsidP="00AE46DA">
      <w:pPr>
        <w:pStyle w:val="TableFooter"/>
        <w:widowControl/>
        <w:rPr>
          <w:color w:val="000000" w:themeColor="text1"/>
          <w:szCs w:val="24"/>
        </w:rPr>
      </w:pPr>
      <w:r w:rsidRPr="001825C9">
        <w:t xml:space="preserve">Source: Compiled during the evaluation; </w:t>
      </w:r>
      <w:r w:rsidRPr="001825C9">
        <w:rPr>
          <w:szCs w:val="18"/>
        </w:rPr>
        <w:t>Table 2-80, 2-89, 2-94 pp169,183,195 of the submission;</w:t>
      </w:r>
      <w:r w:rsidRPr="001825C9">
        <w:rPr>
          <w:color w:val="000000" w:themeColor="text1"/>
          <w:szCs w:val="24"/>
        </w:rPr>
        <w:t xml:space="preserve"> Table 2 p12 BEACON Addendum CSR (15 Aug 2019)</w:t>
      </w:r>
    </w:p>
    <w:p w:rsidR="00AE46DA" w:rsidRDefault="00AE46DA" w:rsidP="00AE46DA">
      <w:pPr>
        <w:pStyle w:val="TableFooter"/>
        <w:widowControl/>
      </w:pPr>
      <w:r w:rsidRPr="001825C9">
        <w:t>Bold indicates stati</w:t>
      </w:r>
      <w:r w:rsidR="00F0297A" w:rsidRPr="001825C9">
        <w:t>stically significant difference</w:t>
      </w:r>
    </w:p>
    <w:p w:rsidR="002E5CD1" w:rsidRPr="002E5CD1" w:rsidRDefault="002E5CD1" w:rsidP="00AE46DA">
      <w:pPr>
        <w:pStyle w:val="TableFooter"/>
        <w:widowControl/>
      </w:pPr>
      <w:r>
        <w:rPr>
          <w:vertAlign w:val="superscript"/>
        </w:rPr>
        <w:lastRenderedPageBreak/>
        <w:t>^</w:t>
      </w:r>
      <w:r>
        <w:rPr>
          <w:i/>
          <w:iCs/>
        </w:rPr>
        <w:t>OS data cut off May 2020: manuscript in preparation. To be submitted Q3 2021 to BMJ Open</w:t>
      </w:r>
    </w:p>
    <w:p w:rsidR="00AE46DA" w:rsidRPr="001825C9" w:rsidRDefault="00AE46DA" w:rsidP="00AE46DA">
      <w:pPr>
        <w:pStyle w:val="ListParagraph"/>
      </w:pPr>
      <w:r w:rsidRPr="001825C9">
        <w:t xml:space="preserve">On the basis of direct evidence presented by the submission from BEACON, for every 100 patients treated with encorafenib + cetuximab in comparison to FOLFIRI/Ir + cetuximab with </w:t>
      </w:r>
      <w:r w:rsidRPr="001825C9">
        <w:rPr>
          <w:i/>
        </w:rPr>
        <w:t xml:space="preserve">BRAF </w:t>
      </w:r>
      <w:r w:rsidR="0090484C" w:rsidRPr="001825C9">
        <w:t>V600E</w:t>
      </w:r>
      <w:r w:rsidRPr="001825C9">
        <w:rPr>
          <w:i/>
        </w:rPr>
        <w:t xml:space="preserve"> </w:t>
      </w:r>
      <w:r w:rsidRPr="001825C9">
        <w:t>variant mCRC after at least one prior therapy:</w:t>
      </w:r>
    </w:p>
    <w:p w:rsidR="00AE46DA" w:rsidRPr="001825C9" w:rsidRDefault="00AE46DA" w:rsidP="00F0739D">
      <w:pPr>
        <w:pStyle w:val="PBACESParagraphBulletPoint"/>
        <w:ind w:left="1077"/>
      </w:pPr>
      <w:r w:rsidRPr="001825C9">
        <w:t>Approximately 16 additional patients will be alive for 18 months</w:t>
      </w:r>
    </w:p>
    <w:p w:rsidR="00AE46DA" w:rsidRPr="001825C9" w:rsidRDefault="00AE46DA" w:rsidP="00F0739D">
      <w:pPr>
        <w:pStyle w:val="PBACESParagraphBulletPoint"/>
        <w:ind w:left="1077"/>
      </w:pPr>
      <w:r w:rsidRPr="001825C9">
        <w:t xml:space="preserve">Approximately 22 additional patients will be </w:t>
      </w:r>
      <w:r w:rsidR="00872325" w:rsidRPr="001825C9">
        <w:t>alive without progression for 6 </w:t>
      </w:r>
      <w:r w:rsidRPr="001825C9">
        <w:t>months</w:t>
      </w:r>
    </w:p>
    <w:p w:rsidR="00AE46DA" w:rsidRPr="001825C9" w:rsidRDefault="00AE46DA" w:rsidP="00F0739D">
      <w:pPr>
        <w:pStyle w:val="PBACESParagraphBulletPoint"/>
        <w:ind w:left="1077"/>
      </w:pPr>
      <w:r w:rsidRPr="001825C9">
        <w:t>Approximately 21 additional people will experience arthralgia (joint pain)</w:t>
      </w:r>
    </w:p>
    <w:p w:rsidR="00AE46DA" w:rsidRPr="001825C9" w:rsidRDefault="00AE46DA" w:rsidP="00F0739D">
      <w:pPr>
        <w:pStyle w:val="PBACESParagraphBulletPoint"/>
        <w:ind w:left="1077"/>
      </w:pPr>
      <w:r w:rsidRPr="001825C9">
        <w:t>Approximately 17 additional people will experience</w:t>
      </w:r>
      <w:r w:rsidRPr="001825C9">
        <w:rPr>
          <w:i/>
        </w:rPr>
        <w:t xml:space="preserve"> </w:t>
      </w:r>
      <w:r w:rsidRPr="001825C9">
        <w:t>headaches</w:t>
      </w:r>
    </w:p>
    <w:p w:rsidR="00AE46DA" w:rsidRPr="001825C9" w:rsidRDefault="00AE46DA" w:rsidP="00F0739D">
      <w:pPr>
        <w:pStyle w:val="PBACESParagraphBulletPoint"/>
        <w:ind w:left="1077"/>
      </w:pPr>
      <w:r w:rsidRPr="001825C9">
        <w:t>Approximately 13 additional people will experience</w:t>
      </w:r>
      <w:r w:rsidRPr="001825C9">
        <w:rPr>
          <w:i/>
        </w:rPr>
        <w:t xml:space="preserve"> </w:t>
      </w:r>
      <w:r w:rsidRPr="001825C9">
        <w:t>myalgia (muscle pain)</w:t>
      </w:r>
    </w:p>
    <w:p w:rsidR="00AE46DA" w:rsidRPr="001825C9" w:rsidRDefault="00AE46DA" w:rsidP="00F0739D">
      <w:pPr>
        <w:pStyle w:val="PBACESParagraphBulletPoint"/>
        <w:ind w:left="1077"/>
      </w:pPr>
      <w:r w:rsidRPr="001825C9">
        <w:t>Approximately 11 additional people will experience</w:t>
      </w:r>
      <w:r w:rsidRPr="001825C9">
        <w:rPr>
          <w:i/>
        </w:rPr>
        <w:t xml:space="preserve"> </w:t>
      </w:r>
      <w:r w:rsidRPr="001825C9">
        <w:t>musculoskeletal pain (</w:t>
      </w:r>
      <w:r w:rsidRPr="001825C9">
        <w:rPr>
          <w:iCs/>
        </w:rPr>
        <w:t>pain of the muscles/joints/bones</w:t>
      </w:r>
      <w:r w:rsidRPr="001825C9">
        <w:t>)</w:t>
      </w:r>
    </w:p>
    <w:p w:rsidR="00AE46DA" w:rsidRPr="001825C9" w:rsidRDefault="00AE46DA" w:rsidP="00F0739D">
      <w:pPr>
        <w:pStyle w:val="PBACESParagraphBulletPoint"/>
        <w:ind w:left="1077"/>
      </w:pPr>
      <w:r w:rsidRPr="001825C9">
        <w:t>Approximately 11 additional people will experience</w:t>
      </w:r>
      <w:r w:rsidRPr="001825C9">
        <w:rPr>
          <w:i/>
        </w:rPr>
        <w:t xml:space="preserve"> </w:t>
      </w:r>
      <w:r w:rsidRPr="001825C9">
        <w:t>pain in the extremities (</w:t>
      </w:r>
      <w:r w:rsidRPr="001825C9">
        <w:rPr>
          <w:iCs/>
        </w:rPr>
        <w:t>feet/hands</w:t>
      </w:r>
      <w:r w:rsidRPr="001825C9">
        <w:t>)</w:t>
      </w:r>
    </w:p>
    <w:p w:rsidR="00AE46DA" w:rsidRPr="001825C9" w:rsidRDefault="00AE46DA" w:rsidP="00F0739D">
      <w:pPr>
        <w:pStyle w:val="PBACESParagraphBulletPoint"/>
        <w:ind w:left="1077"/>
      </w:pPr>
      <w:r w:rsidRPr="001825C9">
        <w:t>Approximately 6 additional people will experience pruritus (itchy skin)</w:t>
      </w:r>
    </w:p>
    <w:p w:rsidR="00AE46DA" w:rsidRPr="001825C9" w:rsidRDefault="00AE46DA" w:rsidP="00F0739D">
      <w:pPr>
        <w:pStyle w:val="PBACESParagraphBulletPoint"/>
        <w:ind w:left="1077"/>
      </w:pPr>
      <w:r w:rsidRPr="001825C9">
        <w:t>Approximately 17 fewer people will experience stomatitis (inflammation of the mucous membrane of the mouth)</w:t>
      </w:r>
    </w:p>
    <w:p w:rsidR="00AE46DA" w:rsidRPr="001825C9" w:rsidRDefault="00AE46DA" w:rsidP="00F0739D">
      <w:pPr>
        <w:pStyle w:val="PBACESParagraphBulletPoint"/>
        <w:ind w:left="1077"/>
      </w:pPr>
      <w:r w:rsidRPr="001825C9">
        <w:t>Approximately 17 fewer people will experience neutropenia (low neutrophil levels, which may not result in symptoms)</w:t>
      </w:r>
    </w:p>
    <w:p w:rsidR="00AE46DA" w:rsidRPr="001825C9" w:rsidRDefault="00AE46DA" w:rsidP="00F0739D">
      <w:pPr>
        <w:pStyle w:val="PBACESParagraphBulletPoint"/>
        <w:ind w:left="1077"/>
      </w:pPr>
      <w:r w:rsidRPr="001825C9">
        <w:lastRenderedPageBreak/>
        <w:t>Approximately 10 fewer people will experience diarrhoea</w:t>
      </w:r>
    </w:p>
    <w:p w:rsidR="00AE46DA" w:rsidRPr="001825C9" w:rsidRDefault="00AE46DA" w:rsidP="00F0739D">
      <w:pPr>
        <w:pStyle w:val="PBACESParagraphBulletPoint"/>
        <w:ind w:left="1077"/>
      </w:pPr>
      <w:r w:rsidRPr="001825C9">
        <w:t>Approximately 10 fewer people will experience dermatitis acneiform (a skin condition that causes acne-like bumps to form)</w:t>
      </w:r>
    </w:p>
    <w:p w:rsidR="00AE46DA" w:rsidRPr="001825C9" w:rsidRDefault="00AE46DA" w:rsidP="00F0739D">
      <w:pPr>
        <w:pStyle w:val="PBACESParagraphBulletPoint"/>
        <w:ind w:left="1077"/>
      </w:pPr>
      <w:r w:rsidRPr="001825C9">
        <w:t>Approximately 10 fewer people will experience decreased neutrophil counts (low neutrophil levels, which may not result in symptoms)</w:t>
      </w:r>
    </w:p>
    <w:p w:rsidR="00AE46DA" w:rsidRPr="001825C9" w:rsidRDefault="00AE46DA" w:rsidP="00F0739D">
      <w:pPr>
        <w:pStyle w:val="PBACESParagraphBulletPoint"/>
        <w:ind w:left="1077"/>
      </w:pPr>
      <w:r w:rsidRPr="001825C9">
        <w:t>Approximately 8 fewer people will experience hypokalaemia (low potassium levels, which may not result in symptoms)</w:t>
      </w:r>
    </w:p>
    <w:p w:rsidR="00AE46DA" w:rsidRPr="001825C9" w:rsidRDefault="00AE46DA" w:rsidP="00F0739D">
      <w:pPr>
        <w:pStyle w:val="PBACESParagraphBulletPoint"/>
        <w:ind w:left="1077"/>
      </w:pPr>
      <w:r w:rsidRPr="001825C9">
        <w:t>Approximately 7 fewer people will experience alopecia (hair loss).</w:t>
      </w:r>
    </w:p>
    <w:p w:rsidR="00AE46DA" w:rsidRPr="001825C9" w:rsidRDefault="00AE46DA" w:rsidP="00321E61">
      <w:pPr>
        <w:pStyle w:val="PBACESHeading2"/>
      </w:pPr>
      <w:bookmarkStart w:id="29" w:name="_Toc492317103"/>
      <w:bookmarkStart w:id="30" w:name="_Toc61968415"/>
      <w:r w:rsidRPr="001825C9">
        <w:t>Interpretation of clinical evidence</w:t>
      </w:r>
      <w:bookmarkEnd w:id="29"/>
      <w:bookmarkEnd w:id="30"/>
    </w:p>
    <w:p w:rsidR="00AE46DA" w:rsidRPr="001825C9" w:rsidRDefault="00AE46DA" w:rsidP="00AE46DA">
      <w:pPr>
        <w:pStyle w:val="ListParagraph"/>
        <w:rPr>
          <w:color w:val="auto"/>
        </w:rPr>
      </w:pPr>
      <w:r w:rsidRPr="001825C9">
        <w:rPr>
          <w:color w:val="auto"/>
        </w:rPr>
        <w:t xml:space="preserve">On the basis of the evidence from the BEACON trial, the submission claimed encorafenib + cetuximab was superior in terms of effectiveness compared to FOLFIRI + cetuximab or irinotecan + cetuximab, with a manageable tolerability profile and superior safety compared to FOLFIRI + cetuximab or irinotecan + cetuximab. The therapeutic conclusion presented in the submission was adequately supported by the evidence presented from BEACON, with encorafenib + cetuximab achieving statistically significantly superior outcomes (OS, PFS and ORR) compared with control. This included a difference in median PFS of 2.73 months (data cut 15 August 2019) and OS of </w:t>
      </w:r>
      <w:r w:rsidR="00F6615C">
        <w:rPr>
          <w:noProof/>
          <w:color w:val="000000"/>
          <w:highlight w:val="black"/>
        </w:rPr>
        <w:t>'''''''''</w:t>
      </w:r>
      <w:r w:rsidR="00FD528B" w:rsidRPr="00FD528B">
        <w:rPr>
          <w:rStyle w:val="FootnoteReference"/>
          <w:color w:val="auto"/>
        </w:rPr>
        <w:footnoteReference w:id="12"/>
      </w:r>
      <w:r w:rsidRPr="001825C9">
        <w:rPr>
          <w:color w:val="auto"/>
        </w:rPr>
        <w:t xml:space="preserve">months </w:t>
      </w:r>
      <w:r w:rsidRPr="001825C9">
        <w:rPr>
          <w:color w:val="auto"/>
        </w:rPr>
        <w:lastRenderedPageBreak/>
        <w:t>(data cut 5 May 2020) in favour of encorafenib + cetuximab. The outcome for OS was consistent with what ASCO has reported as a clinically meaningful difference (a stipulated improvement over current OS of 3-5 months). The ESCs considered the claim of superior effectiveness of encorafenib + cetuximab compared to FOLFIRI + cetuximab or irinotecan + cetuximab was reasonable, but it considered a claim of noninferior safety of encorafenib + cetuximab compared to FOLFIRI + cetuximab or irinotecan + cetuximab was more appropriate. However, as noted above, the ESC</w:t>
      </w:r>
      <w:r w:rsidR="00872325" w:rsidRPr="001825C9">
        <w:rPr>
          <w:color w:val="auto"/>
        </w:rPr>
        <w:t>s</w:t>
      </w:r>
      <w:r w:rsidRPr="001825C9">
        <w:rPr>
          <w:color w:val="auto"/>
        </w:rPr>
        <w:t xml:space="preserve"> considered that this comparison did not reflect current clinical practice in Australia (see </w:t>
      </w:r>
      <w:r w:rsidRPr="001825C9">
        <w:rPr>
          <w:i/>
          <w:color w:val="auto"/>
        </w:rPr>
        <w:t>Comparator</w:t>
      </w:r>
      <w:r w:rsidRPr="001825C9">
        <w:rPr>
          <w:color w:val="auto"/>
        </w:rPr>
        <w:t xml:space="preserve"> section). The ESCs considered that encorafenib + cetuximab would have superior effectiveness compared with FOLFIRI alone, and may have a similar magnitude </w:t>
      </w:r>
      <w:r w:rsidR="00E95DD9" w:rsidRPr="001825C9">
        <w:rPr>
          <w:color w:val="auto"/>
        </w:rPr>
        <w:t xml:space="preserve">of </w:t>
      </w:r>
      <w:r w:rsidRPr="001825C9">
        <w:rPr>
          <w:color w:val="auto"/>
        </w:rPr>
        <w:t xml:space="preserve">benefit as when compared with FOLFIRI + cetuximab </w:t>
      </w:r>
      <w:r w:rsidRPr="00F0739D">
        <w:rPr>
          <w:color w:val="auto"/>
        </w:rPr>
        <w:t xml:space="preserve">(see paragraph </w:t>
      </w:r>
      <w:r w:rsidR="0099629B">
        <w:rPr>
          <w:color w:val="auto"/>
        </w:rPr>
        <w:t>6.17</w:t>
      </w:r>
      <w:r w:rsidRPr="00F0739D">
        <w:rPr>
          <w:color w:val="auto"/>
        </w:rPr>
        <w:t>)</w:t>
      </w:r>
      <w:r w:rsidRPr="001825C9">
        <w:rPr>
          <w:color w:val="auto"/>
        </w:rPr>
        <w:t>.</w:t>
      </w:r>
    </w:p>
    <w:p w:rsidR="00AE46DA" w:rsidRPr="001825C9" w:rsidRDefault="00AE46DA" w:rsidP="00AE46DA">
      <w:pPr>
        <w:pStyle w:val="ListParagraph"/>
      </w:pPr>
      <w:r w:rsidRPr="001825C9">
        <w:t xml:space="preserve">With respect to safety, the incidence of Grade ≥3 TRAEs, any AEs requiring dose reduction and Grade ≥3 AEs requiring dose reductions were statistically significantly lower for the encorafenib + cetuximab arm compared to the control. However, the data from BEACON showed that encorafenib + cetuximab was associated with statistically significantly more toxicity events than the control with respect to arthralgia, pain in extremities, headache, myalgia, musculoskeletal pain and pruritus; but fewer events than the control for decreased neutrophil count, neutropenia, stomatitis, alopecia, hypokalaemia, dermatitis acneiform and diarrhoea. The ESCs noted the safety evaluation compared encorafenib + cetuximab against FOLFIRI + cetuximab. The ESCs considered </w:t>
      </w:r>
      <w:r w:rsidRPr="001825C9">
        <w:rPr>
          <w:color w:val="auto"/>
        </w:rPr>
        <w:t xml:space="preserve">that, in view of the expected additional toxicity (e.g. rash) of adding cetuximab to FOLFIRI for </w:t>
      </w:r>
      <w:r w:rsidRPr="001825C9">
        <w:rPr>
          <w:i/>
          <w:color w:val="auto"/>
        </w:rPr>
        <w:t>BRAF</w:t>
      </w:r>
      <w:r w:rsidRPr="001825C9">
        <w:rPr>
          <w:color w:val="auto"/>
        </w:rPr>
        <w:t xml:space="preserve"> positive patients, the comparative results of the BEACON trial may underestimate the toxicity of encorafenib + cetuximab over FOLFIRI alone</w:t>
      </w:r>
      <w:r w:rsidR="00F0297A" w:rsidRPr="001825C9">
        <w:t>.</w:t>
      </w:r>
    </w:p>
    <w:p w:rsidR="00AE46DA" w:rsidRPr="001825C9" w:rsidRDefault="00AE46DA" w:rsidP="00AE46DA">
      <w:pPr>
        <w:pStyle w:val="ListParagraph"/>
        <w:rPr>
          <w:color w:val="auto"/>
        </w:rPr>
      </w:pPr>
      <w:r w:rsidRPr="001825C9">
        <w:rPr>
          <w:color w:val="auto"/>
        </w:rPr>
        <w:lastRenderedPageBreak/>
        <w:t>In terms of patient reported outcomes, the comparison across the two arms showed greater QoL preservation for the encorafenib + cetuximab arm than the control arm. The estimated median time to definitive 10% deterioration was longer with the encorafenib + cetuximab arm compared to the control based on the EORTC QLQ-C30, FACT-C and EQ-5D-5L.</w:t>
      </w:r>
    </w:p>
    <w:p w:rsidR="00872325" w:rsidRPr="001825C9" w:rsidRDefault="00872325" w:rsidP="00872325">
      <w:pPr>
        <w:pStyle w:val="ListParagraph"/>
        <w:rPr>
          <w:color w:val="auto"/>
        </w:rPr>
      </w:pPr>
      <w:r w:rsidRPr="001825C9">
        <w:rPr>
          <w:color w:val="auto"/>
        </w:rPr>
        <w:t>With respect to a main comparison between encorafenib + cetuximab and FOLFIRI</w:t>
      </w:r>
      <w:r w:rsidR="00F0297A" w:rsidRPr="001825C9">
        <w:rPr>
          <w:color w:val="auto"/>
        </w:rPr>
        <w:t xml:space="preserve"> with or without</w:t>
      </w:r>
      <w:r w:rsidRPr="001825C9">
        <w:rPr>
          <w:color w:val="auto"/>
        </w:rPr>
        <w:t xml:space="preserve"> cetuximab:</w:t>
      </w:r>
    </w:p>
    <w:p w:rsidR="00AE46DA" w:rsidRPr="001825C9" w:rsidRDefault="00AE46DA" w:rsidP="00CF5EEB">
      <w:pPr>
        <w:pStyle w:val="ListParagraph"/>
        <w:numPr>
          <w:ilvl w:val="0"/>
          <w:numId w:val="15"/>
        </w:numPr>
        <w:autoSpaceDE w:val="0"/>
        <w:autoSpaceDN w:val="0"/>
        <w:adjustRightInd w:val="0"/>
        <w:spacing w:after="0"/>
        <w:ind w:left="1077" w:hanging="357"/>
        <w:rPr>
          <w:color w:val="auto"/>
        </w:rPr>
      </w:pPr>
      <w:r w:rsidRPr="001825C9">
        <w:rPr>
          <w:color w:val="auto"/>
        </w:rPr>
        <w:t>The PBAC considered that the claim of superior comparative effectiveness was adequately supported by the data.</w:t>
      </w:r>
    </w:p>
    <w:p w:rsidR="00AE46DA" w:rsidRPr="001825C9" w:rsidRDefault="00AE46DA" w:rsidP="00CF5EEB">
      <w:pPr>
        <w:pStyle w:val="ListParagraph"/>
        <w:numPr>
          <w:ilvl w:val="0"/>
          <w:numId w:val="15"/>
        </w:numPr>
        <w:autoSpaceDE w:val="0"/>
        <w:autoSpaceDN w:val="0"/>
        <w:adjustRightInd w:val="0"/>
        <w:ind w:left="1077" w:hanging="357"/>
        <w:rPr>
          <w:color w:val="auto"/>
        </w:rPr>
      </w:pPr>
      <w:r w:rsidRPr="001825C9">
        <w:rPr>
          <w:color w:val="auto"/>
        </w:rPr>
        <w:t>The PBAC considered that the claim of superior comparative safety was not adequately supported by the data, and considered that a claim of non-inferior comparative safety was more reasonable.</w:t>
      </w:r>
    </w:p>
    <w:p w:rsidR="00AE46DA" w:rsidRPr="001825C9" w:rsidRDefault="00AE46DA" w:rsidP="00321E61">
      <w:pPr>
        <w:pStyle w:val="PBACESHeading2"/>
      </w:pPr>
      <w:bookmarkStart w:id="31" w:name="_Toc61968416"/>
      <w:r w:rsidRPr="001825C9">
        <w:t>Claim of co</w:t>
      </w:r>
      <w:r w:rsidR="00823CBD">
        <w:t>-</w:t>
      </w:r>
      <w:r w:rsidRPr="001825C9">
        <w:t>dependence</w:t>
      </w:r>
      <w:bookmarkEnd w:id="31"/>
    </w:p>
    <w:p w:rsidR="00AE46DA" w:rsidRPr="001825C9" w:rsidRDefault="00AE46DA" w:rsidP="00AE46DA">
      <w:pPr>
        <w:pStyle w:val="ListParagraph"/>
      </w:pPr>
      <w:r w:rsidRPr="001825C9">
        <w:t xml:space="preserve">The submission stated that </w:t>
      </w:r>
      <w:r w:rsidRPr="001825C9">
        <w:rPr>
          <w:i/>
        </w:rPr>
        <w:t xml:space="preserve">BRAF </w:t>
      </w:r>
      <w:r w:rsidR="0090484C" w:rsidRPr="001825C9">
        <w:t>V600E</w:t>
      </w:r>
      <w:r w:rsidRPr="001825C9">
        <w:t xml:space="preserve"> mCRC is a distinct subtype of mCRC that has poor prognosis with no targeted therapies currently available. The submission claimed that this patient group has been treated with the standard of care regimens used for patients with </w:t>
      </w:r>
      <w:r w:rsidRPr="001825C9">
        <w:rPr>
          <w:i/>
        </w:rPr>
        <w:t>RAS</w:t>
      </w:r>
      <w:r w:rsidRPr="001825C9">
        <w:t xml:space="preserve">-WT mCRC. In Australia, the submission argued that EGFR treatments such as cetuximab are used in the </w:t>
      </w:r>
      <w:r w:rsidRPr="001825C9">
        <w:rPr>
          <w:i/>
        </w:rPr>
        <w:t>BRAF</w:t>
      </w:r>
      <w:r w:rsidRPr="001825C9">
        <w:t xml:space="preserve"> </w:t>
      </w:r>
      <w:r w:rsidR="0090484C" w:rsidRPr="001825C9">
        <w:t>V600E</w:t>
      </w:r>
      <w:r w:rsidRPr="001825C9">
        <w:t xml:space="preserve"> positive population, being indicated within </w:t>
      </w:r>
      <w:r w:rsidRPr="001825C9">
        <w:rPr>
          <w:i/>
        </w:rPr>
        <w:t>RAS</w:t>
      </w:r>
      <w:r w:rsidRPr="001825C9">
        <w:t xml:space="preserve">-WT. The submission did not present evidence on the treatment effect of encorafenib + cetuximab for patients who were </w:t>
      </w:r>
      <w:r w:rsidRPr="001825C9">
        <w:rPr>
          <w:i/>
        </w:rPr>
        <w:t xml:space="preserve">BRAF </w:t>
      </w:r>
      <w:r w:rsidR="0090484C" w:rsidRPr="001825C9">
        <w:t>V600E</w:t>
      </w:r>
      <w:r w:rsidRPr="001825C9">
        <w:t xml:space="preserve"> positive versus patients who were not </w:t>
      </w:r>
      <w:r w:rsidRPr="001825C9">
        <w:rPr>
          <w:i/>
        </w:rPr>
        <w:t xml:space="preserve">BRAF </w:t>
      </w:r>
      <w:r w:rsidR="0090484C" w:rsidRPr="001825C9">
        <w:t>V600E</w:t>
      </w:r>
      <w:r w:rsidRPr="001825C9">
        <w:t xml:space="preserve"> positive. Thus, an estimate of the variation in this </w:t>
      </w:r>
      <w:r w:rsidRPr="001825C9">
        <w:lastRenderedPageBreak/>
        <w:t xml:space="preserve">treatment effect due to </w:t>
      </w:r>
      <w:r w:rsidRPr="001825C9">
        <w:rPr>
          <w:i/>
        </w:rPr>
        <w:t xml:space="preserve">BRAF </w:t>
      </w:r>
      <w:r w:rsidR="0090484C" w:rsidRPr="001825C9">
        <w:t>V600E</w:t>
      </w:r>
      <w:r w:rsidRPr="001825C9">
        <w:t xml:space="preserve"> positivity could not be established from the evidence presented and so acceptance of the predictive value of the test essentially relied on a biological plausibility argument supported by some preclinical data.</w:t>
      </w:r>
    </w:p>
    <w:p w:rsidR="00AE46DA" w:rsidRPr="001825C9" w:rsidRDefault="00AE46DA" w:rsidP="00321E61">
      <w:pPr>
        <w:pStyle w:val="PBACESHeading2"/>
      </w:pPr>
      <w:bookmarkStart w:id="32" w:name="_Toc61968417"/>
      <w:bookmarkStart w:id="33" w:name="_Ref64385466"/>
      <w:bookmarkStart w:id="34" w:name="_Ref64385468"/>
      <w:bookmarkStart w:id="35" w:name="_Ref64385474"/>
      <w:r w:rsidRPr="001825C9">
        <w:t>Economic analysis</w:t>
      </w:r>
      <w:bookmarkEnd w:id="28"/>
      <w:bookmarkEnd w:id="32"/>
      <w:bookmarkEnd w:id="33"/>
      <w:bookmarkEnd w:id="34"/>
      <w:bookmarkEnd w:id="35"/>
    </w:p>
    <w:p w:rsidR="00AE46DA" w:rsidRPr="001825C9" w:rsidRDefault="00AE46DA" w:rsidP="00AE46DA">
      <w:pPr>
        <w:pStyle w:val="ListParagraph"/>
        <w:rPr>
          <w:color w:val="auto"/>
        </w:rPr>
      </w:pPr>
      <w:r w:rsidRPr="001825C9">
        <w:t xml:space="preserve">The submission presented a cost-effectiveness analysis comparing encorafenib + cetuximab with FOLFIRI/Ir + cetuximab. The key components of the economic evaluation are summarised in Table 11. The ESCs noted that although the submission requested a listing of encorafenib + EGFR inhibitor, the economic analysis was limited to use of encorafenib + cetuximab only (i.e. not including </w:t>
      </w:r>
      <w:r w:rsidR="00872325" w:rsidRPr="001825C9">
        <w:t xml:space="preserve">encorafenib + </w:t>
      </w:r>
      <w:r w:rsidRPr="001825C9">
        <w:t>panitumumab)</w:t>
      </w:r>
      <w:r w:rsidR="00F0297A" w:rsidRPr="001825C9">
        <w:t>.</w:t>
      </w:r>
    </w:p>
    <w:p w:rsidR="00AE46DA" w:rsidRPr="001825C9" w:rsidRDefault="00AE46DA" w:rsidP="00AE46DA">
      <w:pPr>
        <w:pStyle w:val="ListParagraph"/>
        <w:rPr>
          <w:color w:val="auto"/>
        </w:rPr>
      </w:pPr>
      <w:r w:rsidRPr="001825C9">
        <w:t xml:space="preserve">The ESCs also considered that the basis for the economic comparison was inappropriate, given that it considered FOLFIRI alone to be the relevant comparator in the Australian setting. However, the ESCs considered that the model may still be informative as the efficacy of encorafenib + cetuximab versus FOLFIRI + cetuximab reported in the BEACON trial may be a reasonable estimate of the efficacy of encorafenib + cetuximab versus FOLFIRI </w:t>
      </w:r>
      <w:r w:rsidR="00F0297A" w:rsidRPr="001825C9">
        <w:t xml:space="preserve">alone </w:t>
      </w:r>
      <w:r w:rsidRPr="001825C9">
        <w:t xml:space="preserve">(see paragraph </w:t>
      </w:r>
      <w:r w:rsidR="0099629B">
        <w:t>6.17</w:t>
      </w:r>
      <w:r w:rsidR="00872325" w:rsidRPr="001825C9">
        <w:t>).</w:t>
      </w:r>
    </w:p>
    <w:p w:rsidR="00AE46DA" w:rsidRPr="001825C9" w:rsidRDefault="00AE46DA" w:rsidP="00F0739D">
      <w:pPr>
        <w:pStyle w:val="Caption"/>
      </w:pPr>
      <w:r w:rsidRPr="001825C9">
        <w:t>Table 11: Key components of the economic evaluation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969"/>
        <w:gridCol w:w="3260"/>
      </w:tblGrid>
      <w:tr w:rsidR="00AE46DA" w:rsidRPr="001825C9" w:rsidTr="00E95DD9">
        <w:tc>
          <w:tcPr>
            <w:tcW w:w="1838" w:type="dxa"/>
            <w:shd w:val="clear" w:color="auto" w:fill="auto"/>
            <w:vAlign w:val="center"/>
          </w:tcPr>
          <w:p w:rsidR="00AE46DA" w:rsidRPr="001825C9" w:rsidRDefault="00AE46DA" w:rsidP="00F0739D">
            <w:pPr>
              <w:pStyle w:val="TableText"/>
              <w:keepNext/>
              <w:widowControl/>
              <w:spacing w:before="0" w:after="0" w:line="240" w:lineRule="auto"/>
              <w:jc w:val="center"/>
              <w:rPr>
                <w:b/>
                <w:szCs w:val="20"/>
              </w:rPr>
            </w:pPr>
            <w:r w:rsidRPr="001825C9">
              <w:rPr>
                <w:b/>
                <w:szCs w:val="20"/>
              </w:rPr>
              <w:t>Component</w:t>
            </w:r>
          </w:p>
        </w:tc>
        <w:tc>
          <w:tcPr>
            <w:tcW w:w="3969" w:type="dxa"/>
            <w:shd w:val="clear" w:color="auto" w:fill="auto"/>
            <w:vAlign w:val="center"/>
          </w:tcPr>
          <w:p w:rsidR="00AE46DA" w:rsidRPr="001825C9" w:rsidRDefault="00AE46DA" w:rsidP="00F0739D">
            <w:pPr>
              <w:pStyle w:val="TableText"/>
              <w:keepNext/>
              <w:widowControl/>
              <w:spacing w:before="0" w:after="0" w:line="240" w:lineRule="auto"/>
              <w:jc w:val="center"/>
              <w:rPr>
                <w:b/>
                <w:szCs w:val="20"/>
              </w:rPr>
            </w:pPr>
            <w:r w:rsidRPr="001825C9">
              <w:rPr>
                <w:b/>
                <w:szCs w:val="20"/>
              </w:rPr>
              <w:t>Description</w:t>
            </w:r>
          </w:p>
        </w:tc>
        <w:tc>
          <w:tcPr>
            <w:tcW w:w="3260" w:type="dxa"/>
            <w:vAlign w:val="center"/>
          </w:tcPr>
          <w:p w:rsidR="00AE46DA" w:rsidRPr="001825C9" w:rsidRDefault="00AE46DA" w:rsidP="00F0739D">
            <w:pPr>
              <w:pStyle w:val="TableText"/>
              <w:keepNext/>
              <w:widowControl/>
              <w:spacing w:before="0" w:after="0" w:line="240" w:lineRule="auto"/>
              <w:jc w:val="center"/>
              <w:rPr>
                <w:b/>
                <w:szCs w:val="20"/>
              </w:rPr>
            </w:pPr>
            <w:r w:rsidRPr="001825C9">
              <w:rPr>
                <w:b/>
                <w:szCs w:val="20"/>
              </w:rPr>
              <w:t>Justification/comments</w:t>
            </w:r>
          </w:p>
        </w:tc>
      </w:tr>
      <w:tr w:rsidR="00AE46DA" w:rsidRPr="001825C9" w:rsidTr="00E95DD9">
        <w:tc>
          <w:tcPr>
            <w:tcW w:w="1838" w:type="dxa"/>
            <w:shd w:val="clear" w:color="auto" w:fill="auto"/>
            <w:vAlign w:val="center"/>
          </w:tcPr>
          <w:p w:rsidR="00AE46DA" w:rsidRPr="001825C9" w:rsidRDefault="00AE46DA" w:rsidP="00F0739D">
            <w:pPr>
              <w:pStyle w:val="TableText"/>
              <w:keepNext/>
              <w:widowControl/>
              <w:spacing w:before="0" w:after="0" w:line="240" w:lineRule="auto"/>
              <w:rPr>
                <w:szCs w:val="20"/>
              </w:rPr>
            </w:pPr>
            <w:r w:rsidRPr="001825C9">
              <w:rPr>
                <w:szCs w:val="20"/>
              </w:rPr>
              <w:t>Type of analysis</w:t>
            </w:r>
          </w:p>
        </w:tc>
        <w:tc>
          <w:tcPr>
            <w:tcW w:w="3969" w:type="dxa"/>
            <w:shd w:val="clear" w:color="auto" w:fill="auto"/>
            <w:vAlign w:val="center"/>
          </w:tcPr>
          <w:p w:rsidR="00AE46DA" w:rsidRPr="001825C9" w:rsidRDefault="00AE46DA" w:rsidP="00F0739D">
            <w:pPr>
              <w:pStyle w:val="TableText"/>
              <w:keepNext/>
              <w:widowControl/>
              <w:spacing w:before="0" w:after="0" w:line="240" w:lineRule="auto"/>
              <w:rPr>
                <w:rFonts w:eastAsia="Times New Roman" w:cs="Times New Roman"/>
                <w:szCs w:val="20"/>
              </w:rPr>
            </w:pPr>
            <w:r w:rsidRPr="001825C9">
              <w:rPr>
                <w:szCs w:val="20"/>
              </w:rPr>
              <w:t>CUA, CEA</w:t>
            </w:r>
          </w:p>
        </w:tc>
        <w:tc>
          <w:tcPr>
            <w:tcW w:w="3260" w:type="dxa"/>
            <w:vAlign w:val="center"/>
          </w:tcPr>
          <w:p w:rsidR="00AE46DA" w:rsidRPr="001825C9" w:rsidRDefault="00AE46DA" w:rsidP="00F0739D">
            <w:pPr>
              <w:pStyle w:val="TableText"/>
              <w:keepNext/>
              <w:widowControl/>
              <w:spacing w:before="0" w:after="0" w:line="240" w:lineRule="auto"/>
              <w:rPr>
                <w:szCs w:val="20"/>
              </w:rPr>
            </w:pPr>
            <w:r w:rsidRPr="001825C9">
              <w:rPr>
                <w:szCs w:val="20"/>
              </w:rPr>
              <w:t>This was appropriate.</w:t>
            </w:r>
          </w:p>
        </w:tc>
      </w:tr>
      <w:tr w:rsidR="00AE46DA" w:rsidRPr="001825C9" w:rsidTr="00E95DD9">
        <w:tc>
          <w:tcPr>
            <w:tcW w:w="1838" w:type="dxa"/>
            <w:shd w:val="clear" w:color="auto" w:fill="auto"/>
            <w:vAlign w:val="center"/>
          </w:tcPr>
          <w:p w:rsidR="00AE46DA" w:rsidRPr="001825C9" w:rsidRDefault="00AE46DA" w:rsidP="00F0739D">
            <w:pPr>
              <w:pStyle w:val="TableText"/>
              <w:keepNext/>
              <w:widowControl/>
              <w:spacing w:before="0" w:after="0" w:line="240" w:lineRule="auto"/>
              <w:rPr>
                <w:rFonts w:eastAsia="Times New Roman" w:cs="Times New Roman"/>
                <w:szCs w:val="20"/>
              </w:rPr>
            </w:pPr>
            <w:r w:rsidRPr="001825C9">
              <w:rPr>
                <w:szCs w:val="20"/>
              </w:rPr>
              <w:t>Health outcomes</w:t>
            </w:r>
          </w:p>
        </w:tc>
        <w:tc>
          <w:tcPr>
            <w:tcW w:w="3969" w:type="dxa"/>
            <w:shd w:val="clear" w:color="auto" w:fill="auto"/>
            <w:vAlign w:val="center"/>
          </w:tcPr>
          <w:p w:rsidR="00AE46DA" w:rsidRPr="001825C9" w:rsidRDefault="00AE46DA" w:rsidP="00F0739D">
            <w:pPr>
              <w:pStyle w:val="TableText"/>
              <w:keepNext/>
              <w:widowControl/>
              <w:spacing w:before="0" w:after="0" w:line="240" w:lineRule="auto"/>
              <w:rPr>
                <w:rFonts w:eastAsia="Times New Roman" w:cs="Times New Roman"/>
                <w:szCs w:val="20"/>
              </w:rPr>
            </w:pPr>
            <w:r w:rsidRPr="001825C9">
              <w:rPr>
                <w:szCs w:val="20"/>
              </w:rPr>
              <w:t>LYG and QALY gained</w:t>
            </w:r>
          </w:p>
        </w:tc>
        <w:tc>
          <w:tcPr>
            <w:tcW w:w="3260" w:type="dxa"/>
            <w:vAlign w:val="center"/>
          </w:tcPr>
          <w:p w:rsidR="00AE46DA" w:rsidRPr="001825C9" w:rsidRDefault="00AE46DA" w:rsidP="00F0739D">
            <w:pPr>
              <w:pStyle w:val="TableText"/>
              <w:keepNext/>
              <w:widowControl/>
              <w:spacing w:before="0" w:after="0" w:line="240" w:lineRule="auto"/>
              <w:rPr>
                <w:szCs w:val="20"/>
              </w:rPr>
            </w:pPr>
            <w:r w:rsidRPr="001825C9">
              <w:rPr>
                <w:szCs w:val="20"/>
              </w:rPr>
              <w:t>This was appropriate.</w:t>
            </w:r>
          </w:p>
        </w:tc>
      </w:tr>
      <w:tr w:rsidR="00AE46DA" w:rsidRPr="001825C9" w:rsidTr="00E95DD9">
        <w:tc>
          <w:tcPr>
            <w:tcW w:w="1838" w:type="dxa"/>
            <w:shd w:val="clear" w:color="auto" w:fill="auto"/>
            <w:vAlign w:val="center"/>
          </w:tcPr>
          <w:p w:rsidR="00AE46DA" w:rsidRPr="001825C9" w:rsidRDefault="00AE46DA" w:rsidP="00F0739D">
            <w:pPr>
              <w:pStyle w:val="TableText"/>
              <w:keepNext/>
              <w:widowControl/>
              <w:spacing w:before="0" w:after="0" w:line="240" w:lineRule="auto"/>
              <w:rPr>
                <w:rFonts w:eastAsia="Times New Roman" w:cs="Times New Roman"/>
                <w:szCs w:val="20"/>
              </w:rPr>
            </w:pPr>
            <w:r w:rsidRPr="001825C9">
              <w:rPr>
                <w:szCs w:val="20"/>
              </w:rPr>
              <w:t>Time horizon</w:t>
            </w:r>
          </w:p>
        </w:tc>
        <w:tc>
          <w:tcPr>
            <w:tcW w:w="3969" w:type="dxa"/>
            <w:shd w:val="clear" w:color="auto" w:fill="auto"/>
            <w:vAlign w:val="center"/>
          </w:tcPr>
          <w:p w:rsidR="00AE46DA" w:rsidRPr="001825C9" w:rsidRDefault="00AE46DA" w:rsidP="00F0739D">
            <w:pPr>
              <w:pStyle w:val="TableText"/>
              <w:keepNext/>
              <w:widowControl/>
              <w:spacing w:before="0" w:after="0" w:line="240" w:lineRule="auto"/>
              <w:rPr>
                <w:szCs w:val="20"/>
              </w:rPr>
            </w:pPr>
            <w:r w:rsidRPr="001825C9">
              <w:rPr>
                <w:szCs w:val="20"/>
              </w:rPr>
              <w:t>7 years</w:t>
            </w:r>
          </w:p>
        </w:tc>
        <w:tc>
          <w:tcPr>
            <w:tcW w:w="3260" w:type="dxa"/>
            <w:shd w:val="clear" w:color="auto" w:fill="auto"/>
            <w:vAlign w:val="center"/>
          </w:tcPr>
          <w:p w:rsidR="00AE46DA" w:rsidRPr="001825C9" w:rsidRDefault="00AE46DA" w:rsidP="00F0739D">
            <w:pPr>
              <w:pStyle w:val="TableText"/>
              <w:keepNext/>
              <w:widowControl/>
              <w:spacing w:before="0" w:after="0" w:line="240" w:lineRule="auto"/>
              <w:rPr>
                <w:szCs w:val="20"/>
              </w:rPr>
            </w:pPr>
            <w:r w:rsidRPr="001825C9">
              <w:rPr>
                <w:szCs w:val="20"/>
              </w:rPr>
              <w:t>This was tested in the sensitivity analysis.</w:t>
            </w:r>
          </w:p>
        </w:tc>
      </w:tr>
      <w:tr w:rsidR="00AE46DA" w:rsidRPr="001825C9" w:rsidTr="00E95DD9">
        <w:tc>
          <w:tcPr>
            <w:tcW w:w="1838" w:type="dxa"/>
            <w:shd w:val="clear" w:color="auto" w:fill="auto"/>
            <w:vAlign w:val="center"/>
          </w:tcPr>
          <w:p w:rsidR="00AE46DA" w:rsidRPr="001825C9" w:rsidRDefault="00AE46DA" w:rsidP="00F0739D">
            <w:pPr>
              <w:pStyle w:val="TableText"/>
              <w:keepNext/>
              <w:widowControl/>
              <w:spacing w:before="0" w:after="0" w:line="240" w:lineRule="auto"/>
              <w:rPr>
                <w:rFonts w:eastAsia="Times New Roman" w:cs="Times New Roman"/>
                <w:szCs w:val="20"/>
              </w:rPr>
            </w:pPr>
            <w:r w:rsidRPr="001825C9">
              <w:rPr>
                <w:szCs w:val="20"/>
              </w:rPr>
              <w:t>Methods used to generate results</w:t>
            </w:r>
          </w:p>
        </w:tc>
        <w:tc>
          <w:tcPr>
            <w:tcW w:w="3969" w:type="dxa"/>
            <w:shd w:val="clear" w:color="auto" w:fill="auto"/>
            <w:vAlign w:val="center"/>
          </w:tcPr>
          <w:p w:rsidR="00AE46DA" w:rsidRPr="001825C9" w:rsidRDefault="00AE46DA" w:rsidP="00F0739D">
            <w:pPr>
              <w:pStyle w:val="Default"/>
              <w:keepNext/>
              <w:rPr>
                <w:rFonts w:ascii="Arial Narrow" w:hAnsi="Arial Narrow"/>
                <w:sz w:val="20"/>
                <w:szCs w:val="20"/>
                <w:lang w:val="en-AU"/>
              </w:rPr>
            </w:pPr>
            <w:r w:rsidRPr="001825C9">
              <w:rPr>
                <w:rFonts w:ascii="Arial Narrow" w:hAnsi="Arial Narrow"/>
                <w:sz w:val="20"/>
                <w:szCs w:val="20"/>
                <w:lang w:val="en-AU"/>
              </w:rPr>
              <w:t>Partitioned survival model</w:t>
            </w:r>
          </w:p>
        </w:tc>
        <w:tc>
          <w:tcPr>
            <w:tcW w:w="3260" w:type="dxa"/>
            <w:vAlign w:val="center"/>
          </w:tcPr>
          <w:p w:rsidR="00AE46DA" w:rsidRPr="001825C9" w:rsidRDefault="00AE46DA" w:rsidP="00F0739D">
            <w:pPr>
              <w:pStyle w:val="TableText"/>
              <w:keepNext/>
              <w:widowControl/>
              <w:spacing w:before="0" w:after="0" w:line="240" w:lineRule="auto"/>
              <w:rPr>
                <w:szCs w:val="20"/>
              </w:rPr>
            </w:pPr>
            <w:r w:rsidRPr="001825C9">
              <w:rPr>
                <w:szCs w:val="20"/>
              </w:rPr>
              <w:t>This was appropriate.</w:t>
            </w:r>
          </w:p>
        </w:tc>
      </w:tr>
      <w:tr w:rsidR="00AE46DA" w:rsidRPr="001825C9" w:rsidTr="00E95DD9">
        <w:tc>
          <w:tcPr>
            <w:tcW w:w="1838" w:type="dxa"/>
            <w:shd w:val="clear" w:color="auto" w:fill="auto"/>
            <w:vAlign w:val="center"/>
          </w:tcPr>
          <w:p w:rsidR="00AE46DA" w:rsidRPr="001825C9" w:rsidRDefault="00AE46DA" w:rsidP="00F0739D">
            <w:pPr>
              <w:pStyle w:val="TableText"/>
              <w:keepNext/>
              <w:widowControl/>
              <w:spacing w:before="0" w:after="0" w:line="240" w:lineRule="auto"/>
              <w:rPr>
                <w:rFonts w:eastAsia="Times New Roman" w:cs="Times New Roman"/>
                <w:szCs w:val="20"/>
              </w:rPr>
            </w:pPr>
            <w:r w:rsidRPr="001825C9">
              <w:rPr>
                <w:szCs w:val="20"/>
              </w:rPr>
              <w:lastRenderedPageBreak/>
              <w:t>Health states</w:t>
            </w:r>
          </w:p>
        </w:tc>
        <w:tc>
          <w:tcPr>
            <w:tcW w:w="3969" w:type="dxa"/>
            <w:shd w:val="clear" w:color="auto" w:fill="auto"/>
            <w:vAlign w:val="center"/>
          </w:tcPr>
          <w:p w:rsidR="00AE46DA" w:rsidRPr="001825C9" w:rsidRDefault="00AE46DA" w:rsidP="00F0739D">
            <w:pPr>
              <w:pStyle w:val="Default"/>
              <w:keepNext/>
              <w:rPr>
                <w:rFonts w:ascii="Arial Narrow" w:hAnsi="Arial Narrow"/>
                <w:sz w:val="20"/>
                <w:szCs w:val="20"/>
                <w:lang w:val="en-AU"/>
              </w:rPr>
            </w:pPr>
            <w:r w:rsidRPr="001825C9">
              <w:rPr>
                <w:rFonts w:ascii="Arial Narrow" w:hAnsi="Arial Narrow"/>
                <w:sz w:val="20"/>
                <w:szCs w:val="20"/>
                <w:lang w:val="en-AU"/>
              </w:rPr>
              <w:t>Three possible health states: Progression-free disease; Progressed disease; Death</w:t>
            </w:r>
          </w:p>
        </w:tc>
        <w:tc>
          <w:tcPr>
            <w:tcW w:w="3260" w:type="dxa"/>
            <w:shd w:val="clear" w:color="auto" w:fill="auto"/>
            <w:vAlign w:val="center"/>
          </w:tcPr>
          <w:p w:rsidR="00AE46DA" w:rsidRPr="001825C9" w:rsidRDefault="00AE46DA" w:rsidP="00F0739D">
            <w:pPr>
              <w:pStyle w:val="TableText"/>
              <w:keepNext/>
              <w:widowControl/>
              <w:spacing w:before="0" w:after="0" w:line="240" w:lineRule="auto"/>
              <w:rPr>
                <w:szCs w:val="20"/>
              </w:rPr>
            </w:pPr>
            <w:r w:rsidRPr="001825C9">
              <w:rPr>
                <w:szCs w:val="20"/>
              </w:rPr>
              <w:t>This was appropriate.</w:t>
            </w:r>
          </w:p>
        </w:tc>
      </w:tr>
      <w:tr w:rsidR="00AE46DA" w:rsidRPr="001825C9" w:rsidTr="00E95DD9">
        <w:tc>
          <w:tcPr>
            <w:tcW w:w="1838" w:type="dxa"/>
            <w:shd w:val="clear" w:color="auto" w:fill="auto"/>
            <w:vAlign w:val="center"/>
          </w:tcPr>
          <w:p w:rsidR="00AE46DA" w:rsidRPr="001825C9" w:rsidRDefault="00AE46DA" w:rsidP="00F0739D">
            <w:pPr>
              <w:pStyle w:val="TableText"/>
              <w:keepNext/>
              <w:widowControl/>
              <w:spacing w:before="0" w:after="0" w:line="240" w:lineRule="auto"/>
              <w:rPr>
                <w:rFonts w:eastAsia="Times New Roman" w:cs="Times New Roman"/>
                <w:szCs w:val="20"/>
              </w:rPr>
            </w:pPr>
            <w:r w:rsidRPr="001825C9">
              <w:rPr>
                <w:szCs w:val="20"/>
              </w:rPr>
              <w:t>Cycle length</w:t>
            </w:r>
          </w:p>
        </w:tc>
        <w:tc>
          <w:tcPr>
            <w:tcW w:w="3969" w:type="dxa"/>
            <w:shd w:val="clear" w:color="auto" w:fill="auto"/>
            <w:vAlign w:val="center"/>
          </w:tcPr>
          <w:p w:rsidR="00AE46DA" w:rsidRPr="001825C9" w:rsidRDefault="00AE46DA" w:rsidP="00F0739D">
            <w:pPr>
              <w:pStyle w:val="Default"/>
              <w:keepNext/>
              <w:rPr>
                <w:rFonts w:ascii="Arial Narrow" w:hAnsi="Arial Narrow"/>
                <w:sz w:val="20"/>
                <w:szCs w:val="20"/>
                <w:lang w:val="en-AU"/>
              </w:rPr>
            </w:pPr>
            <w:r w:rsidRPr="001825C9">
              <w:rPr>
                <w:rFonts w:ascii="Arial Narrow" w:hAnsi="Arial Narrow"/>
                <w:sz w:val="20"/>
                <w:szCs w:val="20"/>
                <w:lang w:val="en-AU"/>
              </w:rPr>
              <w:t>One month</w:t>
            </w:r>
          </w:p>
        </w:tc>
        <w:tc>
          <w:tcPr>
            <w:tcW w:w="3260" w:type="dxa"/>
            <w:shd w:val="clear" w:color="auto" w:fill="auto"/>
            <w:vAlign w:val="center"/>
          </w:tcPr>
          <w:p w:rsidR="00AE46DA" w:rsidRPr="001825C9" w:rsidRDefault="00AE46DA" w:rsidP="00F0739D">
            <w:pPr>
              <w:pStyle w:val="TableText"/>
              <w:keepNext/>
              <w:widowControl/>
              <w:spacing w:before="0" w:after="0" w:line="240" w:lineRule="auto"/>
              <w:rPr>
                <w:szCs w:val="20"/>
              </w:rPr>
            </w:pPr>
            <w:r w:rsidRPr="001825C9">
              <w:rPr>
                <w:szCs w:val="20"/>
              </w:rPr>
              <w:t>This was appropriate as encorafenib + cetuximab and FOLFIRI/Ir + cetuximab are given in 28-day cycles.</w:t>
            </w:r>
          </w:p>
        </w:tc>
      </w:tr>
      <w:tr w:rsidR="00AE46DA" w:rsidRPr="001825C9" w:rsidTr="00E95DD9">
        <w:tc>
          <w:tcPr>
            <w:tcW w:w="1838" w:type="dxa"/>
            <w:shd w:val="clear" w:color="auto" w:fill="auto"/>
            <w:vAlign w:val="center"/>
          </w:tcPr>
          <w:p w:rsidR="00AE46DA" w:rsidRPr="001825C9" w:rsidRDefault="00AE46DA" w:rsidP="00F0739D">
            <w:pPr>
              <w:pStyle w:val="Default"/>
              <w:keepNext/>
              <w:rPr>
                <w:rFonts w:ascii="Arial Narrow" w:hAnsi="Arial Narrow"/>
                <w:sz w:val="20"/>
                <w:szCs w:val="20"/>
                <w:lang w:val="en-AU"/>
              </w:rPr>
            </w:pPr>
            <w:r w:rsidRPr="001825C9">
              <w:rPr>
                <w:rFonts w:ascii="Arial Narrow" w:hAnsi="Arial Narrow"/>
                <w:sz w:val="20"/>
                <w:szCs w:val="20"/>
                <w:lang w:val="en-AU"/>
              </w:rPr>
              <w:t>Parameters used to model the transition between health states</w:t>
            </w:r>
          </w:p>
        </w:tc>
        <w:tc>
          <w:tcPr>
            <w:tcW w:w="3969" w:type="dxa"/>
            <w:shd w:val="clear" w:color="auto" w:fill="auto"/>
            <w:vAlign w:val="center"/>
          </w:tcPr>
          <w:p w:rsidR="00AE46DA" w:rsidRPr="001825C9" w:rsidRDefault="00AE46DA" w:rsidP="00F0739D">
            <w:pPr>
              <w:pStyle w:val="Default"/>
              <w:keepNext/>
              <w:rPr>
                <w:rFonts w:ascii="Arial Narrow" w:hAnsi="Arial Narrow"/>
                <w:sz w:val="20"/>
                <w:szCs w:val="20"/>
                <w:lang w:val="en-AU"/>
              </w:rPr>
            </w:pPr>
            <w:r w:rsidRPr="001825C9">
              <w:rPr>
                <w:rFonts w:ascii="Arial Narrow" w:hAnsi="Arial Narrow"/>
                <w:sz w:val="20"/>
                <w:szCs w:val="20"/>
                <w:lang w:val="en-AU"/>
              </w:rPr>
              <w:t>Disease progression (via progression-free survival)</w:t>
            </w:r>
          </w:p>
          <w:p w:rsidR="00AE46DA" w:rsidRPr="001825C9" w:rsidRDefault="00AE46DA" w:rsidP="00F0739D">
            <w:pPr>
              <w:pStyle w:val="TableText"/>
              <w:keepNext/>
              <w:widowControl/>
              <w:spacing w:before="0" w:after="0" w:line="240" w:lineRule="auto"/>
              <w:rPr>
                <w:szCs w:val="20"/>
              </w:rPr>
            </w:pPr>
            <w:r w:rsidRPr="001825C9">
              <w:rPr>
                <w:szCs w:val="20"/>
              </w:rPr>
              <w:t>Mortality (via overall survival and all-cause mortality data)</w:t>
            </w:r>
          </w:p>
        </w:tc>
        <w:tc>
          <w:tcPr>
            <w:tcW w:w="3260" w:type="dxa"/>
            <w:shd w:val="clear" w:color="auto" w:fill="auto"/>
            <w:vAlign w:val="center"/>
          </w:tcPr>
          <w:p w:rsidR="00AE46DA" w:rsidRPr="001825C9" w:rsidRDefault="00AE46DA" w:rsidP="00F0739D">
            <w:pPr>
              <w:pStyle w:val="TableText"/>
              <w:keepNext/>
              <w:widowControl/>
              <w:spacing w:before="0" w:after="0" w:line="240" w:lineRule="auto"/>
              <w:rPr>
                <w:szCs w:val="20"/>
              </w:rPr>
            </w:pPr>
            <w:r w:rsidRPr="001825C9">
              <w:rPr>
                <w:szCs w:val="20"/>
              </w:rPr>
              <w:t>This was appropriate.</w:t>
            </w:r>
          </w:p>
        </w:tc>
      </w:tr>
      <w:tr w:rsidR="00AE46DA" w:rsidRPr="001825C9" w:rsidTr="00E95DD9">
        <w:trPr>
          <w:trHeight w:val="54"/>
        </w:trPr>
        <w:tc>
          <w:tcPr>
            <w:tcW w:w="1838" w:type="dxa"/>
            <w:shd w:val="clear" w:color="auto" w:fill="auto"/>
            <w:vAlign w:val="center"/>
          </w:tcPr>
          <w:p w:rsidR="00AE46DA" w:rsidRPr="001825C9" w:rsidRDefault="00AE46DA" w:rsidP="00F0739D">
            <w:pPr>
              <w:pStyle w:val="TableText"/>
              <w:keepNext/>
              <w:widowControl/>
              <w:spacing w:before="0" w:after="0" w:line="240" w:lineRule="auto"/>
              <w:rPr>
                <w:rFonts w:eastAsia="Times New Roman" w:cs="Times New Roman"/>
                <w:szCs w:val="20"/>
              </w:rPr>
            </w:pPr>
            <w:r w:rsidRPr="001825C9">
              <w:rPr>
                <w:szCs w:val="20"/>
              </w:rPr>
              <w:t>Software package</w:t>
            </w:r>
          </w:p>
        </w:tc>
        <w:tc>
          <w:tcPr>
            <w:tcW w:w="3969" w:type="dxa"/>
            <w:shd w:val="clear" w:color="auto" w:fill="auto"/>
            <w:vAlign w:val="center"/>
          </w:tcPr>
          <w:p w:rsidR="00AE46DA" w:rsidRPr="001825C9" w:rsidRDefault="00AE46DA" w:rsidP="00F0739D">
            <w:pPr>
              <w:pStyle w:val="Default"/>
              <w:keepNext/>
              <w:rPr>
                <w:rFonts w:ascii="Arial Narrow" w:hAnsi="Arial Narrow"/>
                <w:sz w:val="20"/>
                <w:szCs w:val="20"/>
                <w:lang w:val="en-AU"/>
              </w:rPr>
            </w:pPr>
            <w:r w:rsidRPr="001825C9">
              <w:rPr>
                <w:rFonts w:ascii="Arial Narrow" w:hAnsi="Arial Narrow"/>
                <w:sz w:val="20"/>
                <w:szCs w:val="20"/>
                <w:lang w:val="en-AU"/>
              </w:rPr>
              <w:t>Microsoft® Excel® 365</w:t>
            </w:r>
          </w:p>
        </w:tc>
        <w:tc>
          <w:tcPr>
            <w:tcW w:w="3260" w:type="dxa"/>
            <w:vAlign w:val="center"/>
          </w:tcPr>
          <w:p w:rsidR="00AE46DA" w:rsidRPr="001825C9" w:rsidRDefault="00AE46DA" w:rsidP="00F0739D">
            <w:pPr>
              <w:pStyle w:val="TableText"/>
              <w:keepNext/>
              <w:widowControl/>
              <w:spacing w:before="0" w:after="0" w:line="240" w:lineRule="auto"/>
              <w:rPr>
                <w:szCs w:val="20"/>
              </w:rPr>
            </w:pPr>
            <w:r w:rsidRPr="001825C9">
              <w:rPr>
                <w:szCs w:val="20"/>
              </w:rPr>
              <w:t>This was reasonable.</w:t>
            </w:r>
          </w:p>
        </w:tc>
      </w:tr>
    </w:tbl>
    <w:p w:rsidR="00AE46DA" w:rsidRPr="001825C9" w:rsidRDefault="00AE46DA" w:rsidP="00AE46DA">
      <w:pPr>
        <w:pStyle w:val="TableFooter"/>
        <w:widowControl/>
      </w:pPr>
      <w:r w:rsidRPr="001825C9">
        <w:t>Abbreviations: CEA = cost effectiveness analysis; CUA = cost utility analysis; FOLFIRI/Ir + cetuximab = irinotecan + cetuximab or FOLFIRI + cetuximab; LYG = life years gained; QALY = quality adjusted life years</w:t>
      </w:r>
    </w:p>
    <w:p w:rsidR="00AE46DA" w:rsidRPr="001825C9" w:rsidRDefault="00AE46DA" w:rsidP="00AE46DA">
      <w:pPr>
        <w:pStyle w:val="TableFooter"/>
        <w:widowControl/>
      </w:pPr>
      <w:r w:rsidRPr="001825C9">
        <w:t>Source: Table 3-1, p227 of the submission</w:t>
      </w:r>
    </w:p>
    <w:p w:rsidR="00AE46DA" w:rsidRPr="001825C9" w:rsidRDefault="00AE46DA" w:rsidP="00AE46DA">
      <w:pPr>
        <w:pStyle w:val="ListParagraph"/>
        <w:rPr>
          <w:color w:val="auto"/>
        </w:rPr>
      </w:pPr>
      <w:r w:rsidRPr="001825C9">
        <w:t>The steps taken in the submission’s economic evaluation are summarised in Table 12.</w:t>
      </w:r>
    </w:p>
    <w:p w:rsidR="00AE46DA" w:rsidRPr="001825C9" w:rsidRDefault="00AE46DA" w:rsidP="00AE46DA">
      <w:pPr>
        <w:pStyle w:val="Caption"/>
      </w:pPr>
      <w:r w:rsidRPr="001825C9">
        <w:t>Table 12: Steps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79"/>
        <w:gridCol w:w="7537"/>
      </w:tblGrid>
      <w:tr w:rsidR="00AE46DA" w:rsidRPr="001825C9" w:rsidTr="00B21F37">
        <w:trPr>
          <w:tblHeader/>
        </w:trPr>
        <w:tc>
          <w:tcPr>
            <w:tcW w:w="820" w:type="pct"/>
          </w:tcPr>
          <w:p w:rsidR="00AE46DA" w:rsidRPr="001825C9" w:rsidRDefault="00AE46DA" w:rsidP="00B21F37">
            <w:pPr>
              <w:pStyle w:val="TableText"/>
              <w:widowControl/>
              <w:spacing w:before="0" w:after="0" w:line="240" w:lineRule="auto"/>
              <w:rPr>
                <w:b/>
              </w:rPr>
            </w:pPr>
            <w:r w:rsidRPr="001825C9">
              <w:rPr>
                <w:b/>
              </w:rPr>
              <w:t>Step</w:t>
            </w:r>
          </w:p>
        </w:tc>
        <w:tc>
          <w:tcPr>
            <w:tcW w:w="4180" w:type="pct"/>
          </w:tcPr>
          <w:p w:rsidR="00AE46DA" w:rsidRPr="001825C9" w:rsidRDefault="00AE46DA" w:rsidP="00B21F37">
            <w:pPr>
              <w:pStyle w:val="TableText"/>
              <w:widowControl/>
              <w:spacing w:before="0" w:after="0" w:line="240" w:lineRule="auto"/>
              <w:rPr>
                <w:b/>
              </w:rPr>
            </w:pPr>
            <w:r w:rsidRPr="001825C9">
              <w:rPr>
                <w:b/>
              </w:rPr>
              <w:t>Description</w:t>
            </w:r>
          </w:p>
        </w:tc>
      </w:tr>
      <w:tr w:rsidR="00AE46DA" w:rsidRPr="001825C9" w:rsidTr="00B21F37">
        <w:tc>
          <w:tcPr>
            <w:tcW w:w="820" w:type="pct"/>
            <w:vAlign w:val="center"/>
          </w:tcPr>
          <w:p w:rsidR="00AE46DA" w:rsidRPr="001825C9" w:rsidRDefault="00AE46DA" w:rsidP="00B21F37">
            <w:pPr>
              <w:pStyle w:val="TableText"/>
              <w:widowControl/>
              <w:spacing w:before="0" w:after="0" w:line="240" w:lineRule="auto"/>
            </w:pPr>
            <w:r w:rsidRPr="001825C9">
              <w:t>Step 1</w:t>
            </w:r>
          </w:p>
        </w:tc>
        <w:tc>
          <w:tcPr>
            <w:tcW w:w="4180" w:type="pct"/>
          </w:tcPr>
          <w:p w:rsidR="00AE46DA" w:rsidRPr="001825C9" w:rsidRDefault="00AE46DA" w:rsidP="00B21F37">
            <w:pPr>
              <w:pStyle w:val="TableText"/>
              <w:widowControl/>
              <w:spacing w:before="0" w:after="0" w:line="240" w:lineRule="auto"/>
            </w:pPr>
            <w:r w:rsidRPr="001825C9">
              <w:t>Incremental</w:t>
            </w:r>
            <w:r w:rsidR="00E95DD9" w:rsidRPr="001825C9">
              <w:t xml:space="preserve"> cost per progression-free LYG.</w:t>
            </w:r>
          </w:p>
          <w:p w:rsidR="00AE46DA" w:rsidRPr="001825C9" w:rsidRDefault="00AE46DA" w:rsidP="00B21F37">
            <w:pPr>
              <w:pStyle w:val="TableText"/>
              <w:widowControl/>
              <w:spacing w:before="0" w:after="0" w:line="240" w:lineRule="auto"/>
            </w:pPr>
            <w:r w:rsidRPr="001825C9">
              <w:t>BEACON based PFS period, no extrapolat</w:t>
            </w:r>
            <w:r w:rsidR="00E95DD9" w:rsidRPr="001825C9">
              <w:t>ion beyond disease progression.</w:t>
            </w:r>
          </w:p>
        </w:tc>
      </w:tr>
      <w:tr w:rsidR="00AE46DA" w:rsidRPr="001825C9" w:rsidTr="00B21F37">
        <w:tc>
          <w:tcPr>
            <w:tcW w:w="820" w:type="pct"/>
            <w:vAlign w:val="center"/>
          </w:tcPr>
          <w:p w:rsidR="00AE46DA" w:rsidRPr="001825C9" w:rsidRDefault="00AE46DA" w:rsidP="00B21F37">
            <w:pPr>
              <w:pStyle w:val="TableText"/>
              <w:widowControl/>
              <w:spacing w:before="0" w:after="0" w:line="240" w:lineRule="auto"/>
              <w:rPr>
                <w:rFonts w:ascii="Times" w:eastAsia="Times New Roman" w:hAnsi="Times" w:cs="Times New Roman"/>
                <w:szCs w:val="20"/>
              </w:rPr>
            </w:pPr>
            <w:r w:rsidRPr="001825C9">
              <w:t>Step 2</w:t>
            </w:r>
          </w:p>
        </w:tc>
        <w:tc>
          <w:tcPr>
            <w:tcW w:w="4180" w:type="pct"/>
          </w:tcPr>
          <w:p w:rsidR="00AE46DA" w:rsidRPr="001825C9" w:rsidRDefault="00E95DD9" w:rsidP="00B21F37">
            <w:pPr>
              <w:pStyle w:val="TableText"/>
              <w:widowControl/>
              <w:spacing w:before="0" w:after="0" w:line="240" w:lineRule="auto"/>
            </w:pPr>
            <w:r w:rsidRPr="001825C9">
              <w:t>Incremental cost per LYG.</w:t>
            </w:r>
          </w:p>
          <w:p w:rsidR="00AE46DA" w:rsidRPr="001825C9" w:rsidRDefault="00AE46DA" w:rsidP="00B21F37">
            <w:pPr>
              <w:pStyle w:val="TableText"/>
              <w:widowControl/>
              <w:spacing w:before="0" w:after="0" w:line="240" w:lineRule="auto"/>
            </w:pPr>
            <w:r w:rsidRPr="001825C9">
              <w:t>As per step 1, but cost and outcomes extended to include the period following progression and prior to death (i.e. the post-progression period is a</w:t>
            </w:r>
            <w:r w:rsidR="00E95DD9" w:rsidRPr="001825C9">
              <w:t>dded to PFS to account for OS).</w:t>
            </w:r>
          </w:p>
        </w:tc>
      </w:tr>
      <w:tr w:rsidR="00AE46DA" w:rsidRPr="001825C9" w:rsidTr="00B21F37">
        <w:tc>
          <w:tcPr>
            <w:tcW w:w="820" w:type="pct"/>
            <w:vAlign w:val="center"/>
          </w:tcPr>
          <w:p w:rsidR="00AE46DA" w:rsidRPr="001825C9" w:rsidRDefault="00AE46DA" w:rsidP="00B21F37">
            <w:pPr>
              <w:pStyle w:val="TableText"/>
              <w:widowControl/>
              <w:spacing w:before="0" w:after="0" w:line="240" w:lineRule="auto"/>
              <w:rPr>
                <w:rFonts w:ascii="Times" w:eastAsia="Times New Roman" w:hAnsi="Times" w:cs="Times New Roman"/>
                <w:szCs w:val="20"/>
              </w:rPr>
            </w:pPr>
            <w:r w:rsidRPr="001825C9">
              <w:t xml:space="preserve">Step 3 (base case) </w:t>
            </w:r>
          </w:p>
        </w:tc>
        <w:tc>
          <w:tcPr>
            <w:tcW w:w="4180" w:type="pct"/>
          </w:tcPr>
          <w:p w:rsidR="00AE46DA" w:rsidRPr="001825C9" w:rsidRDefault="00AE46DA" w:rsidP="00B21F37">
            <w:pPr>
              <w:pStyle w:val="TableText"/>
              <w:widowControl/>
              <w:spacing w:before="0" w:after="0" w:line="240" w:lineRule="auto"/>
            </w:pPr>
            <w:r w:rsidRPr="001825C9">
              <w:t>Incremental cost per QAL</w:t>
            </w:r>
            <w:r w:rsidR="00E95DD9" w:rsidRPr="001825C9">
              <w:t>Y gained.</w:t>
            </w:r>
          </w:p>
          <w:p w:rsidR="00AE46DA" w:rsidRPr="001825C9" w:rsidRDefault="00AE46DA" w:rsidP="00B21F37">
            <w:pPr>
              <w:pStyle w:val="TableText"/>
              <w:widowControl/>
              <w:spacing w:before="0" w:after="0" w:line="240" w:lineRule="auto"/>
            </w:pPr>
            <w:r w:rsidRPr="001825C9">
              <w:t xml:space="preserve">As per step 2, but with the additional application of utility weights to consider the impact of HRQoL on the </w:t>
            </w:r>
            <w:r w:rsidR="00E95DD9" w:rsidRPr="001825C9">
              <w:t>incremental cost-effectiveness.</w:t>
            </w:r>
          </w:p>
        </w:tc>
      </w:tr>
    </w:tbl>
    <w:p w:rsidR="00AE46DA" w:rsidRPr="001825C9" w:rsidRDefault="00AE46DA" w:rsidP="00AE46DA">
      <w:pPr>
        <w:pStyle w:val="TableFooter"/>
        <w:widowControl/>
      </w:pPr>
      <w:r w:rsidRPr="001825C9">
        <w:t>Abbreviations: HRQoL = health related quality of life; LYG = life years gained; OS = overall survival; PFS = progression-free survival; QALY = quality adjusted life years</w:t>
      </w:r>
    </w:p>
    <w:p w:rsidR="00AE46DA" w:rsidRPr="001825C9" w:rsidRDefault="00AE46DA" w:rsidP="00AE46DA">
      <w:pPr>
        <w:pStyle w:val="TableFooter"/>
        <w:widowControl/>
      </w:pPr>
      <w:r w:rsidRPr="001825C9">
        <w:t>Source: developed during the evaluation, pp228-229 of the submission</w:t>
      </w:r>
    </w:p>
    <w:p w:rsidR="00AE46DA" w:rsidRPr="001825C9" w:rsidRDefault="00AE46DA" w:rsidP="00AE46DA">
      <w:pPr>
        <w:pStyle w:val="ListParagraph"/>
        <w:rPr>
          <w:color w:val="auto"/>
        </w:rPr>
      </w:pPr>
      <w:r w:rsidRPr="001825C9">
        <w:rPr>
          <w:rFonts w:cstheme="minorHAnsi"/>
          <w:szCs w:val="24"/>
        </w:rPr>
        <w:t>Costs and utility weights were assigned within each model cycle within the health state to calculate the cumulative costs and QALYs over the model time horizon</w:t>
      </w:r>
      <w:r w:rsidRPr="001825C9">
        <w:rPr>
          <w:rFonts w:cstheme="minorHAnsi"/>
          <w:i/>
          <w:szCs w:val="24"/>
        </w:rPr>
        <w:t xml:space="preserve">. </w:t>
      </w:r>
      <w:r w:rsidRPr="001825C9">
        <w:rPr>
          <w:rFonts w:cstheme="minorHAnsi"/>
          <w:szCs w:val="24"/>
        </w:rPr>
        <w:t>Entry into the model was at the point of primary treatment and not at the point of testing.</w:t>
      </w:r>
      <w:r w:rsidRPr="001825C9">
        <w:rPr>
          <w:rFonts w:cstheme="minorHAnsi"/>
          <w:i/>
          <w:szCs w:val="24"/>
        </w:rPr>
        <w:t xml:space="preserve"> </w:t>
      </w:r>
      <w:r w:rsidRPr="001825C9">
        <w:rPr>
          <w:rFonts w:cstheme="minorHAnsi"/>
          <w:szCs w:val="24"/>
        </w:rPr>
        <w:t xml:space="preserve">The submission stated that no incremental cost for </w:t>
      </w:r>
      <w:r w:rsidRPr="001825C9">
        <w:rPr>
          <w:rFonts w:cstheme="minorHAnsi"/>
          <w:i/>
          <w:szCs w:val="24"/>
        </w:rPr>
        <w:t xml:space="preserve">BRAF </w:t>
      </w:r>
      <w:r w:rsidR="0090484C" w:rsidRPr="001825C9">
        <w:rPr>
          <w:rFonts w:cstheme="minorHAnsi"/>
          <w:szCs w:val="24"/>
        </w:rPr>
        <w:t>V600E</w:t>
      </w:r>
      <w:r w:rsidRPr="001825C9">
        <w:rPr>
          <w:rFonts w:cstheme="minorHAnsi"/>
          <w:szCs w:val="24"/>
        </w:rPr>
        <w:t xml:space="preserve"> testing was applied to the economic model as both </w:t>
      </w:r>
      <w:r w:rsidRPr="001825C9">
        <w:rPr>
          <w:rFonts w:cstheme="minorHAnsi"/>
          <w:i/>
          <w:szCs w:val="24"/>
        </w:rPr>
        <w:t>RAS</w:t>
      </w:r>
      <w:r w:rsidRPr="001825C9">
        <w:rPr>
          <w:rFonts w:cstheme="minorHAnsi"/>
          <w:szCs w:val="24"/>
        </w:rPr>
        <w:t xml:space="preserve"> and </w:t>
      </w:r>
      <w:r w:rsidRPr="001825C9">
        <w:rPr>
          <w:rFonts w:cstheme="minorHAnsi"/>
          <w:i/>
          <w:szCs w:val="24"/>
        </w:rPr>
        <w:t xml:space="preserve">BRAF </w:t>
      </w:r>
      <w:r w:rsidRPr="001825C9">
        <w:rPr>
          <w:rFonts w:cstheme="minorHAnsi"/>
          <w:szCs w:val="24"/>
        </w:rPr>
        <w:t xml:space="preserve">status are determined using a gene panel test of the same tumour tissue. </w:t>
      </w:r>
      <w:r w:rsidRPr="001825C9">
        <w:rPr>
          <w:rFonts w:cstheme="minorHAnsi"/>
          <w:szCs w:val="24"/>
        </w:rPr>
        <w:lastRenderedPageBreak/>
        <w:t xml:space="preserve">The intention was to have specific mention of </w:t>
      </w:r>
      <w:r w:rsidRPr="001825C9">
        <w:rPr>
          <w:rFonts w:cstheme="minorHAnsi"/>
          <w:i/>
          <w:szCs w:val="24"/>
        </w:rPr>
        <w:t xml:space="preserve">BRAF </w:t>
      </w:r>
      <w:r w:rsidR="0090484C" w:rsidRPr="001825C9">
        <w:rPr>
          <w:rFonts w:cstheme="minorHAnsi"/>
          <w:szCs w:val="24"/>
        </w:rPr>
        <w:t>V600E</w:t>
      </w:r>
      <w:r w:rsidRPr="001825C9">
        <w:rPr>
          <w:rFonts w:cstheme="minorHAnsi"/>
          <w:szCs w:val="24"/>
        </w:rPr>
        <w:t xml:space="preserve"> testing in the current MBS item 73338 code for gene testing for mCRC. The submission assumed that the treatment initiation cost would be equal to that of the main comparator, since such testing is required for treatment with cetuximab. </w:t>
      </w:r>
      <w:r w:rsidRPr="001825C9">
        <w:rPr>
          <w:iCs/>
        </w:rPr>
        <w:t>This was reasonable</w:t>
      </w:r>
      <w:r w:rsidRPr="001825C9">
        <w:rPr>
          <w:color w:val="auto"/>
        </w:rPr>
        <w:t>.</w:t>
      </w:r>
    </w:p>
    <w:p w:rsidR="00AE46DA" w:rsidRPr="001825C9" w:rsidRDefault="00AE46DA" w:rsidP="00AE46DA">
      <w:pPr>
        <w:pStyle w:val="ListParagraph"/>
        <w:rPr>
          <w:color w:val="auto"/>
        </w:rPr>
      </w:pPr>
      <w:r w:rsidRPr="001825C9">
        <w:rPr>
          <w:rFonts w:cstheme="minorHAnsi"/>
          <w:color w:val="auto"/>
          <w:szCs w:val="24"/>
        </w:rPr>
        <w:t xml:space="preserve">Time to discontinuation (TTD; </w:t>
      </w:r>
      <w:r w:rsidRPr="001825C9">
        <w:rPr>
          <w:color w:val="auto"/>
        </w:rPr>
        <w:t>defined as the time from first dose to the time of treatment discontinuation) was used to determine the costs associated with the primary treatment. The submission rationalised that the use of TTD allowed a more accurate estimation of the primary treatment costs than PFS because patients on BEACON were allowed to remain on primary treatment after progression, and that some patients may have discontinued treatment pre-progression due to safety concerns. The requested PBS clinical criteria specify that “patients must have stable or responding disease” in order to continue to receive encorafenib. Thus, reliance on TTD, which includes exposure in patients beyond progression, as the basis to estimate treatment exposure did not reflect the proposed PBS listing. The submission did not present information with respect to the number of patients who remained on primary treatment beyond disease progression and therefore the effects of treatment beyond progression were difficult to interpret.</w:t>
      </w:r>
      <w:r w:rsidRPr="001825C9">
        <w:rPr>
          <w:i/>
          <w:color w:val="auto"/>
        </w:rPr>
        <w:t xml:space="preserve"> </w:t>
      </w:r>
      <w:r w:rsidRPr="001825C9">
        <w:rPr>
          <w:color w:val="auto"/>
        </w:rPr>
        <w:t>The submission presented the results of a sensitivity analysis where primary treatment costs were based on PFS, which increased the ICER from the base case by 1.9% to $</w:t>
      </w:r>
      <w:r w:rsidR="00A13A3B">
        <w:rPr>
          <w:color w:val="auto"/>
        </w:rPr>
        <w:t>75,000 to &lt;$95,000</w:t>
      </w:r>
      <w:r w:rsidRPr="001825C9">
        <w:rPr>
          <w:color w:val="auto"/>
        </w:rPr>
        <w:t xml:space="preserve"> per QALY. The results of this analysis may better reflect the proposed continuation criteria and the cost-effectiveness of encorafenib + cetuximab in practice. Primary treatment costs based on PFS formed the revised base case for further sensitivity analyses conducted during the evaluation </w:t>
      </w:r>
      <w:r w:rsidRPr="001825C9">
        <w:rPr>
          <w:rFonts w:ascii="Calibri" w:hAnsi="Calibri" w:cs="Calibri"/>
          <w:szCs w:val="24"/>
        </w:rPr>
        <w:t>(see Table 15 below)</w:t>
      </w:r>
      <w:r w:rsidRPr="001825C9">
        <w:rPr>
          <w:color w:val="auto"/>
        </w:rPr>
        <w:t>.</w:t>
      </w:r>
    </w:p>
    <w:p w:rsidR="00AE46DA" w:rsidRPr="001825C9" w:rsidRDefault="00AE46DA" w:rsidP="00AE46DA">
      <w:pPr>
        <w:pStyle w:val="ListParagraph"/>
        <w:rPr>
          <w:color w:val="auto"/>
        </w:rPr>
      </w:pPr>
      <w:r w:rsidRPr="001825C9">
        <w:rPr>
          <w:color w:val="auto"/>
        </w:rPr>
        <w:lastRenderedPageBreak/>
        <w:t xml:space="preserve">The PSCR stated that using TTD to calculate the cost of primary treatment was guided by the principle that costs accrued in the model should ideally reflect the trial conditions, and argued that using PFS to calculate the cost of primary treatment should not constitute a revised base case since it introduces a disconnect between costs and outcomes. Whilst acknowledging these arguments, the ESCs considered that using PFS rather than TTD to calculate the cost of primary treatment would be more appropriate as it would reflect the PBS continuation criteria, which limits treatment to patients with at least stable disease, and the consequences of this for varying health outcomes would be comparatively small. Regardless of the outcome chosen to model primary treatment costs, the ESCs noted that the model was more sensitive to using the effective price of cetuximab and removing the assumed </w:t>
      </w:r>
      <w:r w:rsidRPr="00C320AD">
        <w:rPr>
          <w:color w:val="auto"/>
        </w:rPr>
        <w:t>25</w:t>
      </w:r>
      <w:r w:rsidRPr="001825C9">
        <w:rPr>
          <w:color w:val="auto"/>
        </w:rPr>
        <w:t>% price reduction due to generic entry.</w:t>
      </w:r>
    </w:p>
    <w:p w:rsidR="00AE46DA" w:rsidRPr="001825C9" w:rsidRDefault="00AE46DA" w:rsidP="00AE46DA">
      <w:pPr>
        <w:pStyle w:val="ListParagraph"/>
        <w:rPr>
          <w:color w:val="auto"/>
        </w:rPr>
      </w:pPr>
      <w:r w:rsidRPr="001825C9">
        <w:rPr>
          <w:color w:val="auto"/>
        </w:rPr>
        <w:t xml:space="preserve">The time horizon of the economic evaluation was 7 years in the base case. The KM data was used until the last model cycle prior to the median was reached, after which point the selected distribution was applied to the data to extrapolate until the 7-year time horizon. </w:t>
      </w:r>
      <w:r w:rsidRPr="001825C9">
        <w:rPr>
          <w:iCs/>
          <w:color w:val="auto"/>
        </w:rPr>
        <w:t>This method was appropriate.</w:t>
      </w:r>
      <w:r w:rsidRPr="001825C9">
        <w:rPr>
          <w:color w:val="auto"/>
        </w:rPr>
        <w:t xml:space="preserve"> However, the extrapolation of clinical outcomes up to 7 years was based on a relatively short duration of observed data.</w:t>
      </w:r>
      <w:r w:rsidRPr="001825C9">
        <w:rPr>
          <w:iCs/>
          <w:color w:val="auto"/>
        </w:rPr>
        <w:t xml:space="preserve"> </w:t>
      </w:r>
      <w:r w:rsidRPr="001825C9">
        <w:rPr>
          <w:color w:val="auto"/>
        </w:rPr>
        <w:t xml:space="preserve">PFS KM data were observed up to approximately 22 months for encorafenib + cetuximab and 14 months for FOLFIRI/Ir + cetuximab. The submission extrapolated the trial data for the encorafenib + cetuximab arm using log-logistic distribution for PFS and OS, and gamma models for time to treatment discontinuation (treatment continuation in PFS). The impact on the incremental cost-effectiveness ratio (ICER) of varying the time horizon was tested in sensitivity analyses. The results of these analyses are depicted graphically in Figure 7 (using published prices of cetuximab). The PSCR argued a 7-year time horizon was appropriate as it related to the life expectancy of the patient population, and reflected the </w:t>
      </w:r>
      <w:r w:rsidRPr="001825C9">
        <w:rPr>
          <w:color w:val="auto"/>
        </w:rPr>
        <w:lastRenderedPageBreak/>
        <w:t>time span required for nearly all of the model cohort to die (3.2% of the modelled population was alive at 7 years compared to 5% at 5 years, and 12.5% at 34 months). The ESCs noted the proportion alive is a combination of modelled assumptions around extrapolation and the nominated time horizon, and advised that PBAC’s past considerations in this setting would also be relevant in determining the appropriate time horizon (in the context of second-line cetuximab in March 2009, the PBAC</w:t>
      </w:r>
      <w:r w:rsidRPr="001825C9">
        <w:rPr>
          <w:i/>
          <w:color w:val="auto"/>
        </w:rPr>
        <w:t xml:space="preserve"> </w:t>
      </w:r>
      <w:r w:rsidR="00E95DD9" w:rsidRPr="001825C9">
        <w:rPr>
          <w:color w:val="auto"/>
        </w:rPr>
        <w:t>considered that, using a 5-</w:t>
      </w:r>
      <w:r w:rsidRPr="001825C9">
        <w:rPr>
          <w:color w:val="auto"/>
        </w:rPr>
        <w:t>year time horizon, the submission “likely overestimated the overall survival and that the very small number of patients alive by 14 months suggested that there may not be a need to extrapolate the treatment effect beyond the duration of the trial”).</w:t>
      </w:r>
    </w:p>
    <w:p w:rsidR="00AE46DA" w:rsidRPr="00DD147E" w:rsidRDefault="00AE46DA" w:rsidP="00AE46DA">
      <w:pPr>
        <w:pStyle w:val="Caption"/>
      </w:pPr>
      <w:r w:rsidRPr="00DD147E">
        <w:t>Figure 7: Impact of time horizon on the ICER; $ per QALY</w:t>
      </w:r>
    </w:p>
    <w:p w:rsidR="00AE46DA" w:rsidRPr="00B44D36" w:rsidRDefault="006E0BEE" w:rsidP="00AE46DA">
      <w:pPr>
        <w:jc w:val="left"/>
        <w:rPr>
          <w:highlight w:val="yellow"/>
        </w:rPr>
      </w:pPr>
      <w:r w:rsidRPr="006E0BEE">
        <w:rPr>
          <w:noProof/>
          <w:lang w:eastAsia="en-AU"/>
        </w:rPr>
        <w:t xml:space="preserve"> </w:t>
      </w:r>
      <w:r>
        <w:rPr>
          <w:noProof/>
          <w:lang w:eastAsia="en-AU"/>
        </w:rPr>
        <w:drawing>
          <wp:inline distT="0" distB="0" distL="0" distR="0" wp14:anchorId="08E8318E" wp14:editId="4EC1BDB9">
            <wp:extent cx="4502552" cy="2737413"/>
            <wp:effectExtent l="0" t="0" r="0" b="6350"/>
            <wp:docPr id="2" name="Picture 2" title="Figure 7: Impact of time horizon on the ICER; $ per Q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r="1372" b="-487"/>
                    <a:stretch/>
                  </pic:blipFill>
                  <pic:spPr bwMode="auto">
                    <a:xfrm>
                      <a:off x="0" y="0"/>
                      <a:ext cx="4509471" cy="2741619"/>
                    </a:xfrm>
                    <a:prstGeom prst="rect">
                      <a:avLst/>
                    </a:prstGeom>
                    <a:ln>
                      <a:noFill/>
                    </a:ln>
                    <a:extLst>
                      <a:ext uri="{53640926-AAD7-44D8-BBD7-CCE9431645EC}">
                        <a14:shadowObscured xmlns:a14="http://schemas.microsoft.com/office/drawing/2010/main"/>
                      </a:ext>
                    </a:extLst>
                  </pic:spPr>
                </pic:pic>
              </a:graphicData>
            </a:graphic>
          </wp:inline>
        </w:drawing>
      </w:r>
    </w:p>
    <w:p w:rsidR="00AE46DA" w:rsidRPr="00DD147E" w:rsidRDefault="00AE46DA" w:rsidP="00AE46DA">
      <w:pPr>
        <w:pStyle w:val="TableFooter"/>
        <w:widowControl/>
      </w:pPr>
      <w:r w:rsidRPr="00DD147E">
        <w:t>Abbreviations: ICER = incremental cost effectiveness ratio</w:t>
      </w:r>
    </w:p>
    <w:p w:rsidR="00AE46DA" w:rsidRPr="001825C9" w:rsidRDefault="00AE46DA" w:rsidP="00AE46DA">
      <w:pPr>
        <w:pStyle w:val="TableFooter"/>
        <w:widowControl/>
      </w:pPr>
      <w:r w:rsidRPr="00DD147E">
        <w:lastRenderedPageBreak/>
        <w:t>Source: Developed during the evaluation</w:t>
      </w:r>
    </w:p>
    <w:p w:rsidR="00AE46DA" w:rsidRPr="001825C9" w:rsidRDefault="00AE46DA" w:rsidP="00AE46DA">
      <w:pPr>
        <w:pStyle w:val="ListParagraph"/>
        <w:rPr>
          <w:color w:val="auto"/>
        </w:rPr>
      </w:pPr>
      <w:r w:rsidRPr="001825C9">
        <w:t xml:space="preserve">The </w:t>
      </w:r>
      <w:r w:rsidRPr="001825C9">
        <w:rPr>
          <w:rFonts w:ascii="Calibri" w:hAnsi="Calibri" w:cs="Calibri"/>
          <w:szCs w:val="24"/>
        </w:rPr>
        <w:t>economic model stated that 58.0% of the control arm of BEACON received FOLFIRI + cetuximab; this could not be verified during the evaluation. The BEACON CSR (11 Aug 2019; p305) stated that 107 patients (55.4%) received FOLFIRI + cetuximab. The impact on the ICER of varying the proportion of patients in the control arm who received FOLFIRI + cetuximab was tested in a sensitivity analysis (see Table 15 below).</w:t>
      </w:r>
    </w:p>
    <w:p w:rsidR="00AE46DA" w:rsidRPr="001825C9" w:rsidRDefault="00AE46DA" w:rsidP="00AE46DA">
      <w:pPr>
        <w:pStyle w:val="ListParagraph"/>
        <w:rPr>
          <w:color w:val="auto"/>
        </w:rPr>
      </w:pPr>
      <w:r w:rsidRPr="001825C9">
        <w:rPr>
          <w:color w:val="auto"/>
        </w:rPr>
        <w:t>The results of the traces for the comparative outcomes for PFS and OS, predicted by the model are presented in Figure 8. The submission sourced most of the inputs for the economic model from BEACON, including data for PFS, OS and TTD. The survival curve data applied to the economic evaluation were based on the latest data cut available. This meant that the data were obtained from two different data cuts: 5 May 2020 for OS and 15 August 2019 for PFS and TTD.</w:t>
      </w:r>
    </w:p>
    <w:p w:rsidR="00AE46DA" w:rsidRPr="001825C9" w:rsidRDefault="00AE46DA" w:rsidP="00AE46DA">
      <w:pPr>
        <w:pStyle w:val="ListParagraph"/>
        <w:rPr>
          <w:color w:val="auto"/>
        </w:rPr>
      </w:pPr>
      <w:r w:rsidRPr="001825C9">
        <w:rPr>
          <w:color w:val="auto"/>
        </w:rPr>
        <w:t>Parametric models were used to extrapolate the observed KM data from BEACON. The model was structured such that the KM curves were fitted to the data until the medianth event (PFS, OS and TTD); after the medianth point, the fitted curves were applied for extrapolation. This resulted in extrapolations being applied at different time points for each outcome as well as between encorafenib + cetuximab and FOLFIRI/Ir + cetuximab. It may have been more appropriate to extrapolate from a single time point (median follow-up) to ensure consistency.</w:t>
      </w:r>
    </w:p>
    <w:p w:rsidR="00AE46DA" w:rsidRPr="001825C9" w:rsidRDefault="00AE46DA" w:rsidP="00AE46DA">
      <w:pPr>
        <w:pStyle w:val="ListParagraph"/>
        <w:rPr>
          <w:color w:val="auto"/>
        </w:rPr>
      </w:pPr>
      <w:r w:rsidRPr="001825C9">
        <w:t>The model was sensitive to the choice of parametric function chosen for extrapolation. Applying the log-logistic distribution to TTD (consistent with the OS and PFS extrapolation) resulted in a 25.9% increase in the ICER ($</w:t>
      </w:r>
      <w:r w:rsidR="00A13A3B">
        <w:t>75,000 to &lt;$95,000/QALY gained</w:t>
      </w:r>
      <w:r w:rsidRPr="001825C9">
        <w:t xml:space="preserve">) compared to the base case. The log-logistic distribution was the third best choice by AIC </w:t>
      </w:r>
      <w:r w:rsidRPr="001825C9">
        <w:lastRenderedPageBreak/>
        <w:t xml:space="preserve">and the second-best choice by BIC (for both the encorafenib + cetuximab arm and the control arm). </w:t>
      </w:r>
      <w:r w:rsidRPr="001825C9">
        <w:rPr>
          <w:color w:val="auto"/>
        </w:rPr>
        <w:t>The PSCR argued the submission applied a standard approach to selecting the parametric models for extrapolation, which were selected based on AIC and BIC, supplemented by face-validity and plausibility. The ESCs considered that this issue was less relevant if PFS rather than TTD was used to calculate the cost of primary treatment.</w:t>
      </w:r>
    </w:p>
    <w:p w:rsidR="00AE46DA" w:rsidRPr="001825C9" w:rsidRDefault="00AE46DA" w:rsidP="00AE46DA">
      <w:pPr>
        <w:pStyle w:val="ListParagraph"/>
        <w:rPr>
          <w:color w:val="auto"/>
        </w:rPr>
      </w:pPr>
      <w:r w:rsidRPr="001825C9">
        <w:rPr>
          <w:color w:val="auto"/>
        </w:rPr>
        <w:t>Sensitivity analyses were conducted both by the submission and during the evaluation to test the use of alternative parametric distributions (see Table 15).</w:t>
      </w:r>
    </w:p>
    <w:p w:rsidR="00AE46DA" w:rsidRPr="00000089" w:rsidRDefault="00AE46DA" w:rsidP="00AE46DA">
      <w:pPr>
        <w:pStyle w:val="Caption"/>
        <w:rPr>
          <w:vertAlign w:val="superscript"/>
        </w:rPr>
      </w:pPr>
      <w:r w:rsidRPr="001825C9">
        <w:t>Figure 8: Trace of comparative outcome of encorafenib + cetuximab and FOLFIRI/Ir + cetuximab from the model</w:t>
      </w:r>
      <w:r w:rsidR="00000089">
        <w:rPr>
          <w:vertAlign w:val="superscript"/>
        </w:rPr>
        <w:t>*,^</w:t>
      </w:r>
    </w:p>
    <w:p w:rsidR="00AE46DA" w:rsidRPr="001825C9" w:rsidRDefault="00F6615C" w:rsidP="00AE46DA">
      <w:r>
        <w:rPr>
          <w:noProof/>
          <w:lang w:eastAsia="en-AU"/>
        </w:rPr>
        <w:drawing>
          <wp:inline distT="0" distB="0" distL="0" distR="0">
            <wp:extent cx="5715000" cy="2895600"/>
            <wp:effectExtent l="0" t="0" r="0" b="0"/>
            <wp:docPr id="3" name="Picture 3" title="Figure 8: Trace of comparative outcome of encorafenib + cetuximab and FOLFIRI/Ir + cetuximab from the model*,^"/>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stretch>
                      <a:fillRect/>
                    </a:stretch>
                  </pic:blipFill>
                  <pic:spPr>
                    <a:xfrm>
                      <a:off x="0" y="0"/>
                      <a:ext cx="5715000" cy="2895600"/>
                    </a:xfrm>
                    <a:prstGeom prst="rect">
                      <a:avLst/>
                    </a:prstGeom>
                  </pic:spPr>
                </pic:pic>
              </a:graphicData>
            </a:graphic>
          </wp:inline>
        </w:drawing>
      </w:r>
    </w:p>
    <w:p w:rsidR="00AE46DA" w:rsidRPr="001825C9" w:rsidRDefault="00AE46DA" w:rsidP="00AE46DA">
      <w:pPr>
        <w:pStyle w:val="TableFooter"/>
        <w:widowControl/>
      </w:pPr>
      <w:r w:rsidRPr="001825C9">
        <w:rPr>
          <w:szCs w:val="18"/>
        </w:rPr>
        <w:t>Notes: Control arm = investigator’s choice of irinotecan + cetuximab or FOLFIRI + cetuximab</w:t>
      </w:r>
    </w:p>
    <w:p w:rsidR="00AE46DA" w:rsidRPr="001825C9" w:rsidRDefault="00AE46DA" w:rsidP="00AE46DA">
      <w:pPr>
        <w:pStyle w:val="TableFooter"/>
        <w:widowControl/>
      </w:pPr>
      <w:r w:rsidRPr="001825C9">
        <w:lastRenderedPageBreak/>
        <w:t>Source: Developed during the evaluation based on Section 3 Workbook.xlsx</w:t>
      </w:r>
    </w:p>
    <w:p w:rsidR="00000089" w:rsidRDefault="00AE46DA" w:rsidP="00AE46DA">
      <w:pPr>
        <w:pStyle w:val="TableFooter"/>
        <w:widowControl/>
      </w:pPr>
      <w:r w:rsidRPr="001825C9">
        <w:t>Abbreviations: EncoCetux = encorafenib + cetuximab; KM = Kaplan-Meier; OS = overall survival; PFS = progression-free survival; TTD = time to discontinuation</w:t>
      </w:r>
    </w:p>
    <w:p w:rsidR="00000089" w:rsidRDefault="00000089" w:rsidP="00AE46DA">
      <w:pPr>
        <w:pStyle w:val="TableFooter"/>
        <w:widowControl/>
        <w:rPr>
          <w:rStyle w:val="CommentReference"/>
          <w:rFonts w:eastAsiaTheme="minorHAnsi" w:cstheme="minorBidi"/>
          <w:snapToGrid/>
        </w:rPr>
      </w:pPr>
      <w:r>
        <w:rPr>
          <w:vertAlign w:val="superscript"/>
        </w:rPr>
        <w:t>*</w:t>
      </w:r>
      <w:r w:rsidRPr="00000089">
        <w:rPr>
          <w:i/>
          <w:iCs/>
        </w:rPr>
        <w:t xml:space="preserve"> </w:t>
      </w:r>
      <w:r>
        <w:rPr>
          <w:i/>
          <w:iCs/>
        </w:rPr>
        <w:t>OS data cut off May 2020: manuscript in preparation. To be submitted Q3 2021 to BMJ Open</w:t>
      </w:r>
      <w:r>
        <w:rPr>
          <w:rStyle w:val="CommentReference"/>
          <w:rFonts w:eastAsiaTheme="minorHAnsi" w:cstheme="minorBidi"/>
          <w:snapToGrid/>
        </w:rPr>
        <w:t xml:space="preserve"> </w:t>
      </w:r>
    </w:p>
    <w:p w:rsidR="00AE46DA" w:rsidRPr="001825C9" w:rsidRDefault="00000089" w:rsidP="00AE46DA">
      <w:pPr>
        <w:pStyle w:val="TableFooter"/>
        <w:widowControl/>
      </w:pPr>
      <w:r>
        <w:rPr>
          <w:rStyle w:val="CommentReference"/>
          <w:rFonts w:eastAsiaTheme="minorHAnsi" w:cstheme="minorBidi"/>
          <w:snapToGrid/>
          <w:vertAlign w:val="superscript"/>
        </w:rPr>
        <w:t>^</w:t>
      </w:r>
      <w:r>
        <w:rPr>
          <w:rStyle w:val="CommentReference"/>
          <w:rFonts w:eastAsiaTheme="minorHAnsi" w:cstheme="minorBidi"/>
          <w:snapToGrid/>
        </w:rPr>
        <w:t xml:space="preserve"> </w:t>
      </w:r>
      <w:r>
        <w:rPr>
          <w:i/>
          <w:iCs/>
        </w:rPr>
        <w:t>QoL data cut off August 2019: manuscript in preparation. To be submitted Q4 2021 to ESMO Open</w:t>
      </w:r>
    </w:p>
    <w:p w:rsidR="00AE46DA" w:rsidRPr="001825C9" w:rsidRDefault="00AE46DA" w:rsidP="00AE46DA">
      <w:pPr>
        <w:pStyle w:val="ListParagraph"/>
        <w:rPr>
          <w:color w:val="auto"/>
        </w:rPr>
      </w:pPr>
      <w:bookmarkStart w:id="36" w:name="_Ref64288054"/>
      <w:r w:rsidRPr="001825C9">
        <w:t>The submission noted that minor differences in utility value were observed between treatment arms, which were not statically significant. The submission applied UK tariffs for the EQ-5D-3L to the economic model stating that Australian-specific utility weights were not available. BEACON applied the EQ-5D-5L, necessitating that a crosswalk method (as recommended by NICE) be applied in deriving utility values using the algorithm for the 3L instrument. However, given that Australian specific tariffs are available for the 5L version of this instrument, it would have been appropriate that they be applied for this submission.</w:t>
      </w:r>
      <w:bookmarkEnd w:id="36"/>
    </w:p>
    <w:p w:rsidR="00AE46DA" w:rsidRPr="001825C9" w:rsidRDefault="00AE46DA" w:rsidP="00AE46DA">
      <w:pPr>
        <w:pStyle w:val="ListParagraph"/>
        <w:rPr>
          <w:color w:val="auto"/>
        </w:rPr>
      </w:pPr>
      <w:r w:rsidRPr="001825C9">
        <w:t>The model assumed no wastage in the base case analysis. It may have been appropriate for the model to consider the costs associated with wastage since both regimens are administered intravenously. Though the cetuximab doses in both the encorafenib + cetuximab and FOLFIRI/Ir + cetuximab are the same, the mean relative dose intensity (RDI) was different (92.4% encorafenib + cetuximab and 86.9% FOLFIRI/Ir + cetuximab arm; with an anticipated average dose of 413.49 mg and 388.88</w:t>
      </w:r>
      <w:r w:rsidRPr="001825C9" w:rsidDel="00773469">
        <w:t xml:space="preserve"> </w:t>
      </w:r>
      <w:r w:rsidRPr="001825C9">
        <w:t>mg, respectively). Thus, with weekly administration of cetuximab, there would be greater wastage for the FOLFIRI/Ir + cetuximab arm; the assumption of no wastage thus biases against encorafenib + cetuximab.</w:t>
      </w:r>
    </w:p>
    <w:p w:rsidR="00AE46DA" w:rsidRPr="001825C9" w:rsidRDefault="00AE46DA" w:rsidP="00AE46DA">
      <w:pPr>
        <w:pStyle w:val="ListParagraph"/>
        <w:rPr>
          <w:color w:val="auto"/>
        </w:rPr>
      </w:pPr>
      <w:r w:rsidRPr="001825C9">
        <w:rPr>
          <w:rFonts w:ascii="Calibri" w:hAnsi="Calibri" w:cs="Calibri"/>
          <w:color w:val="auto"/>
          <w:szCs w:val="24"/>
        </w:rPr>
        <w:t xml:space="preserve">BEACON permitted prophylactic concomitant therapy for rash hand foot skin reaction, infection prophylaxis with antibiotics and secondary prophylactic antiemetics once patients experienced nausea and vomiting. Though the </w:t>
      </w:r>
      <w:r w:rsidRPr="001825C9">
        <w:rPr>
          <w:rFonts w:ascii="Calibri" w:hAnsi="Calibri" w:cs="Calibri"/>
          <w:color w:val="auto"/>
          <w:szCs w:val="24"/>
        </w:rPr>
        <w:lastRenderedPageBreak/>
        <w:t>submission implied concomitant medications were considered as part of best supportive care (BSC), the cost calculation for BSC was limited to the cost of one medical oncologist consultation per cycle, and thus did not include the utilisation of prophylactic medications.</w:t>
      </w:r>
    </w:p>
    <w:p w:rsidR="00AE46DA" w:rsidRPr="001825C9" w:rsidRDefault="00AE46DA" w:rsidP="00AE46DA">
      <w:pPr>
        <w:pStyle w:val="ListParagraph"/>
        <w:rPr>
          <w:color w:val="auto"/>
        </w:rPr>
      </w:pPr>
      <w:r w:rsidRPr="001825C9">
        <w:rPr>
          <w:color w:val="auto"/>
        </w:rPr>
        <w:t>The economic model incorporated AEs within the model as a one-time cost during the first cycle of treatment. This is likely an underestimation of the costs associated with the management of AEs as it did not account for the potential for multiple occurrences of the same event per patient within the follow-up period and assumed resolution of Grade ≥3 AEs within the same model cycle in which they occurred.</w:t>
      </w:r>
    </w:p>
    <w:p w:rsidR="00AE46DA" w:rsidRPr="001825C9" w:rsidRDefault="00AE46DA" w:rsidP="00AE46DA">
      <w:pPr>
        <w:pStyle w:val="ListParagraph"/>
        <w:rPr>
          <w:color w:val="auto"/>
        </w:rPr>
      </w:pPr>
      <w:r w:rsidRPr="001825C9">
        <w:rPr>
          <w:color w:val="auto"/>
        </w:rPr>
        <w:t>The economic model incorporated costs associated with terminal care. The submission utilised the cost of prescription medications based on Reeve et al (2018), allocating the mean cost of medications in the last 6 months of life ($1,840) to a per month basis ($306.67). The submission then applied this cost to both arms of the economic evaluation to capture the post-discontinuation treatment cost. In the economic model, the cost of $306.67 is labelled as subsequent antineoplastic treatment cost (drug cost and administration). However, the nature of the medications required in the final six months of life is likely to be different to those required for subsequent antineoplastic treatment for mCRC and thus the costs associated with these different clinical indications (subsequent antineoplastic therapy versus end-of-life) are unlikely to be substitutable as has been assumed by the submission.</w:t>
      </w:r>
    </w:p>
    <w:p w:rsidR="00AE46DA" w:rsidRPr="001825C9" w:rsidRDefault="00AE46DA" w:rsidP="00AE46DA">
      <w:pPr>
        <w:pStyle w:val="ListParagraph"/>
        <w:rPr>
          <w:color w:val="auto"/>
        </w:rPr>
      </w:pPr>
      <w:r w:rsidRPr="001825C9">
        <w:rPr>
          <w:color w:val="auto"/>
        </w:rPr>
        <w:t>A summary of the key drivers of the model is presented in Table 13.</w:t>
      </w:r>
    </w:p>
    <w:p w:rsidR="00AE46DA" w:rsidRPr="001825C9" w:rsidRDefault="00AE46DA" w:rsidP="00AE46DA">
      <w:pPr>
        <w:pStyle w:val="Caption"/>
      </w:pPr>
      <w:r w:rsidRPr="001825C9">
        <w:lastRenderedPageBreak/>
        <w:t>Table 13: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6"/>
        <w:gridCol w:w="2815"/>
        <w:gridCol w:w="4485"/>
      </w:tblGrid>
      <w:tr w:rsidR="00AE46DA" w:rsidRPr="001825C9" w:rsidTr="00B21F37">
        <w:trPr>
          <w:tblHeader/>
        </w:trPr>
        <w:tc>
          <w:tcPr>
            <w:tcW w:w="952" w:type="pct"/>
            <w:shd w:val="clear" w:color="auto" w:fill="auto"/>
            <w:vAlign w:val="center"/>
          </w:tcPr>
          <w:p w:rsidR="00AE46DA" w:rsidRPr="001825C9" w:rsidRDefault="00AE46DA" w:rsidP="00B21F37">
            <w:pPr>
              <w:pStyle w:val="TableText"/>
              <w:keepNext/>
              <w:keepLines/>
              <w:widowControl/>
              <w:spacing w:before="0" w:after="0" w:line="240" w:lineRule="auto"/>
              <w:jc w:val="center"/>
              <w:rPr>
                <w:b/>
              </w:rPr>
            </w:pPr>
            <w:r w:rsidRPr="001825C9">
              <w:rPr>
                <w:b/>
              </w:rPr>
              <w:t>Description</w:t>
            </w:r>
          </w:p>
        </w:tc>
        <w:tc>
          <w:tcPr>
            <w:tcW w:w="1561" w:type="pct"/>
            <w:shd w:val="clear" w:color="auto" w:fill="auto"/>
            <w:vAlign w:val="center"/>
          </w:tcPr>
          <w:p w:rsidR="00AE46DA" w:rsidRPr="001825C9" w:rsidRDefault="00AE46DA" w:rsidP="00B21F37">
            <w:pPr>
              <w:pStyle w:val="TableText"/>
              <w:keepNext/>
              <w:keepLines/>
              <w:widowControl/>
              <w:spacing w:before="0" w:after="0" w:line="240" w:lineRule="auto"/>
              <w:jc w:val="center"/>
              <w:rPr>
                <w:b/>
              </w:rPr>
            </w:pPr>
            <w:r w:rsidRPr="001825C9">
              <w:rPr>
                <w:b/>
              </w:rPr>
              <w:t>Method/Value</w:t>
            </w:r>
          </w:p>
        </w:tc>
        <w:tc>
          <w:tcPr>
            <w:tcW w:w="2487" w:type="pct"/>
            <w:shd w:val="clear" w:color="auto" w:fill="auto"/>
            <w:vAlign w:val="center"/>
          </w:tcPr>
          <w:p w:rsidR="00AE46DA" w:rsidRPr="001825C9" w:rsidRDefault="00AE46DA" w:rsidP="00B21F37">
            <w:pPr>
              <w:pStyle w:val="TableText"/>
              <w:keepNext/>
              <w:keepLines/>
              <w:widowControl/>
              <w:spacing w:before="0" w:after="0" w:line="240" w:lineRule="auto"/>
              <w:jc w:val="center"/>
              <w:rPr>
                <w:b/>
              </w:rPr>
            </w:pPr>
            <w:r w:rsidRPr="001825C9">
              <w:rPr>
                <w:b/>
              </w:rPr>
              <w:t>Impact</w:t>
            </w:r>
          </w:p>
          <w:p w:rsidR="00AE46DA" w:rsidRPr="001825C9" w:rsidRDefault="00AE46DA" w:rsidP="00B21F37">
            <w:pPr>
              <w:pStyle w:val="TableText"/>
              <w:keepNext/>
              <w:keepLines/>
              <w:widowControl/>
              <w:spacing w:before="0" w:after="0" w:line="240" w:lineRule="auto"/>
              <w:jc w:val="center"/>
              <w:rPr>
                <w:b/>
              </w:rPr>
            </w:pPr>
            <w:r w:rsidRPr="001825C9">
              <w:rPr>
                <w:b/>
              </w:rPr>
              <w:t>Base case: $</w:t>
            </w:r>
            <w:r w:rsidR="00B72C43">
              <w:rPr>
                <w:b/>
                <w:noProof/>
                <w:color w:val="000000"/>
                <w:highlight w:val="black"/>
              </w:rPr>
              <w:t>''''''''''''</w:t>
            </w:r>
            <w:r w:rsidR="00A13A3B">
              <w:rPr>
                <w:rFonts w:cs="Calibri"/>
                <w:iCs/>
                <w:color w:val="000000" w:themeColor="text1"/>
                <w:szCs w:val="18"/>
                <w:shd w:val="clear" w:color="auto" w:fill="FFFFFF"/>
                <w:vertAlign w:val="superscript"/>
                <w:lang w:eastAsia="ko-KR"/>
              </w:rPr>
              <w:t>1</w:t>
            </w:r>
            <w:r w:rsidRPr="001825C9">
              <w:rPr>
                <w:b/>
              </w:rPr>
              <w:t>/QALY gained</w:t>
            </w:r>
          </w:p>
        </w:tc>
      </w:tr>
      <w:tr w:rsidR="00AE46DA" w:rsidRPr="001825C9" w:rsidTr="00B21F37">
        <w:tc>
          <w:tcPr>
            <w:tcW w:w="952" w:type="pct"/>
            <w:shd w:val="clear" w:color="auto" w:fill="auto"/>
            <w:vAlign w:val="center"/>
          </w:tcPr>
          <w:p w:rsidR="00AE46DA" w:rsidRPr="001825C9" w:rsidRDefault="00AE46DA" w:rsidP="00B21F37">
            <w:pPr>
              <w:pStyle w:val="TableText"/>
              <w:keepNext/>
              <w:keepLines/>
              <w:widowControl/>
              <w:spacing w:before="0" w:after="0" w:line="240" w:lineRule="auto"/>
            </w:pPr>
            <w:r w:rsidRPr="001825C9">
              <w:t>Extrapolation</w:t>
            </w:r>
          </w:p>
        </w:tc>
        <w:tc>
          <w:tcPr>
            <w:tcW w:w="1561" w:type="pct"/>
            <w:shd w:val="clear" w:color="auto" w:fill="auto"/>
            <w:vAlign w:val="center"/>
          </w:tcPr>
          <w:p w:rsidR="00AE46DA" w:rsidRPr="001825C9" w:rsidRDefault="00AE46DA" w:rsidP="00B21F37">
            <w:pPr>
              <w:pStyle w:val="TableText"/>
              <w:keepNext/>
              <w:keepLines/>
              <w:widowControl/>
              <w:spacing w:before="0" w:after="0" w:line="240" w:lineRule="auto"/>
            </w:pPr>
            <w:r w:rsidRPr="001825C9">
              <w:t>Parametric models for extrapolation were selected based on AIC and BIC, in addition to assessment of face-validity and plausibility.</w:t>
            </w:r>
          </w:p>
        </w:tc>
        <w:tc>
          <w:tcPr>
            <w:tcW w:w="2487" w:type="pct"/>
            <w:shd w:val="clear" w:color="auto" w:fill="auto"/>
            <w:vAlign w:val="center"/>
          </w:tcPr>
          <w:p w:rsidR="00AE46DA" w:rsidRPr="001825C9" w:rsidRDefault="00AE46DA" w:rsidP="00B21F37">
            <w:pPr>
              <w:pStyle w:val="TableText"/>
              <w:keepNext/>
              <w:keepLines/>
              <w:widowControl/>
              <w:spacing w:before="0" w:after="0" w:line="240" w:lineRule="auto"/>
            </w:pPr>
            <w:r w:rsidRPr="001825C9">
              <w:t>High, application of log-logistic distribution to TTD (consistent with OS and PFS parametric functions; third best fit) leads to an increase in the ICER to $</w:t>
            </w:r>
            <w:r w:rsidR="00B72C43">
              <w:rPr>
                <w:noProof/>
                <w:color w:val="000000"/>
                <w:highlight w:val="black"/>
              </w:rPr>
              <w:t>'''''''''''''''''</w:t>
            </w:r>
            <w:r w:rsidR="00A13A3B">
              <w:rPr>
                <w:rFonts w:cs="Calibri"/>
                <w:iCs/>
                <w:color w:val="000000" w:themeColor="text1"/>
                <w:szCs w:val="18"/>
                <w:shd w:val="clear" w:color="auto" w:fill="FFFFFF"/>
                <w:vertAlign w:val="superscript"/>
                <w:lang w:eastAsia="ko-KR"/>
              </w:rPr>
              <w:t>1</w:t>
            </w:r>
            <w:r w:rsidRPr="001825C9">
              <w:t>.</w:t>
            </w:r>
          </w:p>
        </w:tc>
      </w:tr>
      <w:tr w:rsidR="00AE46DA" w:rsidRPr="001825C9" w:rsidTr="00B21F37">
        <w:tc>
          <w:tcPr>
            <w:tcW w:w="952" w:type="pct"/>
            <w:shd w:val="clear" w:color="auto" w:fill="auto"/>
            <w:vAlign w:val="center"/>
          </w:tcPr>
          <w:p w:rsidR="00AE46DA" w:rsidRPr="001825C9" w:rsidRDefault="00AE46DA" w:rsidP="00B21F37">
            <w:pPr>
              <w:pStyle w:val="TableText"/>
              <w:keepNext/>
              <w:keepLines/>
              <w:widowControl/>
              <w:spacing w:before="0" w:after="0" w:line="240" w:lineRule="auto"/>
            </w:pPr>
            <w:r w:rsidRPr="001825C9">
              <w:t>Time horizon</w:t>
            </w:r>
          </w:p>
        </w:tc>
        <w:tc>
          <w:tcPr>
            <w:tcW w:w="1561" w:type="pct"/>
            <w:shd w:val="clear" w:color="auto" w:fill="auto"/>
            <w:vAlign w:val="center"/>
          </w:tcPr>
          <w:p w:rsidR="00AE46DA" w:rsidRPr="001825C9" w:rsidRDefault="00AE46DA" w:rsidP="00B21F37">
            <w:pPr>
              <w:pStyle w:val="TableText"/>
              <w:keepNext/>
              <w:keepLines/>
              <w:widowControl/>
              <w:spacing w:before="0" w:after="0" w:line="240" w:lineRule="auto"/>
            </w:pPr>
            <w:r w:rsidRPr="001825C9">
              <w:t>7 years</w:t>
            </w:r>
          </w:p>
        </w:tc>
        <w:tc>
          <w:tcPr>
            <w:tcW w:w="2487" w:type="pct"/>
            <w:shd w:val="clear" w:color="auto" w:fill="auto"/>
            <w:vAlign w:val="center"/>
          </w:tcPr>
          <w:p w:rsidR="0091085C" w:rsidRDefault="00AE46DA" w:rsidP="0091085C">
            <w:pPr>
              <w:pStyle w:val="TableText"/>
              <w:keepNext/>
              <w:keepLines/>
              <w:widowControl/>
              <w:spacing w:before="0" w:after="0" w:line="240" w:lineRule="auto"/>
            </w:pPr>
            <w:r w:rsidRPr="001825C9">
              <w:t xml:space="preserve">Moderate, favours encorafenib. </w:t>
            </w:r>
          </w:p>
          <w:p w:rsidR="00AE46DA" w:rsidRPr="001825C9" w:rsidRDefault="00AE46DA" w:rsidP="0091085C">
            <w:pPr>
              <w:pStyle w:val="TableText"/>
              <w:keepNext/>
              <w:keepLines/>
              <w:widowControl/>
              <w:spacing w:before="0" w:after="0" w:line="240" w:lineRule="auto"/>
            </w:pPr>
            <w:r w:rsidRPr="001825C9">
              <w:t>tion in the time horizon to 5 years leads to an increase in the ICER to $</w:t>
            </w:r>
            <w:r w:rsidR="00B72C43">
              <w:rPr>
                <w:noProof/>
                <w:color w:val="000000"/>
                <w:highlight w:val="black"/>
              </w:rPr>
              <w:t>''''''''''''''''</w:t>
            </w:r>
            <w:r w:rsidR="00A13A3B">
              <w:rPr>
                <w:rFonts w:cs="Calibri"/>
                <w:iCs/>
                <w:color w:val="000000" w:themeColor="text1"/>
                <w:szCs w:val="18"/>
                <w:shd w:val="clear" w:color="auto" w:fill="FFFFFF"/>
                <w:vertAlign w:val="superscript"/>
                <w:lang w:eastAsia="ko-KR"/>
              </w:rPr>
              <w:t>1</w:t>
            </w:r>
            <w:r w:rsidRPr="001825C9">
              <w:t>, while restricting to the trial time horizon (34 </w:t>
            </w:r>
            <w:r w:rsidR="00C92FE6" w:rsidRPr="001825C9">
              <w:t>months) produces</w:t>
            </w:r>
            <w:r w:rsidRPr="001825C9">
              <w:t xml:space="preserve"> an ICER of $</w:t>
            </w:r>
            <w:r w:rsidR="00B72C43">
              <w:rPr>
                <w:noProof/>
                <w:color w:val="000000"/>
                <w:highlight w:val="black"/>
              </w:rPr>
              <w:t>'''''''''''''''''</w:t>
            </w:r>
            <w:r w:rsidR="00A13A3B">
              <w:rPr>
                <w:rFonts w:cs="Calibri"/>
                <w:iCs/>
                <w:color w:val="000000" w:themeColor="text1"/>
                <w:szCs w:val="18"/>
                <w:shd w:val="clear" w:color="auto" w:fill="FFFFFF"/>
                <w:vertAlign w:val="superscript"/>
                <w:lang w:eastAsia="ko-KR"/>
              </w:rPr>
              <w:t>1</w:t>
            </w:r>
            <w:r w:rsidRPr="001825C9">
              <w:t xml:space="preserve"> (with primary treatment costed on PFS).</w:t>
            </w:r>
          </w:p>
        </w:tc>
      </w:tr>
      <w:tr w:rsidR="00AE46DA" w:rsidRPr="001825C9" w:rsidTr="00B21F37">
        <w:tc>
          <w:tcPr>
            <w:tcW w:w="952" w:type="pct"/>
            <w:shd w:val="clear" w:color="auto" w:fill="auto"/>
            <w:vAlign w:val="center"/>
          </w:tcPr>
          <w:p w:rsidR="00AE46DA" w:rsidRPr="001825C9" w:rsidRDefault="00AE46DA" w:rsidP="00B21F37">
            <w:pPr>
              <w:pStyle w:val="TableText"/>
              <w:keepNext/>
              <w:keepLines/>
              <w:widowControl/>
              <w:spacing w:before="0" w:after="0" w:line="240" w:lineRule="auto"/>
            </w:pPr>
            <w:r w:rsidRPr="001825C9">
              <w:t>Patient compliance</w:t>
            </w:r>
          </w:p>
        </w:tc>
        <w:tc>
          <w:tcPr>
            <w:tcW w:w="1561" w:type="pct"/>
            <w:shd w:val="clear" w:color="auto" w:fill="auto"/>
            <w:vAlign w:val="center"/>
          </w:tcPr>
          <w:p w:rsidR="00AE46DA" w:rsidRPr="001825C9" w:rsidRDefault="00AE46DA" w:rsidP="00B21F37">
            <w:pPr>
              <w:pStyle w:val="TableText"/>
              <w:keepNext/>
              <w:keepLines/>
              <w:widowControl/>
              <w:spacing w:before="0" w:after="0" w:line="240" w:lineRule="auto"/>
            </w:pPr>
            <w:r w:rsidRPr="001825C9">
              <w:t xml:space="preserve">Relative dose intensity and ratio of molecule exposure duration/treatment duration </w:t>
            </w:r>
            <w:r w:rsidR="00C92FE6" w:rsidRPr="001825C9">
              <w:t xml:space="preserve">were </w:t>
            </w:r>
            <w:r w:rsidRPr="001825C9">
              <w:t>based on BEACON</w:t>
            </w:r>
            <w:r w:rsidR="00C92FE6" w:rsidRPr="001825C9">
              <w:t>.</w:t>
            </w:r>
          </w:p>
        </w:tc>
        <w:tc>
          <w:tcPr>
            <w:tcW w:w="2487" w:type="pct"/>
            <w:shd w:val="clear" w:color="auto" w:fill="auto"/>
            <w:vAlign w:val="center"/>
          </w:tcPr>
          <w:p w:rsidR="00AE46DA" w:rsidRPr="001825C9" w:rsidRDefault="00AE46DA" w:rsidP="00C92FE6">
            <w:pPr>
              <w:pStyle w:val="TableText"/>
              <w:keepNext/>
              <w:keepLines/>
              <w:widowControl/>
              <w:spacing w:before="0" w:after="0" w:line="240" w:lineRule="auto"/>
            </w:pPr>
            <w:r w:rsidRPr="001825C9">
              <w:t>Moderate, favours encorafenib. When full patient compliance is assumed, the ICER increase</w:t>
            </w:r>
            <w:r w:rsidR="00C92FE6" w:rsidRPr="001825C9">
              <w:t>s</w:t>
            </w:r>
            <w:r w:rsidRPr="001825C9">
              <w:t xml:space="preserve"> to $</w:t>
            </w:r>
            <w:r w:rsidR="00B72C43">
              <w:rPr>
                <w:noProof/>
                <w:color w:val="000000"/>
                <w:highlight w:val="black"/>
              </w:rPr>
              <w:t>'''''''''''''''''</w:t>
            </w:r>
            <w:r w:rsidRPr="001825C9">
              <w:rPr>
                <w:vertAlign w:val="superscript"/>
              </w:rPr>
              <w:t>a</w:t>
            </w:r>
            <w:r w:rsidR="00A13A3B">
              <w:rPr>
                <w:vertAlign w:val="superscript"/>
              </w:rPr>
              <w:t>,</w:t>
            </w:r>
            <w:r w:rsidR="00A13A3B">
              <w:rPr>
                <w:rFonts w:cs="Calibri"/>
                <w:iCs/>
                <w:color w:val="000000" w:themeColor="text1"/>
                <w:szCs w:val="18"/>
                <w:shd w:val="clear" w:color="auto" w:fill="FFFFFF"/>
                <w:vertAlign w:val="superscript"/>
                <w:lang w:eastAsia="ko-KR"/>
              </w:rPr>
              <w:t>1</w:t>
            </w:r>
            <w:r w:rsidRPr="001825C9">
              <w:t>.</w:t>
            </w:r>
          </w:p>
        </w:tc>
      </w:tr>
    </w:tbl>
    <w:p w:rsidR="00AE46DA" w:rsidRPr="001825C9" w:rsidRDefault="00AE46DA" w:rsidP="00AE46DA">
      <w:pPr>
        <w:pStyle w:val="TableFooter"/>
        <w:widowControl/>
      </w:pPr>
      <w:r w:rsidRPr="001825C9">
        <w:t>Source: compiled during the evaluation using Section 3 worksheet</w:t>
      </w:r>
    </w:p>
    <w:p w:rsidR="00AE46DA" w:rsidRPr="001825C9" w:rsidRDefault="00AE46DA" w:rsidP="00AE46DA">
      <w:pPr>
        <w:pStyle w:val="TableFooter"/>
        <w:widowControl/>
        <w:rPr>
          <w:szCs w:val="18"/>
        </w:rPr>
      </w:pPr>
      <w:r w:rsidRPr="001825C9">
        <w:t xml:space="preserve">Abbreviations: </w:t>
      </w:r>
      <w:r w:rsidRPr="001825C9">
        <w:rPr>
          <w:szCs w:val="18"/>
        </w:rPr>
        <w:t>AIC = Akaike Information Criterion; BIC = Bayesian information criterion; ICER = incremental cost effectiveness ratio; OS = overall survival; PFS = progression-free survival; TTD = time to discontinuation</w:t>
      </w:r>
    </w:p>
    <w:p w:rsidR="00AE46DA" w:rsidRDefault="00AE46DA" w:rsidP="00AE46DA">
      <w:pPr>
        <w:pStyle w:val="TableFooter"/>
        <w:widowControl/>
        <w:rPr>
          <w:rFonts w:cs="Calibri"/>
          <w:iCs/>
          <w:color w:val="000000" w:themeColor="text1"/>
          <w:szCs w:val="18"/>
          <w:shd w:val="clear" w:color="auto" w:fill="FFFFFF"/>
          <w:lang w:eastAsia="ko-KR"/>
        </w:rPr>
      </w:pPr>
      <w:r w:rsidRPr="001825C9">
        <w:rPr>
          <w:szCs w:val="18"/>
          <w:vertAlign w:val="superscript"/>
        </w:rPr>
        <w:t xml:space="preserve">a </w:t>
      </w:r>
      <w:r w:rsidRPr="001825C9">
        <w:rPr>
          <w:rFonts w:cs="Calibri"/>
          <w:iCs/>
          <w:color w:val="000000" w:themeColor="text1"/>
          <w:szCs w:val="18"/>
          <w:shd w:val="clear" w:color="auto" w:fill="FFFFFF"/>
          <w:lang w:eastAsia="ko-KR"/>
        </w:rPr>
        <w:t>The results calculated during the evaluation were different to the submission. The submission results were: incremental cost = $</w:t>
      </w:r>
      <w:r w:rsidR="00B72C43">
        <w:rPr>
          <w:rFonts w:cs="Calibri"/>
          <w:iCs/>
          <w:noProof/>
          <w:color w:val="000000"/>
          <w:szCs w:val="18"/>
          <w:highlight w:val="black"/>
          <w:lang w:eastAsia="ko-KR"/>
        </w:rPr>
        <w:t>'''''''''''''''''</w:t>
      </w:r>
      <w:r w:rsidRPr="001825C9">
        <w:rPr>
          <w:rFonts w:cs="Calibri"/>
          <w:iCs/>
          <w:color w:val="000000" w:themeColor="text1"/>
          <w:szCs w:val="18"/>
          <w:shd w:val="clear" w:color="auto" w:fill="FFFFFF"/>
          <w:lang w:eastAsia="ko-KR"/>
        </w:rPr>
        <w:t>, and Incremental cost per QALY = $</w:t>
      </w:r>
      <w:r w:rsidR="00B72C43">
        <w:rPr>
          <w:rFonts w:cs="Calibri"/>
          <w:iCs/>
          <w:noProof/>
          <w:color w:val="000000"/>
          <w:szCs w:val="18"/>
          <w:highlight w:val="black"/>
          <w:lang w:eastAsia="ko-KR"/>
        </w:rPr>
        <w:t>'''''''''''''''''</w:t>
      </w:r>
      <w:r w:rsidR="00783814">
        <w:rPr>
          <w:rFonts w:cs="Calibri"/>
          <w:iCs/>
          <w:color w:val="000000" w:themeColor="text1"/>
          <w:szCs w:val="18"/>
          <w:shd w:val="clear" w:color="auto" w:fill="FFFFFF"/>
          <w:vertAlign w:val="superscript"/>
          <w:lang w:eastAsia="ko-KR"/>
        </w:rPr>
        <w:t>1</w:t>
      </w:r>
      <w:r w:rsidRPr="001825C9">
        <w:rPr>
          <w:rFonts w:cs="Calibri"/>
          <w:iCs/>
          <w:color w:val="000000" w:themeColor="text1"/>
          <w:szCs w:val="18"/>
          <w:shd w:val="clear" w:color="auto" w:fill="FFFFFF"/>
          <w:lang w:eastAsia="ko-KR"/>
        </w:rPr>
        <w:t>, change of 8.5% from base case.</w:t>
      </w:r>
    </w:p>
    <w:p w:rsidR="00A13A3B" w:rsidRPr="00C320AD" w:rsidRDefault="00A13A3B" w:rsidP="00AE46DA">
      <w:pPr>
        <w:pStyle w:val="TableFooter"/>
        <w:widowControl/>
        <w:rPr>
          <w:rFonts w:cs="Calibri"/>
          <w:i/>
          <w:iCs/>
          <w:color w:val="000000" w:themeColor="text1"/>
          <w:szCs w:val="18"/>
          <w:shd w:val="clear" w:color="auto" w:fill="FFFFFF"/>
          <w:lang w:eastAsia="ko-KR"/>
        </w:rPr>
      </w:pPr>
      <w:r w:rsidRPr="00C320AD">
        <w:rPr>
          <w:rFonts w:cs="Calibri"/>
          <w:i/>
          <w:iCs/>
          <w:color w:val="000000" w:themeColor="text1"/>
          <w:szCs w:val="18"/>
          <w:shd w:val="clear" w:color="auto" w:fill="FFFFFF"/>
          <w:lang w:eastAsia="ko-KR"/>
        </w:rPr>
        <w:t>The redacted values correspond to the following ranges:</w:t>
      </w:r>
    </w:p>
    <w:p w:rsidR="00A13A3B" w:rsidRPr="00DD147E" w:rsidRDefault="00A13A3B" w:rsidP="00AE46DA">
      <w:pPr>
        <w:pStyle w:val="TableFooter"/>
        <w:widowControl/>
        <w:rPr>
          <w:rFonts w:cs="Calibri"/>
          <w:i/>
          <w:iCs/>
          <w:color w:val="000000" w:themeColor="text1"/>
          <w:szCs w:val="18"/>
          <w:shd w:val="clear" w:color="auto" w:fill="FFFFFF"/>
          <w:lang w:eastAsia="ko-KR"/>
        </w:rPr>
      </w:pPr>
      <w:r w:rsidRPr="00C320AD">
        <w:rPr>
          <w:rFonts w:cs="Calibri"/>
          <w:i/>
          <w:iCs/>
          <w:color w:val="000000" w:themeColor="text1"/>
          <w:szCs w:val="18"/>
          <w:shd w:val="clear" w:color="auto" w:fill="FFFFFF"/>
          <w:vertAlign w:val="superscript"/>
          <w:lang w:eastAsia="ko-KR"/>
        </w:rPr>
        <w:t>1</w:t>
      </w:r>
      <w:r w:rsidRPr="00C320AD">
        <w:rPr>
          <w:rFonts w:cs="Calibri"/>
          <w:i/>
          <w:iCs/>
          <w:color w:val="000000" w:themeColor="text1"/>
          <w:szCs w:val="18"/>
          <w:shd w:val="clear" w:color="auto" w:fill="FFFFFF"/>
          <w:lang w:eastAsia="ko-KR"/>
        </w:rPr>
        <w:t>$75,000 to &lt;$95,000/QALY gained</w:t>
      </w:r>
    </w:p>
    <w:p w:rsidR="00AE46DA" w:rsidRPr="001825C9" w:rsidRDefault="00AE46DA" w:rsidP="00AE46DA">
      <w:pPr>
        <w:pStyle w:val="ListParagraph"/>
        <w:rPr>
          <w:color w:val="auto"/>
          <w:sz w:val="22"/>
        </w:rPr>
      </w:pPr>
      <w:r w:rsidRPr="001825C9">
        <w:t xml:space="preserve">The results from the economic evaluation are summarised in Table 14. The submission assumed an </w:t>
      </w:r>
      <w:r w:rsidR="00C92FE6" w:rsidRPr="001825C9">
        <w:t xml:space="preserve">SPA with an </w:t>
      </w:r>
      <w:r w:rsidR="00B72C43">
        <w:rPr>
          <w:noProof/>
          <w:color w:val="000000"/>
          <w:highlight w:val="black"/>
        </w:rPr>
        <w:t>'''''</w:t>
      </w:r>
      <w:r w:rsidR="00C92FE6" w:rsidRPr="001825C9">
        <w:t xml:space="preserve">% rebate on the published price </w:t>
      </w:r>
      <w:r w:rsidRPr="001825C9">
        <w:t xml:space="preserve">for cetuximab and a further </w:t>
      </w:r>
      <w:r w:rsidRPr="00C320AD">
        <w:t>25</w:t>
      </w:r>
      <w:r w:rsidRPr="001825C9">
        <w:t xml:space="preserve">% price reduction based on the expectation that a generic formulation of cetuximab would enter the market prior to encorafenib listing (should the submission be successful). The assumed price reduction due to generic entry was not consistent with the </w:t>
      </w:r>
      <w:r w:rsidRPr="001825C9">
        <w:rPr>
          <w:i/>
        </w:rPr>
        <w:t>PBAC Guidelines</w:t>
      </w:r>
      <w:r w:rsidRPr="001825C9">
        <w:t xml:space="preserve"> and should not be included.</w:t>
      </w:r>
    </w:p>
    <w:p w:rsidR="00B63E7F" w:rsidRPr="001825C9" w:rsidRDefault="00AE46DA" w:rsidP="00AE46DA">
      <w:pPr>
        <w:pStyle w:val="ListParagraph"/>
        <w:rPr>
          <w:color w:val="auto"/>
        </w:rPr>
      </w:pPr>
      <w:r w:rsidRPr="001825C9">
        <w:t>The base case ICER per QALY was estimated at $</w:t>
      </w:r>
      <w:r w:rsidR="00A13A3B">
        <w:t>75,000 to &lt;$95,000</w:t>
      </w:r>
      <w:r w:rsidRPr="001825C9">
        <w:t xml:space="preserve"> ($</w:t>
      </w:r>
      <w:r w:rsidR="00A13A3B">
        <w:t>75,000 to &lt;$95,000/QALY gained,</w:t>
      </w:r>
      <w:r w:rsidRPr="001825C9">
        <w:t xml:space="preserve"> based on MBS Item cost updates, July 2020). </w:t>
      </w:r>
    </w:p>
    <w:p w:rsidR="00B86C80" w:rsidRPr="001825C9" w:rsidRDefault="00B86C80" w:rsidP="00B86C80">
      <w:pPr>
        <w:pStyle w:val="ListParagraph"/>
      </w:pPr>
      <w:r w:rsidRPr="001825C9">
        <w:lastRenderedPageBreak/>
        <w:t>The PBAC noted that the submission had applied Australian Refined Diagnosis Related Group (AR-DRG) costs for the administration of cetuximab, where the PBAC’s preferred approach is to use the relevant MBS Schedule Fee for administering the medicine or preparation, where available.</w:t>
      </w:r>
      <w:r w:rsidR="00690C99" w:rsidRPr="001825C9">
        <w:rPr>
          <w:rStyle w:val="FootnoteReference"/>
        </w:rPr>
        <w:footnoteReference w:id="13"/>
      </w:r>
    </w:p>
    <w:p w:rsidR="00DD147E" w:rsidRDefault="00DD147E">
      <w:pPr>
        <w:spacing w:before="0" w:after="200" w:line="276" w:lineRule="auto"/>
        <w:jc w:val="left"/>
        <w:rPr>
          <w:rFonts w:ascii="Arial Narrow" w:eastAsia="Times New Roman" w:hAnsi="Arial Narrow" w:cs="Arial"/>
          <w:b/>
          <w:iCs/>
          <w:sz w:val="20"/>
          <w:szCs w:val="20"/>
        </w:rPr>
      </w:pPr>
      <w:r>
        <w:br w:type="page"/>
      </w:r>
    </w:p>
    <w:p w:rsidR="00AE46DA" w:rsidRPr="001825C9" w:rsidRDefault="00AE46DA" w:rsidP="00AE46DA">
      <w:pPr>
        <w:pStyle w:val="Caption"/>
      </w:pPr>
      <w:r w:rsidRPr="001825C9">
        <w:lastRenderedPageBreak/>
        <w:t>Table 14: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83"/>
        <w:gridCol w:w="2142"/>
        <w:gridCol w:w="2240"/>
        <w:gridCol w:w="2212"/>
        <w:gridCol w:w="1839"/>
      </w:tblGrid>
      <w:tr w:rsidR="00AE46DA" w:rsidRPr="001825C9" w:rsidTr="00B21F37">
        <w:trPr>
          <w:tblHeader/>
        </w:trPr>
        <w:tc>
          <w:tcPr>
            <w:tcW w:w="583" w:type="dxa"/>
            <w:shd w:val="clear" w:color="auto" w:fill="FFFFFF" w:themeFill="background1"/>
          </w:tcPr>
          <w:p w:rsidR="00AE46DA" w:rsidRPr="001825C9" w:rsidRDefault="00AE46DA" w:rsidP="00B21F37">
            <w:pPr>
              <w:pStyle w:val="TableText"/>
              <w:widowControl/>
              <w:spacing w:before="0" w:after="0" w:line="240" w:lineRule="auto"/>
              <w:jc w:val="center"/>
              <w:rPr>
                <w:b/>
              </w:rPr>
            </w:pPr>
            <w:r w:rsidRPr="001825C9">
              <w:rPr>
                <w:b/>
              </w:rPr>
              <w:t xml:space="preserve">Step </w:t>
            </w:r>
          </w:p>
        </w:tc>
        <w:tc>
          <w:tcPr>
            <w:tcW w:w="2142" w:type="dxa"/>
            <w:shd w:val="clear" w:color="auto" w:fill="FFFFFF" w:themeFill="background1"/>
          </w:tcPr>
          <w:p w:rsidR="00AE46DA" w:rsidRPr="001825C9" w:rsidRDefault="00AE46DA" w:rsidP="00B21F37">
            <w:pPr>
              <w:pStyle w:val="TableText"/>
              <w:widowControl/>
              <w:spacing w:before="0" w:after="0" w:line="240" w:lineRule="auto"/>
              <w:jc w:val="center"/>
              <w:rPr>
                <w:b/>
              </w:rPr>
            </w:pPr>
            <w:r w:rsidRPr="001825C9">
              <w:rPr>
                <w:b/>
              </w:rPr>
              <w:t>Parameter</w:t>
            </w:r>
          </w:p>
        </w:tc>
        <w:tc>
          <w:tcPr>
            <w:tcW w:w="2240" w:type="dxa"/>
            <w:tcBorders>
              <w:bottom w:val="single" w:sz="4" w:space="0" w:color="auto"/>
            </w:tcBorders>
            <w:shd w:val="clear" w:color="auto" w:fill="FFFFFF" w:themeFill="background1"/>
          </w:tcPr>
          <w:p w:rsidR="00AE46DA" w:rsidRPr="001825C9" w:rsidRDefault="00AE46DA" w:rsidP="00B21F37">
            <w:pPr>
              <w:pStyle w:val="TableText"/>
              <w:widowControl/>
              <w:spacing w:before="0" w:after="0" w:line="240" w:lineRule="auto"/>
              <w:jc w:val="center"/>
              <w:rPr>
                <w:b/>
              </w:rPr>
            </w:pPr>
            <w:r w:rsidRPr="001825C9">
              <w:rPr>
                <w:b/>
              </w:rPr>
              <w:t>ENCO + CETUX</w:t>
            </w:r>
          </w:p>
        </w:tc>
        <w:tc>
          <w:tcPr>
            <w:tcW w:w="2212" w:type="dxa"/>
            <w:tcBorders>
              <w:bottom w:val="single" w:sz="4" w:space="0" w:color="auto"/>
            </w:tcBorders>
            <w:shd w:val="clear" w:color="auto" w:fill="FFFFFF" w:themeFill="background1"/>
          </w:tcPr>
          <w:p w:rsidR="00AE46DA" w:rsidRPr="001825C9" w:rsidRDefault="00AE46DA" w:rsidP="00B21F37">
            <w:pPr>
              <w:pStyle w:val="TableText"/>
              <w:widowControl/>
              <w:spacing w:before="0" w:after="0" w:line="240" w:lineRule="auto"/>
              <w:jc w:val="center"/>
              <w:rPr>
                <w:b/>
              </w:rPr>
            </w:pPr>
            <w:r w:rsidRPr="001825C9">
              <w:rPr>
                <w:b/>
              </w:rPr>
              <w:t>FOLFIRI/Ir + CETUX</w:t>
            </w:r>
          </w:p>
        </w:tc>
        <w:tc>
          <w:tcPr>
            <w:tcW w:w="1839" w:type="dxa"/>
            <w:tcBorders>
              <w:bottom w:val="single" w:sz="4" w:space="0" w:color="auto"/>
            </w:tcBorders>
            <w:shd w:val="clear" w:color="auto" w:fill="FFFFFF" w:themeFill="background1"/>
          </w:tcPr>
          <w:p w:rsidR="00AE46DA" w:rsidRPr="001825C9" w:rsidRDefault="00AE46DA" w:rsidP="00B21F37">
            <w:pPr>
              <w:pStyle w:val="TableText"/>
              <w:widowControl/>
              <w:spacing w:before="0" w:after="0" w:line="240" w:lineRule="auto"/>
              <w:jc w:val="center"/>
              <w:rPr>
                <w:b/>
              </w:rPr>
            </w:pPr>
            <w:r w:rsidRPr="001825C9">
              <w:rPr>
                <w:b/>
              </w:rPr>
              <w:t>Incremental</w:t>
            </w:r>
          </w:p>
        </w:tc>
      </w:tr>
      <w:tr w:rsidR="00AE46DA" w:rsidRPr="001825C9" w:rsidTr="00B21F37">
        <w:tc>
          <w:tcPr>
            <w:tcW w:w="583" w:type="dxa"/>
            <w:vMerge w:val="restart"/>
            <w:shd w:val="clear" w:color="auto" w:fill="FFFFFF" w:themeFill="background1"/>
          </w:tcPr>
          <w:p w:rsidR="00AE46DA" w:rsidRPr="001825C9" w:rsidRDefault="00AE46DA" w:rsidP="00B21F37">
            <w:pPr>
              <w:pStyle w:val="TableText"/>
              <w:widowControl/>
              <w:spacing w:before="0" w:after="0" w:line="240" w:lineRule="auto"/>
            </w:pPr>
            <w:r w:rsidRPr="001825C9">
              <w:t>1</w:t>
            </w:r>
          </w:p>
        </w:tc>
        <w:tc>
          <w:tcPr>
            <w:tcW w:w="2142" w:type="dxa"/>
            <w:shd w:val="clear" w:color="auto" w:fill="FFFFFF" w:themeFill="background1"/>
          </w:tcPr>
          <w:p w:rsidR="00AE46DA" w:rsidRPr="001825C9" w:rsidRDefault="00AE46DA" w:rsidP="00B21F37">
            <w:pPr>
              <w:pStyle w:val="TableText"/>
              <w:widowControl/>
              <w:spacing w:before="0" w:after="0" w:line="240" w:lineRule="auto"/>
            </w:pPr>
            <w:r w:rsidRPr="001825C9">
              <w:t>Total cost</w:t>
            </w:r>
          </w:p>
        </w:tc>
        <w:tc>
          <w:tcPr>
            <w:tcW w:w="2240" w:type="dxa"/>
            <w:shd w:val="clear" w:color="auto" w:fill="auto"/>
            <w:vAlign w:val="center"/>
          </w:tcPr>
          <w:p w:rsidR="00AE46DA" w:rsidRPr="001825C9" w:rsidRDefault="00AE46DA" w:rsidP="00B21F37">
            <w:pPr>
              <w:pStyle w:val="TableNumber"/>
              <w:widowControl/>
              <w:spacing w:before="0" w:after="0" w:line="240" w:lineRule="auto"/>
            </w:pPr>
            <w:r w:rsidRPr="001825C9">
              <w:t>$</w:t>
            </w:r>
            <w:r w:rsidR="00B72C43">
              <w:rPr>
                <w:noProof/>
                <w:color w:val="000000"/>
                <w:highlight w:val="black"/>
              </w:rPr>
              <w:t>'''''''''''''''''</w:t>
            </w:r>
          </w:p>
        </w:tc>
        <w:tc>
          <w:tcPr>
            <w:tcW w:w="2212" w:type="dxa"/>
            <w:shd w:val="clear" w:color="auto" w:fill="auto"/>
            <w:vAlign w:val="center"/>
          </w:tcPr>
          <w:p w:rsidR="00AE46DA" w:rsidRPr="001825C9" w:rsidRDefault="00AE46DA" w:rsidP="00B21F37">
            <w:pPr>
              <w:pStyle w:val="TableNumber"/>
              <w:widowControl/>
              <w:spacing w:before="0" w:after="0" w:line="240" w:lineRule="auto"/>
            </w:pPr>
            <w:r w:rsidRPr="001825C9">
              <w:t>$</w:t>
            </w:r>
            <w:r w:rsidRPr="006D5154">
              <w:t>17,406</w:t>
            </w:r>
          </w:p>
        </w:tc>
        <w:tc>
          <w:tcPr>
            <w:tcW w:w="1839" w:type="dxa"/>
            <w:shd w:val="clear" w:color="auto" w:fill="auto"/>
            <w:vAlign w:val="center"/>
          </w:tcPr>
          <w:p w:rsidR="00AE46DA" w:rsidRPr="001825C9" w:rsidRDefault="00AE46DA" w:rsidP="00B21F37">
            <w:pPr>
              <w:pStyle w:val="TableNumber"/>
              <w:widowControl/>
              <w:spacing w:before="0" w:after="0" w:line="240" w:lineRule="auto"/>
            </w:pPr>
            <w:r w:rsidRPr="001825C9">
              <w:t>$</w:t>
            </w:r>
            <w:r w:rsidR="00B72C43">
              <w:rPr>
                <w:noProof/>
                <w:color w:val="000000"/>
                <w:highlight w:val="black"/>
              </w:rPr>
              <w:t>'''''''''''''''</w:t>
            </w:r>
          </w:p>
        </w:tc>
      </w:tr>
      <w:tr w:rsidR="00AE46DA" w:rsidRPr="001825C9" w:rsidTr="00B21F37">
        <w:tc>
          <w:tcPr>
            <w:tcW w:w="583" w:type="dxa"/>
            <w:vMerge/>
            <w:shd w:val="clear" w:color="auto" w:fill="FFFFFF" w:themeFill="background1"/>
          </w:tcPr>
          <w:p w:rsidR="00AE46DA" w:rsidRPr="001825C9" w:rsidRDefault="00AE46DA" w:rsidP="00B21F37">
            <w:pPr>
              <w:pStyle w:val="TableText"/>
              <w:widowControl/>
              <w:spacing w:before="0" w:after="0" w:line="240" w:lineRule="auto"/>
            </w:pPr>
          </w:p>
        </w:tc>
        <w:tc>
          <w:tcPr>
            <w:tcW w:w="2142" w:type="dxa"/>
            <w:shd w:val="clear" w:color="auto" w:fill="FFFFFF" w:themeFill="background1"/>
          </w:tcPr>
          <w:p w:rsidR="00AE46DA" w:rsidRPr="001825C9" w:rsidRDefault="00AE46DA" w:rsidP="00B21F37">
            <w:pPr>
              <w:pStyle w:val="TableText"/>
              <w:widowControl/>
              <w:spacing w:before="0" w:after="0" w:line="240" w:lineRule="auto"/>
            </w:pPr>
            <w:r w:rsidRPr="001825C9">
              <w:t>LYGs without progression</w:t>
            </w:r>
          </w:p>
        </w:tc>
        <w:tc>
          <w:tcPr>
            <w:tcW w:w="2240" w:type="dxa"/>
            <w:shd w:val="clear" w:color="auto" w:fill="auto"/>
            <w:vAlign w:val="center"/>
          </w:tcPr>
          <w:p w:rsidR="00AE46DA" w:rsidRPr="001825C9" w:rsidRDefault="00AE46DA" w:rsidP="00B21F37">
            <w:pPr>
              <w:pStyle w:val="TableNumber"/>
              <w:widowControl/>
              <w:spacing w:before="0" w:after="0" w:line="240" w:lineRule="auto"/>
            </w:pPr>
            <w:r w:rsidRPr="001825C9">
              <w:t>0.56</w:t>
            </w:r>
          </w:p>
        </w:tc>
        <w:tc>
          <w:tcPr>
            <w:tcW w:w="2212" w:type="dxa"/>
            <w:shd w:val="clear" w:color="auto" w:fill="auto"/>
            <w:vAlign w:val="center"/>
          </w:tcPr>
          <w:p w:rsidR="00AE46DA" w:rsidRPr="001825C9" w:rsidRDefault="00AE46DA" w:rsidP="00B21F37">
            <w:pPr>
              <w:pStyle w:val="TableNumber"/>
              <w:widowControl/>
              <w:spacing w:before="0" w:after="0" w:line="240" w:lineRule="auto"/>
            </w:pPr>
            <w:r w:rsidRPr="001825C9">
              <w:t>0.26</w:t>
            </w:r>
          </w:p>
        </w:tc>
        <w:tc>
          <w:tcPr>
            <w:tcW w:w="1839" w:type="dxa"/>
            <w:shd w:val="clear" w:color="auto" w:fill="auto"/>
            <w:vAlign w:val="center"/>
          </w:tcPr>
          <w:p w:rsidR="00AE46DA" w:rsidRPr="001825C9" w:rsidRDefault="00AE46DA" w:rsidP="00B21F37">
            <w:pPr>
              <w:pStyle w:val="TableNumber"/>
              <w:widowControl/>
              <w:spacing w:before="0" w:after="0" w:line="240" w:lineRule="auto"/>
            </w:pPr>
            <w:r w:rsidRPr="001825C9">
              <w:t>0.30</w:t>
            </w:r>
          </w:p>
        </w:tc>
      </w:tr>
      <w:tr w:rsidR="00AE46DA" w:rsidRPr="001825C9" w:rsidTr="00B21F37">
        <w:tc>
          <w:tcPr>
            <w:tcW w:w="583" w:type="dxa"/>
            <w:vMerge/>
            <w:shd w:val="clear" w:color="auto" w:fill="FFFFFF" w:themeFill="background1"/>
          </w:tcPr>
          <w:p w:rsidR="00AE46DA" w:rsidRPr="001825C9" w:rsidRDefault="00AE46DA" w:rsidP="00B21F37">
            <w:pPr>
              <w:pStyle w:val="TableText"/>
              <w:widowControl/>
              <w:spacing w:before="0" w:after="0" w:line="240" w:lineRule="auto"/>
            </w:pPr>
          </w:p>
        </w:tc>
        <w:tc>
          <w:tcPr>
            <w:tcW w:w="6594" w:type="dxa"/>
            <w:gridSpan w:val="3"/>
            <w:shd w:val="clear" w:color="auto" w:fill="FFFFFF" w:themeFill="background1"/>
          </w:tcPr>
          <w:p w:rsidR="00AE46DA" w:rsidRPr="001825C9" w:rsidRDefault="00AE46DA" w:rsidP="00B21F37">
            <w:pPr>
              <w:pStyle w:val="TableNumber"/>
              <w:widowControl/>
              <w:spacing w:before="0" w:after="0" w:line="240" w:lineRule="auto"/>
              <w:jc w:val="right"/>
            </w:pPr>
            <w:r w:rsidRPr="001825C9">
              <w:t>Incremental cost per progression-free LYG</w:t>
            </w:r>
          </w:p>
        </w:tc>
        <w:tc>
          <w:tcPr>
            <w:tcW w:w="1839" w:type="dxa"/>
            <w:shd w:val="clear" w:color="auto" w:fill="auto"/>
            <w:vAlign w:val="center"/>
          </w:tcPr>
          <w:p w:rsidR="00AE46DA" w:rsidRPr="001825C9" w:rsidRDefault="00AE46DA" w:rsidP="00B21F37">
            <w:pPr>
              <w:pStyle w:val="TableNumber"/>
              <w:widowControl/>
              <w:spacing w:before="0" w:after="0" w:line="240" w:lineRule="auto"/>
            </w:pPr>
            <w:r w:rsidRPr="001825C9">
              <w:t>$</w:t>
            </w:r>
            <w:r w:rsidR="00B72C43">
              <w:rPr>
                <w:noProof/>
                <w:color w:val="000000"/>
                <w:highlight w:val="black"/>
              </w:rPr>
              <w:t>'''''''''''''''</w:t>
            </w:r>
            <w:r w:rsidR="00BA32CD">
              <w:rPr>
                <w:vertAlign w:val="superscript"/>
              </w:rPr>
              <w:t>1</w:t>
            </w:r>
          </w:p>
        </w:tc>
      </w:tr>
      <w:tr w:rsidR="00AE46DA" w:rsidRPr="001825C9" w:rsidTr="00B21F37">
        <w:tc>
          <w:tcPr>
            <w:tcW w:w="583" w:type="dxa"/>
            <w:vMerge w:val="restart"/>
            <w:shd w:val="clear" w:color="auto" w:fill="FFFFFF" w:themeFill="background1"/>
          </w:tcPr>
          <w:p w:rsidR="00AE46DA" w:rsidRPr="001825C9" w:rsidRDefault="00AE46DA" w:rsidP="00B21F37">
            <w:pPr>
              <w:pStyle w:val="TableText"/>
              <w:widowControl/>
              <w:spacing w:before="0" w:after="0" w:line="240" w:lineRule="auto"/>
            </w:pPr>
            <w:r w:rsidRPr="001825C9">
              <w:t>2</w:t>
            </w:r>
          </w:p>
        </w:tc>
        <w:tc>
          <w:tcPr>
            <w:tcW w:w="2142" w:type="dxa"/>
            <w:shd w:val="clear" w:color="auto" w:fill="FFFFFF" w:themeFill="background1"/>
          </w:tcPr>
          <w:p w:rsidR="00AE46DA" w:rsidRPr="001825C9" w:rsidRDefault="00AE46DA" w:rsidP="00B21F37">
            <w:pPr>
              <w:pStyle w:val="TableText"/>
              <w:widowControl/>
              <w:spacing w:before="0" w:after="0" w:line="240" w:lineRule="auto"/>
            </w:pPr>
            <w:r w:rsidRPr="001825C9">
              <w:t>Total cost</w:t>
            </w:r>
          </w:p>
        </w:tc>
        <w:tc>
          <w:tcPr>
            <w:tcW w:w="2240" w:type="dxa"/>
            <w:shd w:val="clear" w:color="auto" w:fill="auto"/>
            <w:vAlign w:val="center"/>
          </w:tcPr>
          <w:p w:rsidR="00AE46DA" w:rsidRPr="001825C9" w:rsidRDefault="00AE46DA" w:rsidP="00B21F37">
            <w:pPr>
              <w:pStyle w:val="TableNumber"/>
              <w:widowControl/>
              <w:spacing w:before="0" w:after="0" w:line="240" w:lineRule="auto"/>
            </w:pPr>
            <w:r w:rsidRPr="001825C9">
              <w:t>$</w:t>
            </w:r>
            <w:r w:rsidR="00B72C43">
              <w:rPr>
                <w:noProof/>
                <w:color w:val="000000"/>
                <w:highlight w:val="black"/>
              </w:rPr>
              <w:t>'''''''''''''''''</w:t>
            </w:r>
          </w:p>
        </w:tc>
        <w:tc>
          <w:tcPr>
            <w:tcW w:w="2212" w:type="dxa"/>
            <w:shd w:val="clear" w:color="auto" w:fill="auto"/>
            <w:vAlign w:val="center"/>
          </w:tcPr>
          <w:p w:rsidR="00AE46DA" w:rsidRPr="001825C9" w:rsidRDefault="00AE46DA" w:rsidP="00B21F37">
            <w:pPr>
              <w:pStyle w:val="TableNumber"/>
              <w:widowControl/>
              <w:spacing w:before="0" w:after="0" w:line="240" w:lineRule="auto"/>
            </w:pPr>
            <w:r w:rsidRPr="001825C9">
              <w:t>$</w:t>
            </w:r>
            <w:r w:rsidRPr="006D5154">
              <w:t>55,395</w:t>
            </w:r>
          </w:p>
        </w:tc>
        <w:tc>
          <w:tcPr>
            <w:tcW w:w="1839" w:type="dxa"/>
            <w:shd w:val="clear" w:color="auto" w:fill="auto"/>
            <w:vAlign w:val="center"/>
          </w:tcPr>
          <w:p w:rsidR="00AE46DA" w:rsidRPr="001825C9" w:rsidRDefault="00AE46DA" w:rsidP="00B21F37">
            <w:pPr>
              <w:pStyle w:val="TableNumber"/>
              <w:widowControl/>
              <w:spacing w:before="0" w:after="0" w:line="240" w:lineRule="auto"/>
            </w:pPr>
            <w:r w:rsidRPr="001825C9">
              <w:t>$</w:t>
            </w:r>
            <w:r w:rsidR="00B72C43">
              <w:rPr>
                <w:noProof/>
                <w:color w:val="000000"/>
                <w:highlight w:val="black"/>
              </w:rPr>
              <w:t>''''''''''''''''''</w:t>
            </w:r>
          </w:p>
        </w:tc>
      </w:tr>
      <w:tr w:rsidR="00AE46DA" w:rsidRPr="001825C9" w:rsidTr="00B21F37">
        <w:tc>
          <w:tcPr>
            <w:tcW w:w="583" w:type="dxa"/>
            <w:vMerge/>
            <w:shd w:val="clear" w:color="auto" w:fill="FFFFFF" w:themeFill="background1"/>
          </w:tcPr>
          <w:p w:rsidR="00AE46DA" w:rsidRPr="001825C9" w:rsidRDefault="00AE46DA" w:rsidP="00B21F37">
            <w:pPr>
              <w:pStyle w:val="TableText"/>
              <w:widowControl/>
              <w:spacing w:before="0" w:after="0" w:line="240" w:lineRule="auto"/>
            </w:pPr>
          </w:p>
        </w:tc>
        <w:tc>
          <w:tcPr>
            <w:tcW w:w="2142" w:type="dxa"/>
            <w:shd w:val="clear" w:color="auto" w:fill="FFFFFF" w:themeFill="background1"/>
          </w:tcPr>
          <w:p w:rsidR="00AE46DA" w:rsidRPr="001825C9" w:rsidRDefault="00AE46DA" w:rsidP="00B21F37">
            <w:pPr>
              <w:pStyle w:val="TableText"/>
              <w:widowControl/>
              <w:spacing w:before="0" w:after="0" w:line="240" w:lineRule="auto"/>
            </w:pPr>
            <w:r w:rsidRPr="001825C9">
              <w:t>LYGs</w:t>
            </w:r>
          </w:p>
        </w:tc>
        <w:tc>
          <w:tcPr>
            <w:tcW w:w="2240" w:type="dxa"/>
            <w:shd w:val="clear" w:color="auto" w:fill="auto"/>
            <w:vAlign w:val="center"/>
          </w:tcPr>
          <w:p w:rsidR="00AE46DA" w:rsidRPr="001825C9" w:rsidRDefault="00AE46DA" w:rsidP="00B21F37">
            <w:pPr>
              <w:pStyle w:val="TableNumber"/>
              <w:widowControl/>
              <w:spacing w:before="0" w:after="0" w:line="240" w:lineRule="auto"/>
            </w:pPr>
            <w:r w:rsidRPr="001825C9">
              <w:t>1.32</w:t>
            </w:r>
          </w:p>
        </w:tc>
        <w:tc>
          <w:tcPr>
            <w:tcW w:w="2212" w:type="dxa"/>
            <w:shd w:val="clear" w:color="auto" w:fill="auto"/>
            <w:vAlign w:val="center"/>
          </w:tcPr>
          <w:p w:rsidR="00AE46DA" w:rsidRPr="001825C9" w:rsidRDefault="00AE46DA" w:rsidP="00B21F37">
            <w:pPr>
              <w:pStyle w:val="TableNumber"/>
              <w:widowControl/>
              <w:spacing w:before="0" w:after="0" w:line="240" w:lineRule="auto"/>
            </w:pPr>
            <w:r w:rsidRPr="001825C9">
              <w:t>0.87</w:t>
            </w:r>
          </w:p>
        </w:tc>
        <w:tc>
          <w:tcPr>
            <w:tcW w:w="1839" w:type="dxa"/>
            <w:shd w:val="clear" w:color="auto" w:fill="auto"/>
            <w:vAlign w:val="center"/>
          </w:tcPr>
          <w:p w:rsidR="00AE46DA" w:rsidRPr="001825C9" w:rsidRDefault="00AE46DA" w:rsidP="00B21F37">
            <w:pPr>
              <w:pStyle w:val="TableNumber"/>
              <w:widowControl/>
              <w:spacing w:before="0" w:after="0" w:line="240" w:lineRule="auto"/>
            </w:pPr>
            <w:r w:rsidRPr="001825C9">
              <w:t>0.46</w:t>
            </w:r>
          </w:p>
        </w:tc>
      </w:tr>
      <w:tr w:rsidR="00AE46DA" w:rsidRPr="001825C9" w:rsidTr="00B21F37">
        <w:tc>
          <w:tcPr>
            <w:tcW w:w="583" w:type="dxa"/>
            <w:vMerge/>
            <w:shd w:val="clear" w:color="auto" w:fill="FFFFFF" w:themeFill="background1"/>
          </w:tcPr>
          <w:p w:rsidR="00AE46DA" w:rsidRPr="001825C9" w:rsidRDefault="00AE46DA" w:rsidP="00B21F37">
            <w:pPr>
              <w:pStyle w:val="TableText"/>
              <w:widowControl/>
              <w:spacing w:before="0" w:after="0" w:line="240" w:lineRule="auto"/>
            </w:pPr>
          </w:p>
        </w:tc>
        <w:tc>
          <w:tcPr>
            <w:tcW w:w="6594" w:type="dxa"/>
            <w:gridSpan w:val="3"/>
            <w:shd w:val="clear" w:color="auto" w:fill="FFFFFF" w:themeFill="background1"/>
          </w:tcPr>
          <w:p w:rsidR="00AE46DA" w:rsidRPr="001825C9" w:rsidRDefault="00AE46DA" w:rsidP="00B21F37">
            <w:pPr>
              <w:pStyle w:val="TableNumber"/>
              <w:widowControl/>
              <w:spacing w:before="0" w:after="0" w:line="240" w:lineRule="auto"/>
              <w:jc w:val="right"/>
            </w:pPr>
            <w:r w:rsidRPr="001825C9">
              <w:t>Incremental cost per LYG</w:t>
            </w:r>
          </w:p>
        </w:tc>
        <w:tc>
          <w:tcPr>
            <w:tcW w:w="1839" w:type="dxa"/>
            <w:shd w:val="clear" w:color="auto" w:fill="auto"/>
            <w:vAlign w:val="center"/>
          </w:tcPr>
          <w:p w:rsidR="00AE46DA" w:rsidRPr="001825C9" w:rsidRDefault="00AE46DA" w:rsidP="00B21F37">
            <w:pPr>
              <w:pStyle w:val="TableNumber"/>
              <w:widowControl/>
              <w:spacing w:before="0" w:after="0" w:line="240" w:lineRule="auto"/>
            </w:pPr>
            <w:r w:rsidRPr="001825C9">
              <w:t>$</w:t>
            </w:r>
            <w:r w:rsidR="00B72C43">
              <w:rPr>
                <w:noProof/>
                <w:color w:val="000000"/>
                <w:highlight w:val="black"/>
              </w:rPr>
              <w:t>''''''''''''''''</w:t>
            </w:r>
            <w:r w:rsidR="00BA32CD">
              <w:rPr>
                <w:vertAlign w:val="superscript"/>
              </w:rPr>
              <w:t>2</w:t>
            </w:r>
          </w:p>
        </w:tc>
      </w:tr>
      <w:tr w:rsidR="00AE46DA" w:rsidRPr="001825C9" w:rsidTr="00B21F37">
        <w:tc>
          <w:tcPr>
            <w:tcW w:w="583" w:type="dxa"/>
            <w:vMerge w:val="restart"/>
            <w:shd w:val="clear" w:color="auto" w:fill="FFFFFF" w:themeFill="background1"/>
          </w:tcPr>
          <w:p w:rsidR="00AE46DA" w:rsidRPr="001825C9" w:rsidRDefault="00AE46DA" w:rsidP="00B21F37">
            <w:pPr>
              <w:pStyle w:val="TableText"/>
              <w:widowControl/>
              <w:spacing w:before="0" w:after="0" w:line="240" w:lineRule="auto"/>
            </w:pPr>
            <w:r w:rsidRPr="001825C9">
              <w:t>3</w:t>
            </w:r>
          </w:p>
        </w:tc>
        <w:tc>
          <w:tcPr>
            <w:tcW w:w="2142" w:type="dxa"/>
            <w:shd w:val="clear" w:color="auto" w:fill="FFFFFF" w:themeFill="background1"/>
          </w:tcPr>
          <w:p w:rsidR="00AE46DA" w:rsidRPr="001825C9" w:rsidRDefault="00AE46DA" w:rsidP="00B21F37">
            <w:pPr>
              <w:pStyle w:val="TableText"/>
              <w:widowControl/>
              <w:spacing w:before="0" w:after="0" w:line="240" w:lineRule="auto"/>
            </w:pPr>
            <w:r w:rsidRPr="001825C9">
              <w:t>Total cost</w:t>
            </w:r>
          </w:p>
        </w:tc>
        <w:tc>
          <w:tcPr>
            <w:tcW w:w="2240" w:type="dxa"/>
            <w:shd w:val="clear" w:color="auto" w:fill="auto"/>
            <w:vAlign w:val="center"/>
          </w:tcPr>
          <w:p w:rsidR="00AE46DA" w:rsidRPr="001825C9" w:rsidRDefault="00AE46DA" w:rsidP="00B21F37">
            <w:pPr>
              <w:pStyle w:val="TableNumber"/>
              <w:widowControl/>
              <w:spacing w:before="0" w:after="0" w:line="240" w:lineRule="auto"/>
            </w:pPr>
            <w:r w:rsidRPr="001825C9">
              <w:t>$</w:t>
            </w:r>
            <w:r w:rsidR="00B72C43">
              <w:rPr>
                <w:noProof/>
                <w:color w:val="000000"/>
                <w:highlight w:val="black"/>
              </w:rPr>
              <w:t>''''''''''''''''</w:t>
            </w:r>
          </w:p>
        </w:tc>
        <w:tc>
          <w:tcPr>
            <w:tcW w:w="2212" w:type="dxa"/>
            <w:shd w:val="clear" w:color="auto" w:fill="auto"/>
            <w:vAlign w:val="center"/>
          </w:tcPr>
          <w:p w:rsidR="00AE46DA" w:rsidRPr="001825C9" w:rsidRDefault="00AE46DA" w:rsidP="00B21F37">
            <w:pPr>
              <w:pStyle w:val="TableNumber"/>
              <w:widowControl/>
              <w:spacing w:before="0" w:after="0" w:line="240" w:lineRule="auto"/>
            </w:pPr>
            <w:r w:rsidRPr="001825C9">
              <w:t>$</w:t>
            </w:r>
            <w:r w:rsidRPr="006D5154">
              <w:t>55,395</w:t>
            </w:r>
          </w:p>
        </w:tc>
        <w:tc>
          <w:tcPr>
            <w:tcW w:w="1839" w:type="dxa"/>
            <w:shd w:val="clear" w:color="auto" w:fill="auto"/>
            <w:vAlign w:val="center"/>
          </w:tcPr>
          <w:p w:rsidR="00AE46DA" w:rsidRPr="001825C9" w:rsidRDefault="00AE46DA" w:rsidP="00B21F37">
            <w:pPr>
              <w:pStyle w:val="TableNumber"/>
              <w:widowControl/>
              <w:spacing w:before="0" w:after="0" w:line="240" w:lineRule="auto"/>
            </w:pPr>
            <w:r w:rsidRPr="001825C9">
              <w:t>$</w:t>
            </w:r>
            <w:r w:rsidR="00B72C43">
              <w:rPr>
                <w:noProof/>
                <w:color w:val="000000"/>
                <w:highlight w:val="black"/>
              </w:rPr>
              <w:t>'''''''''''''''</w:t>
            </w:r>
          </w:p>
        </w:tc>
      </w:tr>
      <w:tr w:rsidR="00AE46DA" w:rsidRPr="001825C9" w:rsidTr="00B21F37">
        <w:tc>
          <w:tcPr>
            <w:tcW w:w="583" w:type="dxa"/>
            <w:vMerge/>
            <w:shd w:val="clear" w:color="auto" w:fill="FFFFFF" w:themeFill="background1"/>
          </w:tcPr>
          <w:p w:rsidR="00AE46DA" w:rsidRPr="001825C9" w:rsidRDefault="00AE46DA" w:rsidP="00B21F37">
            <w:pPr>
              <w:pStyle w:val="TableText"/>
              <w:widowControl/>
              <w:spacing w:before="0" w:after="0" w:line="240" w:lineRule="auto"/>
            </w:pPr>
          </w:p>
        </w:tc>
        <w:tc>
          <w:tcPr>
            <w:tcW w:w="2142" w:type="dxa"/>
            <w:shd w:val="clear" w:color="auto" w:fill="FFFFFF" w:themeFill="background1"/>
          </w:tcPr>
          <w:p w:rsidR="00AE46DA" w:rsidRPr="001825C9" w:rsidRDefault="00AE46DA" w:rsidP="00B21F37">
            <w:pPr>
              <w:pStyle w:val="TableText"/>
              <w:widowControl/>
              <w:spacing w:before="0" w:after="0" w:line="240" w:lineRule="auto"/>
              <w:rPr>
                <w:rFonts w:ascii="Times" w:eastAsia="Times New Roman" w:hAnsi="Times" w:cs="Times New Roman"/>
              </w:rPr>
            </w:pPr>
            <w:r w:rsidRPr="001825C9">
              <w:t>QALYs</w:t>
            </w:r>
          </w:p>
        </w:tc>
        <w:tc>
          <w:tcPr>
            <w:tcW w:w="2240" w:type="dxa"/>
            <w:shd w:val="clear" w:color="auto" w:fill="auto"/>
            <w:vAlign w:val="center"/>
          </w:tcPr>
          <w:p w:rsidR="00AE46DA" w:rsidRPr="001825C9" w:rsidRDefault="00AE46DA" w:rsidP="00B21F37">
            <w:pPr>
              <w:pStyle w:val="TableNumber"/>
              <w:widowControl/>
              <w:spacing w:before="0" w:after="0" w:line="240" w:lineRule="auto"/>
              <w:rPr>
                <w:rFonts w:ascii="Times" w:eastAsia="Times New Roman" w:hAnsi="Times" w:cs="Times New Roman"/>
              </w:rPr>
            </w:pPr>
            <w:r w:rsidRPr="001825C9">
              <w:t>0.93</w:t>
            </w:r>
          </w:p>
        </w:tc>
        <w:tc>
          <w:tcPr>
            <w:tcW w:w="2212" w:type="dxa"/>
            <w:shd w:val="clear" w:color="auto" w:fill="auto"/>
            <w:vAlign w:val="center"/>
          </w:tcPr>
          <w:p w:rsidR="00AE46DA" w:rsidRPr="001825C9" w:rsidRDefault="00AE46DA" w:rsidP="00B21F37">
            <w:pPr>
              <w:pStyle w:val="TableNumber"/>
              <w:widowControl/>
              <w:spacing w:before="0" w:after="0" w:line="240" w:lineRule="auto"/>
              <w:rPr>
                <w:rFonts w:ascii="Times" w:eastAsia="Times New Roman" w:hAnsi="Times" w:cs="Times New Roman"/>
              </w:rPr>
            </w:pPr>
            <w:r w:rsidRPr="001825C9">
              <w:t>0.60</w:t>
            </w:r>
          </w:p>
        </w:tc>
        <w:tc>
          <w:tcPr>
            <w:tcW w:w="1839" w:type="dxa"/>
            <w:shd w:val="clear" w:color="auto" w:fill="auto"/>
            <w:vAlign w:val="center"/>
          </w:tcPr>
          <w:p w:rsidR="00AE46DA" w:rsidRPr="001825C9" w:rsidRDefault="00AE46DA" w:rsidP="00B21F37">
            <w:pPr>
              <w:pStyle w:val="TableNumber"/>
              <w:widowControl/>
              <w:spacing w:before="0" w:after="0" w:line="240" w:lineRule="auto"/>
              <w:rPr>
                <w:rFonts w:eastAsia="Times New Roman" w:cs="Times New Roman"/>
              </w:rPr>
            </w:pPr>
            <w:r w:rsidRPr="001825C9">
              <w:rPr>
                <w:rFonts w:eastAsia="Times New Roman" w:cs="Times New Roman"/>
              </w:rPr>
              <w:t>0.34</w:t>
            </w:r>
          </w:p>
        </w:tc>
      </w:tr>
      <w:tr w:rsidR="00AE46DA" w:rsidRPr="001825C9" w:rsidTr="00B21F37">
        <w:tc>
          <w:tcPr>
            <w:tcW w:w="583" w:type="dxa"/>
            <w:vMerge/>
            <w:shd w:val="clear" w:color="auto" w:fill="FFFFFF" w:themeFill="background1"/>
          </w:tcPr>
          <w:p w:rsidR="00AE46DA" w:rsidRPr="001825C9" w:rsidRDefault="00AE46DA" w:rsidP="00B21F37">
            <w:pPr>
              <w:pStyle w:val="TableText"/>
              <w:widowControl/>
              <w:spacing w:before="0" w:after="0" w:line="240" w:lineRule="auto"/>
            </w:pPr>
          </w:p>
        </w:tc>
        <w:tc>
          <w:tcPr>
            <w:tcW w:w="6594" w:type="dxa"/>
            <w:gridSpan w:val="3"/>
            <w:shd w:val="clear" w:color="auto" w:fill="FFFFFF" w:themeFill="background1"/>
          </w:tcPr>
          <w:p w:rsidR="00AE46DA" w:rsidRPr="001825C9" w:rsidRDefault="00AE46DA" w:rsidP="00B21F37">
            <w:pPr>
              <w:pStyle w:val="TableNumber"/>
              <w:widowControl/>
              <w:tabs>
                <w:tab w:val="clear" w:pos="396"/>
              </w:tabs>
              <w:spacing w:before="0" w:after="0" w:line="240" w:lineRule="auto"/>
              <w:jc w:val="right"/>
              <w:rPr>
                <w:rFonts w:ascii="Times" w:eastAsia="Times New Roman" w:hAnsi="Times" w:cs="Times New Roman"/>
                <w:b/>
              </w:rPr>
            </w:pPr>
            <w:r w:rsidRPr="001825C9">
              <w:rPr>
                <w:b/>
              </w:rPr>
              <w:t>Incremental cost per QALY</w:t>
            </w:r>
          </w:p>
        </w:tc>
        <w:tc>
          <w:tcPr>
            <w:tcW w:w="1839" w:type="dxa"/>
            <w:shd w:val="clear" w:color="auto" w:fill="auto"/>
            <w:vAlign w:val="center"/>
          </w:tcPr>
          <w:p w:rsidR="00AE46DA" w:rsidRPr="001825C9" w:rsidRDefault="00AE46DA" w:rsidP="00B21F37">
            <w:pPr>
              <w:pStyle w:val="TableNumber"/>
              <w:widowControl/>
              <w:tabs>
                <w:tab w:val="clear" w:pos="396"/>
              </w:tabs>
              <w:spacing w:before="0" w:after="0" w:line="240" w:lineRule="auto"/>
              <w:rPr>
                <w:rFonts w:ascii="Times" w:eastAsia="Times New Roman" w:hAnsi="Times" w:cs="Times New Roman"/>
                <w:b/>
              </w:rPr>
            </w:pPr>
            <w:r w:rsidRPr="001825C9">
              <w:rPr>
                <w:b/>
              </w:rPr>
              <w:t>$</w:t>
            </w:r>
            <w:r w:rsidR="00B72C43">
              <w:rPr>
                <w:b/>
                <w:noProof/>
                <w:color w:val="000000"/>
                <w:highlight w:val="black"/>
              </w:rPr>
              <w:t>''''''''''''''</w:t>
            </w:r>
            <w:r w:rsidR="00BA32CD">
              <w:rPr>
                <w:vertAlign w:val="superscript"/>
              </w:rPr>
              <w:t>1</w:t>
            </w:r>
          </w:p>
        </w:tc>
      </w:tr>
    </w:tbl>
    <w:p w:rsidR="00AE46DA" w:rsidRPr="001825C9" w:rsidRDefault="00AE46DA" w:rsidP="00AE46DA">
      <w:pPr>
        <w:pStyle w:val="TableFooter"/>
        <w:widowControl/>
      </w:pPr>
      <w:r w:rsidRPr="001825C9">
        <w:t xml:space="preserve">Abbreviations: CETUX = cetuximab; ENCO = encorafenib; FOLFIRI/IR + CETUX = </w:t>
      </w:r>
      <w:r w:rsidRPr="001825C9">
        <w:rPr>
          <w:szCs w:val="18"/>
        </w:rPr>
        <w:t xml:space="preserve">irinotecan + cetuximab or FOLFIRI + cetuximab </w:t>
      </w:r>
    </w:p>
    <w:p w:rsidR="00AE46DA" w:rsidRDefault="00AE46DA" w:rsidP="00AE46DA">
      <w:pPr>
        <w:pStyle w:val="TableFooter"/>
        <w:widowControl/>
      </w:pPr>
      <w:r w:rsidRPr="001825C9">
        <w:t>Source: Table 3-26 p263 of the submission.</w:t>
      </w:r>
    </w:p>
    <w:p w:rsidR="00BA32CD" w:rsidRPr="00BA32CD" w:rsidRDefault="00BA32CD" w:rsidP="00AE46DA">
      <w:pPr>
        <w:pStyle w:val="TableFooter"/>
        <w:widowControl/>
        <w:rPr>
          <w:i/>
        </w:rPr>
      </w:pPr>
      <w:r w:rsidRPr="00BA32CD">
        <w:rPr>
          <w:i/>
        </w:rPr>
        <w:t>The redacted values correspond to the following ranges:</w:t>
      </w:r>
    </w:p>
    <w:p w:rsidR="00BA32CD" w:rsidRPr="00BA32CD" w:rsidRDefault="00BA32CD" w:rsidP="00AE46DA">
      <w:pPr>
        <w:pStyle w:val="TableFooter"/>
        <w:widowControl/>
        <w:rPr>
          <w:i/>
        </w:rPr>
      </w:pPr>
      <w:r w:rsidRPr="00BA32CD">
        <w:rPr>
          <w:i/>
          <w:vertAlign w:val="superscript"/>
        </w:rPr>
        <w:t>1</w:t>
      </w:r>
      <w:r w:rsidRPr="00BA32CD">
        <w:rPr>
          <w:i/>
        </w:rPr>
        <w:t>$75,000 to &lt;$95,000/QALY gained</w:t>
      </w:r>
    </w:p>
    <w:p w:rsidR="00BA32CD" w:rsidRPr="00BA32CD" w:rsidRDefault="00BA32CD" w:rsidP="00AE46DA">
      <w:pPr>
        <w:pStyle w:val="TableFooter"/>
        <w:widowControl/>
        <w:rPr>
          <w:i/>
        </w:rPr>
      </w:pPr>
      <w:r w:rsidRPr="00BA32CD">
        <w:rPr>
          <w:i/>
          <w:vertAlign w:val="superscript"/>
        </w:rPr>
        <w:t>2</w:t>
      </w:r>
      <w:r w:rsidRPr="00BA32CD">
        <w:rPr>
          <w:i/>
        </w:rPr>
        <w:t>$45,000 to &lt;$55,000/QALY gained</w:t>
      </w:r>
    </w:p>
    <w:p w:rsidR="00AE46DA" w:rsidRPr="001825C9" w:rsidRDefault="00AE46DA" w:rsidP="00AE46DA">
      <w:pPr>
        <w:pStyle w:val="ListParagraph"/>
      </w:pPr>
      <w:r w:rsidRPr="001825C9">
        <w:t>The results of the key univariate sensitivity analyses from the submission and prepared by the commentary are summarised in Table 15.</w:t>
      </w:r>
    </w:p>
    <w:p w:rsidR="00AE46DA" w:rsidRPr="001825C9" w:rsidRDefault="00AE46DA" w:rsidP="00AE46DA">
      <w:pPr>
        <w:pStyle w:val="Caption"/>
      </w:pPr>
      <w:r w:rsidRPr="001825C9">
        <w:t>Table 15: 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65"/>
        <w:gridCol w:w="1012"/>
        <w:gridCol w:w="1013"/>
        <w:gridCol w:w="1013"/>
        <w:gridCol w:w="1013"/>
      </w:tblGrid>
      <w:tr w:rsidR="00AE46DA" w:rsidRPr="001825C9" w:rsidTr="00B21F37">
        <w:trPr>
          <w:trHeight w:val="214"/>
          <w:tblHeader/>
        </w:trPr>
        <w:tc>
          <w:tcPr>
            <w:tcW w:w="2753" w:type="pct"/>
            <w:vAlign w:val="center"/>
          </w:tcPr>
          <w:p w:rsidR="00AE46DA" w:rsidRPr="001825C9" w:rsidRDefault="00AE46DA" w:rsidP="00B21F37">
            <w:pPr>
              <w:pStyle w:val="TableText"/>
              <w:widowControl/>
              <w:spacing w:before="0" w:after="0" w:line="240" w:lineRule="auto"/>
              <w:contextualSpacing/>
              <w:jc w:val="center"/>
              <w:rPr>
                <w:b/>
                <w:szCs w:val="20"/>
                <w:vertAlign w:val="superscript"/>
              </w:rPr>
            </w:pPr>
            <w:r w:rsidRPr="001825C9">
              <w:rPr>
                <w:b/>
                <w:szCs w:val="20"/>
              </w:rPr>
              <w:t>Analysis</w:t>
            </w:r>
          </w:p>
        </w:tc>
        <w:tc>
          <w:tcPr>
            <w:tcW w:w="561" w:type="pct"/>
            <w:vAlign w:val="center"/>
          </w:tcPr>
          <w:p w:rsidR="00AE46DA" w:rsidRPr="001825C9" w:rsidRDefault="00AE46DA" w:rsidP="00B21F37">
            <w:pPr>
              <w:pStyle w:val="TableText"/>
              <w:widowControl/>
              <w:spacing w:before="0" w:after="0" w:line="240" w:lineRule="auto"/>
              <w:contextualSpacing/>
              <w:jc w:val="center"/>
              <w:rPr>
                <w:b/>
                <w:szCs w:val="20"/>
              </w:rPr>
            </w:pPr>
            <w:r w:rsidRPr="001825C9">
              <w:rPr>
                <w:b/>
                <w:szCs w:val="20"/>
              </w:rPr>
              <w:t>Incremental cost</w:t>
            </w:r>
          </w:p>
        </w:tc>
        <w:tc>
          <w:tcPr>
            <w:tcW w:w="562" w:type="pct"/>
            <w:vAlign w:val="center"/>
          </w:tcPr>
          <w:p w:rsidR="00AE46DA" w:rsidRPr="001825C9" w:rsidRDefault="00AE46DA" w:rsidP="00B21F37">
            <w:pPr>
              <w:pStyle w:val="TableText"/>
              <w:widowControl/>
              <w:spacing w:before="0" w:after="0" w:line="240" w:lineRule="auto"/>
              <w:contextualSpacing/>
              <w:jc w:val="center"/>
              <w:rPr>
                <w:b/>
                <w:szCs w:val="20"/>
              </w:rPr>
            </w:pPr>
            <w:r w:rsidRPr="001825C9">
              <w:rPr>
                <w:b/>
                <w:szCs w:val="20"/>
              </w:rPr>
              <w:t>Incremental QALY</w:t>
            </w:r>
          </w:p>
        </w:tc>
        <w:tc>
          <w:tcPr>
            <w:tcW w:w="562" w:type="pct"/>
            <w:vAlign w:val="center"/>
          </w:tcPr>
          <w:p w:rsidR="00AE46DA" w:rsidRPr="001825C9" w:rsidRDefault="00AE46DA" w:rsidP="00B21F37">
            <w:pPr>
              <w:pStyle w:val="TableText"/>
              <w:widowControl/>
              <w:spacing w:before="0" w:after="0" w:line="240" w:lineRule="auto"/>
              <w:contextualSpacing/>
              <w:jc w:val="center"/>
              <w:rPr>
                <w:b/>
                <w:szCs w:val="20"/>
              </w:rPr>
            </w:pPr>
            <w:r w:rsidRPr="001825C9">
              <w:rPr>
                <w:b/>
                <w:szCs w:val="20"/>
              </w:rPr>
              <w:t>Incremental cost per QALY</w:t>
            </w:r>
          </w:p>
        </w:tc>
        <w:tc>
          <w:tcPr>
            <w:tcW w:w="562" w:type="pct"/>
            <w:vAlign w:val="center"/>
          </w:tcPr>
          <w:p w:rsidR="00AE46DA" w:rsidRPr="001825C9" w:rsidRDefault="00AE46DA" w:rsidP="00B21F37">
            <w:pPr>
              <w:pStyle w:val="TableText"/>
              <w:widowControl/>
              <w:spacing w:before="0" w:after="0" w:line="240" w:lineRule="auto"/>
              <w:contextualSpacing/>
              <w:jc w:val="center"/>
              <w:rPr>
                <w:b/>
                <w:szCs w:val="20"/>
              </w:rPr>
            </w:pPr>
            <w:r w:rsidRPr="001825C9">
              <w:rPr>
                <w:b/>
                <w:szCs w:val="20"/>
              </w:rPr>
              <w:t>Change in ICER from base case</w:t>
            </w:r>
          </w:p>
        </w:tc>
      </w:tr>
      <w:tr w:rsidR="00AE46DA" w:rsidRPr="001825C9" w:rsidTr="00B21F37">
        <w:tc>
          <w:tcPr>
            <w:tcW w:w="2753" w:type="pct"/>
          </w:tcPr>
          <w:p w:rsidR="00AE46DA" w:rsidRPr="001825C9" w:rsidRDefault="00AE46DA" w:rsidP="00B21F37">
            <w:pPr>
              <w:pStyle w:val="Default"/>
              <w:rPr>
                <w:rFonts w:ascii="Arial Narrow" w:hAnsi="Arial Narrow"/>
                <w:b/>
                <w:bCs/>
                <w:sz w:val="20"/>
                <w:szCs w:val="20"/>
                <w:lang w:val="en-AU"/>
              </w:rPr>
            </w:pPr>
            <w:r w:rsidRPr="001825C9">
              <w:rPr>
                <w:rFonts w:ascii="Arial Narrow" w:hAnsi="Arial Narrow"/>
                <w:b/>
                <w:bCs/>
                <w:sz w:val="20"/>
                <w:szCs w:val="20"/>
                <w:lang w:val="en-AU"/>
              </w:rPr>
              <w:t>Base case (as per submission)</w:t>
            </w:r>
          </w:p>
        </w:tc>
        <w:tc>
          <w:tcPr>
            <w:tcW w:w="561" w:type="pct"/>
            <w:vAlign w:val="center"/>
          </w:tcPr>
          <w:p w:rsidR="00AE46DA" w:rsidRPr="001825C9" w:rsidRDefault="00AE46DA" w:rsidP="00B21F37">
            <w:pPr>
              <w:pStyle w:val="Default"/>
              <w:jc w:val="center"/>
              <w:rPr>
                <w:rFonts w:ascii="Arial Narrow" w:hAnsi="Arial Narrow"/>
                <w:b/>
                <w:bCs/>
                <w:sz w:val="20"/>
                <w:szCs w:val="20"/>
                <w:lang w:val="en-AU"/>
              </w:rPr>
            </w:pPr>
            <w:r w:rsidRPr="001825C9">
              <w:rPr>
                <w:rFonts w:ascii="Arial Narrow" w:hAnsi="Arial Narrow"/>
                <w:b/>
                <w:bCs/>
                <w:sz w:val="20"/>
                <w:szCs w:val="20"/>
                <w:lang w:val="en-AU"/>
              </w:rPr>
              <w:t>$</w:t>
            </w:r>
            <w:r w:rsidR="00B72C43">
              <w:rPr>
                <w:rFonts w:ascii="Arial Narrow" w:hAnsi="Arial Narrow"/>
                <w:b/>
                <w:bCs/>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b/>
                <w:bCs/>
                <w:sz w:val="20"/>
                <w:szCs w:val="20"/>
                <w:lang w:val="en-AU"/>
              </w:rPr>
            </w:pPr>
            <w:r w:rsidRPr="001825C9">
              <w:rPr>
                <w:rFonts w:ascii="Arial Narrow" w:hAnsi="Arial Narrow"/>
                <w:b/>
                <w:bCs/>
                <w:sz w:val="20"/>
                <w:szCs w:val="20"/>
                <w:lang w:val="en-AU"/>
              </w:rPr>
              <w:t>0.335</w:t>
            </w:r>
          </w:p>
        </w:tc>
        <w:tc>
          <w:tcPr>
            <w:tcW w:w="562" w:type="pct"/>
            <w:vAlign w:val="center"/>
          </w:tcPr>
          <w:p w:rsidR="00AE46DA" w:rsidRPr="001825C9" w:rsidRDefault="00AE46DA" w:rsidP="00B21F37">
            <w:pPr>
              <w:pStyle w:val="Default"/>
              <w:jc w:val="center"/>
              <w:rPr>
                <w:rFonts w:ascii="Arial Narrow" w:hAnsi="Arial Narrow"/>
                <w:b/>
                <w:bCs/>
                <w:sz w:val="20"/>
                <w:szCs w:val="20"/>
                <w:lang w:val="en-AU"/>
              </w:rPr>
            </w:pPr>
            <w:r w:rsidRPr="001825C9">
              <w:rPr>
                <w:rFonts w:ascii="Arial Narrow" w:hAnsi="Arial Narrow"/>
                <w:b/>
                <w:bCs/>
                <w:sz w:val="20"/>
                <w:szCs w:val="20"/>
                <w:lang w:val="en-AU"/>
              </w:rPr>
              <w:t>$</w:t>
            </w:r>
            <w:r w:rsidR="00B72C43">
              <w:rPr>
                <w:rFonts w:ascii="Arial Narrow" w:hAnsi="Arial Narrow"/>
                <w:b/>
                <w:bCs/>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b/>
                <w:bCs/>
                <w:sz w:val="20"/>
                <w:szCs w:val="20"/>
                <w:lang w:val="en-AU"/>
              </w:rPr>
            </w:pPr>
            <w:r w:rsidRPr="001825C9">
              <w:rPr>
                <w:rFonts w:ascii="Arial Narrow" w:hAnsi="Arial Narrow"/>
                <w:b/>
                <w:bCs/>
                <w:sz w:val="20"/>
                <w:szCs w:val="20"/>
                <w:lang w:val="en-AU"/>
              </w:rPr>
              <w:t>-</w:t>
            </w:r>
          </w:p>
        </w:tc>
      </w:tr>
      <w:tr w:rsidR="00AE46DA" w:rsidRPr="001825C9" w:rsidTr="00B21F37">
        <w:tc>
          <w:tcPr>
            <w:tcW w:w="5000" w:type="pct"/>
            <w:gridSpan w:val="5"/>
          </w:tcPr>
          <w:p w:rsidR="00AE46DA" w:rsidRPr="001825C9" w:rsidRDefault="00AE46DA" w:rsidP="00B21F37">
            <w:pPr>
              <w:pStyle w:val="Default"/>
              <w:rPr>
                <w:rFonts w:ascii="Arial Narrow" w:hAnsi="Arial Narrow"/>
                <w:bCs/>
                <w:sz w:val="20"/>
                <w:szCs w:val="20"/>
                <w:lang w:val="en-AU"/>
              </w:rPr>
            </w:pPr>
            <w:r w:rsidRPr="001825C9">
              <w:rPr>
                <w:rFonts w:ascii="Arial Narrow" w:hAnsi="Arial Narrow"/>
                <w:bCs/>
                <w:sz w:val="20"/>
                <w:szCs w:val="20"/>
                <w:lang w:val="en-AU"/>
              </w:rPr>
              <w:t>Time horizon (base case 7-years)</w:t>
            </w:r>
          </w:p>
        </w:tc>
      </w:tr>
      <w:tr w:rsidR="00AE46DA" w:rsidRPr="001825C9" w:rsidTr="00B21F37">
        <w:tc>
          <w:tcPr>
            <w:tcW w:w="2753" w:type="pct"/>
          </w:tcPr>
          <w:p w:rsidR="00AE46DA" w:rsidRPr="001825C9" w:rsidRDefault="00AE46DA" w:rsidP="00B21F37">
            <w:pPr>
              <w:pStyle w:val="Default"/>
              <w:rPr>
                <w:rFonts w:ascii="Arial Narrow" w:hAnsi="Arial Narrow"/>
                <w:bCs/>
                <w:sz w:val="20"/>
                <w:szCs w:val="20"/>
                <w:lang w:val="en-AU"/>
              </w:rPr>
            </w:pPr>
            <w:r w:rsidRPr="001825C9">
              <w:rPr>
                <w:rFonts w:ascii="Arial Narrow" w:hAnsi="Arial Narrow"/>
                <w:bCs/>
                <w:sz w:val="20"/>
                <w:szCs w:val="20"/>
                <w:lang w:val="en-AU"/>
              </w:rPr>
              <w:t>10-years</w:t>
            </w:r>
          </w:p>
        </w:tc>
        <w:tc>
          <w:tcPr>
            <w:tcW w:w="561"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0.3548</w:t>
            </w:r>
          </w:p>
        </w:tc>
        <w:tc>
          <w:tcPr>
            <w:tcW w:w="562"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2</w:t>
            </w:r>
          </w:p>
        </w:tc>
        <w:tc>
          <w:tcPr>
            <w:tcW w:w="562"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-4.0%</w:t>
            </w:r>
          </w:p>
        </w:tc>
      </w:tr>
      <w:tr w:rsidR="00AE46DA" w:rsidRPr="001825C9" w:rsidTr="00B21F37">
        <w:tc>
          <w:tcPr>
            <w:tcW w:w="2753" w:type="pct"/>
          </w:tcPr>
          <w:p w:rsidR="00AE46DA" w:rsidRPr="001825C9" w:rsidRDefault="00AE46DA" w:rsidP="00B21F37">
            <w:pPr>
              <w:pStyle w:val="Default"/>
              <w:rPr>
                <w:rFonts w:ascii="Arial Narrow" w:hAnsi="Arial Narrow"/>
                <w:bCs/>
                <w:sz w:val="20"/>
                <w:szCs w:val="20"/>
                <w:lang w:val="en-AU"/>
              </w:rPr>
            </w:pPr>
            <w:r w:rsidRPr="001825C9">
              <w:rPr>
                <w:rFonts w:ascii="Arial Narrow" w:hAnsi="Arial Narrow"/>
                <w:bCs/>
                <w:sz w:val="20"/>
                <w:szCs w:val="20"/>
                <w:lang w:val="en-AU"/>
              </w:rPr>
              <w:t>20-years</w:t>
            </w:r>
          </w:p>
        </w:tc>
        <w:tc>
          <w:tcPr>
            <w:tcW w:w="561"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0.3769</w:t>
            </w:r>
          </w:p>
        </w:tc>
        <w:tc>
          <w:tcPr>
            <w:tcW w:w="562"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2</w:t>
            </w:r>
          </w:p>
        </w:tc>
        <w:tc>
          <w:tcPr>
            <w:tcW w:w="562"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-8.2%</w:t>
            </w:r>
          </w:p>
        </w:tc>
      </w:tr>
      <w:tr w:rsidR="00AE46DA" w:rsidRPr="001825C9" w:rsidTr="00B21F37">
        <w:tc>
          <w:tcPr>
            <w:tcW w:w="2753" w:type="pct"/>
          </w:tcPr>
          <w:p w:rsidR="00AE46DA" w:rsidRPr="001825C9" w:rsidRDefault="00AE46DA" w:rsidP="00B21F37">
            <w:pPr>
              <w:pStyle w:val="Default"/>
              <w:rPr>
                <w:rFonts w:ascii="Arial Narrow" w:hAnsi="Arial Narrow"/>
                <w:bCs/>
                <w:sz w:val="20"/>
                <w:szCs w:val="20"/>
                <w:lang w:val="en-AU"/>
              </w:rPr>
            </w:pPr>
            <w:r w:rsidRPr="001825C9">
              <w:rPr>
                <w:rFonts w:ascii="Arial Narrow" w:hAnsi="Arial Narrow"/>
                <w:sz w:val="20"/>
                <w:lang w:val="en-AU"/>
              </w:rPr>
              <w:t>34 months (as per KM post-hoc survival analysis)</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lang w:val="en-AU"/>
              </w:rPr>
              <w:t>$</w:t>
            </w:r>
            <w:r w:rsidR="00B72C43">
              <w:rPr>
                <w:rFonts w:ascii="Arial Narrow" w:hAnsi="Arial Narrow"/>
                <w:noProof/>
                <w:sz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0.253</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20.1%</w:t>
            </w:r>
          </w:p>
        </w:tc>
      </w:tr>
      <w:tr w:rsidR="00AE46DA" w:rsidRPr="001825C9" w:rsidTr="00B21F37">
        <w:tc>
          <w:tcPr>
            <w:tcW w:w="5000" w:type="pct"/>
            <w:gridSpan w:val="5"/>
          </w:tcPr>
          <w:p w:rsidR="00AE46DA" w:rsidRPr="001825C9" w:rsidRDefault="00AE46DA" w:rsidP="00B21F37">
            <w:pPr>
              <w:pStyle w:val="Default"/>
              <w:rPr>
                <w:rFonts w:ascii="Arial Narrow" w:hAnsi="Arial Narrow"/>
                <w:bCs/>
                <w:sz w:val="20"/>
                <w:szCs w:val="20"/>
                <w:lang w:val="en-AU"/>
              </w:rPr>
            </w:pPr>
            <w:r w:rsidRPr="001825C9">
              <w:rPr>
                <w:rFonts w:ascii="Arial Narrow" w:hAnsi="Arial Narrow"/>
                <w:sz w:val="20"/>
                <w:szCs w:val="20"/>
                <w:lang w:val="en-AU"/>
              </w:rPr>
              <w:t>TTD extrapolation (base case gamma distribution)</w:t>
            </w:r>
          </w:p>
        </w:tc>
      </w:tr>
      <w:tr w:rsidR="00AE46DA" w:rsidRPr="001825C9" w:rsidTr="00B21F37">
        <w:tc>
          <w:tcPr>
            <w:tcW w:w="2753" w:type="pct"/>
          </w:tcPr>
          <w:p w:rsidR="00AE46DA" w:rsidRPr="001825C9" w:rsidRDefault="00AE46DA" w:rsidP="00B21F37">
            <w:pPr>
              <w:pStyle w:val="Default"/>
              <w:ind w:left="303"/>
              <w:rPr>
                <w:rFonts w:ascii="Arial Narrow" w:hAnsi="Arial Narrow"/>
                <w:bCs/>
                <w:sz w:val="20"/>
                <w:szCs w:val="20"/>
                <w:lang w:val="en-AU"/>
              </w:rPr>
            </w:pPr>
            <w:r w:rsidRPr="001825C9">
              <w:rPr>
                <w:rFonts w:ascii="Arial Narrow" w:hAnsi="Arial Narrow"/>
                <w:sz w:val="20"/>
                <w:szCs w:val="20"/>
                <w:lang w:val="en-AU"/>
              </w:rPr>
              <w:t>Log-logistic distribution (consistent with OS and PFS parametric functions)</w:t>
            </w:r>
          </w:p>
        </w:tc>
        <w:tc>
          <w:tcPr>
            <w:tcW w:w="561"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0.335</w:t>
            </w:r>
          </w:p>
        </w:tc>
        <w:tc>
          <w:tcPr>
            <w:tcW w:w="562"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bCs/>
                <w:sz w:val="20"/>
                <w:szCs w:val="20"/>
                <w:lang w:val="en-AU"/>
              </w:rPr>
            </w:pPr>
            <w:r w:rsidRPr="001825C9">
              <w:rPr>
                <w:rFonts w:ascii="Arial Narrow" w:hAnsi="Arial Narrow"/>
                <w:sz w:val="20"/>
                <w:szCs w:val="20"/>
                <w:lang w:val="en-AU"/>
              </w:rPr>
              <w:t>25.9%</w:t>
            </w:r>
          </w:p>
        </w:tc>
      </w:tr>
      <w:tr w:rsidR="00AE46DA" w:rsidRPr="001825C9" w:rsidTr="00B21F37">
        <w:tc>
          <w:tcPr>
            <w:tcW w:w="5000" w:type="pct"/>
            <w:gridSpan w:val="5"/>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PFS extrapolation (base case log-logistic distribution)</w:t>
            </w:r>
          </w:p>
        </w:tc>
      </w:tr>
      <w:tr w:rsidR="00AE46DA" w:rsidRPr="001825C9" w:rsidTr="00B21F37">
        <w:tc>
          <w:tcPr>
            <w:tcW w:w="2753" w:type="pct"/>
          </w:tcPr>
          <w:p w:rsidR="00AE46DA" w:rsidRPr="001825C9" w:rsidRDefault="00AE46DA" w:rsidP="00B21F37">
            <w:pPr>
              <w:pStyle w:val="Default"/>
              <w:ind w:firstLine="303"/>
              <w:rPr>
                <w:rFonts w:ascii="Arial Narrow" w:hAnsi="Arial Narrow"/>
                <w:sz w:val="20"/>
                <w:szCs w:val="20"/>
                <w:lang w:val="en-AU"/>
              </w:rPr>
            </w:pPr>
            <w:r w:rsidRPr="001825C9">
              <w:rPr>
                <w:rFonts w:ascii="Arial Narrow" w:hAnsi="Arial Narrow"/>
                <w:sz w:val="20"/>
                <w:szCs w:val="20"/>
                <w:lang w:val="en-AU"/>
              </w:rPr>
              <w:lastRenderedPageBreak/>
              <w:t>Gamma distribution (consistent with TTD parametric function)</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0.331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1.4%</w:t>
            </w:r>
          </w:p>
        </w:tc>
      </w:tr>
      <w:tr w:rsidR="00AE46DA" w:rsidRPr="001825C9" w:rsidTr="00B21F37">
        <w:tc>
          <w:tcPr>
            <w:tcW w:w="5000" w:type="pct"/>
            <w:gridSpan w:val="5"/>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OS extrapolation (base case log-logistic distribution)</w:t>
            </w:r>
          </w:p>
        </w:tc>
      </w:tr>
      <w:tr w:rsidR="00AE46DA" w:rsidRPr="001825C9" w:rsidTr="00B21F37">
        <w:tc>
          <w:tcPr>
            <w:tcW w:w="2753" w:type="pct"/>
          </w:tcPr>
          <w:p w:rsidR="00AE46DA" w:rsidRPr="001825C9" w:rsidRDefault="00AE46DA" w:rsidP="00B21F37">
            <w:pPr>
              <w:pStyle w:val="Default"/>
              <w:ind w:left="303"/>
              <w:rPr>
                <w:rFonts w:ascii="Arial Narrow" w:hAnsi="Arial Narrow"/>
                <w:sz w:val="20"/>
                <w:szCs w:val="20"/>
                <w:lang w:val="en-AU"/>
              </w:rPr>
            </w:pPr>
            <w:r w:rsidRPr="001825C9">
              <w:rPr>
                <w:rFonts w:ascii="Arial Narrow" w:hAnsi="Arial Narrow"/>
                <w:sz w:val="20"/>
                <w:szCs w:val="20"/>
                <w:lang w:val="en-AU"/>
              </w:rPr>
              <w:t>FOLFIRI/Ir + Cetux OS curve using generalized gamma distribution (second-best fit according to AIC result)</w:t>
            </w:r>
          </w:p>
        </w:tc>
        <w:tc>
          <w:tcPr>
            <w:tcW w:w="561" w:type="pct"/>
            <w:vAlign w:val="center"/>
          </w:tcPr>
          <w:p w:rsidR="00AE46DA" w:rsidRPr="001825C9" w:rsidRDefault="00AE46DA" w:rsidP="00B21F37">
            <w:pPr>
              <w:pStyle w:val="Default"/>
              <w:ind w:left="109" w:hanging="7"/>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ind w:left="109" w:hanging="7"/>
              <w:jc w:val="center"/>
              <w:rPr>
                <w:rFonts w:ascii="Arial Narrow" w:hAnsi="Arial Narrow"/>
                <w:sz w:val="20"/>
                <w:szCs w:val="20"/>
                <w:lang w:val="en-AU"/>
              </w:rPr>
            </w:pPr>
            <w:r w:rsidRPr="001825C9">
              <w:rPr>
                <w:rFonts w:ascii="Arial Narrow" w:hAnsi="Arial Narrow"/>
                <w:sz w:val="20"/>
                <w:szCs w:val="20"/>
                <w:lang w:val="en-AU"/>
              </w:rPr>
              <w:t>0.3914</w:t>
            </w:r>
          </w:p>
        </w:tc>
        <w:tc>
          <w:tcPr>
            <w:tcW w:w="562" w:type="pct"/>
            <w:vAlign w:val="center"/>
          </w:tcPr>
          <w:p w:rsidR="00AE46DA" w:rsidRPr="001825C9" w:rsidRDefault="00AE46DA" w:rsidP="00B21F37">
            <w:pPr>
              <w:pStyle w:val="Default"/>
              <w:ind w:left="109" w:hanging="7"/>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2</w:t>
            </w:r>
          </w:p>
        </w:tc>
        <w:tc>
          <w:tcPr>
            <w:tcW w:w="562" w:type="pct"/>
            <w:vAlign w:val="center"/>
          </w:tcPr>
          <w:p w:rsidR="00AE46DA" w:rsidRPr="001825C9" w:rsidRDefault="00AE46DA" w:rsidP="00B21F37">
            <w:pPr>
              <w:pStyle w:val="Default"/>
              <w:ind w:left="109" w:hanging="7"/>
              <w:jc w:val="center"/>
              <w:rPr>
                <w:rFonts w:ascii="Arial Narrow" w:hAnsi="Arial Narrow"/>
                <w:sz w:val="20"/>
                <w:szCs w:val="20"/>
                <w:lang w:val="en-AU"/>
              </w:rPr>
            </w:pPr>
            <w:r w:rsidRPr="001825C9">
              <w:rPr>
                <w:rFonts w:ascii="Arial Narrow" w:hAnsi="Arial Narrow"/>
                <w:sz w:val="20"/>
                <w:szCs w:val="20"/>
                <w:lang w:val="en-AU"/>
              </w:rPr>
              <w:t>-13.1%</w:t>
            </w:r>
          </w:p>
        </w:tc>
      </w:tr>
      <w:tr w:rsidR="00AE46DA" w:rsidRPr="001825C9" w:rsidTr="00B21F37">
        <w:tc>
          <w:tcPr>
            <w:tcW w:w="2753" w:type="pct"/>
          </w:tcPr>
          <w:p w:rsidR="00AE46DA" w:rsidRPr="001825C9" w:rsidRDefault="00AE46DA" w:rsidP="00B21F37">
            <w:pPr>
              <w:pStyle w:val="Default"/>
              <w:ind w:left="303"/>
              <w:rPr>
                <w:rFonts w:ascii="Arial Narrow" w:hAnsi="Arial Narrow"/>
                <w:sz w:val="20"/>
                <w:szCs w:val="20"/>
                <w:lang w:val="en-AU"/>
              </w:rPr>
            </w:pPr>
            <w:r w:rsidRPr="001825C9">
              <w:rPr>
                <w:rFonts w:ascii="Arial Narrow" w:hAnsi="Arial Narrow"/>
                <w:sz w:val="20"/>
                <w:szCs w:val="20"/>
                <w:lang w:val="en-AU"/>
              </w:rPr>
              <w:t>Encorafenib + cetuximab OS curve using log-normal distribution (second-best fit according to AIC result)</w:t>
            </w:r>
          </w:p>
        </w:tc>
        <w:tc>
          <w:tcPr>
            <w:tcW w:w="561" w:type="pct"/>
            <w:vAlign w:val="center"/>
          </w:tcPr>
          <w:p w:rsidR="00AE46DA" w:rsidRPr="001825C9" w:rsidRDefault="00AE46DA" w:rsidP="00B21F37">
            <w:pPr>
              <w:pStyle w:val="Default"/>
              <w:ind w:left="109" w:hanging="7"/>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ind w:left="109" w:hanging="7"/>
              <w:jc w:val="center"/>
              <w:rPr>
                <w:rFonts w:ascii="Arial Narrow" w:hAnsi="Arial Narrow"/>
                <w:sz w:val="20"/>
                <w:szCs w:val="20"/>
                <w:lang w:val="en-AU"/>
              </w:rPr>
            </w:pPr>
            <w:r w:rsidRPr="001825C9">
              <w:rPr>
                <w:rFonts w:ascii="Arial Narrow" w:hAnsi="Arial Narrow"/>
                <w:sz w:val="20"/>
                <w:szCs w:val="20"/>
                <w:lang w:val="en-AU"/>
              </w:rPr>
              <w:t>0.3578</w:t>
            </w:r>
          </w:p>
        </w:tc>
        <w:tc>
          <w:tcPr>
            <w:tcW w:w="562" w:type="pct"/>
            <w:vAlign w:val="center"/>
          </w:tcPr>
          <w:p w:rsidR="00AE46DA" w:rsidRPr="001825C9" w:rsidRDefault="00AE46DA" w:rsidP="00B21F37">
            <w:pPr>
              <w:pStyle w:val="Default"/>
              <w:ind w:left="109" w:hanging="7"/>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2</w:t>
            </w:r>
          </w:p>
        </w:tc>
        <w:tc>
          <w:tcPr>
            <w:tcW w:w="562" w:type="pct"/>
            <w:vAlign w:val="center"/>
          </w:tcPr>
          <w:p w:rsidR="00AE46DA" w:rsidRPr="001825C9" w:rsidRDefault="00AE46DA" w:rsidP="00B21F37">
            <w:pPr>
              <w:pStyle w:val="Default"/>
              <w:ind w:left="109" w:hanging="7"/>
              <w:jc w:val="center"/>
              <w:rPr>
                <w:rFonts w:ascii="Arial Narrow" w:hAnsi="Arial Narrow"/>
                <w:sz w:val="20"/>
                <w:szCs w:val="20"/>
                <w:lang w:val="en-AU"/>
              </w:rPr>
            </w:pPr>
            <w:r w:rsidRPr="001825C9">
              <w:rPr>
                <w:rFonts w:ascii="Arial Narrow" w:hAnsi="Arial Narrow"/>
                <w:sz w:val="20"/>
                <w:szCs w:val="20"/>
                <w:lang w:val="en-AU"/>
              </w:rPr>
              <w:t>-4.9%</w:t>
            </w:r>
          </w:p>
        </w:tc>
      </w:tr>
      <w:tr w:rsidR="00AE46DA" w:rsidRPr="001825C9" w:rsidTr="00B21F37">
        <w:tc>
          <w:tcPr>
            <w:tcW w:w="2753" w:type="pct"/>
          </w:tcPr>
          <w:p w:rsidR="00AE46DA" w:rsidRPr="001825C9" w:rsidRDefault="00AE46DA" w:rsidP="00C82C76">
            <w:pPr>
              <w:pStyle w:val="Default"/>
              <w:ind w:left="37"/>
              <w:rPr>
                <w:rFonts w:ascii="Arial Narrow" w:hAnsi="Arial Narrow"/>
                <w:sz w:val="20"/>
                <w:lang w:val="en-AU"/>
              </w:rPr>
            </w:pPr>
            <w:r w:rsidRPr="001825C9">
              <w:rPr>
                <w:rFonts w:ascii="Arial Narrow" w:hAnsi="Arial Narrow"/>
                <w:sz w:val="20"/>
                <w:szCs w:val="20"/>
                <w:lang w:val="en-AU"/>
              </w:rPr>
              <w:t>Full compliance assumed (</w:t>
            </w:r>
            <w:r w:rsidR="00C82C76" w:rsidRPr="001825C9">
              <w:rPr>
                <w:rFonts w:ascii="Arial Narrow" w:hAnsi="Arial Narrow"/>
                <w:sz w:val="20"/>
                <w:szCs w:val="20"/>
                <w:lang w:val="en-AU"/>
              </w:rPr>
              <w:t>RDI</w:t>
            </w:r>
            <w:r w:rsidRPr="001825C9">
              <w:rPr>
                <w:rFonts w:ascii="Arial Narrow" w:hAnsi="Arial Narrow"/>
                <w:sz w:val="20"/>
                <w:szCs w:val="20"/>
                <w:lang w:val="en-AU"/>
              </w:rPr>
              <w:t xml:space="preserve"> and ratio of molecule exposure duration/treatment duration applied in the base case) </w:t>
            </w:r>
            <w:r w:rsidRPr="001825C9">
              <w:rPr>
                <w:rFonts w:ascii="Arial Narrow" w:hAnsi="Arial Narrow"/>
                <w:sz w:val="20"/>
                <w:szCs w:val="20"/>
                <w:vertAlign w:val="superscript"/>
                <w:lang w:val="en-AU"/>
              </w:rPr>
              <w:t>a</w:t>
            </w:r>
          </w:p>
        </w:tc>
        <w:tc>
          <w:tcPr>
            <w:tcW w:w="561" w:type="pct"/>
            <w:vAlign w:val="center"/>
          </w:tcPr>
          <w:p w:rsidR="00AE46DA" w:rsidRPr="001825C9" w:rsidRDefault="00AE46DA" w:rsidP="00B21F37">
            <w:pPr>
              <w:pStyle w:val="Default"/>
              <w:jc w:val="center"/>
              <w:rPr>
                <w:rFonts w:ascii="Arial Narrow" w:hAnsi="Arial Narrow"/>
                <w:sz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0.3350</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13.3%</w:t>
            </w:r>
          </w:p>
        </w:tc>
      </w:tr>
      <w:tr w:rsidR="00AE46DA" w:rsidRPr="001825C9" w:rsidTr="00B21F37">
        <w:tc>
          <w:tcPr>
            <w:tcW w:w="2753" w:type="pct"/>
          </w:tcPr>
          <w:p w:rsidR="00AE46DA" w:rsidRPr="001825C9" w:rsidRDefault="00AE46DA" w:rsidP="00B21F37">
            <w:pPr>
              <w:pStyle w:val="Default"/>
              <w:ind w:left="37"/>
              <w:rPr>
                <w:rFonts w:ascii="Arial Narrow" w:hAnsi="Arial Narrow"/>
                <w:sz w:val="20"/>
                <w:szCs w:val="20"/>
                <w:lang w:val="en-AU"/>
              </w:rPr>
            </w:pPr>
            <w:r w:rsidRPr="001825C9">
              <w:rPr>
                <w:rFonts w:ascii="Arial Narrow" w:hAnsi="Arial Narrow"/>
                <w:sz w:val="20"/>
                <w:szCs w:val="20"/>
                <w:lang w:val="en-AU"/>
              </w:rPr>
              <w:t>Survival data drawn from August 2019 data cut</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0.2809</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17.0%</w:t>
            </w:r>
          </w:p>
        </w:tc>
      </w:tr>
      <w:tr w:rsidR="00AE46DA" w:rsidRPr="001825C9" w:rsidTr="00B21F37">
        <w:tc>
          <w:tcPr>
            <w:tcW w:w="2753" w:type="pct"/>
          </w:tcPr>
          <w:p w:rsidR="00AE46DA" w:rsidRPr="001825C9" w:rsidRDefault="00AE46DA" w:rsidP="00B21F37">
            <w:pPr>
              <w:pStyle w:val="Default"/>
              <w:ind w:left="37"/>
              <w:rPr>
                <w:rFonts w:ascii="Arial Narrow" w:hAnsi="Arial Narrow"/>
                <w:sz w:val="20"/>
                <w:szCs w:val="20"/>
                <w:lang w:val="en-AU"/>
              </w:rPr>
            </w:pPr>
            <w:r w:rsidRPr="001825C9">
              <w:rPr>
                <w:rFonts w:ascii="Arial Narrow" w:hAnsi="Arial Narrow"/>
                <w:sz w:val="20"/>
                <w:szCs w:val="20"/>
                <w:lang w:val="en-AU"/>
              </w:rPr>
              <w:t xml:space="preserve">All medical resource utilisation for routine management, management at progression and best supportive care increased by 25% </w:t>
            </w:r>
            <w:r w:rsidRPr="001825C9">
              <w:rPr>
                <w:rFonts w:ascii="Arial Narrow" w:hAnsi="Arial Narrow"/>
                <w:sz w:val="20"/>
                <w:szCs w:val="20"/>
                <w:vertAlign w:val="superscript"/>
                <w:lang w:val="en-AU"/>
              </w:rPr>
              <w:t>b,c</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0.3350</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13.1%</w:t>
            </w:r>
          </w:p>
        </w:tc>
      </w:tr>
      <w:tr w:rsidR="00AE46DA" w:rsidRPr="001825C9" w:rsidTr="00B21F37">
        <w:tc>
          <w:tcPr>
            <w:tcW w:w="5000" w:type="pct"/>
            <w:gridSpan w:val="5"/>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 xml:space="preserve">Drug costs </w:t>
            </w:r>
          </w:p>
        </w:tc>
      </w:tr>
      <w:tr w:rsidR="00AE46DA" w:rsidRPr="001825C9" w:rsidTr="00B21F37">
        <w:tc>
          <w:tcPr>
            <w:tcW w:w="2753" w:type="pct"/>
          </w:tcPr>
          <w:p w:rsidR="00AE46DA" w:rsidRPr="001825C9" w:rsidRDefault="00AE46DA" w:rsidP="00B21F37">
            <w:pPr>
              <w:pStyle w:val="Default"/>
              <w:ind w:right="-16" w:firstLine="23"/>
              <w:rPr>
                <w:rFonts w:ascii="Arial Narrow" w:hAnsi="Arial Narrow"/>
                <w:bCs/>
                <w:sz w:val="20"/>
                <w:szCs w:val="20"/>
                <w:lang w:val="en-AU"/>
              </w:rPr>
            </w:pPr>
            <w:r w:rsidRPr="001825C9">
              <w:rPr>
                <w:rFonts w:ascii="Arial Narrow" w:hAnsi="Arial Narrow"/>
                <w:sz w:val="20"/>
                <w:szCs w:val="20"/>
                <w:lang w:val="en-AU"/>
              </w:rPr>
              <w:t>Decrease in effective price of encorafenib by 10%</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0.3350</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2</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-5.4%</w:t>
            </w:r>
          </w:p>
        </w:tc>
      </w:tr>
      <w:tr w:rsidR="00AE46DA" w:rsidRPr="001825C9" w:rsidTr="00B21F37">
        <w:tc>
          <w:tcPr>
            <w:tcW w:w="2753" w:type="pct"/>
          </w:tcPr>
          <w:p w:rsidR="00AE46DA" w:rsidRPr="001825C9" w:rsidRDefault="00AE46DA" w:rsidP="00B21F37">
            <w:pPr>
              <w:pStyle w:val="Default"/>
              <w:ind w:right="-16" w:firstLine="23"/>
              <w:rPr>
                <w:rFonts w:ascii="Arial Narrow" w:hAnsi="Arial Narrow"/>
                <w:bCs/>
                <w:sz w:val="20"/>
                <w:szCs w:val="20"/>
                <w:lang w:val="en-AU"/>
              </w:rPr>
            </w:pPr>
            <w:r w:rsidRPr="001825C9">
              <w:rPr>
                <w:rFonts w:ascii="Arial Narrow" w:hAnsi="Arial Narrow"/>
                <w:sz w:val="20"/>
                <w:szCs w:val="20"/>
                <w:lang w:val="en-AU"/>
              </w:rPr>
              <w:t>No generic drug entry discount applied to cetuximab</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0.3350</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4.4%</w:t>
            </w:r>
          </w:p>
        </w:tc>
      </w:tr>
      <w:tr w:rsidR="00AE46DA" w:rsidRPr="001825C9" w:rsidTr="00B21F37">
        <w:tc>
          <w:tcPr>
            <w:tcW w:w="2753" w:type="pct"/>
          </w:tcPr>
          <w:p w:rsidR="00AE46DA" w:rsidRPr="001825C9" w:rsidRDefault="00AE46DA" w:rsidP="00B21F37">
            <w:pPr>
              <w:pStyle w:val="Default"/>
              <w:ind w:right="-16" w:firstLine="23"/>
              <w:rPr>
                <w:rFonts w:ascii="Arial Narrow" w:hAnsi="Arial Narrow"/>
                <w:sz w:val="20"/>
                <w:szCs w:val="20"/>
                <w:lang w:val="en-AU"/>
              </w:rPr>
            </w:pPr>
            <w:r w:rsidRPr="001825C9">
              <w:rPr>
                <w:rFonts w:ascii="Arial Narrow" w:hAnsi="Arial Narrow"/>
                <w:b/>
                <w:bCs/>
                <w:sz w:val="20"/>
                <w:szCs w:val="20"/>
                <w:lang w:val="en-AU"/>
              </w:rPr>
              <w:t>Revised base case (with primary treatment cost based on PFS)</w:t>
            </w:r>
          </w:p>
        </w:tc>
        <w:tc>
          <w:tcPr>
            <w:tcW w:w="561" w:type="pct"/>
            <w:vAlign w:val="center"/>
          </w:tcPr>
          <w:p w:rsidR="00AE46DA" w:rsidRPr="001825C9" w:rsidRDefault="00AE46DA" w:rsidP="00B21F37">
            <w:pPr>
              <w:pStyle w:val="Default"/>
              <w:jc w:val="center"/>
              <w:rPr>
                <w:rFonts w:ascii="Arial Narrow" w:hAnsi="Arial Narrow"/>
                <w:b/>
                <w:sz w:val="20"/>
                <w:szCs w:val="20"/>
                <w:lang w:val="en-AU"/>
              </w:rPr>
            </w:pPr>
            <w:r w:rsidRPr="001825C9">
              <w:rPr>
                <w:rFonts w:ascii="Arial Narrow" w:hAnsi="Arial Narrow"/>
                <w:b/>
                <w:sz w:val="20"/>
                <w:szCs w:val="20"/>
                <w:lang w:val="en-AU"/>
              </w:rPr>
              <w:t>$</w:t>
            </w:r>
            <w:r w:rsidR="00B72C43">
              <w:rPr>
                <w:rFonts w:ascii="Arial Narrow" w:hAnsi="Arial Narrow"/>
                <w:b/>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b/>
                <w:sz w:val="20"/>
                <w:szCs w:val="20"/>
                <w:lang w:val="en-AU"/>
              </w:rPr>
            </w:pPr>
            <w:r w:rsidRPr="001825C9">
              <w:rPr>
                <w:rFonts w:ascii="Arial Narrow" w:hAnsi="Arial Narrow"/>
                <w:b/>
                <w:sz w:val="20"/>
                <w:szCs w:val="20"/>
                <w:lang w:val="en-AU"/>
              </w:rPr>
              <w:t>0.3350</w:t>
            </w:r>
          </w:p>
        </w:tc>
        <w:tc>
          <w:tcPr>
            <w:tcW w:w="562" w:type="pct"/>
            <w:vAlign w:val="center"/>
          </w:tcPr>
          <w:p w:rsidR="00AE46DA" w:rsidRPr="001825C9" w:rsidRDefault="00AE46DA" w:rsidP="00B21F37">
            <w:pPr>
              <w:pStyle w:val="Default"/>
              <w:jc w:val="center"/>
              <w:rPr>
                <w:rFonts w:ascii="Arial Narrow" w:hAnsi="Arial Narrow"/>
                <w:b/>
                <w:sz w:val="20"/>
                <w:szCs w:val="20"/>
                <w:lang w:val="en-AU"/>
              </w:rPr>
            </w:pPr>
            <w:r w:rsidRPr="001825C9">
              <w:rPr>
                <w:rFonts w:ascii="Arial Narrow" w:hAnsi="Arial Narrow"/>
                <w:b/>
                <w:sz w:val="20"/>
                <w:szCs w:val="20"/>
                <w:lang w:val="en-AU"/>
              </w:rPr>
              <w:t>$</w:t>
            </w:r>
            <w:r w:rsidR="00B72C43">
              <w:rPr>
                <w:rFonts w:ascii="Arial Narrow" w:hAnsi="Arial Narrow"/>
                <w:b/>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p>
        </w:tc>
      </w:tr>
      <w:tr w:rsidR="00AE46DA" w:rsidRPr="001825C9" w:rsidTr="00B21F37">
        <w:tc>
          <w:tcPr>
            <w:tcW w:w="5000" w:type="pct"/>
            <w:gridSpan w:val="5"/>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Time horizon (base case 7-years)</w:t>
            </w:r>
          </w:p>
        </w:tc>
      </w:tr>
      <w:tr w:rsidR="00AE46DA" w:rsidRPr="001825C9" w:rsidTr="00B21F37">
        <w:tc>
          <w:tcPr>
            <w:tcW w:w="2753" w:type="pct"/>
          </w:tcPr>
          <w:p w:rsidR="00AE46DA" w:rsidRPr="001825C9" w:rsidRDefault="00AE46DA" w:rsidP="00B21F37">
            <w:pPr>
              <w:pStyle w:val="Default"/>
              <w:ind w:firstLine="295"/>
              <w:rPr>
                <w:rFonts w:ascii="Arial Narrow" w:hAnsi="Arial Narrow"/>
                <w:sz w:val="20"/>
                <w:szCs w:val="20"/>
                <w:lang w:val="en-AU"/>
              </w:rPr>
            </w:pPr>
            <w:r w:rsidRPr="001825C9">
              <w:rPr>
                <w:rFonts w:ascii="Arial Narrow" w:hAnsi="Arial Narrow"/>
                <w:sz w:val="20"/>
                <w:szCs w:val="20"/>
                <w:lang w:val="en-AU"/>
              </w:rPr>
              <w:t>34 months (as per n KM post-hoc survival analysis)</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0.253</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13.9%</w:t>
            </w:r>
          </w:p>
        </w:tc>
      </w:tr>
      <w:tr w:rsidR="00AE46DA" w:rsidRPr="001825C9" w:rsidTr="00B21F37">
        <w:tc>
          <w:tcPr>
            <w:tcW w:w="2753" w:type="pct"/>
          </w:tcPr>
          <w:p w:rsidR="00AE46DA" w:rsidRPr="001825C9" w:rsidRDefault="00AE46DA" w:rsidP="00B21F37">
            <w:pPr>
              <w:pStyle w:val="Default"/>
              <w:ind w:firstLine="295"/>
              <w:rPr>
                <w:rFonts w:ascii="Arial Narrow" w:hAnsi="Arial Narrow"/>
                <w:sz w:val="20"/>
                <w:lang w:val="en-AU"/>
              </w:rPr>
            </w:pPr>
            <w:r w:rsidRPr="001825C9">
              <w:rPr>
                <w:rFonts w:ascii="Arial Narrow" w:hAnsi="Arial Narrow"/>
                <w:sz w:val="20"/>
                <w:lang w:val="en-AU"/>
              </w:rPr>
              <w:t xml:space="preserve">5-years </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0.310</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4.2%</w:t>
            </w:r>
          </w:p>
        </w:tc>
      </w:tr>
      <w:tr w:rsidR="00AE46DA" w:rsidRPr="001825C9" w:rsidTr="00B21F37">
        <w:tc>
          <w:tcPr>
            <w:tcW w:w="5000" w:type="pct"/>
            <w:gridSpan w:val="5"/>
          </w:tcPr>
          <w:p w:rsidR="00AE46DA" w:rsidRPr="001825C9" w:rsidRDefault="00AE46DA" w:rsidP="00B21F37">
            <w:pPr>
              <w:pStyle w:val="Default"/>
              <w:rPr>
                <w:rFonts w:ascii="Arial Narrow" w:hAnsi="Arial Narrow"/>
                <w:sz w:val="20"/>
                <w:lang w:val="en-AU"/>
              </w:rPr>
            </w:pPr>
            <w:r w:rsidRPr="001825C9">
              <w:rPr>
                <w:rFonts w:ascii="Arial Narrow" w:hAnsi="Arial Narrow"/>
                <w:sz w:val="20"/>
                <w:lang w:val="en-AU"/>
              </w:rPr>
              <w:t xml:space="preserve">Proportion of patients who received FOLFIRI + cetuximab (base case 58.0%) </w:t>
            </w:r>
          </w:p>
        </w:tc>
      </w:tr>
      <w:tr w:rsidR="00AE46DA" w:rsidRPr="001825C9" w:rsidTr="00B21F37">
        <w:tc>
          <w:tcPr>
            <w:tcW w:w="2753" w:type="pct"/>
          </w:tcPr>
          <w:p w:rsidR="00AE46DA" w:rsidRPr="001825C9" w:rsidRDefault="00AE46DA" w:rsidP="00B21F37">
            <w:pPr>
              <w:pStyle w:val="Default"/>
              <w:ind w:firstLine="295"/>
              <w:rPr>
                <w:rFonts w:ascii="Arial Narrow" w:hAnsi="Arial Narrow"/>
                <w:sz w:val="20"/>
                <w:lang w:val="en-AU"/>
              </w:rPr>
            </w:pPr>
            <w:r w:rsidRPr="001825C9">
              <w:rPr>
                <w:rFonts w:ascii="Arial Narrow" w:hAnsi="Arial Narrow"/>
                <w:sz w:val="20"/>
                <w:lang w:val="en-AU"/>
              </w:rPr>
              <w:t>55.4% as per BEACON CSR</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0.335</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0.1%</w:t>
            </w:r>
          </w:p>
        </w:tc>
      </w:tr>
      <w:tr w:rsidR="00AE46DA" w:rsidRPr="001825C9" w:rsidTr="00B21F37">
        <w:tc>
          <w:tcPr>
            <w:tcW w:w="5000" w:type="pct"/>
            <w:gridSpan w:val="5"/>
          </w:tcPr>
          <w:p w:rsidR="00AE46DA" w:rsidRPr="001825C9" w:rsidRDefault="00AE46DA" w:rsidP="00B21F37">
            <w:pPr>
              <w:pStyle w:val="Default"/>
              <w:rPr>
                <w:rFonts w:ascii="Arial Narrow" w:hAnsi="Arial Narrow"/>
                <w:sz w:val="20"/>
                <w:lang w:val="en-AU"/>
              </w:rPr>
            </w:pPr>
            <w:r w:rsidRPr="001825C9">
              <w:rPr>
                <w:rFonts w:ascii="Arial Narrow" w:hAnsi="Arial Narrow"/>
                <w:sz w:val="20"/>
                <w:lang w:val="en-AU"/>
              </w:rPr>
              <w:t>Treatment compliance (RDI and ratio of molecule exposure duration/treatment duration applied in the base case)</w:t>
            </w:r>
          </w:p>
        </w:tc>
      </w:tr>
      <w:tr w:rsidR="00AE46DA" w:rsidRPr="001825C9" w:rsidTr="00B21F37">
        <w:tc>
          <w:tcPr>
            <w:tcW w:w="2753" w:type="pct"/>
          </w:tcPr>
          <w:p w:rsidR="00AE46DA" w:rsidRPr="001825C9" w:rsidRDefault="00AE46DA" w:rsidP="00B21F37">
            <w:pPr>
              <w:pStyle w:val="Default"/>
              <w:ind w:left="281" w:hanging="14"/>
              <w:rPr>
                <w:rFonts w:ascii="Arial Narrow" w:hAnsi="Arial Narrow"/>
                <w:sz w:val="20"/>
                <w:lang w:val="en-AU"/>
              </w:rPr>
            </w:pPr>
            <w:r w:rsidRPr="001825C9">
              <w:rPr>
                <w:rFonts w:ascii="Arial Narrow" w:hAnsi="Arial Narrow"/>
                <w:sz w:val="20"/>
                <w:lang w:val="en-AU"/>
              </w:rPr>
              <w:t>Negate effects ratio of molecule exposure duration/treatment duration by making this ratio equal one</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0.335</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0.5%</w:t>
            </w:r>
          </w:p>
        </w:tc>
      </w:tr>
      <w:tr w:rsidR="00AE46DA" w:rsidRPr="001825C9" w:rsidTr="00B21F37">
        <w:tc>
          <w:tcPr>
            <w:tcW w:w="5000" w:type="pct"/>
            <w:gridSpan w:val="5"/>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Ward nursing cost for encorafenib dispensation (base case $51.06)</w:t>
            </w:r>
          </w:p>
        </w:tc>
      </w:tr>
      <w:tr w:rsidR="00AE46DA" w:rsidRPr="001825C9" w:rsidTr="00B21F37">
        <w:tc>
          <w:tcPr>
            <w:tcW w:w="2753" w:type="pct"/>
          </w:tcPr>
          <w:p w:rsidR="00AE46DA" w:rsidRPr="001825C9" w:rsidRDefault="00AE46DA" w:rsidP="00B21F37">
            <w:pPr>
              <w:pStyle w:val="Default"/>
              <w:ind w:left="281" w:hanging="6"/>
              <w:rPr>
                <w:rFonts w:ascii="Arial Narrow" w:hAnsi="Arial Narrow"/>
                <w:sz w:val="20"/>
                <w:szCs w:val="20"/>
                <w:lang w:val="en-AU"/>
              </w:rPr>
            </w:pPr>
            <w:r w:rsidRPr="001825C9">
              <w:rPr>
                <w:rFonts w:ascii="Arial Narrow" w:hAnsi="Arial Narrow"/>
                <w:sz w:val="20"/>
                <w:szCs w:val="20"/>
                <w:lang w:val="en-AU"/>
              </w:rPr>
              <w:t>Assuming no ward nursing cost associate with encorafenib dispensing</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0.335</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0.0%</w:t>
            </w:r>
          </w:p>
        </w:tc>
      </w:tr>
      <w:tr w:rsidR="00AE46DA" w:rsidRPr="001825C9" w:rsidTr="00B21F37">
        <w:tc>
          <w:tcPr>
            <w:tcW w:w="5000" w:type="pct"/>
            <w:gridSpan w:val="5"/>
          </w:tcPr>
          <w:p w:rsidR="00AE46DA" w:rsidRPr="001825C9" w:rsidRDefault="00AE46DA" w:rsidP="00B21F37">
            <w:pPr>
              <w:pStyle w:val="Default"/>
              <w:rPr>
                <w:rFonts w:ascii="Arial Narrow" w:hAnsi="Arial Narrow"/>
                <w:sz w:val="20"/>
                <w:szCs w:val="20"/>
                <w:lang w:val="en-AU"/>
              </w:rPr>
            </w:pPr>
            <w:r w:rsidRPr="001825C9">
              <w:rPr>
                <w:rFonts w:ascii="Arial Narrow" w:hAnsi="Arial Narrow"/>
                <w:sz w:val="20"/>
                <w:szCs w:val="20"/>
                <w:lang w:val="en-AU"/>
              </w:rPr>
              <w:t>PFS, OS and TTD extrapolation time point (base case extrapolated from median outcome)</w:t>
            </w:r>
          </w:p>
        </w:tc>
      </w:tr>
      <w:tr w:rsidR="00AE46DA" w:rsidRPr="001825C9" w:rsidTr="00B21F37">
        <w:tc>
          <w:tcPr>
            <w:tcW w:w="2753" w:type="pct"/>
          </w:tcPr>
          <w:p w:rsidR="00AE46DA" w:rsidRPr="001825C9" w:rsidRDefault="00AE46DA" w:rsidP="00B21F37">
            <w:pPr>
              <w:pStyle w:val="Default"/>
              <w:ind w:left="281" w:hanging="6"/>
              <w:rPr>
                <w:rFonts w:ascii="Arial Narrow" w:hAnsi="Arial Narrow"/>
                <w:sz w:val="20"/>
                <w:szCs w:val="20"/>
                <w:vertAlign w:val="superscript"/>
                <w:lang w:val="en-AU"/>
              </w:rPr>
            </w:pPr>
            <w:r w:rsidRPr="001825C9">
              <w:rPr>
                <w:rFonts w:ascii="Arial Narrow" w:hAnsi="Arial Narrow"/>
                <w:sz w:val="20"/>
                <w:szCs w:val="20"/>
                <w:lang w:val="en-AU"/>
              </w:rPr>
              <w:t xml:space="preserve">PFS, OS and TTD extrapolated at the point of median follow-up </w:t>
            </w:r>
            <w:r w:rsidRPr="001825C9">
              <w:rPr>
                <w:rFonts w:ascii="Arial Narrow" w:hAnsi="Arial Narrow"/>
                <w:sz w:val="20"/>
                <w:szCs w:val="20"/>
                <w:vertAlign w:val="superscript"/>
                <w:lang w:val="en-AU"/>
              </w:rPr>
              <w:t>d</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0.332</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2</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-2.1%</w:t>
            </w:r>
          </w:p>
        </w:tc>
      </w:tr>
      <w:tr w:rsidR="00AE46DA" w:rsidRPr="001825C9" w:rsidTr="00B21F37">
        <w:tc>
          <w:tcPr>
            <w:tcW w:w="2753" w:type="pct"/>
          </w:tcPr>
          <w:p w:rsidR="00AE46DA" w:rsidRPr="001825C9" w:rsidRDefault="00AE46DA" w:rsidP="00B21F37">
            <w:pPr>
              <w:pStyle w:val="Default"/>
              <w:ind w:left="281" w:hanging="281"/>
              <w:rPr>
                <w:rFonts w:ascii="Arial Narrow" w:hAnsi="Arial Narrow"/>
                <w:sz w:val="20"/>
                <w:szCs w:val="20"/>
                <w:lang w:val="en-AU"/>
              </w:rPr>
            </w:pPr>
            <w:r w:rsidRPr="001825C9">
              <w:rPr>
                <w:rFonts w:ascii="Arial Narrow" w:hAnsi="Arial Narrow"/>
                <w:sz w:val="20"/>
                <w:szCs w:val="20"/>
                <w:lang w:val="en-AU"/>
              </w:rPr>
              <w:t xml:space="preserve">5% discordance in test accuracy </w:t>
            </w:r>
            <w:r w:rsidRPr="001825C9">
              <w:rPr>
                <w:rFonts w:ascii="Arial Narrow" w:hAnsi="Arial Narrow"/>
                <w:sz w:val="20"/>
                <w:szCs w:val="20"/>
                <w:vertAlign w:val="superscript"/>
                <w:lang w:val="en-AU"/>
              </w:rPr>
              <w:t>e</w:t>
            </w:r>
          </w:p>
        </w:tc>
        <w:tc>
          <w:tcPr>
            <w:tcW w:w="561"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0.318</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w:t>
            </w:r>
            <w:r w:rsidR="00B72C43">
              <w:rPr>
                <w:rFonts w:ascii="Arial Narrow" w:hAnsi="Arial Narrow"/>
                <w:noProof/>
                <w:sz w:val="20"/>
                <w:szCs w:val="20"/>
                <w:highlight w:val="black"/>
                <w:lang w:val="en-AU"/>
              </w:rPr>
              <w:t>''''''''''''''''</w:t>
            </w:r>
            <w:r w:rsidR="00BA32CD">
              <w:rPr>
                <w:rFonts w:ascii="Arial Narrow" w:hAnsi="Arial Narrow"/>
                <w:sz w:val="18"/>
                <w:szCs w:val="18"/>
                <w:vertAlign w:val="superscript"/>
              </w:rPr>
              <w:t>1</w:t>
            </w:r>
          </w:p>
        </w:tc>
        <w:tc>
          <w:tcPr>
            <w:tcW w:w="562" w:type="pct"/>
            <w:vAlign w:val="center"/>
          </w:tcPr>
          <w:p w:rsidR="00AE46DA" w:rsidRPr="001825C9" w:rsidRDefault="00AE46DA" w:rsidP="00B21F37">
            <w:pPr>
              <w:pStyle w:val="Default"/>
              <w:jc w:val="center"/>
              <w:rPr>
                <w:rFonts w:ascii="Arial Narrow" w:hAnsi="Arial Narrow"/>
                <w:sz w:val="20"/>
                <w:szCs w:val="20"/>
                <w:lang w:val="en-AU"/>
              </w:rPr>
            </w:pPr>
            <w:r w:rsidRPr="001825C9">
              <w:rPr>
                <w:rFonts w:ascii="Arial Narrow" w:hAnsi="Arial Narrow"/>
                <w:sz w:val="20"/>
                <w:szCs w:val="20"/>
                <w:lang w:val="en-AU"/>
              </w:rPr>
              <w:t>5.3%</w:t>
            </w:r>
          </w:p>
        </w:tc>
      </w:tr>
    </w:tbl>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 xml:space="preserve">Note: </w:t>
      </w:r>
      <w:r w:rsidRPr="001825C9">
        <w:rPr>
          <w:rFonts w:ascii="Arial Narrow" w:hAnsi="Arial Narrow"/>
          <w:sz w:val="18"/>
          <w:szCs w:val="18"/>
          <w:vertAlign w:val="superscript"/>
        </w:rPr>
        <w:t xml:space="preserve">a </w:t>
      </w:r>
      <w:r w:rsidRPr="001825C9">
        <w:rPr>
          <w:rFonts w:ascii="Arial Narrow" w:hAnsi="Arial Narrow"/>
          <w:sz w:val="18"/>
          <w:szCs w:val="18"/>
        </w:rPr>
        <w:t>The results calculated during the evaluation were different to the submission. The submission results were: incremental cost = $</w:t>
      </w:r>
      <w:r w:rsidR="00B72C43">
        <w:rPr>
          <w:rFonts w:ascii="Arial Narrow" w:hAnsi="Arial Narrow"/>
          <w:noProof/>
          <w:color w:val="000000"/>
          <w:sz w:val="18"/>
          <w:szCs w:val="18"/>
          <w:highlight w:val="black"/>
        </w:rPr>
        <w:t>''''''''''''''''''</w:t>
      </w:r>
      <w:r w:rsidRPr="001825C9">
        <w:rPr>
          <w:rFonts w:ascii="Arial Narrow" w:hAnsi="Arial Narrow"/>
          <w:sz w:val="18"/>
          <w:szCs w:val="18"/>
        </w:rPr>
        <w:t>, and Incremental cost per QALY = $</w:t>
      </w:r>
      <w:r w:rsidR="00B72C43">
        <w:rPr>
          <w:rFonts w:ascii="Arial Narrow" w:hAnsi="Arial Narrow"/>
          <w:noProof/>
          <w:color w:val="000000"/>
          <w:sz w:val="18"/>
          <w:szCs w:val="18"/>
          <w:highlight w:val="black"/>
        </w:rPr>
        <w:t>'''''''''''''''</w:t>
      </w:r>
      <w:r w:rsidR="00EC71F6" w:rsidRPr="00EC71F6">
        <w:rPr>
          <w:rFonts w:ascii="Arial Narrow" w:hAnsi="Arial Narrow"/>
          <w:sz w:val="18"/>
          <w:szCs w:val="18"/>
          <w:vertAlign w:val="superscript"/>
        </w:rPr>
        <w:t>1</w:t>
      </w:r>
      <w:r w:rsidRPr="001825C9">
        <w:rPr>
          <w:rFonts w:ascii="Arial Narrow" w:hAnsi="Arial Narrow"/>
          <w:sz w:val="18"/>
          <w:szCs w:val="18"/>
        </w:rPr>
        <w:t>, change of 8.5% from base case.</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b </w:t>
      </w:r>
      <w:r w:rsidRPr="001825C9">
        <w:rPr>
          <w:rFonts w:ascii="Arial Narrow" w:hAnsi="Arial Narrow"/>
          <w:sz w:val="18"/>
          <w:szCs w:val="18"/>
        </w:rPr>
        <w:t>this is actually a multivariate sensitivity analysis but is included here for simplicity.</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 xml:space="preserve">c </w:t>
      </w:r>
      <w:r w:rsidRPr="001825C9">
        <w:rPr>
          <w:rFonts w:ascii="Arial Narrow" w:hAnsi="Arial Narrow"/>
          <w:sz w:val="18"/>
          <w:szCs w:val="18"/>
        </w:rPr>
        <w:t>The results calculated during the evaluation were different to the submission. The submission results were: incremental cost = $</w:t>
      </w:r>
      <w:r w:rsidR="00B72C43">
        <w:rPr>
          <w:rFonts w:ascii="Arial Narrow" w:hAnsi="Arial Narrow"/>
          <w:noProof/>
          <w:color w:val="000000"/>
          <w:sz w:val="18"/>
          <w:szCs w:val="18"/>
          <w:highlight w:val="black"/>
        </w:rPr>
        <w:t>'''''''''''''''''</w:t>
      </w:r>
      <w:r w:rsidRPr="001825C9">
        <w:rPr>
          <w:rFonts w:ascii="Arial Narrow" w:hAnsi="Arial Narrow"/>
          <w:sz w:val="18"/>
          <w:szCs w:val="18"/>
        </w:rPr>
        <w:t>, and Incremental cost per QALY = $</w:t>
      </w:r>
      <w:r w:rsidR="00B72C43">
        <w:rPr>
          <w:rFonts w:ascii="Arial Narrow" w:hAnsi="Arial Narrow"/>
          <w:noProof/>
          <w:color w:val="000000"/>
          <w:sz w:val="18"/>
          <w:szCs w:val="18"/>
          <w:highlight w:val="black"/>
        </w:rPr>
        <w:t>''''''''''''''''</w:t>
      </w:r>
      <w:r w:rsidR="00EC71F6" w:rsidRPr="00EC71F6">
        <w:rPr>
          <w:rFonts w:ascii="Arial Narrow" w:hAnsi="Arial Narrow"/>
          <w:sz w:val="18"/>
          <w:szCs w:val="18"/>
          <w:vertAlign w:val="superscript"/>
        </w:rPr>
        <w:t>1</w:t>
      </w:r>
      <w:r w:rsidRPr="001825C9">
        <w:rPr>
          <w:rFonts w:ascii="Arial Narrow" w:hAnsi="Arial Narrow"/>
          <w:sz w:val="18"/>
          <w:szCs w:val="18"/>
        </w:rPr>
        <w:t>, change of 5.6% from base case.</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lastRenderedPageBreak/>
        <w:t xml:space="preserve">d </w:t>
      </w:r>
      <w:r w:rsidRPr="001825C9">
        <w:rPr>
          <w:rFonts w:ascii="Arial Narrow" w:hAnsi="Arial Narrow"/>
          <w:sz w:val="18"/>
          <w:szCs w:val="18"/>
        </w:rPr>
        <w:t>The median duration of follow-up was 14.7 months at BEACON data cut-off 15 Aug 2019, duration of median follow-up defined as the duration between randomisation and cut-off date in total population (N = 665). Cut-offs for KM estimates at median follow-up were limited to the time points depicted in the model. Values closest to the median follow-up of 14.7 months were chosen to conduct the sensitivity analysis. Details of the input are presented in Table ATT.17 in Attachment 3 of the Commentary.</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vertAlign w:val="superscript"/>
        </w:rPr>
        <w:t>e</w:t>
      </w:r>
      <w:r w:rsidRPr="001825C9">
        <w:rPr>
          <w:rFonts w:ascii="Arial Narrow" w:hAnsi="Arial Narrow"/>
          <w:sz w:val="18"/>
          <w:szCs w:val="18"/>
        </w:rPr>
        <w:t xml:space="preserve"> The sensitivity analysis assumed a discordance of 5% between the test results obtained in practice and the primary clinical evidence; and further assumed that the 5% discordance would result in patients receiving FOLFIRI/Ir + cetuximab.</w:t>
      </w:r>
    </w:p>
    <w:p w:rsidR="00AE46DA" w:rsidRPr="001825C9" w:rsidRDefault="00AE46DA" w:rsidP="00AE46DA">
      <w:pPr>
        <w:spacing w:before="0" w:after="0"/>
        <w:rPr>
          <w:rFonts w:ascii="Arial Narrow" w:hAnsi="Arial Narrow"/>
          <w:sz w:val="18"/>
          <w:szCs w:val="18"/>
        </w:rPr>
      </w:pPr>
      <w:r w:rsidRPr="001825C9">
        <w:rPr>
          <w:rFonts w:ascii="Arial Narrow" w:hAnsi="Arial Narrow"/>
          <w:sz w:val="18"/>
          <w:szCs w:val="18"/>
        </w:rPr>
        <w:t>Abbreviations: CSR = Clinical Study Report; ICER = incremental cost effectiveness ratio; KM = Kaplan Meier; RDI = relative dose intensity; PFS = progression-free survival; OS = overall survival; QALY = quality-adjusted life year; TTD = time to treatment discontinuation</w:t>
      </w:r>
    </w:p>
    <w:p w:rsidR="00AE46DA" w:rsidRPr="00BA32CD" w:rsidRDefault="00AE46DA" w:rsidP="00AE46DA">
      <w:pPr>
        <w:spacing w:before="0" w:after="0"/>
        <w:rPr>
          <w:rFonts w:ascii="Arial Narrow" w:hAnsi="Arial Narrow"/>
          <w:i/>
          <w:sz w:val="18"/>
          <w:szCs w:val="18"/>
        </w:rPr>
      </w:pPr>
      <w:r w:rsidRPr="00BA32CD">
        <w:rPr>
          <w:rFonts w:ascii="Arial Narrow" w:hAnsi="Arial Narrow"/>
          <w:i/>
          <w:sz w:val="18"/>
          <w:szCs w:val="18"/>
        </w:rPr>
        <w:t>Source: Developed during the evaluation</w:t>
      </w:r>
    </w:p>
    <w:p w:rsidR="00BA32CD" w:rsidRPr="00BA32CD" w:rsidRDefault="00BA32CD" w:rsidP="00AE46DA">
      <w:pPr>
        <w:spacing w:before="0" w:after="0"/>
        <w:rPr>
          <w:rFonts w:ascii="Arial Narrow" w:hAnsi="Arial Narrow"/>
          <w:i/>
          <w:sz w:val="18"/>
          <w:szCs w:val="18"/>
        </w:rPr>
      </w:pPr>
      <w:r w:rsidRPr="00BA32CD">
        <w:rPr>
          <w:rFonts w:ascii="Arial Narrow" w:hAnsi="Arial Narrow"/>
          <w:i/>
          <w:sz w:val="18"/>
          <w:szCs w:val="18"/>
        </w:rPr>
        <w:t>The redacted values correspond to the following ranges:</w:t>
      </w:r>
    </w:p>
    <w:p w:rsidR="00BA32CD" w:rsidRPr="00BA32CD" w:rsidRDefault="00BA32CD" w:rsidP="00AE46DA">
      <w:pPr>
        <w:spacing w:before="0" w:after="0"/>
        <w:rPr>
          <w:rFonts w:ascii="Arial Narrow" w:hAnsi="Arial Narrow"/>
          <w:i/>
          <w:sz w:val="18"/>
          <w:szCs w:val="18"/>
        </w:rPr>
      </w:pPr>
      <w:r w:rsidRPr="00BA32CD">
        <w:rPr>
          <w:rFonts w:ascii="Arial Narrow" w:hAnsi="Arial Narrow"/>
          <w:i/>
          <w:sz w:val="18"/>
          <w:szCs w:val="18"/>
          <w:vertAlign w:val="superscript"/>
        </w:rPr>
        <w:t>1</w:t>
      </w:r>
      <w:r w:rsidRPr="00BA32CD">
        <w:rPr>
          <w:rFonts w:ascii="Arial Narrow" w:hAnsi="Arial Narrow"/>
          <w:i/>
          <w:sz w:val="18"/>
          <w:szCs w:val="18"/>
        </w:rPr>
        <w:t>$75,000 to &lt;$95,000/QALY gained</w:t>
      </w:r>
    </w:p>
    <w:p w:rsidR="00BA32CD" w:rsidRPr="00BA32CD" w:rsidRDefault="00BA32CD" w:rsidP="00AE46DA">
      <w:pPr>
        <w:spacing w:before="0" w:after="0"/>
        <w:rPr>
          <w:rFonts w:ascii="Arial Narrow" w:hAnsi="Arial Narrow"/>
          <w:i/>
          <w:sz w:val="18"/>
          <w:szCs w:val="18"/>
        </w:rPr>
      </w:pPr>
      <w:r w:rsidRPr="00BA32CD">
        <w:rPr>
          <w:rFonts w:ascii="Arial Narrow" w:hAnsi="Arial Narrow"/>
          <w:i/>
          <w:sz w:val="18"/>
          <w:szCs w:val="18"/>
          <w:vertAlign w:val="superscript"/>
        </w:rPr>
        <w:t>2</w:t>
      </w:r>
      <w:r w:rsidRPr="00BA32CD">
        <w:rPr>
          <w:rFonts w:ascii="Arial Narrow" w:hAnsi="Arial Narrow"/>
          <w:i/>
          <w:sz w:val="18"/>
          <w:szCs w:val="18"/>
        </w:rPr>
        <w:t>$55,000 to &lt;$75,000/QALY gained</w:t>
      </w:r>
    </w:p>
    <w:p w:rsidR="00AE46DA" w:rsidRPr="001825C9" w:rsidRDefault="00AE46DA" w:rsidP="00AE46DA">
      <w:pPr>
        <w:pStyle w:val="ListParagraph"/>
        <w:rPr>
          <w:color w:val="auto"/>
        </w:rPr>
      </w:pPr>
      <w:r w:rsidRPr="001825C9">
        <w:rPr>
          <w:color w:val="auto"/>
        </w:rPr>
        <w:t>The submission presented a scenario analysis which investigated the structural uncertainty relating to the comparator applied in the economic model, where the FOLFIRI/Ir + cetuximab was replaced with FOLFIRI + bevacizumab. In forming this analysis, the submission used an indirect treatment comparison (naïve comparison) between BEACON and the FIRE-3 trial (FOLFIRI + cetuximab vs FOLFIRI + bevacizumab). The analysis resulted in an incremental cost per QALY of $</w:t>
      </w:r>
      <w:r w:rsidR="00EC71F6">
        <w:rPr>
          <w:color w:val="auto"/>
        </w:rPr>
        <w:t>55,000 to &lt;$</w:t>
      </w:r>
      <w:r w:rsidR="004709BD">
        <w:rPr>
          <w:color w:val="auto"/>
        </w:rPr>
        <w:t>7</w:t>
      </w:r>
      <w:r w:rsidR="00EC71F6">
        <w:rPr>
          <w:color w:val="auto"/>
        </w:rPr>
        <w:t>5,000</w:t>
      </w:r>
      <w:r w:rsidRPr="001825C9">
        <w:rPr>
          <w:color w:val="auto"/>
        </w:rPr>
        <w:t xml:space="preserve"> (15.1% reduction to the base case ICER; based on the published price of bevacizumab; assuming </w:t>
      </w:r>
      <w:r w:rsidR="0078383A" w:rsidRPr="001825C9">
        <w:rPr>
          <w:color w:val="auto"/>
        </w:rPr>
        <w:t xml:space="preserve">an </w:t>
      </w:r>
      <w:r w:rsidR="0078383A" w:rsidRPr="001825C9">
        <w:t xml:space="preserve">SPA with an </w:t>
      </w:r>
      <w:r w:rsidR="00B72C43">
        <w:rPr>
          <w:noProof/>
          <w:color w:val="000000"/>
          <w:highlight w:val="black"/>
        </w:rPr>
        <w:t>'''''</w:t>
      </w:r>
      <w:r w:rsidR="0078383A" w:rsidRPr="001825C9">
        <w:t>% rebate on the published price</w:t>
      </w:r>
      <w:r w:rsidRPr="001825C9">
        <w:rPr>
          <w:color w:val="auto"/>
        </w:rPr>
        <w:t>).</w:t>
      </w:r>
      <w:r w:rsidRPr="001825C9">
        <w:rPr>
          <w:i/>
          <w:color w:val="auto"/>
        </w:rPr>
        <w:t xml:space="preserve"> </w:t>
      </w:r>
      <w:r w:rsidRPr="001825C9">
        <w:rPr>
          <w:color w:val="auto"/>
        </w:rPr>
        <w:t>However, the FIRE-3 trial population is different to that of BEACON and the requested PBS listing of encorafenib in this submission, as it compared FOLFIRI + cetuximab vs FOLFIRI + bevacizumab as first-line treatment for patients with mCRC. The ESCs considered that the relevance of the scenario was limited given that the utilisation of bevacizumab in the second-line Australian setting is minimal</w:t>
      </w:r>
      <w:r w:rsidRPr="001825C9" w:rsidDel="008722F1">
        <w:rPr>
          <w:color w:val="auto"/>
        </w:rPr>
        <w:t xml:space="preserve"> </w:t>
      </w:r>
      <w:r w:rsidRPr="001825C9">
        <w:rPr>
          <w:color w:val="auto"/>
        </w:rPr>
        <w:t>(see Figure 1</w:t>
      </w:r>
      <w:r w:rsidRPr="001825C9">
        <w:rPr>
          <w:color w:val="auto"/>
          <w:szCs w:val="24"/>
        </w:rPr>
        <w:t xml:space="preserve">4 of the Commentary; </w:t>
      </w:r>
      <w:r w:rsidRPr="001825C9">
        <w:rPr>
          <w:rFonts w:ascii="Calibri" w:hAnsi="Calibri" w:cs="Calibri"/>
          <w:color w:val="auto"/>
          <w:szCs w:val="24"/>
        </w:rPr>
        <w:t>Cetuximab, panitumumab and bevacizumab for mCRC -</w:t>
      </w:r>
      <w:r w:rsidRPr="001825C9">
        <w:rPr>
          <w:color w:val="auto"/>
          <w:szCs w:val="24"/>
        </w:rPr>
        <w:t xml:space="preserve"> </w:t>
      </w:r>
      <w:r w:rsidRPr="001825C9">
        <w:rPr>
          <w:color w:val="auto"/>
        </w:rPr>
        <w:t>Drug Utilisation Sub-Committee Report 2018).</w:t>
      </w:r>
    </w:p>
    <w:p w:rsidR="00AE46DA" w:rsidRPr="001825C9" w:rsidRDefault="00AE46DA" w:rsidP="00321E61">
      <w:pPr>
        <w:pStyle w:val="PBACESHeading2"/>
      </w:pPr>
      <w:bookmarkStart w:id="37" w:name="_Toc413139283"/>
      <w:bookmarkStart w:id="38" w:name="_Toc61968418"/>
      <w:r w:rsidRPr="001825C9">
        <w:lastRenderedPageBreak/>
        <w:t>Drug cost/patient/course: $</w:t>
      </w:r>
      <w:bookmarkEnd w:id="37"/>
      <w:bookmarkEnd w:id="38"/>
      <w:r w:rsidR="00B72C43">
        <w:rPr>
          <w:noProof/>
          <w:color w:val="000000"/>
          <w:highlight w:val="black"/>
        </w:rPr>
        <w:t>''''''''''''</w:t>
      </w:r>
    </w:p>
    <w:p w:rsidR="00AE46DA" w:rsidRPr="001825C9" w:rsidRDefault="00AE46DA" w:rsidP="00AE46DA">
      <w:pPr>
        <w:pStyle w:val="ListParagraph"/>
      </w:pPr>
      <w:r w:rsidRPr="001825C9">
        <w:t>The mean duration on encorafenib + cetuximab t</w:t>
      </w:r>
      <w:r w:rsidR="00BE0C1A" w:rsidRPr="001825C9">
        <w:t>reatment for the model was 6.57 months, which</w:t>
      </w:r>
      <w:r w:rsidRPr="001825C9">
        <w:t xml:space="preserve"> resulted in a drug cost/patient/course of $</w:t>
      </w:r>
      <w:r w:rsidR="00B72C43">
        <w:rPr>
          <w:noProof/>
          <w:color w:val="000000"/>
          <w:highlight w:val="black"/>
        </w:rPr>
        <w:t>''''''''''''''</w:t>
      </w:r>
      <w:r w:rsidRPr="001825C9">
        <w:t xml:space="preserve"> for encorafenib and $</w:t>
      </w:r>
      <w:r w:rsidR="00B72C43">
        <w:rPr>
          <w:noProof/>
          <w:color w:val="000000"/>
          <w:highlight w:val="black"/>
        </w:rPr>
        <w:t>'''''''''''''</w:t>
      </w:r>
      <w:r w:rsidRPr="001825C9">
        <w:t xml:space="preserve"> for the encorafenib + cetuximab combination (based on the </w:t>
      </w:r>
      <w:r w:rsidR="00656C5E">
        <w:t xml:space="preserve">effective price of encorafenib and the </w:t>
      </w:r>
      <w:r w:rsidRPr="001825C9">
        <w:t>published price for cetuximab). The drug cost per patient for the proposed drug combination and its nominated comparator are summarised in Table 16.</w:t>
      </w:r>
      <w:r w:rsidR="00B63E7F" w:rsidRPr="001825C9">
        <w:t xml:space="preserve"> </w:t>
      </w:r>
    </w:p>
    <w:p w:rsidR="00AE46DA" w:rsidRPr="001825C9" w:rsidRDefault="00AE46DA" w:rsidP="00AE46DA">
      <w:pPr>
        <w:pStyle w:val="Caption"/>
      </w:pPr>
      <w:r w:rsidRPr="001825C9">
        <w:t xml:space="preserve">Table 16: Drug cost per patient for encorafenib + cetuximab and FOLFIRI/Ir + cetuximab </w:t>
      </w:r>
    </w:p>
    <w:tbl>
      <w:tblPr>
        <w:tblStyle w:val="PBACTableStyle"/>
        <w:tblW w:w="5000" w:type="pct"/>
        <w:tblLayout w:type="fixed"/>
        <w:tblLook w:val="04A0" w:firstRow="1" w:lastRow="0" w:firstColumn="1" w:lastColumn="0" w:noHBand="0" w:noVBand="1"/>
        <w:tblCaption w:val="Table 16: Drug cost per patient for encorafenib + cetuximab and FOLFIRI/Ir + cetuximab "/>
      </w:tblPr>
      <w:tblGrid>
        <w:gridCol w:w="1039"/>
        <w:gridCol w:w="1329"/>
        <w:gridCol w:w="1330"/>
        <w:gridCol w:w="1329"/>
        <w:gridCol w:w="1330"/>
        <w:gridCol w:w="1329"/>
        <w:gridCol w:w="1330"/>
      </w:tblGrid>
      <w:tr w:rsidR="00AE46DA" w:rsidRPr="001825C9" w:rsidTr="00B21F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5" w:type="dxa"/>
            <w:vMerge w:val="restart"/>
          </w:tcPr>
          <w:p w:rsidR="00AE46DA" w:rsidRPr="001825C9" w:rsidRDefault="00AE46DA" w:rsidP="00B21F37">
            <w:pPr>
              <w:pStyle w:val="TableText"/>
              <w:keepNext/>
              <w:keepLines/>
              <w:widowControl/>
              <w:ind w:left="-27" w:right="-79" w:hanging="41"/>
            </w:pPr>
          </w:p>
        </w:tc>
        <w:tc>
          <w:tcPr>
            <w:tcW w:w="3739" w:type="dxa"/>
            <w:gridSpan w:val="3"/>
          </w:tcPr>
          <w:p w:rsidR="00AE46DA" w:rsidRPr="001825C9" w:rsidRDefault="00AE46DA" w:rsidP="00B21F37">
            <w:pPr>
              <w:pStyle w:val="TableText"/>
              <w:keepNext/>
              <w:keepLines/>
              <w:widowControl/>
              <w:jc w:val="center"/>
              <w:cnfStyle w:val="100000000000" w:firstRow="1" w:lastRow="0" w:firstColumn="0" w:lastColumn="0" w:oddVBand="0" w:evenVBand="0" w:oddHBand="0" w:evenHBand="0" w:firstRowFirstColumn="0" w:firstRowLastColumn="0" w:lastRowFirstColumn="0" w:lastRowLastColumn="0"/>
            </w:pPr>
            <w:r w:rsidRPr="001825C9">
              <w:t>ENCO + CETUX</w:t>
            </w:r>
          </w:p>
        </w:tc>
        <w:tc>
          <w:tcPr>
            <w:tcW w:w="3740" w:type="dxa"/>
            <w:gridSpan w:val="3"/>
          </w:tcPr>
          <w:p w:rsidR="00AE46DA" w:rsidRPr="001825C9" w:rsidRDefault="00AE46DA" w:rsidP="00B21F37">
            <w:pPr>
              <w:pStyle w:val="TableText"/>
              <w:keepNext/>
              <w:keepLines/>
              <w:widowControl/>
              <w:jc w:val="center"/>
              <w:cnfStyle w:val="100000000000" w:firstRow="1" w:lastRow="0" w:firstColumn="0" w:lastColumn="0" w:oddVBand="0" w:evenVBand="0" w:oddHBand="0" w:evenHBand="0" w:firstRowFirstColumn="0" w:firstRowLastColumn="0" w:lastRowFirstColumn="0" w:lastRowLastColumn="0"/>
              <w:rPr>
                <w:vertAlign w:val="superscript"/>
              </w:rPr>
            </w:pPr>
            <w:r w:rsidRPr="001825C9">
              <w:t xml:space="preserve">FOLFIRI/Ir + CETUX </w:t>
            </w:r>
            <w:r w:rsidRPr="001825C9">
              <w:rPr>
                <w:vertAlign w:val="superscript"/>
              </w:rPr>
              <w:t>a</w:t>
            </w:r>
          </w:p>
        </w:tc>
      </w:tr>
      <w:tr w:rsidR="00AE46DA" w:rsidRPr="001825C9" w:rsidTr="00B21F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5" w:type="dxa"/>
            <w:vMerge/>
          </w:tcPr>
          <w:p w:rsidR="00AE46DA" w:rsidRPr="001825C9" w:rsidRDefault="00AE46DA" w:rsidP="00B21F37">
            <w:pPr>
              <w:pStyle w:val="TableText"/>
              <w:keepNext/>
              <w:keepLines/>
              <w:widowControl/>
              <w:ind w:left="-27" w:right="-79" w:hanging="41"/>
            </w:pPr>
          </w:p>
        </w:tc>
        <w:tc>
          <w:tcPr>
            <w:tcW w:w="1246" w:type="dxa"/>
          </w:tcPr>
          <w:p w:rsidR="00AE46DA" w:rsidRPr="001825C9" w:rsidRDefault="00AE46DA" w:rsidP="00B21F37">
            <w:pPr>
              <w:pStyle w:val="TableText"/>
              <w:keepNext/>
              <w:keepLines/>
              <w:widowControl/>
              <w:cnfStyle w:val="100000000000" w:firstRow="1" w:lastRow="0" w:firstColumn="0" w:lastColumn="0" w:oddVBand="0" w:evenVBand="0" w:oddHBand="0" w:evenHBand="0" w:firstRowFirstColumn="0" w:firstRowLastColumn="0" w:lastRowFirstColumn="0" w:lastRowLastColumn="0"/>
              <w:rPr>
                <w:b w:val="0"/>
              </w:rPr>
            </w:pPr>
            <w:r w:rsidRPr="001825C9">
              <w:rPr>
                <w:b w:val="0"/>
              </w:rPr>
              <w:t>Trial dose and duration</w:t>
            </w:r>
          </w:p>
        </w:tc>
        <w:tc>
          <w:tcPr>
            <w:tcW w:w="1247" w:type="dxa"/>
          </w:tcPr>
          <w:p w:rsidR="00AE46DA" w:rsidRPr="001825C9" w:rsidRDefault="00AE46DA" w:rsidP="00B21F37">
            <w:pPr>
              <w:pStyle w:val="TableText"/>
              <w:keepNext/>
              <w:keepLines/>
              <w:widowControl/>
              <w:cnfStyle w:val="100000000000" w:firstRow="1" w:lastRow="0" w:firstColumn="0" w:lastColumn="0" w:oddVBand="0" w:evenVBand="0" w:oddHBand="0" w:evenHBand="0" w:firstRowFirstColumn="0" w:firstRowLastColumn="0" w:lastRowFirstColumn="0" w:lastRowLastColumn="0"/>
              <w:rPr>
                <w:b w:val="0"/>
                <w:vertAlign w:val="superscript"/>
              </w:rPr>
            </w:pPr>
            <w:r w:rsidRPr="001825C9">
              <w:rPr>
                <w:b w:val="0"/>
              </w:rPr>
              <w:t xml:space="preserve">CUA </w:t>
            </w:r>
            <w:r w:rsidRPr="001825C9">
              <w:rPr>
                <w:b w:val="0"/>
                <w:vertAlign w:val="superscript"/>
              </w:rPr>
              <w:t>b</w:t>
            </w:r>
          </w:p>
        </w:tc>
        <w:tc>
          <w:tcPr>
            <w:tcW w:w="1246" w:type="dxa"/>
          </w:tcPr>
          <w:p w:rsidR="00AE46DA" w:rsidRPr="001825C9" w:rsidRDefault="00AE46DA" w:rsidP="00B21F37">
            <w:pPr>
              <w:pStyle w:val="TableText"/>
              <w:keepNext/>
              <w:keepLines/>
              <w:widowControl/>
              <w:cnfStyle w:val="100000000000" w:firstRow="1" w:lastRow="0" w:firstColumn="0" w:lastColumn="0" w:oddVBand="0" w:evenVBand="0" w:oddHBand="0" w:evenHBand="0" w:firstRowFirstColumn="0" w:firstRowLastColumn="0" w:lastRowFirstColumn="0" w:lastRowLastColumn="0"/>
              <w:rPr>
                <w:b w:val="0"/>
              </w:rPr>
            </w:pPr>
            <w:r w:rsidRPr="001825C9">
              <w:rPr>
                <w:b w:val="0"/>
              </w:rPr>
              <w:t>Financial estimates</w:t>
            </w:r>
          </w:p>
        </w:tc>
        <w:tc>
          <w:tcPr>
            <w:tcW w:w="1247" w:type="dxa"/>
          </w:tcPr>
          <w:p w:rsidR="00AE46DA" w:rsidRPr="001825C9" w:rsidRDefault="00AE46DA" w:rsidP="00B21F37">
            <w:pPr>
              <w:pStyle w:val="TableText"/>
              <w:keepNext/>
              <w:keepLines/>
              <w:widowControl/>
              <w:cnfStyle w:val="100000000000" w:firstRow="1" w:lastRow="0" w:firstColumn="0" w:lastColumn="0" w:oddVBand="0" w:evenVBand="0" w:oddHBand="0" w:evenHBand="0" w:firstRowFirstColumn="0" w:firstRowLastColumn="0" w:lastRowFirstColumn="0" w:lastRowLastColumn="0"/>
              <w:rPr>
                <w:b w:val="0"/>
              </w:rPr>
            </w:pPr>
            <w:r w:rsidRPr="001825C9">
              <w:rPr>
                <w:b w:val="0"/>
              </w:rPr>
              <w:t>Trial dose and duration</w:t>
            </w:r>
          </w:p>
        </w:tc>
        <w:tc>
          <w:tcPr>
            <w:tcW w:w="1246" w:type="dxa"/>
          </w:tcPr>
          <w:p w:rsidR="00AE46DA" w:rsidRPr="001825C9" w:rsidRDefault="00AE46DA" w:rsidP="00B21F37">
            <w:pPr>
              <w:pStyle w:val="TableText"/>
              <w:keepNext/>
              <w:keepLines/>
              <w:widowControl/>
              <w:cnfStyle w:val="100000000000" w:firstRow="1" w:lastRow="0" w:firstColumn="0" w:lastColumn="0" w:oddVBand="0" w:evenVBand="0" w:oddHBand="0" w:evenHBand="0" w:firstRowFirstColumn="0" w:firstRowLastColumn="0" w:lastRowFirstColumn="0" w:lastRowLastColumn="0"/>
              <w:rPr>
                <w:b w:val="0"/>
              </w:rPr>
            </w:pPr>
            <w:r w:rsidRPr="001825C9">
              <w:rPr>
                <w:b w:val="0"/>
              </w:rPr>
              <w:t>CUA</w:t>
            </w:r>
          </w:p>
        </w:tc>
        <w:tc>
          <w:tcPr>
            <w:tcW w:w="1247" w:type="dxa"/>
          </w:tcPr>
          <w:p w:rsidR="00AE46DA" w:rsidRPr="001825C9" w:rsidRDefault="00AE46DA" w:rsidP="00B21F37">
            <w:pPr>
              <w:pStyle w:val="TableText"/>
              <w:keepNext/>
              <w:keepLines/>
              <w:widowControl/>
              <w:cnfStyle w:val="100000000000" w:firstRow="1" w:lastRow="0" w:firstColumn="0" w:lastColumn="0" w:oddVBand="0" w:evenVBand="0" w:oddHBand="0" w:evenHBand="0" w:firstRowFirstColumn="0" w:firstRowLastColumn="0" w:lastRowFirstColumn="0" w:lastRowLastColumn="0"/>
              <w:rPr>
                <w:b w:val="0"/>
              </w:rPr>
            </w:pPr>
            <w:r w:rsidRPr="001825C9">
              <w:rPr>
                <w:b w:val="0"/>
              </w:rPr>
              <w:t>Financial estimates</w:t>
            </w:r>
          </w:p>
        </w:tc>
      </w:tr>
      <w:tr w:rsidR="00AE46DA" w:rsidRPr="001825C9" w:rsidTr="00B21F37">
        <w:tc>
          <w:tcPr>
            <w:cnfStyle w:val="001000000000" w:firstRow="0" w:lastRow="0" w:firstColumn="1" w:lastColumn="0" w:oddVBand="0" w:evenVBand="0" w:oddHBand="0" w:evenHBand="0" w:firstRowFirstColumn="0" w:firstRowLastColumn="0" w:lastRowFirstColumn="0" w:lastRowLastColumn="0"/>
            <w:tcW w:w="975" w:type="dxa"/>
          </w:tcPr>
          <w:p w:rsidR="00AE46DA" w:rsidRPr="001825C9" w:rsidRDefault="00AE46DA" w:rsidP="00B21F37">
            <w:pPr>
              <w:pStyle w:val="TableText"/>
              <w:keepNext/>
              <w:keepLines/>
              <w:widowControl/>
              <w:ind w:left="-27" w:right="-79" w:hanging="41"/>
            </w:pPr>
            <w:r w:rsidRPr="001825C9">
              <w:t>Mean dose intensity</w:t>
            </w:r>
          </w:p>
        </w:tc>
        <w:tc>
          <w:tcPr>
            <w:tcW w:w="1246" w:type="dxa"/>
          </w:tcPr>
          <w:p w:rsidR="00AE46DA" w:rsidRPr="001825C9" w:rsidRDefault="00AE46DA" w:rsidP="00B21F37">
            <w:pPr>
              <w:pStyle w:val="TableText"/>
              <w:keepNext/>
              <w:keepLines/>
              <w:widowControl/>
              <w:ind w:left="-18" w:right="-88" w:hanging="60"/>
              <w:cnfStyle w:val="000000000000" w:firstRow="0" w:lastRow="0" w:firstColumn="0" w:lastColumn="0" w:oddVBand="0" w:evenVBand="0" w:oddHBand="0" w:evenHBand="0" w:firstRowFirstColumn="0" w:firstRowLastColumn="0" w:lastRowFirstColumn="0" w:lastRowLastColumn="0"/>
            </w:pPr>
            <w:r w:rsidRPr="001825C9">
              <w:t>ENCO: 87.6%</w:t>
            </w:r>
          </w:p>
          <w:p w:rsidR="00AE46DA" w:rsidRPr="001825C9" w:rsidRDefault="00AE46DA" w:rsidP="00B21F37">
            <w:pPr>
              <w:pStyle w:val="TableText"/>
              <w:keepNext/>
              <w:keepLines/>
              <w:widowControl/>
              <w:ind w:left="-18" w:right="-88" w:hanging="60"/>
              <w:cnfStyle w:val="000000000000" w:firstRow="0" w:lastRow="0" w:firstColumn="0" w:lastColumn="0" w:oddVBand="0" w:evenVBand="0" w:oddHBand="0" w:evenHBand="0" w:firstRowFirstColumn="0" w:firstRowLastColumn="0" w:lastRowFirstColumn="0" w:lastRowLastColumn="0"/>
            </w:pPr>
            <w:r w:rsidRPr="001825C9">
              <w:t>CET: 86.9%</w:t>
            </w:r>
          </w:p>
        </w:tc>
        <w:tc>
          <w:tcPr>
            <w:tcW w:w="1247" w:type="dxa"/>
          </w:tcPr>
          <w:p w:rsidR="00AE46DA" w:rsidRPr="001825C9" w:rsidRDefault="00AE46DA" w:rsidP="00B21F37">
            <w:pPr>
              <w:pStyle w:val="TableText"/>
              <w:keepNext/>
              <w:keepLines/>
              <w:widowControl/>
              <w:ind w:left="-63" w:right="-40" w:hanging="14"/>
              <w:cnfStyle w:val="000000000000" w:firstRow="0" w:lastRow="0" w:firstColumn="0" w:lastColumn="0" w:oddVBand="0" w:evenVBand="0" w:oddHBand="0" w:evenHBand="0" w:firstRowFirstColumn="0" w:firstRowLastColumn="0" w:lastRowFirstColumn="0" w:lastRowLastColumn="0"/>
            </w:pPr>
            <w:r w:rsidRPr="001825C9">
              <w:t>ENCO: 84.5%</w:t>
            </w:r>
          </w:p>
          <w:p w:rsidR="00AE46DA" w:rsidRPr="001825C9" w:rsidRDefault="00AE46DA" w:rsidP="00B21F37">
            <w:pPr>
              <w:pStyle w:val="TableText"/>
              <w:keepNext/>
              <w:keepLines/>
              <w:widowControl/>
              <w:ind w:left="-63" w:right="-40" w:hanging="14"/>
              <w:cnfStyle w:val="000000000000" w:firstRow="0" w:lastRow="0" w:firstColumn="0" w:lastColumn="0" w:oddVBand="0" w:evenVBand="0" w:oddHBand="0" w:evenHBand="0" w:firstRowFirstColumn="0" w:firstRowLastColumn="0" w:lastRowFirstColumn="0" w:lastRowLastColumn="0"/>
            </w:pPr>
            <w:r w:rsidRPr="001825C9">
              <w:t>CET: 86.0%</w:t>
            </w:r>
          </w:p>
        </w:tc>
        <w:tc>
          <w:tcPr>
            <w:tcW w:w="1246" w:type="dxa"/>
          </w:tcPr>
          <w:p w:rsidR="00AE46DA" w:rsidRPr="001825C9" w:rsidRDefault="00AE46DA" w:rsidP="00B21F37">
            <w:pPr>
              <w:pStyle w:val="TableText"/>
              <w:keepNext/>
              <w:keepLines/>
              <w:widowControl/>
              <w:ind w:hanging="41"/>
              <w:cnfStyle w:val="000000000000" w:firstRow="0" w:lastRow="0" w:firstColumn="0" w:lastColumn="0" w:oddVBand="0" w:evenVBand="0" w:oddHBand="0" w:evenHBand="0" w:firstRowFirstColumn="0" w:firstRowLastColumn="0" w:lastRowFirstColumn="0" w:lastRowLastColumn="0"/>
            </w:pPr>
            <w:r w:rsidRPr="001825C9">
              <w:t>ENCO: 100%</w:t>
            </w:r>
          </w:p>
          <w:p w:rsidR="00AE46DA" w:rsidRPr="001825C9" w:rsidRDefault="00AE46DA" w:rsidP="00B21F37">
            <w:pPr>
              <w:pStyle w:val="TableText"/>
              <w:keepNext/>
              <w:keepLines/>
              <w:widowControl/>
              <w:ind w:hanging="41"/>
              <w:cnfStyle w:val="000000000000" w:firstRow="0" w:lastRow="0" w:firstColumn="0" w:lastColumn="0" w:oddVBand="0" w:evenVBand="0" w:oddHBand="0" w:evenHBand="0" w:firstRowFirstColumn="0" w:firstRowLastColumn="0" w:lastRowFirstColumn="0" w:lastRowLastColumn="0"/>
            </w:pPr>
            <w:r w:rsidRPr="001825C9">
              <w:t>CET: 100%</w:t>
            </w:r>
          </w:p>
        </w:tc>
        <w:tc>
          <w:tcPr>
            <w:tcW w:w="1247" w:type="dxa"/>
          </w:tcPr>
          <w:p w:rsidR="00AE46DA" w:rsidRPr="001825C9" w:rsidRDefault="00AE46DA" w:rsidP="00B21F37">
            <w:pPr>
              <w:pStyle w:val="TableText"/>
              <w:keepNext/>
              <w:keepLines/>
              <w:widowControl/>
              <w:ind w:right="-68" w:hanging="71"/>
              <w:cnfStyle w:val="000000000000" w:firstRow="0" w:lastRow="0" w:firstColumn="0" w:lastColumn="0" w:oddVBand="0" w:evenVBand="0" w:oddHBand="0" w:evenHBand="0" w:firstRowFirstColumn="0" w:firstRowLastColumn="0" w:lastRowFirstColumn="0" w:lastRowLastColumn="0"/>
            </w:pPr>
            <w:r w:rsidRPr="001825C9">
              <w:t>CET: 77.3%</w:t>
            </w:r>
          </w:p>
          <w:p w:rsidR="00AE46DA" w:rsidRPr="001825C9" w:rsidRDefault="00AE46DA" w:rsidP="00B21F37">
            <w:pPr>
              <w:pStyle w:val="TableText"/>
              <w:keepNext/>
              <w:keepLines/>
              <w:widowControl/>
              <w:ind w:hanging="71"/>
              <w:cnfStyle w:val="000000000000" w:firstRow="0" w:lastRow="0" w:firstColumn="0" w:lastColumn="0" w:oddVBand="0" w:evenVBand="0" w:oddHBand="0" w:evenHBand="0" w:firstRowFirstColumn="0" w:firstRowLastColumn="0" w:lastRowFirstColumn="0" w:lastRowLastColumn="0"/>
            </w:pPr>
            <w:r w:rsidRPr="001825C9">
              <w:t>IRIN: 72.5%</w:t>
            </w:r>
          </w:p>
          <w:p w:rsidR="00AE46DA" w:rsidRPr="001825C9" w:rsidRDefault="00AE46DA" w:rsidP="00B21F37">
            <w:pPr>
              <w:pStyle w:val="TableText"/>
              <w:keepNext/>
              <w:keepLines/>
              <w:widowControl/>
              <w:ind w:hanging="71"/>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hanging="71"/>
              <w:cnfStyle w:val="000000000000" w:firstRow="0" w:lastRow="0" w:firstColumn="0" w:lastColumn="0" w:oddVBand="0" w:evenVBand="0" w:oddHBand="0" w:evenHBand="0" w:firstRowFirstColumn="0" w:firstRowLastColumn="0" w:lastRowFirstColumn="0" w:lastRowLastColumn="0"/>
            </w:pPr>
            <w:r w:rsidRPr="001825C9">
              <w:t>5FU: 67.3%</w:t>
            </w:r>
          </w:p>
          <w:p w:rsidR="00AE46DA" w:rsidRPr="001825C9" w:rsidRDefault="00AE46DA" w:rsidP="00B21F37">
            <w:pPr>
              <w:pStyle w:val="TableText"/>
              <w:keepNext/>
              <w:keepLines/>
              <w:widowControl/>
              <w:ind w:hanging="71"/>
              <w:cnfStyle w:val="000000000000" w:firstRow="0" w:lastRow="0" w:firstColumn="0" w:lastColumn="0" w:oddVBand="0" w:evenVBand="0" w:oddHBand="0" w:evenHBand="0" w:firstRowFirstColumn="0" w:firstRowLastColumn="0" w:lastRowFirstColumn="0" w:lastRowLastColumn="0"/>
            </w:pPr>
            <w:r w:rsidRPr="001825C9">
              <w:t>FA: 71.6%</w:t>
            </w:r>
          </w:p>
        </w:tc>
        <w:tc>
          <w:tcPr>
            <w:tcW w:w="1246" w:type="dxa"/>
          </w:tcPr>
          <w:p w:rsidR="00AE46DA" w:rsidRPr="001825C9" w:rsidRDefault="00AE46DA" w:rsidP="00B21F37">
            <w:pPr>
              <w:pStyle w:val="TableText"/>
              <w:keepNext/>
              <w:keepLines/>
              <w:widowControl/>
              <w:ind w:right="-84" w:hanging="61"/>
              <w:cnfStyle w:val="000000000000" w:firstRow="0" w:lastRow="0" w:firstColumn="0" w:lastColumn="0" w:oddVBand="0" w:evenVBand="0" w:oddHBand="0" w:evenHBand="0" w:firstRowFirstColumn="0" w:firstRowLastColumn="0" w:lastRowFirstColumn="0" w:lastRowLastColumn="0"/>
            </w:pPr>
            <w:r w:rsidRPr="001825C9">
              <w:t>CET: 71.0%</w:t>
            </w:r>
          </w:p>
          <w:p w:rsidR="00AE46DA" w:rsidRPr="001825C9" w:rsidRDefault="00AE46DA" w:rsidP="00B21F37">
            <w:pPr>
              <w:pStyle w:val="TableText"/>
              <w:keepNext/>
              <w:keepLines/>
              <w:widowControl/>
              <w:ind w:right="-84" w:hanging="61"/>
              <w:cnfStyle w:val="000000000000" w:firstRow="0" w:lastRow="0" w:firstColumn="0" w:lastColumn="0" w:oddVBand="0" w:evenVBand="0" w:oddHBand="0" w:evenHBand="0" w:firstRowFirstColumn="0" w:firstRowLastColumn="0" w:lastRowFirstColumn="0" w:lastRowLastColumn="0"/>
            </w:pPr>
            <w:r w:rsidRPr="001825C9">
              <w:t>IRIN: 69.7%</w:t>
            </w:r>
          </w:p>
          <w:p w:rsidR="00AE46DA" w:rsidRPr="001825C9" w:rsidRDefault="00AE46DA" w:rsidP="00B21F37">
            <w:pPr>
              <w:pStyle w:val="TableText"/>
              <w:keepNext/>
              <w:keepLines/>
              <w:widowControl/>
              <w:ind w:left="-61" w:right="-84"/>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61" w:right="-84"/>
              <w:cnfStyle w:val="000000000000" w:firstRow="0" w:lastRow="0" w:firstColumn="0" w:lastColumn="0" w:oddVBand="0" w:evenVBand="0" w:oddHBand="0" w:evenHBand="0" w:firstRowFirstColumn="0" w:firstRowLastColumn="0" w:lastRowFirstColumn="0" w:lastRowLastColumn="0"/>
            </w:pPr>
            <w:r w:rsidRPr="001825C9">
              <w:t>5FU:</w:t>
            </w:r>
          </w:p>
          <w:p w:rsidR="00AE46DA" w:rsidRPr="001825C9" w:rsidRDefault="00AE46DA" w:rsidP="00B21F37">
            <w:pPr>
              <w:pStyle w:val="TableText"/>
              <w:keepNext/>
              <w:keepLines/>
              <w:widowControl/>
              <w:ind w:left="-61" w:right="-84"/>
              <w:cnfStyle w:val="000000000000" w:firstRow="0" w:lastRow="0" w:firstColumn="0" w:lastColumn="0" w:oddVBand="0" w:evenVBand="0" w:oddHBand="0" w:evenHBand="0" w:firstRowFirstColumn="0" w:firstRowLastColumn="0" w:lastRowFirstColumn="0" w:lastRowLastColumn="0"/>
            </w:pPr>
            <w:r w:rsidRPr="001825C9">
              <w:t>67.3% (bolus)</w:t>
            </w:r>
          </w:p>
          <w:p w:rsidR="00AE46DA" w:rsidRPr="001825C9" w:rsidRDefault="00AE46DA" w:rsidP="00B21F37">
            <w:pPr>
              <w:pStyle w:val="TableText"/>
              <w:keepNext/>
              <w:keepLines/>
              <w:widowControl/>
              <w:ind w:left="-61" w:right="-84"/>
              <w:cnfStyle w:val="000000000000" w:firstRow="0" w:lastRow="0" w:firstColumn="0" w:lastColumn="0" w:oddVBand="0" w:evenVBand="0" w:oddHBand="0" w:evenHBand="0" w:firstRowFirstColumn="0" w:firstRowLastColumn="0" w:lastRowFirstColumn="0" w:lastRowLastColumn="0"/>
            </w:pPr>
            <w:r w:rsidRPr="001825C9">
              <w:t>64.0% (CIV)</w:t>
            </w:r>
          </w:p>
          <w:p w:rsidR="00AE46DA" w:rsidRPr="001825C9" w:rsidRDefault="00AE46DA" w:rsidP="00B21F37">
            <w:pPr>
              <w:pStyle w:val="TableText"/>
              <w:keepNext/>
              <w:keepLines/>
              <w:widowControl/>
              <w:ind w:right="-84" w:hanging="61"/>
              <w:cnfStyle w:val="000000000000" w:firstRow="0" w:lastRow="0" w:firstColumn="0" w:lastColumn="0" w:oddVBand="0" w:evenVBand="0" w:oddHBand="0" w:evenHBand="0" w:firstRowFirstColumn="0" w:firstRowLastColumn="0" w:lastRowFirstColumn="0" w:lastRowLastColumn="0"/>
            </w:pPr>
            <w:r w:rsidRPr="001825C9">
              <w:t>FA: 67.7%</w:t>
            </w:r>
          </w:p>
        </w:tc>
        <w:tc>
          <w:tcPr>
            <w:tcW w:w="1247" w:type="dxa"/>
          </w:tcPr>
          <w:p w:rsidR="00AE46DA" w:rsidRPr="001825C9" w:rsidRDefault="00AE46DA" w:rsidP="00B21F37">
            <w:pPr>
              <w:pStyle w:val="TableText"/>
              <w:keepNext/>
              <w:keepLines/>
              <w:widowControl/>
              <w:ind w:hanging="53"/>
              <w:cnfStyle w:val="000000000000" w:firstRow="0" w:lastRow="0" w:firstColumn="0" w:lastColumn="0" w:oddVBand="0" w:evenVBand="0" w:oddHBand="0" w:evenHBand="0" w:firstRowFirstColumn="0" w:firstRowLastColumn="0" w:lastRowFirstColumn="0" w:lastRowLastColumn="0"/>
            </w:pPr>
            <w:r w:rsidRPr="001825C9">
              <w:t>CET: 100%</w:t>
            </w:r>
          </w:p>
          <w:p w:rsidR="00AE46DA" w:rsidRPr="001825C9" w:rsidRDefault="00AE46DA" w:rsidP="00B21F37">
            <w:pPr>
              <w:pStyle w:val="TableText"/>
              <w:keepNext/>
              <w:keepLines/>
              <w:widowControl/>
              <w:ind w:hanging="53"/>
              <w:cnfStyle w:val="000000000000" w:firstRow="0" w:lastRow="0" w:firstColumn="0" w:lastColumn="0" w:oddVBand="0" w:evenVBand="0" w:oddHBand="0" w:evenHBand="0" w:firstRowFirstColumn="0" w:firstRowLastColumn="0" w:lastRowFirstColumn="0" w:lastRowLastColumn="0"/>
            </w:pPr>
            <w:r w:rsidRPr="001825C9">
              <w:t>IRIN: 100%</w:t>
            </w:r>
          </w:p>
          <w:p w:rsidR="00AE46DA" w:rsidRPr="001825C9" w:rsidRDefault="00AE46DA" w:rsidP="00B21F37">
            <w:pPr>
              <w:pStyle w:val="TableText"/>
              <w:keepNext/>
              <w:keepLines/>
              <w:widowControl/>
              <w:ind w:hanging="53"/>
              <w:cnfStyle w:val="000000000000" w:firstRow="0" w:lastRow="0" w:firstColumn="0" w:lastColumn="0" w:oddVBand="0" w:evenVBand="0" w:oddHBand="0" w:evenHBand="0" w:firstRowFirstColumn="0" w:firstRowLastColumn="0" w:lastRowFirstColumn="0" w:lastRowLastColumn="0"/>
            </w:pPr>
            <w:r w:rsidRPr="001825C9">
              <w:t>5FU: 100%</w:t>
            </w:r>
          </w:p>
          <w:p w:rsidR="00AE46DA" w:rsidRPr="001825C9" w:rsidRDefault="00AE46DA" w:rsidP="00B21F37">
            <w:pPr>
              <w:pStyle w:val="TableText"/>
              <w:keepNext/>
              <w:keepLines/>
              <w:widowControl/>
              <w:ind w:hanging="53"/>
              <w:cnfStyle w:val="000000000000" w:firstRow="0" w:lastRow="0" w:firstColumn="0" w:lastColumn="0" w:oddVBand="0" w:evenVBand="0" w:oddHBand="0" w:evenHBand="0" w:firstRowFirstColumn="0" w:firstRowLastColumn="0" w:lastRowFirstColumn="0" w:lastRowLastColumn="0"/>
            </w:pPr>
            <w:r w:rsidRPr="001825C9">
              <w:t>FA: 100%</w:t>
            </w:r>
          </w:p>
        </w:tc>
      </w:tr>
      <w:tr w:rsidR="00AE46DA" w:rsidRPr="001825C9" w:rsidTr="00B21F37">
        <w:tc>
          <w:tcPr>
            <w:cnfStyle w:val="001000000000" w:firstRow="0" w:lastRow="0" w:firstColumn="1" w:lastColumn="0" w:oddVBand="0" w:evenVBand="0" w:oddHBand="0" w:evenHBand="0" w:firstRowFirstColumn="0" w:firstRowLastColumn="0" w:lastRowFirstColumn="0" w:lastRowLastColumn="0"/>
            <w:tcW w:w="975" w:type="dxa"/>
          </w:tcPr>
          <w:p w:rsidR="00AE46DA" w:rsidRPr="001825C9" w:rsidRDefault="00AE46DA" w:rsidP="00B21F37">
            <w:pPr>
              <w:pStyle w:val="TableText"/>
              <w:keepNext/>
              <w:keepLines/>
              <w:widowControl/>
              <w:ind w:left="-27" w:right="-79" w:hanging="41"/>
              <w:rPr>
                <w:vertAlign w:val="superscript"/>
              </w:rPr>
            </w:pPr>
            <w:r w:rsidRPr="001825C9">
              <w:t xml:space="preserve">Cost per patient per month </w:t>
            </w:r>
            <w:r w:rsidRPr="001825C9">
              <w:rPr>
                <w:vertAlign w:val="superscript"/>
              </w:rPr>
              <w:t>c</w:t>
            </w:r>
          </w:p>
        </w:tc>
        <w:tc>
          <w:tcPr>
            <w:tcW w:w="1246" w:type="dxa"/>
          </w:tcPr>
          <w:p w:rsidR="00AE46DA" w:rsidRPr="001825C9" w:rsidRDefault="00AE46DA" w:rsidP="00B21F37">
            <w:pPr>
              <w:pStyle w:val="TableText"/>
              <w:keepNext/>
              <w:keepLines/>
              <w:widowControl/>
              <w:ind w:left="-44" w:right="-98" w:hanging="40"/>
              <w:cnfStyle w:val="000000000000" w:firstRow="0" w:lastRow="0" w:firstColumn="0" w:lastColumn="0" w:oddVBand="0" w:evenVBand="0" w:oddHBand="0" w:evenHBand="0" w:firstRowFirstColumn="0" w:firstRowLastColumn="0" w:lastRowFirstColumn="0" w:lastRowLastColumn="0"/>
            </w:pPr>
            <w:r w:rsidRPr="001825C9">
              <w:t>Total: $</w:t>
            </w:r>
            <w:r w:rsidR="00B72C43">
              <w:rPr>
                <w:noProof/>
                <w:color w:val="000000"/>
                <w:highlight w:val="black"/>
              </w:rPr>
              <w:t>'''''''''''''</w:t>
            </w:r>
          </w:p>
          <w:p w:rsidR="00AE46DA" w:rsidRPr="001825C9" w:rsidRDefault="00AE46DA" w:rsidP="00B21F37">
            <w:pPr>
              <w:pStyle w:val="TableText"/>
              <w:keepNext/>
              <w:keepLines/>
              <w:widowControl/>
              <w:ind w:left="-44" w:right="-98" w:hanging="40"/>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44" w:right="-98" w:hanging="40"/>
              <w:cnfStyle w:val="000000000000" w:firstRow="0" w:lastRow="0" w:firstColumn="0" w:lastColumn="0" w:oddVBand="0" w:evenVBand="0" w:oddHBand="0" w:evenHBand="0" w:firstRowFirstColumn="0" w:firstRowLastColumn="0" w:lastRowFirstColumn="0" w:lastRowLastColumn="0"/>
            </w:pPr>
            <w:r w:rsidRPr="001825C9">
              <w:t>ENCO: $</w:t>
            </w:r>
            <w:r w:rsidR="00B72C43">
              <w:rPr>
                <w:noProof/>
                <w:color w:val="000000"/>
                <w:highlight w:val="black"/>
              </w:rPr>
              <w:t>''''''''''''</w:t>
            </w:r>
          </w:p>
          <w:p w:rsidR="00AE46DA" w:rsidRPr="001825C9" w:rsidRDefault="00AE46DA" w:rsidP="00B21F37">
            <w:pPr>
              <w:pStyle w:val="TableText"/>
              <w:keepNext/>
              <w:keepLines/>
              <w:widowControl/>
              <w:ind w:left="-18" w:right="-88" w:hanging="60"/>
              <w:cnfStyle w:val="000000000000" w:firstRow="0" w:lastRow="0" w:firstColumn="0" w:lastColumn="0" w:oddVBand="0" w:evenVBand="0" w:oddHBand="0" w:evenHBand="0" w:firstRowFirstColumn="0" w:firstRowLastColumn="0" w:lastRowFirstColumn="0" w:lastRowLastColumn="0"/>
            </w:pPr>
            <w:r w:rsidRPr="001825C9">
              <w:t>CET: $</w:t>
            </w:r>
            <w:r w:rsidR="00B72C43">
              <w:rPr>
                <w:noProof/>
                <w:color w:val="000000"/>
                <w:highlight w:val="black"/>
              </w:rPr>
              <w:t>'''''''''''''</w:t>
            </w:r>
          </w:p>
        </w:tc>
        <w:tc>
          <w:tcPr>
            <w:tcW w:w="1247" w:type="dxa"/>
          </w:tcPr>
          <w:p w:rsidR="00AE46DA" w:rsidRPr="001825C9" w:rsidRDefault="00AE46DA" w:rsidP="00B21F37">
            <w:pPr>
              <w:pStyle w:val="TableText"/>
              <w:keepNext/>
              <w:keepLines/>
              <w:widowControl/>
              <w:ind w:left="-14" w:right="-88" w:hanging="42"/>
              <w:cnfStyle w:val="000000000000" w:firstRow="0" w:lastRow="0" w:firstColumn="0" w:lastColumn="0" w:oddVBand="0" w:evenVBand="0" w:oddHBand="0" w:evenHBand="0" w:firstRowFirstColumn="0" w:firstRowLastColumn="0" w:lastRowFirstColumn="0" w:lastRowLastColumn="0"/>
            </w:pPr>
            <w:r w:rsidRPr="001825C9">
              <w:t>Total: $</w:t>
            </w:r>
            <w:r w:rsidR="00B72C43">
              <w:rPr>
                <w:noProof/>
                <w:color w:val="000000"/>
                <w:highlight w:val="black"/>
              </w:rPr>
              <w:t>''''''''''''''</w:t>
            </w:r>
          </w:p>
          <w:p w:rsidR="00AE46DA" w:rsidRPr="001825C9" w:rsidRDefault="00AE46DA" w:rsidP="00B21F37">
            <w:pPr>
              <w:pStyle w:val="TableText"/>
              <w:keepNext/>
              <w:keepLines/>
              <w:widowControl/>
              <w:ind w:left="-14" w:right="-88" w:hanging="42"/>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14" w:right="-95" w:hanging="70"/>
              <w:cnfStyle w:val="000000000000" w:firstRow="0" w:lastRow="0" w:firstColumn="0" w:lastColumn="0" w:oddVBand="0" w:evenVBand="0" w:oddHBand="0" w:evenHBand="0" w:firstRowFirstColumn="0" w:firstRowLastColumn="0" w:lastRowFirstColumn="0" w:lastRowLastColumn="0"/>
            </w:pPr>
            <w:r w:rsidRPr="001825C9">
              <w:t>ENCO: $</w:t>
            </w:r>
            <w:r w:rsidR="00B72C43">
              <w:rPr>
                <w:noProof/>
                <w:color w:val="000000"/>
                <w:highlight w:val="black"/>
              </w:rPr>
              <w:t>'''''''''''''</w:t>
            </w:r>
          </w:p>
          <w:p w:rsidR="00AE46DA" w:rsidRPr="001825C9" w:rsidRDefault="00AE46DA" w:rsidP="00B21F37">
            <w:pPr>
              <w:pStyle w:val="TableText"/>
              <w:keepNext/>
              <w:keepLines/>
              <w:widowControl/>
              <w:ind w:left="-63" w:right="-40" w:hanging="14"/>
              <w:cnfStyle w:val="000000000000" w:firstRow="0" w:lastRow="0" w:firstColumn="0" w:lastColumn="0" w:oddVBand="0" w:evenVBand="0" w:oddHBand="0" w:evenHBand="0" w:firstRowFirstColumn="0" w:firstRowLastColumn="0" w:lastRowFirstColumn="0" w:lastRowLastColumn="0"/>
            </w:pPr>
            <w:r w:rsidRPr="001825C9">
              <w:t>CET: $</w:t>
            </w:r>
            <w:r w:rsidR="00B72C43">
              <w:rPr>
                <w:noProof/>
                <w:color w:val="000000"/>
                <w:highlight w:val="black"/>
              </w:rPr>
              <w:t>''''''''''''''</w:t>
            </w:r>
          </w:p>
        </w:tc>
        <w:tc>
          <w:tcPr>
            <w:tcW w:w="1246" w:type="dxa"/>
          </w:tcPr>
          <w:p w:rsidR="00AE46DA" w:rsidRPr="001825C9" w:rsidRDefault="00AE46DA" w:rsidP="00B21F37">
            <w:pPr>
              <w:pStyle w:val="TableText"/>
              <w:keepNext/>
              <w:keepLines/>
              <w:widowControl/>
              <w:ind w:left="-56" w:right="-88"/>
              <w:cnfStyle w:val="000000000000" w:firstRow="0" w:lastRow="0" w:firstColumn="0" w:lastColumn="0" w:oddVBand="0" w:evenVBand="0" w:oddHBand="0" w:evenHBand="0" w:firstRowFirstColumn="0" w:firstRowLastColumn="0" w:lastRowFirstColumn="0" w:lastRowLastColumn="0"/>
            </w:pPr>
            <w:r w:rsidRPr="001825C9">
              <w:t>Total: $</w:t>
            </w:r>
            <w:r w:rsidR="00B72C43">
              <w:rPr>
                <w:noProof/>
                <w:color w:val="000000"/>
                <w:highlight w:val="black"/>
              </w:rPr>
              <w:t>''''''''''''</w:t>
            </w:r>
          </w:p>
          <w:p w:rsidR="00AE46DA" w:rsidRPr="001825C9" w:rsidRDefault="00AE46DA" w:rsidP="00B21F37">
            <w:pPr>
              <w:pStyle w:val="TableText"/>
              <w:keepNext/>
              <w:keepLines/>
              <w:widowControl/>
              <w:ind w:left="-56" w:right="-88"/>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56" w:right="-88"/>
              <w:cnfStyle w:val="000000000000" w:firstRow="0" w:lastRow="0" w:firstColumn="0" w:lastColumn="0" w:oddVBand="0" w:evenVBand="0" w:oddHBand="0" w:evenHBand="0" w:firstRowFirstColumn="0" w:firstRowLastColumn="0" w:lastRowFirstColumn="0" w:lastRowLastColumn="0"/>
            </w:pPr>
            <w:r w:rsidRPr="001825C9">
              <w:t>ENCO: $</w:t>
            </w:r>
            <w:r w:rsidR="00B72C43">
              <w:rPr>
                <w:noProof/>
                <w:color w:val="000000"/>
                <w:highlight w:val="black"/>
              </w:rPr>
              <w:t>''''''''''''''</w:t>
            </w:r>
          </w:p>
          <w:p w:rsidR="00AE46DA" w:rsidRPr="001825C9" w:rsidRDefault="00AE46DA" w:rsidP="00B21F37">
            <w:pPr>
              <w:pStyle w:val="TableText"/>
              <w:keepNext/>
              <w:keepLines/>
              <w:widowControl/>
              <w:ind w:hanging="41"/>
              <w:cnfStyle w:val="000000000000" w:firstRow="0" w:lastRow="0" w:firstColumn="0" w:lastColumn="0" w:oddVBand="0" w:evenVBand="0" w:oddHBand="0" w:evenHBand="0" w:firstRowFirstColumn="0" w:firstRowLastColumn="0" w:lastRowFirstColumn="0" w:lastRowLastColumn="0"/>
            </w:pPr>
            <w:r w:rsidRPr="001825C9">
              <w:t>CET: $</w:t>
            </w:r>
            <w:r w:rsidR="00B72C43">
              <w:rPr>
                <w:noProof/>
                <w:color w:val="000000"/>
                <w:highlight w:val="black"/>
              </w:rPr>
              <w:t>''''''''''''''</w:t>
            </w:r>
          </w:p>
        </w:tc>
        <w:tc>
          <w:tcPr>
            <w:tcW w:w="1247" w:type="dxa"/>
          </w:tcPr>
          <w:p w:rsidR="00AE46DA" w:rsidRPr="001825C9" w:rsidRDefault="00AE46DA" w:rsidP="00B21F37">
            <w:pPr>
              <w:pStyle w:val="TableText"/>
              <w:keepNext/>
              <w:keepLines/>
              <w:widowControl/>
              <w:ind w:left="-37" w:right="-88" w:hanging="28"/>
              <w:cnfStyle w:val="000000000000" w:firstRow="0" w:lastRow="0" w:firstColumn="0" w:lastColumn="0" w:oddVBand="0" w:evenVBand="0" w:oddHBand="0" w:evenHBand="0" w:firstRowFirstColumn="0" w:firstRowLastColumn="0" w:lastRowFirstColumn="0" w:lastRowLastColumn="0"/>
            </w:pPr>
            <w:r w:rsidRPr="001825C9">
              <w:t>Total: $4,940</w:t>
            </w:r>
          </w:p>
          <w:p w:rsidR="00AE46DA" w:rsidRPr="001825C9" w:rsidRDefault="00AE46D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r w:rsidRPr="001825C9">
              <w:t>CET: $4,617</w:t>
            </w:r>
          </w:p>
          <w:p w:rsidR="00AE46DA" w:rsidRPr="001825C9" w:rsidRDefault="00AE46D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r w:rsidRPr="001825C9">
              <w:t>IRIN: $176</w:t>
            </w:r>
          </w:p>
          <w:p w:rsidR="00AE46DA" w:rsidRPr="001825C9" w:rsidRDefault="0078383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r w:rsidRPr="001825C9">
              <w:t>5FU:</w:t>
            </w:r>
          </w:p>
          <w:p w:rsidR="00AE46DA" w:rsidRPr="001825C9" w:rsidRDefault="00AE46D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r w:rsidRPr="001825C9">
              <w:t>$50 (bolus)</w:t>
            </w:r>
          </w:p>
          <w:p w:rsidR="00AE46DA" w:rsidRPr="001825C9" w:rsidRDefault="00AE46D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r w:rsidRPr="001825C9">
              <w:t>$73 (CIV)</w:t>
            </w:r>
          </w:p>
          <w:p w:rsidR="00AE46DA" w:rsidRPr="001825C9" w:rsidRDefault="00AE46DA" w:rsidP="00B21F37">
            <w:pPr>
              <w:pStyle w:val="TableText"/>
              <w:keepNext/>
              <w:keepLines/>
              <w:widowControl/>
              <w:ind w:right="-68" w:hanging="71"/>
              <w:cnfStyle w:val="000000000000" w:firstRow="0" w:lastRow="0" w:firstColumn="0" w:lastColumn="0" w:oddVBand="0" w:evenVBand="0" w:oddHBand="0" w:evenHBand="0" w:firstRowFirstColumn="0" w:firstRowLastColumn="0" w:lastRowFirstColumn="0" w:lastRowLastColumn="0"/>
            </w:pPr>
            <w:r w:rsidRPr="001825C9">
              <w:t>FA: $25</w:t>
            </w:r>
          </w:p>
        </w:tc>
        <w:tc>
          <w:tcPr>
            <w:tcW w:w="1246" w:type="dxa"/>
          </w:tcPr>
          <w:p w:rsidR="00AE46DA" w:rsidRPr="001825C9" w:rsidRDefault="00AE46DA" w:rsidP="00B21F37">
            <w:pPr>
              <w:pStyle w:val="TableText"/>
              <w:keepNext/>
              <w:keepLines/>
              <w:widowControl/>
              <w:ind w:left="-60" w:right="-88" w:hanging="28"/>
              <w:cnfStyle w:val="000000000000" w:firstRow="0" w:lastRow="0" w:firstColumn="0" w:lastColumn="0" w:oddVBand="0" w:evenVBand="0" w:oddHBand="0" w:evenHBand="0" w:firstRowFirstColumn="0" w:firstRowLastColumn="0" w:lastRowFirstColumn="0" w:lastRowLastColumn="0"/>
            </w:pPr>
            <w:r w:rsidRPr="001825C9">
              <w:t>Total: $</w:t>
            </w:r>
            <w:r w:rsidRPr="00D24D69">
              <w:t>4,552</w:t>
            </w: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r w:rsidRPr="001825C9">
              <w:t>CET: $</w:t>
            </w:r>
            <w:r w:rsidRPr="006D5154">
              <w:t>4,240</w:t>
            </w: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r w:rsidRPr="001825C9">
              <w:t>IRIN: $</w:t>
            </w:r>
            <w:r w:rsidRPr="006D5154">
              <w:t>169</w:t>
            </w: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r w:rsidRPr="001825C9">
              <w:t>5FU:</w:t>
            </w: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r w:rsidRPr="001825C9">
              <w:t>$</w:t>
            </w:r>
            <w:r w:rsidRPr="006D5154">
              <w:t>50</w:t>
            </w:r>
            <w:r w:rsidRPr="001825C9">
              <w:t xml:space="preserve"> (bolus)</w:t>
            </w: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r w:rsidRPr="001825C9">
              <w:t>$</w:t>
            </w:r>
            <w:r w:rsidRPr="006D5154">
              <w:t>69</w:t>
            </w:r>
            <w:r w:rsidRPr="001825C9">
              <w:t xml:space="preserve"> (CIV)</w:t>
            </w:r>
          </w:p>
          <w:p w:rsidR="00AE46DA" w:rsidRPr="001825C9" w:rsidRDefault="00AE46DA" w:rsidP="00B21F37">
            <w:pPr>
              <w:pStyle w:val="TableText"/>
              <w:keepNext/>
              <w:keepLines/>
              <w:widowControl/>
              <w:ind w:right="-84" w:hanging="61"/>
              <w:cnfStyle w:val="000000000000" w:firstRow="0" w:lastRow="0" w:firstColumn="0" w:lastColumn="0" w:oddVBand="0" w:evenVBand="0" w:oddHBand="0" w:evenHBand="0" w:firstRowFirstColumn="0" w:firstRowLastColumn="0" w:lastRowFirstColumn="0" w:lastRowLastColumn="0"/>
            </w:pPr>
            <w:r w:rsidRPr="001825C9">
              <w:t>FA: $</w:t>
            </w:r>
            <w:r w:rsidRPr="00D24D69">
              <w:t>24</w:t>
            </w:r>
          </w:p>
        </w:tc>
        <w:tc>
          <w:tcPr>
            <w:tcW w:w="1247" w:type="dxa"/>
          </w:tcPr>
          <w:p w:rsidR="00AE46DA" w:rsidRPr="001825C9" w:rsidRDefault="00AE46DA" w:rsidP="00B21F37">
            <w:pPr>
              <w:pStyle w:val="TableText"/>
              <w:keepNext/>
              <w:keepLines/>
              <w:widowControl/>
              <w:ind w:left="-33" w:right="-88" w:hanging="33"/>
              <w:cnfStyle w:val="000000000000" w:firstRow="0" w:lastRow="0" w:firstColumn="0" w:lastColumn="0" w:oddVBand="0" w:evenVBand="0" w:oddHBand="0" w:evenHBand="0" w:firstRowFirstColumn="0" w:firstRowLastColumn="0" w:lastRowFirstColumn="0" w:lastRowLastColumn="0"/>
            </w:pPr>
            <w:r w:rsidRPr="001825C9">
              <w:t>Total: $</w:t>
            </w:r>
            <w:r w:rsidRPr="006D5154">
              <w:t>6,432</w:t>
            </w:r>
          </w:p>
          <w:p w:rsidR="00AE46DA" w:rsidRPr="001825C9" w:rsidRDefault="00AE46D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r w:rsidRPr="001825C9">
              <w:t>CET: $</w:t>
            </w:r>
            <w:r w:rsidRPr="006D5154">
              <w:t>5,972</w:t>
            </w:r>
          </w:p>
          <w:p w:rsidR="00AE46DA" w:rsidRPr="001825C9" w:rsidRDefault="00AE46D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r w:rsidRPr="001825C9">
              <w:t>IRIN: $</w:t>
            </w:r>
            <w:r w:rsidRPr="006D5154">
              <w:t>243</w:t>
            </w:r>
          </w:p>
          <w:p w:rsidR="00AE46DA" w:rsidRPr="001825C9" w:rsidRDefault="0078383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r w:rsidRPr="001825C9">
              <w:t>5FU:</w:t>
            </w:r>
          </w:p>
          <w:p w:rsidR="00AE46DA" w:rsidRPr="001825C9" w:rsidRDefault="00AE46D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r w:rsidRPr="001825C9">
              <w:t>$</w:t>
            </w:r>
            <w:r w:rsidRPr="006D5154">
              <w:t>74</w:t>
            </w:r>
            <w:r w:rsidRPr="001825C9">
              <w:t xml:space="preserve"> (bolus)</w:t>
            </w:r>
          </w:p>
          <w:p w:rsidR="00AE46DA" w:rsidRPr="001825C9" w:rsidRDefault="00AE46D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r w:rsidRPr="001825C9">
              <w:t>$</w:t>
            </w:r>
            <w:r w:rsidRPr="006D5154">
              <w:t>108</w:t>
            </w:r>
            <w:r w:rsidRPr="001825C9">
              <w:t xml:space="preserve"> (CIV)</w:t>
            </w:r>
          </w:p>
          <w:p w:rsidR="00AE46DA" w:rsidRPr="001825C9" w:rsidRDefault="00AE46DA" w:rsidP="00B21F37">
            <w:pPr>
              <w:pStyle w:val="TableText"/>
              <w:keepNext/>
              <w:keepLines/>
              <w:widowControl/>
              <w:ind w:hanging="53"/>
              <w:cnfStyle w:val="000000000000" w:firstRow="0" w:lastRow="0" w:firstColumn="0" w:lastColumn="0" w:oddVBand="0" w:evenVBand="0" w:oddHBand="0" w:evenHBand="0" w:firstRowFirstColumn="0" w:firstRowLastColumn="0" w:lastRowFirstColumn="0" w:lastRowLastColumn="0"/>
            </w:pPr>
            <w:r w:rsidRPr="001825C9">
              <w:t>FA: $</w:t>
            </w:r>
            <w:r w:rsidRPr="006D5154">
              <w:t>35</w:t>
            </w:r>
          </w:p>
        </w:tc>
      </w:tr>
      <w:tr w:rsidR="00AE46DA" w:rsidRPr="001825C9" w:rsidTr="00B21F37">
        <w:tc>
          <w:tcPr>
            <w:cnfStyle w:val="001000000000" w:firstRow="0" w:lastRow="0" w:firstColumn="1" w:lastColumn="0" w:oddVBand="0" w:evenVBand="0" w:oddHBand="0" w:evenHBand="0" w:firstRowFirstColumn="0" w:firstRowLastColumn="0" w:lastRowFirstColumn="0" w:lastRowLastColumn="0"/>
            <w:tcW w:w="975" w:type="dxa"/>
          </w:tcPr>
          <w:p w:rsidR="00AE46DA" w:rsidRPr="001825C9" w:rsidRDefault="00AE46DA" w:rsidP="00B21F37">
            <w:pPr>
              <w:pStyle w:val="TableText"/>
              <w:keepNext/>
              <w:keepLines/>
              <w:widowControl/>
              <w:ind w:left="-27" w:right="-79" w:hanging="41"/>
              <w:rPr>
                <w:vertAlign w:val="superscript"/>
              </w:rPr>
            </w:pPr>
            <w:r w:rsidRPr="001825C9">
              <w:t xml:space="preserve">Mean duration </w:t>
            </w:r>
          </w:p>
        </w:tc>
        <w:tc>
          <w:tcPr>
            <w:tcW w:w="1246" w:type="dxa"/>
          </w:tcPr>
          <w:p w:rsidR="00AE46DA" w:rsidRPr="001825C9" w:rsidRDefault="00AE46DA" w:rsidP="00B21F37">
            <w:pPr>
              <w:pStyle w:val="TableText"/>
              <w:keepNext/>
              <w:keepLines/>
              <w:widowControl/>
              <w:ind w:left="-18" w:right="-88" w:hanging="60"/>
              <w:cnfStyle w:val="000000000000" w:firstRow="0" w:lastRow="0" w:firstColumn="0" w:lastColumn="0" w:oddVBand="0" w:evenVBand="0" w:oddHBand="0" w:evenHBand="0" w:firstRowFirstColumn="0" w:firstRowLastColumn="0" w:lastRowFirstColumn="0" w:lastRowLastColumn="0"/>
            </w:pPr>
            <w:r w:rsidRPr="001825C9">
              <w:t xml:space="preserve">6.30 months </w:t>
            </w:r>
            <w:r w:rsidRPr="001825C9">
              <w:rPr>
                <w:vertAlign w:val="superscript"/>
              </w:rPr>
              <w:t>d</w:t>
            </w:r>
          </w:p>
        </w:tc>
        <w:tc>
          <w:tcPr>
            <w:tcW w:w="1247" w:type="dxa"/>
          </w:tcPr>
          <w:p w:rsidR="00AE46DA" w:rsidRPr="001825C9" w:rsidRDefault="00AE46DA" w:rsidP="00B21F37">
            <w:pPr>
              <w:pStyle w:val="TableText"/>
              <w:keepNext/>
              <w:keepLines/>
              <w:widowControl/>
              <w:ind w:hanging="56"/>
              <w:cnfStyle w:val="000000000000" w:firstRow="0" w:lastRow="0" w:firstColumn="0" w:lastColumn="0" w:oddVBand="0" w:evenVBand="0" w:oddHBand="0" w:evenHBand="0" w:firstRowFirstColumn="0" w:firstRowLastColumn="0" w:lastRowFirstColumn="0" w:lastRowLastColumn="0"/>
              <w:rPr>
                <w:vertAlign w:val="superscript"/>
              </w:rPr>
            </w:pPr>
            <w:r w:rsidRPr="001825C9">
              <w:t xml:space="preserve">6.57 months </w:t>
            </w:r>
            <w:r w:rsidRPr="001825C9">
              <w:rPr>
                <w:vertAlign w:val="superscript"/>
              </w:rPr>
              <w:t>e</w:t>
            </w:r>
          </w:p>
        </w:tc>
        <w:tc>
          <w:tcPr>
            <w:tcW w:w="1246" w:type="dxa"/>
          </w:tcPr>
          <w:p w:rsidR="00AE46DA" w:rsidRPr="001825C9" w:rsidRDefault="00AE46DA" w:rsidP="00B21F37">
            <w:pPr>
              <w:pStyle w:val="TableText"/>
              <w:keepNext/>
              <w:keepLines/>
              <w:widowControl/>
              <w:cnfStyle w:val="000000000000" w:firstRow="0" w:lastRow="0" w:firstColumn="0" w:lastColumn="0" w:oddVBand="0" w:evenVBand="0" w:oddHBand="0" w:evenHBand="0" w:firstRowFirstColumn="0" w:firstRowLastColumn="0" w:lastRowFirstColumn="0" w:lastRowLastColumn="0"/>
            </w:pPr>
            <w:r w:rsidRPr="001825C9">
              <w:t xml:space="preserve">5.75 months </w:t>
            </w:r>
            <w:r w:rsidRPr="001825C9">
              <w:rPr>
                <w:vertAlign w:val="superscript"/>
              </w:rPr>
              <w:t>e</w:t>
            </w:r>
          </w:p>
        </w:tc>
        <w:tc>
          <w:tcPr>
            <w:tcW w:w="1247" w:type="dxa"/>
          </w:tcPr>
          <w:p w:rsidR="00AE46DA" w:rsidRPr="001825C9" w:rsidRDefault="00AE46DA" w:rsidP="00B21F37">
            <w:pPr>
              <w:pStyle w:val="TableText"/>
              <w:keepNext/>
              <w:keepLines/>
              <w:widowControl/>
              <w:cnfStyle w:val="000000000000" w:firstRow="0" w:lastRow="0" w:firstColumn="0" w:lastColumn="0" w:oddVBand="0" w:evenVBand="0" w:oddHBand="0" w:evenHBand="0" w:firstRowFirstColumn="0" w:firstRowLastColumn="0" w:lastRowFirstColumn="0" w:lastRowLastColumn="0"/>
            </w:pPr>
            <w:r w:rsidRPr="001825C9">
              <w:t xml:space="preserve">3.00 months </w:t>
            </w:r>
            <w:r w:rsidRPr="001825C9">
              <w:rPr>
                <w:vertAlign w:val="superscript"/>
              </w:rPr>
              <w:t>d</w:t>
            </w:r>
          </w:p>
        </w:tc>
        <w:tc>
          <w:tcPr>
            <w:tcW w:w="1246" w:type="dxa"/>
          </w:tcPr>
          <w:p w:rsidR="00AE46DA" w:rsidRPr="001825C9" w:rsidRDefault="00AE46DA" w:rsidP="00B21F37">
            <w:pPr>
              <w:pStyle w:val="TableText"/>
              <w:keepNext/>
              <w:keepLines/>
              <w:widowControl/>
              <w:ind w:hanging="18"/>
              <w:cnfStyle w:val="000000000000" w:firstRow="0" w:lastRow="0" w:firstColumn="0" w:lastColumn="0" w:oddVBand="0" w:evenVBand="0" w:oddHBand="0" w:evenHBand="0" w:firstRowFirstColumn="0" w:firstRowLastColumn="0" w:lastRowFirstColumn="0" w:lastRowLastColumn="0"/>
            </w:pPr>
            <w:r w:rsidRPr="001825C9">
              <w:t xml:space="preserve">3.02 months </w:t>
            </w:r>
            <w:r w:rsidRPr="001825C9">
              <w:rPr>
                <w:vertAlign w:val="superscript"/>
              </w:rPr>
              <w:t>e</w:t>
            </w:r>
          </w:p>
        </w:tc>
        <w:tc>
          <w:tcPr>
            <w:tcW w:w="1247" w:type="dxa"/>
          </w:tcPr>
          <w:p w:rsidR="00AE46DA" w:rsidRPr="001825C9" w:rsidRDefault="00AE46DA" w:rsidP="00B21F37">
            <w:pPr>
              <w:pStyle w:val="TableText"/>
              <w:keepNext/>
              <w:keepLines/>
              <w:widowControl/>
              <w:cnfStyle w:val="000000000000" w:firstRow="0" w:lastRow="0" w:firstColumn="0" w:lastColumn="0" w:oddVBand="0" w:evenVBand="0" w:oddHBand="0" w:evenHBand="0" w:firstRowFirstColumn="0" w:firstRowLastColumn="0" w:lastRowFirstColumn="0" w:lastRowLastColumn="0"/>
            </w:pPr>
            <w:r w:rsidRPr="001825C9">
              <w:t xml:space="preserve">2.68 months </w:t>
            </w:r>
            <w:r w:rsidRPr="001825C9">
              <w:rPr>
                <w:vertAlign w:val="superscript"/>
              </w:rPr>
              <w:t>e</w:t>
            </w:r>
          </w:p>
        </w:tc>
      </w:tr>
      <w:tr w:rsidR="00AE46DA" w:rsidRPr="001825C9" w:rsidTr="00B21F37">
        <w:tc>
          <w:tcPr>
            <w:cnfStyle w:val="001000000000" w:firstRow="0" w:lastRow="0" w:firstColumn="1" w:lastColumn="0" w:oddVBand="0" w:evenVBand="0" w:oddHBand="0" w:evenHBand="0" w:firstRowFirstColumn="0" w:firstRowLastColumn="0" w:lastRowFirstColumn="0" w:lastRowLastColumn="0"/>
            <w:tcW w:w="975" w:type="dxa"/>
          </w:tcPr>
          <w:p w:rsidR="00AE46DA" w:rsidRPr="001825C9" w:rsidRDefault="00AE46DA" w:rsidP="00B21F37">
            <w:pPr>
              <w:pStyle w:val="TableText"/>
              <w:keepNext/>
              <w:keepLines/>
              <w:widowControl/>
              <w:ind w:left="-27" w:right="-79" w:hanging="41"/>
              <w:rPr>
                <w:vertAlign w:val="superscript"/>
              </w:rPr>
            </w:pPr>
            <w:r w:rsidRPr="001825C9">
              <w:lastRenderedPageBreak/>
              <w:t xml:space="preserve">Average cost per patient </w:t>
            </w:r>
            <w:r w:rsidRPr="001825C9">
              <w:rPr>
                <w:vertAlign w:val="superscript"/>
              </w:rPr>
              <w:t>d</w:t>
            </w:r>
          </w:p>
        </w:tc>
        <w:tc>
          <w:tcPr>
            <w:tcW w:w="1246" w:type="dxa"/>
          </w:tcPr>
          <w:p w:rsidR="00AE46DA" w:rsidRPr="00B72C43" w:rsidRDefault="00AE46DA" w:rsidP="00B21F37">
            <w:pPr>
              <w:pStyle w:val="TableText"/>
              <w:keepNext/>
              <w:keepLines/>
              <w:widowControl/>
              <w:ind w:left="-44" w:right="-98" w:hanging="40"/>
              <w:cnfStyle w:val="000000000000" w:firstRow="0" w:lastRow="0" w:firstColumn="0" w:lastColumn="0" w:oddVBand="0" w:evenVBand="0" w:oddHBand="0" w:evenHBand="0" w:firstRowFirstColumn="0" w:firstRowLastColumn="0" w:lastRowFirstColumn="0" w:lastRowLastColumn="0"/>
            </w:pPr>
            <w:r w:rsidRPr="001825C9">
              <w:t>Total: $</w:t>
            </w:r>
            <w:r w:rsidR="00B72C43">
              <w:rPr>
                <w:noProof/>
                <w:color w:val="000000"/>
                <w:highlight w:val="black"/>
              </w:rPr>
              <w:t>'''''''''''''''''</w:t>
            </w:r>
          </w:p>
          <w:p w:rsidR="00AE46DA" w:rsidRPr="001825C9" w:rsidRDefault="00AE46DA" w:rsidP="00B21F37">
            <w:pPr>
              <w:pStyle w:val="TableText"/>
              <w:keepNext/>
              <w:keepLines/>
              <w:widowControl/>
              <w:ind w:left="-44" w:right="-98" w:hanging="40"/>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44" w:right="-98" w:hanging="40"/>
              <w:cnfStyle w:val="000000000000" w:firstRow="0" w:lastRow="0" w:firstColumn="0" w:lastColumn="0" w:oddVBand="0" w:evenVBand="0" w:oddHBand="0" w:evenHBand="0" w:firstRowFirstColumn="0" w:firstRowLastColumn="0" w:lastRowFirstColumn="0" w:lastRowLastColumn="0"/>
            </w:pPr>
            <w:r w:rsidRPr="001825C9">
              <w:t>ENCO: $</w:t>
            </w:r>
            <w:r w:rsidR="00B72C43">
              <w:rPr>
                <w:noProof/>
                <w:color w:val="000000"/>
                <w:highlight w:val="black"/>
              </w:rPr>
              <w:t>'''''''''''''''</w:t>
            </w:r>
          </w:p>
          <w:p w:rsidR="00AE46DA" w:rsidRPr="001825C9" w:rsidRDefault="00AE46DA" w:rsidP="00B21F37">
            <w:pPr>
              <w:pStyle w:val="TableText"/>
              <w:keepNext/>
              <w:keepLines/>
              <w:widowControl/>
              <w:ind w:left="-44" w:right="-98" w:hanging="40"/>
              <w:cnfStyle w:val="000000000000" w:firstRow="0" w:lastRow="0" w:firstColumn="0" w:lastColumn="0" w:oddVBand="0" w:evenVBand="0" w:oddHBand="0" w:evenHBand="0" w:firstRowFirstColumn="0" w:firstRowLastColumn="0" w:lastRowFirstColumn="0" w:lastRowLastColumn="0"/>
            </w:pPr>
            <w:r w:rsidRPr="001825C9">
              <w:t>CET: $</w:t>
            </w:r>
            <w:r w:rsidR="00B72C43">
              <w:rPr>
                <w:noProof/>
                <w:color w:val="000000"/>
                <w:highlight w:val="black"/>
              </w:rPr>
              <w:t>''''''''''''''''</w:t>
            </w:r>
          </w:p>
        </w:tc>
        <w:tc>
          <w:tcPr>
            <w:tcW w:w="1247" w:type="dxa"/>
          </w:tcPr>
          <w:p w:rsidR="00AE46DA" w:rsidRPr="001825C9" w:rsidRDefault="00AE46DA" w:rsidP="00B21F37">
            <w:pPr>
              <w:pStyle w:val="TableText"/>
              <w:keepNext/>
              <w:keepLines/>
              <w:widowControl/>
              <w:ind w:left="-14" w:right="-88" w:hanging="42"/>
              <w:cnfStyle w:val="000000000000" w:firstRow="0" w:lastRow="0" w:firstColumn="0" w:lastColumn="0" w:oddVBand="0" w:evenVBand="0" w:oddHBand="0" w:evenHBand="0" w:firstRowFirstColumn="0" w:firstRowLastColumn="0" w:lastRowFirstColumn="0" w:lastRowLastColumn="0"/>
            </w:pPr>
            <w:r w:rsidRPr="001825C9">
              <w:t>Total: $</w:t>
            </w:r>
            <w:r w:rsidR="00B72C43">
              <w:rPr>
                <w:noProof/>
                <w:color w:val="000000"/>
                <w:highlight w:val="black"/>
              </w:rPr>
              <w:t>''''''''''''''''''</w:t>
            </w:r>
          </w:p>
          <w:p w:rsidR="00AE46DA" w:rsidRPr="001825C9" w:rsidRDefault="00AE46DA" w:rsidP="00B21F37">
            <w:pPr>
              <w:pStyle w:val="TableText"/>
              <w:keepNext/>
              <w:keepLines/>
              <w:widowControl/>
              <w:ind w:left="-14" w:right="-88" w:hanging="42"/>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14" w:right="-95" w:hanging="70"/>
              <w:cnfStyle w:val="000000000000" w:firstRow="0" w:lastRow="0" w:firstColumn="0" w:lastColumn="0" w:oddVBand="0" w:evenVBand="0" w:oddHBand="0" w:evenHBand="0" w:firstRowFirstColumn="0" w:firstRowLastColumn="0" w:lastRowFirstColumn="0" w:lastRowLastColumn="0"/>
            </w:pPr>
            <w:r w:rsidRPr="001825C9">
              <w:t>ENCO: $</w:t>
            </w:r>
            <w:r w:rsidR="00B72C43">
              <w:rPr>
                <w:noProof/>
                <w:color w:val="000000"/>
                <w:highlight w:val="black"/>
              </w:rPr>
              <w:t>''''''''''''''''</w:t>
            </w:r>
          </w:p>
          <w:p w:rsidR="00AE46DA" w:rsidRPr="001825C9" w:rsidRDefault="00AE46DA" w:rsidP="00B21F37">
            <w:pPr>
              <w:pStyle w:val="TableText"/>
              <w:keepNext/>
              <w:keepLines/>
              <w:widowControl/>
              <w:ind w:left="-14" w:right="-95" w:hanging="70"/>
              <w:cnfStyle w:val="000000000000" w:firstRow="0" w:lastRow="0" w:firstColumn="0" w:lastColumn="0" w:oddVBand="0" w:evenVBand="0" w:oddHBand="0" w:evenHBand="0" w:firstRowFirstColumn="0" w:firstRowLastColumn="0" w:lastRowFirstColumn="0" w:lastRowLastColumn="0"/>
            </w:pPr>
            <w:r w:rsidRPr="001825C9">
              <w:t>CET: $</w:t>
            </w:r>
            <w:r w:rsidR="00B72C43">
              <w:rPr>
                <w:noProof/>
                <w:color w:val="000000"/>
                <w:highlight w:val="black"/>
              </w:rPr>
              <w:t>'''''''''''''''</w:t>
            </w:r>
          </w:p>
        </w:tc>
        <w:tc>
          <w:tcPr>
            <w:tcW w:w="1246" w:type="dxa"/>
          </w:tcPr>
          <w:p w:rsidR="00AE46DA" w:rsidRPr="001825C9" w:rsidRDefault="00AE46DA" w:rsidP="00B21F37">
            <w:pPr>
              <w:pStyle w:val="TableText"/>
              <w:keepNext/>
              <w:keepLines/>
              <w:widowControl/>
              <w:ind w:left="-56" w:right="-88"/>
              <w:cnfStyle w:val="000000000000" w:firstRow="0" w:lastRow="0" w:firstColumn="0" w:lastColumn="0" w:oddVBand="0" w:evenVBand="0" w:oddHBand="0" w:evenHBand="0" w:firstRowFirstColumn="0" w:firstRowLastColumn="0" w:lastRowFirstColumn="0" w:lastRowLastColumn="0"/>
            </w:pPr>
            <w:r w:rsidRPr="001825C9">
              <w:t>Total: $</w:t>
            </w:r>
            <w:r w:rsidR="00B72C43">
              <w:rPr>
                <w:noProof/>
                <w:color w:val="000000"/>
                <w:highlight w:val="black"/>
              </w:rPr>
              <w:t>''''''''''''''''</w:t>
            </w:r>
          </w:p>
          <w:p w:rsidR="00AE46DA" w:rsidRPr="001825C9" w:rsidRDefault="00AE46DA" w:rsidP="00B21F37">
            <w:pPr>
              <w:pStyle w:val="TableText"/>
              <w:keepNext/>
              <w:keepLines/>
              <w:widowControl/>
              <w:ind w:left="-56" w:right="-88"/>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56" w:right="-88"/>
              <w:cnfStyle w:val="000000000000" w:firstRow="0" w:lastRow="0" w:firstColumn="0" w:lastColumn="0" w:oddVBand="0" w:evenVBand="0" w:oddHBand="0" w:evenHBand="0" w:firstRowFirstColumn="0" w:firstRowLastColumn="0" w:lastRowFirstColumn="0" w:lastRowLastColumn="0"/>
            </w:pPr>
            <w:r w:rsidRPr="001825C9">
              <w:t>ENCO: $</w:t>
            </w:r>
            <w:r w:rsidR="00B72C43">
              <w:rPr>
                <w:noProof/>
                <w:color w:val="000000"/>
                <w:highlight w:val="black"/>
              </w:rPr>
              <w:t>'''''''''''''''</w:t>
            </w:r>
          </w:p>
          <w:p w:rsidR="00AE46DA" w:rsidRPr="001825C9" w:rsidRDefault="00AE46DA" w:rsidP="00B21F37">
            <w:pPr>
              <w:pStyle w:val="TableText"/>
              <w:keepNext/>
              <w:keepLines/>
              <w:widowControl/>
              <w:ind w:left="-56" w:right="-102"/>
              <w:cnfStyle w:val="000000000000" w:firstRow="0" w:lastRow="0" w:firstColumn="0" w:lastColumn="0" w:oddVBand="0" w:evenVBand="0" w:oddHBand="0" w:evenHBand="0" w:firstRowFirstColumn="0" w:firstRowLastColumn="0" w:lastRowFirstColumn="0" w:lastRowLastColumn="0"/>
            </w:pPr>
            <w:r w:rsidRPr="001825C9">
              <w:t>CET: $</w:t>
            </w:r>
            <w:r w:rsidR="00B72C43">
              <w:rPr>
                <w:noProof/>
                <w:color w:val="000000"/>
                <w:highlight w:val="black"/>
              </w:rPr>
              <w:t>'''''''''''''''''</w:t>
            </w:r>
          </w:p>
        </w:tc>
        <w:tc>
          <w:tcPr>
            <w:tcW w:w="1247" w:type="dxa"/>
          </w:tcPr>
          <w:p w:rsidR="00AE46DA" w:rsidRPr="001825C9" w:rsidRDefault="00AE46DA" w:rsidP="00B21F37">
            <w:pPr>
              <w:pStyle w:val="TableText"/>
              <w:keepNext/>
              <w:keepLines/>
              <w:widowControl/>
              <w:ind w:left="-37" w:right="-88" w:hanging="28"/>
              <w:cnfStyle w:val="000000000000" w:firstRow="0" w:lastRow="0" w:firstColumn="0" w:lastColumn="0" w:oddVBand="0" w:evenVBand="0" w:oddHBand="0" w:evenHBand="0" w:firstRowFirstColumn="0" w:firstRowLastColumn="0" w:lastRowFirstColumn="0" w:lastRowLastColumn="0"/>
            </w:pPr>
            <w:r w:rsidRPr="001825C9">
              <w:t>Total: $14,820</w:t>
            </w:r>
          </w:p>
          <w:p w:rsidR="00AE46DA" w:rsidRPr="001825C9" w:rsidRDefault="00AE46D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r w:rsidRPr="001825C9">
              <w:t>CET: $13,850</w:t>
            </w:r>
          </w:p>
          <w:p w:rsidR="00AE46DA" w:rsidRPr="001825C9" w:rsidRDefault="00AE46D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r w:rsidRPr="001825C9">
              <w:t>IRIN: $528</w:t>
            </w:r>
          </w:p>
          <w:p w:rsidR="00AE46DA" w:rsidRPr="001825C9" w:rsidRDefault="0078383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r w:rsidRPr="001825C9">
              <w:t>5FU:</w:t>
            </w:r>
          </w:p>
          <w:p w:rsidR="00AE46DA" w:rsidRPr="001825C9" w:rsidRDefault="00AE46D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r w:rsidRPr="001825C9">
              <w:t>$149 (bolus)</w:t>
            </w:r>
          </w:p>
          <w:p w:rsidR="00AE46DA" w:rsidRPr="001825C9" w:rsidRDefault="00AE46D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r w:rsidRPr="001825C9">
              <w:t>$218 (CIV)</w:t>
            </w:r>
          </w:p>
          <w:p w:rsidR="00AE46DA" w:rsidRPr="001825C9" w:rsidRDefault="00AE46DA" w:rsidP="00B21F37">
            <w:pPr>
              <w:pStyle w:val="TableText"/>
              <w:keepNext/>
              <w:keepLines/>
              <w:widowControl/>
              <w:ind w:left="-37" w:hanging="28"/>
              <w:cnfStyle w:val="000000000000" w:firstRow="0" w:lastRow="0" w:firstColumn="0" w:lastColumn="0" w:oddVBand="0" w:evenVBand="0" w:oddHBand="0" w:evenHBand="0" w:firstRowFirstColumn="0" w:firstRowLastColumn="0" w:lastRowFirstColumn="0" w:lastRowLastColumn="0"/>
            </w:pPr>
            <w:r w:rsidRPr="001825C9">
              <w:t>FA: $75</w:t>
            </w:r>
          </w:p>
        </w:tc>
        <w:tc>
          <w:tcPr>
            <w:tcW w:w="1246" w:type="dxa"/>
          </w:tcPr>
          <w:p w:rsidR="00AE46DA" w:rsidRPr="001825C9" w:rsidRDefault="00AE46DA" w:rsidP="00B21F37">
            <w:pPr>
              <w:pStyle w:val="TableText"/>
              <w:keepNext/>
              <w:keepLines/>
              <w:widowControl/>
              <w:ind w:left="-60" w:right="-88" w:hanging="28"/>
              <w:cnfStyle w:val="000000000000" w:firstRow="0" w:lastRow="0" w:firstColumn="0" w:lastColumn="0" w:oddVBand="0" w:evenVBand="0" w:oddHBand="0" w:evenHBand="0" w:firstRowFirstColumn="0" w:firstRowLastColumn="0" w:lastRowFirstColumn="0" w:lastRowLastColumn="0"/>
            </w:pPr>
            <w:r w:rsidRPr="001825C9">
              <w:t>Total: $</w:t>
            </w:r>
            <w:r w:rsidRPr="006D5154">
              <w:t>13,747</w:t>
            </w: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r w:rsidRPr="001825C9">
              <w:t>CET: $</w:t>
            </w:r>
            <w:r w:rsidRPr="006D5154">
              <w:t>12,806</w:t>
            </w: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r w:rsidRPr="001825C9">
              <w:t>IRIN: $</w:t>
            </w:r>
            <w:r w:rsidRPr="006D5154">
              <w:t>511</w:t>
            </w: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r w:rsidRPr="001825C9">
              <w:t>5FU:</w:t>
            </w: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r w:rsidRPr="001825C9">
              <w:t>$</w:t>
            </w:r>
            <w:r w:rsidRPr="006D5154">
              <w:t>150</w:t>
            </w:r>
            <w:r w:rsidRPr="001825C9">
              <w:t xml:space="preserve"> (bolus)</w:t>
            </w: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r w:rsidRPr="001825C9">
              <w:t>$</w:t>
            </w:r>
            <w:r w:rsidRPr="006D5154">
              <w:t>209</w:t>
            </w:r>
            <w:r w:rsidRPr="001825C9">
              <w:t xml:space="preserve"> (CIV)</w:t>
            </w:r>
          </w:p>
          <w:p w:rsidR="00AE46DA" w:rsidRPr="001825C9" w:rsidRDefault="00AE46DA" w:rsidP="00B21F37">
            <w:pPr>
              <w:pStyle w:val="TableText"/>
              <w:keepNext/>
              <w:keepLines/>
              <w:widowControl/>
              <w:ind w:left="-60" w:hanging="28"/>
              <w:cnfStyle w:val="000000000000" w:firstRow="0" w:lastRow="0" w:firstColumn="0" w:lastColumn="0" w:oddVBand="0" w:evenVBand="0" w:oddHBand="0" w:evenHBand="0" w:firstRowFirstColumn="0" w:firstRowLastColumn="0" w:lastRowFirstColumn="0" w:lastRowLastColumn="0"/>
            </w:pPr>
            <w:r w:rsidRPr="001825C9">
              <w:t>FA: $</w:t>
            </w:r>
            <w:r w:rsidRPr="006D5154">
              <w:t>71</w:t>
            </w:r>
          </w:p>
        </w:tc>
        <w:tc>
          <w:tcPr>
            <w:tcW w:w="1247" w:type="dxa"/>
          </w:tcPr>
          <w:p w:rsidR="00AE46DA" w:rsidRPr="001825C9" w:rsidRDefault="00AE46DA" w:rsidP="00B21F37">
            <w:pPr>
              <w:pStyle w:val="TableText"/>
              <w:keepNext/>
              <w:keepLines/>
              <w:widowControl/>
              <w:ind w:left="-33" w:right="-88" w:hanging="33"/>
              <w:cnfStyle w:val="000000000000" w:firstRow="0" w:lastRow="0" w:firstColumn="0" w:lastColumn="0" w:oddVBand="0" w:evenVBand="0" w:oddHBand="0" w:evenHBand="0" w:firstRowFirstColumn="0" w:firstRowLastColumn="0" w:lastRowFirstColumn="0" w:lastRowLastColumn="0"/>
            </w:pPr>
            <w:r w:rsidRPr="001825C9">
              <w:t>Total: $</w:t>
            </w:r>
            <w:r w:rsidRPr="006D5154">
              <w:t>17,237</w:t>
            </w:r>
          </w:p>
          <w:p w:rsidR="00AE46DA" w:rsidRPr="001825C9" w:rsidRDefault="00AE46D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p>
          <w:p w:rsidR="00AE46DA" w:rsidRPr="001825C9" w:rsidRDefault="00AE46D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r w:rsidRPr="001825C9">
              <w:t>CET: $</w:t>
            </w:r>
            <w:r w:rsidRPr="006D5154">
              <w:t>16,006</w:t>
            </w:r>
          </w:p>
          <w:p w:rsidR="00AE46DA" w:rsidRPr="00B72C43" w:rsidRDefault="00AE46D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r w:rsidRPr="001825C9">
              <w:t>IRIN: $</w:t>
            </w:r>
            <w:r w:rsidRPr="006D5154">
              <w:t>650</w:t>
            </w:r>
          </w:p>
          <w:p w:rsidR="00AE46DA" w:rsidRPr="001825C9" w:rsidRDefault="0078383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r w:rsidRPr="001825C9">
              <w:t>5FU:</w:t>
            </w:r>
          </w:p>
          <w:p w:rsidR="00AE46DA" w:rsidRPr="001825C9" w:rsidRDefault="00AE46D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r w:rsidRPr="001825C9">
              <w:t>$</w:t>
            </w:r>
            <w:r w:rsidRPr="006D5154">
              <w:t>197</w:t>
            </w:r>
            <w:r w:rsidRPr="001825C9">
              <w:t xml:space="preserve"> (bolus)</w:t>
            </w:r>
          </w:p>
          <w:p w:rsidR="00AE46DA" w:rsidRPr="001825C9" w:rsidRDefault="00AE46D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r w:rsidRPr="001825C9">
              <w:t>$</w:t>
            </w:r>
            <w:r w:rsidRPr="006D5154">
              <w:t>289</w:t>
            </w:r>
            <w:r w:rsidRPr="001825C9">
              <w:t xml:space="preserve"> (CIV)</w:t>
            </w:r>
          </w:p>
          <w:p w:rsidR="00AE46DA" w:rsidRPr="001825C9" w:rsidRDefault="00AE46DA" w:rsidP="00B21F37">
            <w:pPr>
              <w:pStyle w:val="TableText"/>
              <w:keepNext/>
              <w:keepLines/>
              <w:widowControl/>
              <w:ind w:left="-33" w:hanging="33"/>
              <w:cnfStyle w:val="000000000000" w:firstRow="0" w:lastRow="0" w:firstColumn="0" w:lastColumn="0" w:oddVBand="0" w:evenVBand="0" w:oddHBand="0" w:evenHBand="0" w:firstRowFirstColumn="0" w:firstRowLastColumn="0" w:lastRowFirstColumn="0" w:lastRowLastColumn="0"/>
            </w:pPr>
            <w:r w:rsidRPr="001825C9">
              <w:t>FA: $</w:t>
            </w:r>
            <w:r w:rsidRPr="006D5154">
              <w:t>93</w:t>
            </w:r>
          </w:p>
        </w:tc>
      </w:tr>
    </w:tbl>
    <w:p w:rsidR="00AE46DA" w:rsidRPr="001825C9" w:rsidRDefault="00AE46DA" w:rsidP="00AE46DA">
      <w:pPr>
        <w:pStyle w:val="TableFooter"/>
        <w:keepNext/>
        <w:keepLines/>
        <w:widowControl/>
        <w:rPr>
          <w:color w:val="000000" w:themeColor="text1"/>
        </w:rPr>
      </w:pPr>
      <w:r w:rsidRPr="001825C9">
        <w:t xml:space="preserve">Note: </w:t>
      </w:r>
      <w:r w:rsidRPr="001825C9">
        <w:rPr>
          <w:vertAlign w:val="superscript"/>
        </w:rPr>
        <w:t xml:space="preserve">a </w:t>
      </w:r>
      <w:r w:rsidRPr="001825C9">
        <w:t xml:space="preserve">55.4% of the cost of 5FU and FA was used to calculate the cost of FOLFIRI/Ir + cetuximab. The BEACON CSR (11 Aug 2019; p305) stated that 107 patients (55.4%) received FOLFIRI and </w:t>
      </w:r>
      <w:r w:rsidRPr="001825C9">
        <w:rPr>
          <w:color w:val="000000" w:themeColor="text1"/>
        </w:rPr>
        <w:t xml:space="preserve">the dose of irinotecan in both regimens was the same (i.e. the difference between the regimens was the addition of 5FU + FA). </w:t>
      </w:r>
    </w:p>
    <w:p w:rsidR="00AE46DA" w:rsidRPr="001825C9" w:rsidRDefault="00AE46DA" w:rsidP="00AE46DA">
      <w:pPr>
        <w:pStyle w:val="TableFooter"/>
        <w:widowControl/>
      </w:pPr>
      <w:r w:rsidRPr="001825C9">
        <w:rPr>
          <w:color w:val="000000" w:themeColor="text1"/>
          <w:vertAlign w:val="superscript"/>
        </w:rPr>
        <w:t xml:space="preserve">b </w:t>
      </w:r>
      <w:r w:rsidRPr="001825C9">
        <w:rPr>
          <w:color w:val="000000" w:themeColor="text1"/>
        </w:rPr>
        <w:t xml:space="preserve">the economic model also considered the ratio of molecule treatment duration to treatment duration, however these values could not be verified during the evaluation. The values presented in the CUA are calculated based on the mean RDI * by the ratio of molecule treatment duration to treatment duration applied in the submission. Sourced from the </w:t>
      </w:r>
      <w:r w:rsidRPr="001825C9">
        <w:t>Section 4 worksheet</w:t>
      </w:r>
    </w:p>
    <w:p w:rsidR="00AE46DA" w:rsidRPr="001825C9" w:rsidRDefault="00AE46DA" w:rsidP="00AE46DA">
      <w:pPr>
        <w:pStyle w:val="TableFooter"/>
        <w:widowControl/>
      </w:pPr>
      <w:r w:rsidRPr="001825C9">
        <w:rPr>
          <w:color w:val="000000" w:themeColor="text1"/>
          <w:vertAlign w:val="superscript"/>
        </w:rPr>
        <w:t xml:space="preserve">c </w:t>
      </w:r>
      <w:r w:rsidRPr="001825C9">
        <w:rPr>
          <w:color w:val="000000" w:themeColor="text1"/>
        </w:rPr>
        <w:t>The cost of cetuximab was assumed to be 250 mg/m</w:t>
      </w:r>
      <w:r w:rsidRPr="001825C9">
        <w:rPr>
          <w:color w:val="000000" w:themeColor="text1"/>
          <w:vertAlign w:val="superscript"/>
        </w:rPr>
        <w:t>2</w:t>
      </w:r>
      <w:r w:rsidRPr="001825C9">
        <w:rPr>
          <w:color w:val="000000" w:themeColor="text1"/>
        </w:rPr>
        <w:t xml:space="preserve"> i.e. the additional 150 mg (to make up the total initial dose of 400 mg/m</w:t>
      </w:r>
      <w:r w:rsidRPr="001825C9">
        <w:rPr>
          <w:color w:val="000000" w:themeColor="text1"/>
          <w:vertAlign w:val="superscript"/>
        </w:rPr>
        <w:t>2</w:t>
      </w:r>
      <w:r w:rsidRPr="001825C9">
        <w:rPr>
          <w:color w:val="000000" w:themeColor="text1"/>
        </w:rPr>
        <w:t xml:space="preserve">) was not considered in the cost calculation. </w:t>
      </w:r>
    </w:p>
    <w:p w:rsidR="00AE46DA" w:rsidRPr="001825C9" w:rsidRDefault="00AE46DA" w:rsidP="00AE46DA">
      <w:pPr>
        <w:pStyle w:val="TableFooter"/>
        <w:widowControl/>
        <w:rPr>
          <w:szCs w:val="18"/>
        </w:rPr>
      </w:pPr>
      <w:r w:rsidRPr="001825C9">
        <w:rPr>
          <w:color w:val="000000" w:themeColor="text1"/>
          <w:vertAlign w:val="superscript"/>
        </w:rPr>
        <w:t>d</w:t>
      </w:r>
      <w:r w:rsidRPr="001825C9">
        <w:rPr>
          <w:szCs w:val="18"/>
        </w:rPr>
        <w:t xml:space="preserve"> The duration of treatment (exposure) was reported in weeks in the Study report, this was converted to months during the evaluation by dividing the duration in weeks by 4.</w:t>
      </w:r>
    </w:p>
    <w:p w:rsidR="00AE46DA" w:rsidRPr="001825C9" w:rsidRDefault="00AE46DA" w:rsidP="00AE46DA">
      <w:pPr>
        <w:pStyle w:val="TableFooter"/>
        <w:widowControl/>
        <w:rPr>
          <w:color w:val="000000" w:themeColor="text1"/>
        </w:rPr>
      </w:pPr>
      <w:r w:rsidRPr="001825C9">
        <w:rPr>
          <w:color w:val="000000" w:themeColor="text1"/>
          <w:vertAlign w:val="superscript"/>
        </w:rPr>
        <w:t xml:space="preserve">e </w:t>
      </w:r>
      <w:r w:rsidRPr="001825C9">
        <w:rPr>
          <w:color w:val="000000" w:themeColor="text1"/>
        </w:rPr>
        <w:t>As per p289 of the submission</w:t>
      </w:r>
    </w:p>
    <w:p w:rsidR="00AE46DA" w:rsidRPr="001825C9" w:rsidRDefault="00AE46DA" w:rsidP="00AE46DA">
      <w:pPr>
        <w:pStyle w:val="TableFooter"/>
        <w:widowControl/>
        <w:rPr>
          <w:color w:val="000000" w:themeColor="text1"/>
        </w:rPr>
      </w:pPr>
      <w:r w:rsidRPr="001825C9">
        <w:rPr>
          <w:color w:val="000000" w:themeColor="text1"/>
        </w:rPr>
        <w:t>Abbreviations: 5FU = 5-fluorouracil; CET = cetuximab; CETUX = cetuximab; CIV = continuous intravenous infusion; CUA = cost utility analysis; ENCO = encorafenib; FA = folinic acid; IRIN = irinotecan</w:t>
      </w:r>
    </w:p>
    <w:p w:rsidR="00AE46DA" w:rsidRPr="001825C9" w:rsidRDefault="00AE46DA" w:rsidP="00AE46DA">
      <w:pPr>
        <w:pStyle w:val="TableFooter"/>
        <w:widowControl/>
      </w:pPr>
      <w:r w:rsidRPr="001825C9">
        <w:t xml:space="preserve">Source: Table 3-16, p 251 of the submission; </w:t>
      </w:r>
      <w:r w:rsidRPr="001825C9">
        <w:rPr>
          <w:color w:val="000000" w:themeColor="text1"/>
          <w:szCs w:val="24"/>
        </w:rPr>
        <w:t xml:space="preserve">Table 3,4 p14,15 BEACON Addendum CSR (15 Aug 2019); </w:t>
      </w:r>
      <w:r w:rsidRPr="001825C9">
        <w:t>Section 4 worksheet</w:t>
      </w:r>
    </w:p>
    <w:p w:rsidR="00AE46DA" w:rsidRPr="001825C9" w:rsidRDefault="00AE46DA" w:rsidP="00321E61">
      <w:pPr>
        <w:pStyle w:val="PBACESHeading2"/>
      </w:pPr>
      <w:bookmarkStart w:id="39" w:name="_Toc413139284"/>
      <w:bookmarkStart w:id="40" w:name="_Toc61968419"/>
      <w:bookmarkStart w:id="41" w:name="_Toc413139286"/>
      <w:r w:rsidRPr="001825C9">
        <w:t>Estimated PBS &amp; financial implications</w:t>
      </w:r>
      <w:bookmarkEnd w:id="39"/>
      <w:bookmarkEnd w:id="40"/>
    </w:p>
    <w:p w:rsidR="00AE46DA" w:rsidRPr="001825C9" w:rsidRDefault="00AE46DA" w:rsidP="00AE46DA">
      <w:pPr>
        <w:pStyle w:val="ListParagraph"/>
      </w:pPr>
      <w:r w:rsidRPr="001825C9">
        <w:t xml:space="preserve">This submission was not considered by DUSC. </w:t>
      </w:r>
      <w:r w:rsidRPr="001825C9">
        <w:rPr>
          <w:color w:val="auto"/>
        </w:rPr>
        <w:t xml:space="preserve">The submission used an epidemiological approach to estimate the market size and the associated financial impact of listing encorafenib + cetuximab on the PBS. This approach was </w:t>
      </w:r>
      <w:r w:rsidRPr="001825C9">
        <w:rPr>
          <w:color w:val="auto"/>
        </w:rPr>
        <w:lastRenderedPageBreak/>
        <w:t xml:space="preserve">consistent with the primary clinical evidence but inconsistent with the requested PBS listing, which was for encorafenib + an EGFR inhibitor (i.e. not including </w:t>
      </w:r>
      <w:r w:rsidR="00B86C80" w:rsidRPr="001825C9">
        <w:rPr>
          <w:color w:val="auto"/>
        </w:rPr>
        <w:t xml:space="preserve">combination use with </w:t>
      </w:r>
      <w:r w:rsidRPr="001825C9">
        <w:rPr>
          <w:color w:val="auto"/>
        </w:rPr>
        <w:t>panitumumab).</w:t>
      </w:r>
    </w:p>
    <w:p w:rsidR="00AE46DA" w:rsidRPr="001825C9" w:rsidRDefault="00AE46DA" w:rsidP="00AE46DA">
      <w:pPr>
        <w:pStyle w:val="ListParagraph"/>
      </w:pPr>
      <w:r w:rsidRPr="001825C9">
        <w:t xml:space="preserve">The submission assumed that encorafenib + cetuximab would draw </w:t>
      </w:r>
      <w:r w:rsidR="00B72C43">
        <w:rPr>
          <w:noProof/>
          <w:color w:val="000000"/>
          <w:highlight w:val="black"/>
        </w:rPr>
        <w:t>''''''</w:t>
      </w:r>
      <w:r w:rsidRPr="001825C9">
        <w:t xml:space="preserve">% of its market share from FOLFIRI/Ir + cetuximab and possibly the remaining </w:t>
      </w:r>
      <w:r w:rsidR="00B72C43">
        <w:rPr>
          <w:noProof/>
          <w:color w:val="000000"/>
          <w:highlight w:val="black"/>
        </w:rPr>
        <w:t>'''''</w:t>
      </w:r>
      <w:r w:rsidRPr="001825C9">
        <w:t xml:space="preserve">% from FOLFIRI + bevacizumab. The submission did not provide any justification for the proposed market share, and replacement of FOLFIRI + bevacizumab was not consistent with the comparator section or clinical evidence presented. Furthermore, the utilisation of bevacizumab in the second-line Australian setting is minimal. </w:t>
      </w:r>
      <w:r w:rsidRPr="001825C9">
        <w:rPr>
          <w:color w:val="auto"/>
        </w:rPr>
        <w:t>The ESCs considered this approach did not reflect the appropriate comparator for this intervention.</w:t>
      </w:r>
    </w:p>
    <w:p w:rsidR="00AE46DA" w:rsidRPr="001825C9" w:rsidRDefault="00AE46DA" w:rsidP="00AE46DA">
      <w:pPr>
        <w:pStyle w:val="ListParagraph"/>
      </w:pPr>
      <w:r w:rsidRPr="001825C9">
        <w:t>The sources of data and methods applied by the submission to derive the financial estimates are summaries in Table 17.</w:t>
      </w:r>
    </w:p>
    <w:p w:rsidR="00AE46DA" w:rsidRPr="001825C9" w:rsidRDefault="00AE46DA" w:rsidP="00F0739D">
      <w:pPr>
        <w:pStyle w:val="Caption"/>
        <w:keepLines/>
      </w:pPr>
      <w:r w:rsidRPr="001825C9">
        <w:t>Table 17: Data sources used to calculate the financial impact of encorafenib + cetuximab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120"/>
        <w:gridCol w:w="1845"/>
        <w:gridCol w:w="2692"/>
        <w:gridCol w:w="2359"/>
      </w:tblGrid>
      <w:tr w:rsidR="00AE46DA" w:rsidRPr="001825C9" w:rsidTr="00EF4EC7">
        <w:trPr>
          <w:cantSplit/>
          <w:tblHeader/>
        </w:trPr>
        <w:tc>
          <w:tcPr>
            <w:tcW w:w="1176" w:type="pct"/>
            <w:vAlign w:val="center"/>
          </w:tcPr>
          <w:p w:rsidR="00AE46DA" w:rsidRPr="001825C9" w:rsidRDefault="00AE46DA" w:rsidP="00F0739D">
            <w:pPr>
              <w:pStyle w:val="TableText"/>
              <w:keepNext/>
              <w:keepLines/>
              <w:widowControl/>
              <w:spacing w:before="0" w:after="0" w:line="240" w:lineRule="auto"/>
              <w:rPr>
                <w:b/>
              </w:rPr>
            </w:pPr>
            <w:r w:rsidRPr="001825C9">
              <w:rPr>
                <w:b/>
              </w:rPr>
              <w:t>Data</w:t>
            </w:r>
          </w:p>
        </w:tc>
        <w:tc>
          <w:tcPr>
            <w:tcW w:w="1023" w:type="pct"/>
            <w:vAlign w:val="center"/>
          </w:tcPr>
          <w:p w:rsidR="00AE46DA" w:rsidRPr="001825C9" w:rsidRDefault="00AE46DA" w:rsidP="00F0739D">
            <w:pPr>
              <w:pStyle w:val="TableText"/>
              <w:keepNext/>
              <w:keepLines/>
              <w:widowControl/>
              <w:spacing w:before="0" w:after="0" w:line="240" w:lineRule="auto"/>
              <w:rPr>
                <w:b/>
              </w:rPr>
            </w:pPr>
            <w:r w:rsidRPr="001825C9">
              <w:rPr>
                <w:b/>
              </w:rPr>
              <w:t>Value</w:t>
            </w:r>
          </w:p>
        </w:tc>
        <w:tc>
          <w:tcPr>
            <w:tcW w:w="1493" w:type="pct"/>
          </w:tcPr>
          <w:p w:rsidR="00AE46DA" w:rsidRPr="001825C9" w:rsidRDefault="00AE46DA" w:rsidP="00F0739D">
            <w:pPr>
              <w:pStyle w:val="TableText"/>
              <w:keepNext/>
              <w:keepLines/>
              <w:widowControl/>
              <w:spacing w:before="0" w:after="0" w:line="240" w:lineRule="auto"/>
              <w:rPr>
                <w:b/>
              </w:rPr>
            </w:pPr>
            <w:r w:rsidRPr="001825C9">
              <w:rPr>
                <w:b/>
              </w:rPr>
              <w:t>Source</w:t>
            </w:r>
          </w:p>
        </w:tc>
        <w:tc>
          <w:tcPr>
            <w:tcW w:w="1308" w:type="pct"/>
          </w:tcPr>
          <w:p w:rsidR="00AE46DA" w:rsidRPr="001825C9" w:rsidRDefault="00AE46DA" w:rsidP="00F0739D">
            <w:pPr>
              <w:pStyle w:val="TableText"/>
              <w:keepNext/>
              <w:keepLines/>
              <w:widowControl/>
              <w:spacing w:before="0" w:after="0" w:line="240" w:lineRule="auto"/>
              <w:rPr>
                <w:b/>
              </w:rPr>
            </w:pPr>
            <w:r w:rsidRPr="001825C9">
              <w:rPr>
                <w:b/>
              </w:rPr>
              <w:t>Comment</w:t>
            </w:r>
          </w:p>
        </w:tc>
      </w:tr>
      <w:tr w:rsidR="00AE46DA" w:rsidRPr="001825C9" w:rsidTr="00B21F37">
        <w:trPr>
          <w:cantSplit/>
        </w:trPr>
        <w:tc>
          <w:tcPr>
            <w:tcW w:w="5000" w:type="pct"/>
            <w:gridSpan w:val="4"/>
            <w:vAlign w:val="center"/>
          </w:tcPr>
          <w:p w:rsidR="00AE46DA" w:rsidRPr="001825C9" w:rsidRDefault="00AE46DA" w:rsidP="00F0739D">
            <w:pPr>
              <w:pStyle w:val="TableText"/>
              <w:keepNext/>
              <w:keepLines/>
              <w:widowControl/>
              <w:spacing w:before="0" w:after="0" w:line="240" w:lineRule="auto"/>
              <w:rPr>
                <w:b/>
              </w:rPr>
            </w:pPr>
            <w:r w:rsidRPr="001825C9">
              <w:rPr>
                <w:b/>
              </w:rPr>
              <w:t>Epidemiological data (estimation of eligible population)</w:t>
            </w:r>
          </w:p>
        </w:tc>
      </w:tr>
      <w:tr w:rsidR="00F0739D" w:rsidRPr="001825C9" w:rsidTr="00B21F37">
        <w:trPr>
          <w:cantSplit/>
        </w:trPr>
        <w:tc>
          <w:tcPr>
            <w:tcW w:w="5000" w:type="pct"/>
            <w:gridSpan w:val="4"/>
            <w:vAlign w:val="center"/>
          </w:tcPr>
          <w:p w:rsidR="00F0739D" w:rsidRPr="001825C9" w:rsidRDefault="00F0739D" w:rsidP="00F0739D">
            <w:pPr>
              <w:pStyle w:val="TableText"/>
              <w:keepNext/>
              <w:keepLines/>
              <w:widowControl/>
              <w:spacing w:before="0" w:after="0" w:line="240" w:lineRule="auto"/>
              <w:rPr>
                <w:b/>
              </w:rPr>
            </w:pPr>
          </w:p>
        </w:tc>
      </w:tr>
      <w:tr w:rsidR="00AE46DA" w:rsidRPr="001825C9" w:rsidTr="00EF4EC7">
        <w:trPr>
          <w:cantSplit/>
        </w:trPr>
        <w:tc>
          <w:tcPr>
            <w:tcW w:w="1176" w:type="pct"/>
          </w:tcPr>
          <w:p w:rsidR="00AE46DA" w:rsidRPr="001825C9" w:rsidRDefault="00AE46DA" w:rsidP="00F0739D">
            <w:pPr>
              <w:pStyle w:val="TableText"/>
              <w:keepNext/>
              <w:keepLines/>
              <w:widowControl/>
              <w:spacing w:before="0" w:after="0" w:line="240" w:lineRule="auto"/>
            </w:pPr>
            <w:r w:rsidRPr="001825C9">
              <w:t>Incident rate</w:t>
            </w:r>
          </w:p>
        </w:tc>
        <w:tc>
          <w:tcPr>
            <w:tcW w:w="1023" w:type="pct"/>
          </w:tcPr>
          <w:p w:rsidR="00AE46DA" w:rsidRPr="001825C9" w:rsidRDefault="00AE46DA" w:rsidP="00F0739D">
            <w:pPr>
              <w:pStyle w:val="TableText"/>
              <w:keepNext/>
              <w:keepLines/>
              <w:widowControl/>
              <w:spacing w:before="0" w:after="0" w:line="240" w:lineRule="auto"/>
            </w:pPr>
            <w:r w:rsidRPr="001825C9">
              <w:t>0.08%</w:t>
            </w:r>
          </w:p>
        </w:tc>
        <w:tc>
          <w:tcPr>
            <w:tcW w:w="1493" w:type="pct"/>
          </w:tcPr>
          <w:p w:rsidR="00AE46DA" w:rsidRPr="001825C9" w:rsidRDefault="00AE46DA" w:rsidP="00F0739D">
            <w:pPr>
              <w:pStyle w:val="TableText"/>
              <w:keepNext/>
              <w:keepLines/>
              <w:widowControl/>
              <w:spacing w:before="0" w:after="0" w:line="240" w:lineRule="auto"/>
            </w:pPr>
            <w:r w:rsidRPr="001825C9">
              <w:t>AIHW, 2019 (AIHW,</w:t>
            </w:r>
          </w:p>
          <w:p w:rsidR="00AE46DA" w:rsidRPr="001825C9" w:rsidRDefault="00AE46DA" w:rsidP="00F0739D">
            <w:pPr>
              <w:pStyle w:val="TableText"/>
              <w:keepNext/>
              <w:keepLines/>
              <w:widowControl/>
              <w:spacing w:before="0" w:after="0" w:line="240" w:lineRule="auto"/>
            </w:pPr>
            <w:r w:rsidRPr="001825C9">
              <w:t>2019). Calculated from the 2019 data using the total adult population and the estimated number of incident colorectal cancer cases, 16,398.</w:t>
            </w:r>
          </w:p>
        </w:tc>
        <w:tc>
          <w:tcPr>
            <w:tcW w:w="1308" w:type="pct"/>
          </w:tcPr>
          <w:p w:rsidR="00AE46DA" w:rsidRPr="001825C9" w:rsidRDefault="00AE46DA" w:rsidP="00F0739D">
            <w:pPr>
              <w:pStyle w:val="TableText"/>
              <w:keepNext/>
              <w:keepLines/>
              <w:widowControl/>
              <w:spacing w:before="0" w:after="0" w:line="240" w:lineRule="auto"/>
            </w:pPr>
            <w:r w:rsidRPr="001825C9">
              <w:t>The source was appropriate.</w:t>
            </w:r>
          </w:p>
        </w:tc>
      </w:tr>
      <w:tr w:rsidR="00AE46DA" w:rsidRPr="001825C9" w:rsidTr="00EF4EC7">
        <w:trPr>
          <w:cantSplit/>
        </w:trPr>
        <w:tc>
          <w:tcPr>
            <w:tcW w:w="1176" w:type="pct"/>
          </w:tcPr>
          <w:p w:rsidR="00AE46DA" w:rsidRPr="001825C9" w:rsidRDefault="00AE46DA" w:rsidP="00F0739D">
            <w:pPr>
              <w:pStyle w:val="TableText"/>
              <w:keepNext/>
              <w:keepLines/>
              <w:widowControl/>
              <w:spacing w:before="0" w:after="0" w:line="240" w:lineRule="auto"/>
            </w:pPr>
            <w:r w:rsidRPr="001825C9">
              <w:t>Incidence of colorectal cancer</w:t>
            </w:r>
          </w:p>
        </w:tc>
        <w:tc>
          <w:tcPr>
            <w:tcW w:w="1023" w:type="pct"/>
          </w:tcPr>
          <w:p w:rsidR="00AE46DA" w:rsidRPr="00970A3B" w:rsidRDefault="00AE46DA" w:rsidP="00F0739D">
            <w:pPr>
              <w:pStyle w:val="TableText"/>
              <w:keepNext/>
              <w:keepLines/>
              <w:widowControl/>
              <w:spacing w:before="0" w:after="0" w:line="240" w:lineRule="auto"/>
            </w:pPr>
            <w:r w:rsidRPr="001825C9">
              <w:t xml:space="preserve">Yr 1: </w:t>
            </w:r>
            <w:r w:rsidR="00B72C43">
              <w:rPr>
                <w:noProof/>
                <w:color w:val="000000"/>
                <w:highlight w:val="black"/>
              </w:rPr>
              <w:t>'''''''''''''''</w:t>
            </w:r>
            <w:r w:rsidR="00970A3B" w:rsidRPr="00970A3B">
              <w:rPr>
                <w:vertAlign w:val="superscript"/>
              </w:rPr>
              <w:t>1</w:t>
            </w:r>
          </w:p>
          <w:p w:rsidR="00AE46DA" w:rsidRPr="001825C9" w:rsidRDefault="00AE46DA" w:rsidP="00F0739D">
            <w:pPr>
              <w:pStyle w:val="TableText"/>
              <w:keepNext/>
              <w:keepLines/>
              <w:widowControl/>
              <w:spacing w:before="0" w:after="0" w:line="240" w:lineRule="auto"/>
            </w:pPr>
            <w:r w:rsidRPr="001825C9">
              <w:t xml:space="preserve">Yr 2: </w:t>
            </w:r>
            <w:r w:rsidR="00B72C43">
              <w:rPr>
                <w:noProof/>
                <w:color w:val="000000"/>
                <w:highlight w:val="black"/>
              </w:rPr>
              <w:t>'''''''''''''''''</w:t>
            </w:r>
            <w:r w:rsidR="00970A3B" w:rsidRPr="00970A3B">
              <w:rPr>
                <w:vertAlign w:val="superscript"/>
              </w:rPr>
              <w:t>1</w:t>
            </w:r>
          </w:p>
          <w:p w:rsidR="00AE46DA" w:rsidRPr="001825C9" w:rsidRDefault="00AE46DA" w:rsidP="00F0739D">
            <w:pPr>
              <w:pStyle w:val="TableText"/>
              <w:keepNext/>
              <w:keepLines/>
              <w:widowControl/>
              <w:spacing w:before="0" w:after="0" w:line="240" w:lineRule="auto"/>
            </w:pPr>
            <w:r w:rsidRPr="001825C9">
              <w:t xml:space="preserve">Yr 3: </w:t>
            </w:r>
            <w:r w:rsidR="00B72C43">
              <w:rPr>
                <w:noProof/>
                <w:color w:val="000000"/>
                <w:highlight w:val="black"/>
              </w:rPr>
              <w:t>''''''''''''''''</w:t>
            </w:r>
            <w:r w:rsidR="00970A3B" w:rsidRPr="00970A3B">
              <w:rPr>
                <w:vertAlign w:val="superscript"/>
              </w:rPr>
              <w:t>1</w:t>
            </w:r>
          </w:p>
          <w:p w:rsidR="00AE46DA" w:rsidRPr="001825C9" w:rsidRDefault="00AE46DA" w:rsidP="00F0739D">
            <w:pPr>
              <w:pStyle w:val="TableText"/>
              <w:keepNext/>
              <w:keepLines/>
              <w:widowControl/>
              <w:spacing w:before="0" w:after="0" w:line="240" w:lineRule="auto"/>
            </w:pPr>
            <w:r w:rsidRPr="001825C9">
              <w:t xml:space="preserve">Yr 4: </w:t>
            </w:r>
            <w:r w:rsidR="00B72C43">
              <w:rPr>
                <w:noProof/>
                <w:color w:val="000000"/>
                <w:highlight w:val="black"/>
              </w:rPr>
              <w:t>'''''''''''''''</w:t>
            </w:r>
            <w:r w:rsidR="00970A3B" w:rsidRPr="00970A3B">
              <w:rPr>
                <w:vertAlign w:val="superscript"/>
              </w:rPr>
              <w:t>1</w:t>
            </w:r>
          </w:p>
          <w:p w:rsidR="00AE46DA" w:rsidRPr="001825C9" w:rsidRDefault="00AE46DA" w:rsidP="00F0739D">
            <w:pPr>
              <w:pStyle w:val="TableText"/>
              <w:keepNext/>
              <w:keepLines/>
              <w:widowControl/>
              <w:spacing w:before="0" w:after="0" w:line="240" w:lineRule="auto"/>
            </w:pPr>
            <w:r w:rsidRPr="001825C9">
              <w:t xml:space="preserve">Yr 5: </w:t>
            </w:r>
            <w:r w:rsidR="00B72C43">
              <w:rPr>
                <w:noProof/>
                <w:color w:val="000000"/>
                <w:highlight w:val="black"/>
              </w:rPr>
              <w:t>'''''''''''''''''</w:t>
            </w:r>
            <w:r w:rsidR="00970A3B" w:rsidRPr="00970A3B">
              <w:rPr>
                <w:vertAlign w:val="superscript"/>
              </w:rPr>
              <w:t>1</w:t>
            </w:r>
          </w:p>
          <w:p w:rsidR="00AE46DA" w:rsidRPr="001825C9" w:rsidRDefault="00AE46DA" w:rsidP="00F0739D">
            <w:pPr>
              <w:pStyle w:val="TableText"/>
              <w:keepNext/>
              <w:keepLines/>
              <w:widowControl/>
              <w:spacing w:before="0" w:after="0" w:line="240" w:lineRule="auto"/>
            </w:pPr>
            <w:r w:rsidRPr="001825C9">
              <w:t xml:space="preserve">Yr 6: </w:t>
            </w:r>
            <w:r w:rsidR="00B72C43">
              <w:rPr>
                <w:noProof/>
                <w:color w:val="000000"/>
                <w:highlight w:val="black"/>
              </w:rPr>
              <w:t>'''''''''''''''</w:t>
            </w:r>
            <w:r w:rsidR="00970A3B" w:rsidRPr="00970A3B">
              <w:rPr>
                <w:vertAlign w:val="superscript"/>
              </w:rPr>
              <w:t>1</w:t>
            </w:r>
          </w:p>
        </w:tc>
        <w:tc>
          <w:tcPr>
            <w:tcW w:w="1493" w:type="pct"/>
          </w:tcPr>
          <w:p w:rsidR="00AE46DA" w:rsidRPr="001825C9" w:rsidRDefault="00AE46DA" w:rsidP="00F0739D">
            <w:pPr>
              <w:pStyle w:val="TableText"/>
              <w:keepNext/>
              <w:keepLines/>
              <w:widowControl/>
              <w:spacing w:before="0" w:after="0" w:line="240" w:lineRule="auto"/>
            </w:pPr>
            <w:r w:rsidRPr="001825C9">
              <w:t>Calculated as a product of the incident rate and the projected number of adult population for a particular year.</w:t>
            </w:r>
          </w:p>
        </w:tc>
        <w:tc>
          <w:tcPr>
            <w:tcW w:w="1308" w:type="pct"/>
          </w:tcPr>
          <w:p w:rsidR="00AE46DA" w:rsidRPr="001825C9" w:rsidRDefault="00AE46DA" w:rsidP="00F0739D">
            <w:pPr>
              <w:pStyle w:val="TableText"/>
              <w:keepNext/>
              <w:keepLines/>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F0739D">
            <w:pPr>
              <w:pStyle w:val="TableText"/>
              <w:keepNext/>
              <w:keepLines/>
              <w:widowControl/>
              <w:spacing w:before="0" w:after="0" w:line="240" w:lineRule="auto"/>
            </w:pPr>
            <w:r w:rsidRPr="001825C9">
              <w:lastRenderedPageBreak/>
              <w:t>Rate of colorectal cases to develop metastatic disease</w:t>
            </w:r>
          </w:p>
        </w:tc>
        <w:tc>
          <w:tcPr>
            <w:tcW w:w="1023" w:type="pct"/>
          </w:tcPr>
          <w:p w:rsidR="00AE46DA" w:rsidRPr="001825C9" w:rsidRDefault="00AE46DA" w:rsidP="00F0739D">
            <w:pPr>
              <w:pStyle w:val="TableText"/>
              <w:keepNext/>
              <w:keepLines/>
              <w:widowControl/>
              <w:spacing w:before="0" w:after="0" w:line="240" w:lineRule="auto"/>
            </w:pPr>
            <w:r w:rsidRPr="001825C9">
              <w:t>26.4%</w:t>
            </w:r>
          </w:p>
        </w:tc>
        <w:tc>
          <w:tcPr>
            <w:tcW w:w="1493" w:type="pct"/>
          </w:tcPr>
          <w:p w:rsidR="00AE46DA" w:rsidRPr="001825C9" w:rsidRDefault="00A8257F" w:rsidP="00F0739D">
            <w:pPr>
              <w:pStyle w:val="TableText"/>
              <w:keepNext/>
              <w:keepLines/>
              <w:widowControl/>
              <w:spacing w:before="0" w:after="0" w:line="240" w:lineRule="auto"/>
            </w:pPr>
            <w:r w:rsidRPr="001825C9">
              <w:t>Luo et al, 2017</w:t>
            </w:r>
          </w:p>
        </w:tc>
        <w:tc>
          <w:tcPr>
            <w:tcW w:w="1308" w:type="pct"/>
          </w:tcPr>
          <w:p w:rsidR="00AE46DA" w:rsidRPr="001825C9" w:rsidRDefault="00AE46DA" w:rsidP="00F0739D">
            <w:pPr>
              <w:pStyle w:val="TableText"/>
              <w:keepNext/>
              <w:keepLines/>
              <w:widowControl/>
              <w:spacing w:before="0" w:after="0" w:line="240" w:lineRule="auto"/>
            </w:pPr>
            <w:r w:rsidRPr="001825C9">
              <w:t>The source appears to be appropriate.</w:t>
            </w:r>
          </w:p>
        </w:tc>
      </w:tr>
      <w:tr w:rsidR="00AE46DA" w:rsidRPr="001825C9" w:rsidTr="00EF4EC7">
        <w:trPr>
          <w:cantSplit/>
        </w:trPr>
        <w:tc>
          <w:tcPr>
            <w:tcW w:w="1176" w:type="pct"/>
          </w:tcPr>
          <w:p w:rsidR="00AE46DA" w:rsidRPr="001825C9" w:rsidRDefault="00AE46DA" w:rsidP="00F0739D">
            <w:pPr>
              <w:pStyle w:val="TableText"/>
              <w:keepNext/>
              <w:keepLines/>
              <w:widowControl/>
              <w:spacing w:before="0" w:after="0" w:line="240" w:lineRule="auto"/>
            </w:pPr>
            <w:r w:rsidRPr="001825C9">
              <w:t>Incident of mCRC</w:t>
            </w:r>
          </w:p>
        </w:tc>
        <w:tc>
          <w:tcPr>
            <w:tcW w:w="1023" w:type="pct"/>
          </w:tcPr>
          <w:p w:rsidR="00AE46DA" w:rsidRPr="001825C9" w:rsidRDefault="00AE46DA" w:rsidP="00F0739D">
            <w:pPr>
              <w:pStyle w:val="TableText"/>
              <w:keepNext/>
              <w:keepLines/>
              <w:widowControl/>
              <w:spacing w:before="0" w:after="0" w:line="240" w:lineRule="auto"/>
            </w:pPr>
            <w:r w:rsidRPr="001825C9">
              <w:t xml:space="preserve">Yr 1: </w:t>
            </w:r>
            <w:r w:rsidR="00B72C43">
              <w:rPr>
                <w:noProof/>
                <w:color w:val="000000"/>
                <w:highlight w:val="black"/>
              </w:rPr>
              <w:t>''''''''''''</w:t>
            </w:r>
            <w:r w:rsidR="00970A3B">
              <w:rPr>
                <w:vertAlign w:val="superscript"/>
              </w:rPr>
              <w:t>2</w:t>
            </w:r>
          </w:p>
          <w:p w:rsidR="00AE46DA" w:rsidRPr="001825C9" w:rsidRDefault="00AE46DA" w:rsidP="00F0739D">
            <w:pPr>
              <w:pStyle w:val="TableText"/>
              <w:keepNext/>
              <w:keepLines/>
              <w:widowControl/>
              <w:spacing w:before="0" w:after="0" w:line="240" w:lineRule="auto"/>
            </w:pPr>
            <w:r w:rsidRPr="001825C9">
              <w:t xml:space="preserve">Yr 2: </w:t>
            </w:r>
            <w:r w:rsidR="00B72C43">
              <w:rPr>
                <w:noProof/>
                <w:color w:val="000000"/>
                <w:highlight w:val="black"/>
              </w:rPr>
              <w:t>'''''''''''''</w:t>
            </w:r>
            <w:r w:rsidR="00970A3B">
              <w:rPr>
                <w:vertAlign w:val="superscript"/>
              </w:rPr>
              <w:t>2</w:t>
            </w:r>
          </w:p>
          <w:p w:rsidR="00AE46DA" w:rsidRPr="001825C9" w:rsidRDefault="00AE46DA" w:rsidP="00F0739D">
            <w:pPr>
              <w:pStyle w:val="TableText"/>
              <w:keepNext/>
              <w:keepLines/>
              <w:widowControl/>
              <w:spacing w:before="0" w:after="0" w:line="240" w:lineRule="auto"/>
            </w:pPr>
            <w:r w:rsidRPr="001825C9">
              <w:t xml:space="preserve">Yr 3: </w:t>
            </w:r>
            <w:r w:rsidR="00B72C43">
              <w:rPr>
                <w:noProof/>
                <w:color w:val="000000"/>
                <w:highlight w:val="black"/>
              </w:rPr>
              <w:t>''''''''''''''</w:t>
            </w:r>
            <w:r w:rsidR="00970A3B">
              <w:rPr>
                <w:vertAlign w:val="superscript"/>
              </w:rPr>
              <w:t>2</w:t>
            </w:r>
          </w:p>
          <w:p w:rsidR="00AE46DA" w:rsidRPr="001825C9" w:rsidRDefault="00AE46DA" w:rsidP="00F0739D">
            <w:pPr>
              <w:pStyle w:val="TableText"/>
              <w:keepNext/>
              <w:keepLines/>
              <w:widowControl/>
              <w:spacing w:before="0" w:after="0" w:line="240" w:lineRule="auto"/>
            </w:pPr>
            <w:r w:rsidRPr="001825C9">
              <w:t xml:space="preserve">Yr 4: </w:t>
            </w:r>
            <w:r w:rsidR="00B72C43">
              <w:rPr>
                <w:noProof/>
                <w:color w:val="000000"/>
                <w:highlight w:val="black"/>
              </w:rPr>
              <w:t>'''''''''''''</w:t>
            </w:r>
            <w:r w:rsidR="00970A3B">
              <w:rPr>
                <w:vertAlign w:val="superscript"/>
              </w:rPr>
              <w:t>2</w:t>
            </w:r>
          </w:p>
          <w:p w:rsidR="00AE46DA" w:rsidRPr="001825C9" w:rsidRDefault="00AE46DA" w:rsidP="00F0739D">
            <w:pPr>
              <w:pStyle w:val="TableText"/>
              <w:keepNext/>
              <w:keepLines/>
              <w:widowControl/>
              <w:spacing w:before="0" w:after="0" w:line="240" w:lineRule="auto"/>
            </w:pPr>
            <w:r w:rsidRPr="001825C9">
              <w:t xml:space="preserve">Yr 5: </w:t>
            </w:r>
            <w:r w:rsidR="00B72C43">
              <w:rPr>
                <w:noProof/>
                <w:color w:val="000000"/>
                <w:highlight w:val="black"/>
              </w:rPr>
              <w:t>'''''''''''''</w:t>
            </w:r>
            <w:r w:rsidR="00970A3B">
              <w:rPr>
                <w:vertAlign w:val="superscript"/>
              </w:rPr>
              <w:t>2</w:t>
            </w:r>
          </w:p>
          <w:p w:rsidR="00AE46DA" w:rsidRPr="001825C9" w:rsidRDefault="00AE46DA" w:rsidP="00F0739D">
            <w:pPr>
              <w:pStyle w:val="TableText"/>
              <w:keepNext/>
              <w:keepLines/>
              <w:widowControl/>
              <w:spacing w:before="0" w:after="0" w:line="240" w:lineRule="auto"/>
            </w:pPr>
            <w:r w:rsidRPr="001825C9">
              <w:t xml:space="preserve">Yr 6: </w:t>
            </w:r>
            <w:r w:rsidR="00B72C43">
              <w:rPr>
                <w:noProof/>
                <w:color w:val="000000"/>
                <w:highlight w:val="black"/>
              </w:rPr>
              <w:t>''''''''''''</w:t>
            </w:r>
            <w:r w:rsidR="00970A3B">
              <w:rPr>
                <w:vertAlign w:val="superscript"/>
              </w:rPr>
              <w:t>2</w:t>
            </w:r>
          </w:p>
        </w:tc>
        <w:tc>
          <w:tcPr>
            <w:tcW w:w="1493" w:type="pct"/>
          </w:tcPr>
          <w:p w:rsidR="00AE46DA" w:rsidRPr="001825C9" w:rsidRDefault="00AE46DA" w:rsidP="00F0739D">
            <w:pPr>
              <w:pStyle w:val="TableText"/>
              <w:keepNext/>
              <w:keepLines/>
              <w:widowControl/>
              <w:spacing w:before="0" w:after="0" w:line="240" w:lineRule="auto"/>
            </w:pPr>
            <w:r w:rsidRPr="001825C9">
              <w:t>Calculated as a product of estimated incident cases of CRC and rate of metastatic disease.</w:t>
            </w:r>
          </w:p>
        </w:tc>
        <w:tc>
          <w:tcPr>
            <w:tcW w:w="1308" w:type="pct"/>
          </w:tcPr>
          <w:p w:rsidR="00AE46DA" w:rsidRPr="001825C9" w:rsidRDefault="00AE46DA" w:rsidP="00F0739D">
            <w:pPr>
              <w:pStyle w:val="TableText"/>
              <w:keepNext/>
              <w:keepLines/>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F0739D">
            <w:pPr>
              <w:pStyle w:val="TableText"/>
              <w:keepNext/>
              <w:keepLines/>
              <w:widowControl/>
              <w:spacing w:before="0" w:after="0" w:line="240" w:lineRule="auto"/>
            </w:pPr>
            <w:r w:rsidRPr="001825C9">
              <w:t xml:space="preserve">Rate of mCRC patients that have a </w:t>
            </w:r>
            <w:r w:rsidRPr="001825C9">
              <w:rPr>
                <w:i/>
                <w:iCs/>
              </w:rPr>
              <w:t xml:space="preserve">BRAF </w:t>
            </w:r>
            <w:r w:rsidR="0090484C" w:rsidRPr="001825C9">
              <w:rPr>
                <w:iCs/>
              </w:rPr>
              <w:t>V600E</w:t>
            </w:r>
            <w:r w:rsidRPr="001825C9">
              <w:t xml:space="preserve"> variant</w:t>
            </w:r>
          </w:p>
        </w:tc>
        <w:tc>
          <w:tcPr>
            <w:tcW w:w="1023" w:type="pct"/>
          </w:tcPr>
          <w:p w:rsidR="00AE46DA" w:rsidRPr="001825C9" w:rsidRDefault="00AE46DA" w:rsidP="00F0739D">
            <w:pPr>
              <w:pStyle w:val="TableText"/>
              <w:keepNext/>
              <w:keepLines/>
              <w:widowControl/>
              <w:spacing w:before="0" w:after="0" w:line="240" w:lineRule="auto"/>
            </w:pPr>
            <w:r w:rsidRPr="001825C9">
              <w:t>10%</w:t>
            </w:r>
          </w:p>
        </w:tc>
        <w:tc>
          <w:tcPr>
            <w:tcW w:w="1493" w:type="pct"/>
          </w:tcPr>
          <w:p w:rsidR="00AE46DA" w:rsidRPr="001825C9" w:rsidRDefault="0078383A" w:rsidP="00F0739D">
            <w:pPr>
              <w:pStyle w:val="TableText"/>
              <w:keepNext/>
              <w:keepLines/>
              <w:widowControl/>
              <w:spacing w:before="0" w:after="0" w:line="240" w:lineRule="auto"/>
            </w:pPr>
            <w:r w:rsidRPr="001825C9">
              <w:t>Tie et al, 2011</w:t>
            </w:r>
          </w:p>
        </w:tc>
        <w:tc>
          <w:tcPr>
            <w:tcW w:w="1308" w:type="pct"/>
          </w:tcPr>
          <w:p w:rsidR="00AE46DA" w:rsidRPr="001825C9" w:rsidRDefault="00AE46DA" w:rsidP="00F0739D">
            <w:pPr>
              <w:pStyle w:val="TableText"/>
              <w:keepNext/>
              <w:keepLines/>
              <w:widowControl/>
              <w:spacing w:before="0" w:after="0" w:line="240" w:lineRule="auto"/>
            </w:pPr>
            <w:r w:rsidRPr="001825C9">
              <w:t>The source appears to be appropriate.</w:t>
            </w:r>
          </w:p>
        </w:tc>
      </w:tr>
      <w:tr w:rsidR="00AE46DA" w:rsidRPr="001825C9" w:rsidTr="00EF4EC7">
        <w:trPr>
          <w:cantSplit/>
        </w:trPr>
        <w:tc>
          <w:tcPr>
            <w:tcW w:w="1176" w:type="pct"/>
          </w:tcPr>
          <w:p w:rsidR="00AE46DA" w:rsidRPr="001825C9" w:rsidRDefault="00AE46DA" w:rsidP="00F0739D">
            <w:pPr>
              <w:pStyle w:val="TableText"/>
              <w:keepNext/>
              <w:keepLines/>
              <w:widowControl/>
              <w:spacing w:before="0" w:after="0" w:line="240" w:lineRule="auto"/>
            </w:pPr>
            <w:r w:rsidRPr="001825C9">
              <w:t xml:space="preserve">Incident patients (i.e. proportion mCRC patients with a </w:t>
            </w:r>
            <w:r w:rsidRPr="001825C9">
              <w:rPr>
                <w:i/>
              </w:rPr>
              <w:t xml:space="preserve">BRAF </w:t>
            </w:r>
            <w:r w:rsidR="0090484C" w:rsidRPr="001825C9">
              <w:t>V600E</w:t>
            </w:r>
            <w:r w:rsidRPr="001825C9">
              <w:t xml:space="preserve"> variant)</w:t>
            </w:r>
          </w:p>
        </w:tc>
        <w:tc>
          <w:tcPr>
            <w:tcW w:w="1023" w:type="pct"/>
          </w:tcPr>
          <w:p w:rsidR="00AE46DA" w:rsidRPr="00970A3B" w:rsidRDefault="00AE46DA" w:rsidP="00F0739D">
            <w:pPr>
              <w:pStyle w:val="TableText"/>
              <w:keepNext/>
              <w:keepLines/>
              <w:widowControl/>
              <w:spacing w:before="0" w:after="0" w:line="240" w:lineRule="auto"/>
            </w:pPr>
            <w:r w:rsidRPr="001825C9">
              <w:t xml:space="preserve">Yr 1: </w:t>
            </w:r>
            <w:r w:rsidR="00B72C43">
              <w:rPr>
                <w:noProof/>
                <w:color w:val="000000"/>
                <w:highlight w:val="black"/>
              </w:rPr>
              <w:t>''''''''</w:t>
            </w:r>
            <w:r w:rsidR="00970A3B" w:rsidRPr="00970A3B">
              <w:rPr>
                <w:vertAlign w:val="superscript"/>
              </w:rPr>
              <w:t>3</w:t>
            </w:r>
          </w:p>
          <w:p w:rsidR="00AE46DA" w:rsidRPr="001825C9" w:rsidRDefault="00AE46DA" w:rsidP="00F0739D">
            <w:pPr>
              <w:pStyle w:val="TableText"/>
              <w:keepNext/>
              <w:keepLines/>
              <w:widowControl/>
              <w:spacing w:before="0" w:after="0" w:line="240" w:lineRule="auto"/>
            </w:pPr>
            <w:r w:rsidRPr="001825C9">
              <w:t xml:space="preserve">Yr 2: </w:t>
            </w:r>
            <w:r w:rsidR="00B72C43">
              <w:rPr>
                <w:noProof/>
                <w:color w:val="000000"/>
                <w:highlight w:val="black"/>
              </w:rPr>
              <w:t>''''''''''</w:t>
            </w:r>
            <w:r w:rsidR="00970A3B" w:rsidRPr="00970A3B">
              <w:rPr>
                <w:vertAlign w:val="superscript"/>
              </w:rPr>
              <w:t>3</w:t>
            </w:r>
          </w:p>
          <w:p w:rsidR="00AE46DA" w:rsidRPr="001825C9" w:rsidRDefault="00AE46DA" w:rsidP="00F0739D">
            <w:pPr>
              <w:pStyle w:val="TableText"/>
              <w:keepNext/>
              <w:keepLines/>
              <w:widowControl/>
              <w:spacing w:before="0" w:after="0" w:line="240" w:lineRule="auto"/>
            </w:pPr>
            <w:r w:rsidRPr="001825C9">
              <w:t xml:space="preserve">Yr 3: </w:t>
            </w:r>
            <w:r w:rsidR="00B72C43">
              <w:rPr>
                <w:noProof/>
                <w:color w:val="000000"/>
                <w:highlight w:val="black"/>
              </w:rPr>
              <w:t>'''''''''</w:t>
            </w:r>
            <w:r w:rsidR="00970A3B" w:rsidRPr="00970A3B">
              <w:rPr>
                <w:vertAlign w:val="superscript"/>
              </w:rPr>
              <w:t>3</w:t>
            </w:r>
          </w:p>
          <w:p w:rsidR="00AE46DA" w:rsidRPr="001825C9" w:rsidRDefault="00AE46DA" w:rsidP="00F0739D">
            <w:pPr>
              <w:pStyle w:val="TableText"/>
              <w:keepNext/>
              <w:keepLines/>
              <w:widowControl/>
              <w:spacing w:before="0" w:after="0" w:line="240" w:lineRule="auto"/>
            </w:pPr>
            <w:r w:rsidRPr="001825C9">
              <w:t xml:space="preserve">Yr 4: </w:t>
            </w:r>
            <w:r w:rsidR="00B72C43">
              <w:rPr>
                <w:noProof/>
                <w:color w:val="000000"/>
                <w:highlight w:val="black"/>
              </w:rPr>
              <w:t>''''''''</w:t>
            </w:r>
            <w:r w:rsidR="00970A3B" w:rsidRPr="00970A3B">
              <w:rPr>
                <w:vertAlign w:val="superscript"/>
              </w:rPr>
              <w:t>3</w:t>
            </w:r>
          </w:p>
          <w:p w:rsidR="00AE46DA" w:rsidRPr="001825C9" w:rsidRDefault="00AE46DA" w:rsidP="00F0739D">
            <w:pPr>
              <w:pStyle w:val="TableText"/>
              <w:keepNext/>
              <w:keepLines/>
              <w:widowControl/>
              <w:spacing w:before="0" w:after="0" w:line="240" w:lineRule="auto"/>
            </w:pPr>
            <w:r w:rsidRPr="001825C9">
              <w:t xml:space="preserve">Yr 5: </w:t>
            </w:r>
            <w:r w:rsidR="00B72C43">
              <w:rPr>
                <w:noProof/>
                <w:color w:val="000000"/>
                <w:highlight w:val="black"/>
              </w:rPr>
              <w:t>''''''''''</w:t>
            </w:r>
            <w:r w:rsidR="00970A3B" w:rsidRPr="00970A3B">
              <w:rPr>
                <w:vertAlign w:val="superscript"/>
              </w:rPr>
              <w:t>3</w:t>
            </w:r>
          </w:p>
          <w:p w:rsidR="00AE46DA" w:rsidRPr="001825C9" w:rsidRDefault="00AE46DA" w:rsidP="00F0739D">
            <w:pPr>
              <w:pStyle w:val="TableText"/>
              <w:keepNext/>
              <w:keepLines/>
              <w:widowControl/>
              <w:spacing w:before="0" w:after="0" w:line="240" w:lineRule="auto"/>
            </w:pPr>
            <w:r w:rsidRPr="001825C9">
              <w:t xml:space="preserve">Yr 6: </w:t>
            </w:r>
            <w:r w:rsidR="00B72C43">
              <w:rPr>
                <w:noProof/>
                <w:color w:val="000000"/>
                <w:highlight w:val="black"/>
              </w:rPr>
              <w:t>'''''''''</w:t>
            </w:r>
            <w:r w:rsidR="00970A3B" w:rsidRPr="00970A3B">
              <w:rPr>
                <w:vertAlign w:val="superscript"/>
              </w:rPr>
              <w:t>3</w:t>
            </w:r>
          </w:p>
        </w:tc>
        <w:tc>
          <w:tcPr>
            <w:tcW w:w="1493" w:type="pct"/>
          </w:tcPr>
          <w:p w:rsidR="00AE46DA" w:rsidRPr="001825C9" w:rsidRDefault="00AE46DA" w:rsidP="00F0739D">
            <w:pPr>
              <w:pStyle w:val="TableText"/>
              <w:keepNext/>
              <w:keepLines/>
              <w:widowControl/>
              <w:spacing w:before="0" w:after="0" w:line="240" w:lineRule="auto"/>
            </w:pPr>
            <w:r w:rsidRPr="001825C9">
              <w:t xml:space="preserve">Calculated as a product of the number of mCRC patients and the rate of mCRC patients that have a </w:t>
            </w:r>
            <w:r w:rsidRPr="001825C9">
              <w:rPr>
                <w:i/>
                <w:iCs/>
              </w:rPr>
              <w:t xml:space="preserve">BRAF </w:t>
            </w:r>
            <w:r w:rsidR="0090484C" w:rsidRPr="001825C9">
              <w:rPr>
                <w:iCs/>
              </w:rPr>
              <w:t>V600E</w:t>
            </w:r>
            <w:r w:rsidRPr="001825C9">
              <w:t xml:space="preserve"> variant.</w:t>
            </w:r>
          </w:p>
        </w:tc>
        <w:tc>
          <w:tcPr>
            <w:tcW w:w="1308" w:type="pct"/>
          </w:tcPr>
          <w:p w:rsidR="00AE46DA" w:rsidRPr="001825C9" w:rsidRDefault="00AE46DA" w:rsidP="00F0739D">
            <w:pPr>
              <w:pStyle w:val="TableText"/>
              <w:keepNext/>
              <w:keepLines/>
              <w:widowControl/>
              <w:spacing w:before="0" w:after="0" w:line="240" w:lineRule="auto"/>
            </w:pPr>
            <w:r w:rsidRPr="001825C9">
              <w:t>This was appropriate.</w:t>
            </w:r>
          </w:p>
        </w:tc>
      </w:tr>
      <w:tr w:rsidR="00AE46DA" w:rsidRPr="001825C9" w:rsidTr="00B21F37">
        <w:trPr>
          <w:cantSplit/>
        </w:trPr>
        <w:tc>
          <w:tcPr>
            <w:tcW w:w="5000" w:type="pct"/>
            <w:gridSpan w:val="4"/>
            <w:vAlign w:val="center"/>
          </w:tcPr>
          <w:p w:rsidR="00AE46DA" w:rsidRPr="001825C9" w:rsidRDefault="00AE46DA" w:rsidP="00F0739D">
            <w:pPr>
              <w:pStyle w:val="TableText"/>
              <w:keepNext/>
              <w:keepLines/>
              <w:widowControl/>
              <w:spacing w:before="0" w:after="0" w:line="240" w:lineRule="auto"/>
              <w:rPr>
                <w:b/>
              </w:rPr>
            </w:pPr>
            <w:r w:rsidRPr="001825C9">
              <w:rPr>
                <w:b/>
              </w:rPr>
              <w:t>Treatment utilisation</w:t>
            </w:r>
          </w:p>
        </w:tc>
      </w:tr>
      <w:tr w:rsidR="00AE46DA" w:rsidRPr="001825C9" w:rsidTr="00EF4EC7">
        <w:trPr>
          <w:cantSplit/>
        </w:trPr>
        <w:tc>
          <w:tcPr>
            <w:tcW w:w="1176" w:type="pct"/>
          </w:tcPr>
          <w:p w:rsidR="00AE46DA" w:rsidRPr="001825C9" w:rsidRDefault="00AE46DA" w:rsidP="00F0739D">
            <w:pPr>
              <w:pStyle w:val="TableText"/>
              <w:keepNext/>
              <w:keepLines/>
              <w:widowControl/>
              <w:spacing w:before="0" w:after="0" w:line="240" w:lineRule="auto"/>
            </w:pPr>
            <w:r w:rsidRPr="001825C9">
              <w:t>Uptake rate</w:t>
            </w:r>
          </w:p>
        </w:tc>
        <w:tc>
          <w:tcPr>
            <w:tcW w:w="1023" w:type="pct"/>
          </w:tcPr>
          <w:p w:rsidR="00AE46DA" w:rsidRPr="001825C9" w:rsidRDefault="00AE46DA" w:rsidP="00F0739D">
            <w:pPr>
              <w:pStyle w:val="TableText"/>
              <w:keepNext/>
              <w:keepLines/>
              <w:widowControl/>
              <w:spacing w:before="0" w:after="0" w:line="240" w:lineRule="auto"/>
            </w:pPr>
            <w:r w:rsidRPr="001825C9">
              <w:t>70%</w:t>
            </w:r>
          </w:p>
        </w:tc>
        <w:tc>
          <w:tcPr>
            <w:tcW w:w="1493" w:type="pct"/>
          </w:tcPr>
          <w:p w:rsidR="00AE46DA" w:rsidRPr="001825C9" w:rsidRDefault="00A8257F" w:rsidP="00F0739D">
            <w:pPr>
              <w:pStyle w:val="TableText"/>
              <w:keepNext/>
              <w:keepLines/>
              <w:widowControl/>
              <w:spacing w:before="0" w:after="0" w:line="240" w:lineRule="auto"/>
            </w:pPr>
            <w:r w:rsidRPr="001825C9">
              <w:t>Assumption</w:t>
            </w:r>
          </w:p>
        </w:tc>
        <w:tc>
          <w:tcPr>
            <w:tcW w:w="1308" w:type="pct"/>
          </w:tcPr>
          <w:p w:rsidR="00AE46DA" w:rsidRPr="001825C9" w:rsidRDefault="00AE46DA" w:rsidP="00F0739D">
            <w:pPr>
              <w:pStyle w:val="TableText"/>
              <w:keepNext/>
              <w:keepLines/>
              <w:widowControl/>
              <w:spacing w:before="0" w:after="0" w:line="240" w:lineRule="auto"/>
            </w:pPr>
            <w:r w:rsidRPr="001825C9">
              <w:t>This appears reasonable, however, the submission did not provide any justification for its assumption.</w:t>
            </w:r>
          </w:p>
        </w:tc>
      </w:tr>
      <w:tr w:rsidR="00AE46DA" w:rsidRPr="001825C9" w:rsidTr="00EF4EC7">
        <w:trPr>
          <w:cantSplit/>
        </w:trPr>
        <w:tc>
          <w:tcPr>
            <w:tcW w:w="1176" w:type="pct"/>
          </w:tcPr>
          <w:p w:rsidR="00AE46DA" w:rsidRPr="001825C9" w:rsidRDefault="00AE46DA" w:rsidP="00F0739D">
            <w:pPr>
              <w:pStyle w:val="TableText"/>
              <w:keepNext/>
              <w:keepLines/>
              <w:widowControl/>
              <w:spacing w:before="0" w:after="0" w:line="240" w:lineRule="auto"/>
            </w:pPr>
            <w:r w:rsidRPr="001825C9">
              <w:t>Estimated number of patients to uptake encorafenib + cetuximab</w:t>
            </w:r>
          </w:p>
        </w:tc>
        <w:tc>
          <w:tcPr>
            <w:tcW w:w="1023" w:type="pct"/>
          </w:tcPr>
          <w:p w:rsidR="00AE46DA" w:rsidRPr="001825C9" w:rsidRDefault="00AE46DA" w:rsidP="00F0739D">
            <w:pPr>
              <w:pStyle w:val="TableText"/>
              <w:keepNext/>
              <w:keepLines/>
              <w:widowControl/>
              <w:spacing w:before="0" w:after="0" w:line="240" w:lineRule="auto"/>
            </w:pPr>
            <w:r w:rsidRPr="001825C9">
              <w:t xml:space="preserve">Yr 1: </w:t>
            </w:r>
            <w:r w:rsidR="00B72C43">
              <w:rPr>
                <w:noProof/>
                <w:color w:val="000000"/>
                <w:highlight w:val="black"/>
              </w:rPr>
              <w:t>'''''''''</w:t>
            </w:r>
            <w:r w:rsidR="00970A3B" w:rsidRPr="00970A3B">
              <w:rPr>
                <w:vertAlign w:val="superscript"/>
              </w:rPr>
              <w:t>3</w:t>
            </w:r>
          </w:p>
          <w:p w:rsidR="00AE46DA" w:rsidRPr="001825C9" w:rsidRDefault="00AE46DA" w:rsidP="00F0739D">
            <w:pPr>
              <w:pStyle w:val="TableText"/>
              <w:keepNext/>
              <w:keepLines/>
              <w:widowControl/>
              <w:spacing w:before="0" w:after="0" w:line="240" w:lineRule="auto"/>
            </w:pPr>
            <w:r w:rsidRPr="001825C9">
              <w:t xml:space="preserve">Yr 2: </w:t>
            </w:r>
            <w:r w:rsidR="00B72C43">
              <w:rPr>
                <w:noProof/>
                <w:color w:val="000000"/>
                <w:highlight w:val="black"/>
              </w:rPr>
              <w:t>''''''''</w:t>
            </w:r>
            <w:r w:rsidR="00970A3B" w:rsidRPr="00970A3B">
              <w:rPr>
                <w:vertAlign w:val="superscript"/>
              </w:rPr>
              <w:t>3</w:t>
            </w:r>
          </w:p>
          <w:p w:rsidR="00AE46DA" w:rsidRPr="001825C9" w:rsidRDefault="00AE46DA" w:rsidP="00F0739D">
            <w:pPr>
              <w:pStyle w:val="TableText"/>
              <w:keepNext/>
              <w:keepLines/>
              <w:widowControl/>
              <w:spacing w:before="0" w:after="0" w:line="240" w:lineRule="auto"/>
            </w:pPr>
            <w:r w:rsidRPr="001825C9">
              <w:t xml:space="preserve">Yr 3: </w:t>
            </w:r>
            <w:r w:rsidR="00B72C43">
              <w:rPr>
                <w:noProof/>
                <w:color w:val="000000"/>
                <w:highlight w:val="black"/>
              </w:rPr>
              <w:t>''''''''''</w:t>
            </w:r>
            <w:r w:rsidR="00970A3B" w:rsidRPr="00970A3B">
              <w:rPr>
                <w:vertAlign w:val="superscript"/>
              </w:rPr>
              <w:t>3</w:t>
            </w:r>
          </w:p>
          <w:p w:rsidR="00AE46DA" w:rsidRPr="001825C9" w:rsidRDefault="00AE46DA" w:rsidP="00F0739D">
            <w:pPr>
              <w:pStyle w:val="TableText"/>
              <w:keepNext/>
              <w:keepLines/>
              <w:widowControl/>
              <w:spacing w:before="0" w:after="0" w:line="240" w:lineRule="auto"/>
            </w:pPr>
            <w:r w:rsidRPr="001825C9">
              <w:t xml:space="preserve">Yr 4: </w:t>
            </w:r>
            <w:r w:rsidR="00B72C43">
              <w:rPr>
                <w:noProof/>
                <w:color w:val="000000"/>
                <w:highlight w:val="black"/>
              </w:rPr>
              <w:t>''''''''''</w:t>
            </w:r>
            <w:r w:rsidR="00970A3B" w:rsidRPr="00970A3B">
              <w:rPr>
                <w:vertAlign w:val="superscript"/>
              </w:rPr>
              <w:t>3</w:t>
            </w:r>
          </w:p>
          <w:p w:rsidR="00AE46DA" w:rsidRPr="001825C9" w:rsidRDefault="00AE46DA" w:rsidP="00F0739D">
            <w:pPr>
              <w:pStyle w:val="TableText"/>
              <w:keepNext/>
              <w:keepLines/>
              <w:widowControl/>
              <w:spacing w:before="0" w:after="0" w:line="240" w:lineRule="auto"/>
            </w:pPr>
            <w:r w:rsidRPr="001825C9">
              <w:t xml:space="preserve">Yr 5: </w:t>
            </w:r>
            <w:r w:rsidR="00B72C43">
              <w:rPr>
                <w:noProof/>
                <w:color w:val="000000"/>
                <w:highlight w:val="black"/>
              </w:rPr>
              <w:t>''''''''</w:t>
            </w:r>
            <w:r w:rsidR="00970A3B" w:rsidRPr="00970A3B">
              <w:rPr>
                <w:vertAlign w:val="superscript"/>
              </w:rPr>
              <w:t>3</w:t>
            </w:r>
          </w:p>
          <w:p w:rsidR="00AE46DA" w:rsidRPr="001825C9" w:rsidRDefault="00AE46DA" w:rsidP="00F0739D">
            <w:pPr>
              <w:pStyle w:val="TableText"/>
              <w:keepNext/>
              <w:keepLines/>
              <w:widowControl/>
              <w:spacing w:before="0" w:after="0" w:line="240" w:lineRule="auto"/>
            </w:pPr>
            <w:r w:rsidRPr="001825C9">
              <w:t xml:space="preserve">Yr 6: </w:t>
            </w:r>
            <w:r w:rsidR="00B72C43">
              <w:rPr>
                <w:noProof/>
                <w:color w:val="000000"/>
                <w:highlight w:val="black"/>
              </w:rPr>
              <w:t>''''''''''</w:t>
            </w:r>
            <w:r w:rsidR="00970A3B" w:rsidRPr="00970A3B">
              <w:rPr>
                <w:vertAlign w:val="superscript"/>
              </w:rPr>
              <w:t>3</w:t>
            </w:r>
          </w:p>
        </w:tc>
        <w:tc>
          <w:tcPr>
            <w:tcW w:w="1493" w:type="pct"/>
          </w:tcPr>
          <w:p w:rsidR="00AE46DA" w:rsidRPr="001825C9" w:rsidRDefault="00AE46DA" w:rsidP="00F0739D">
            <w:pPr>
              <w:pStyle w:val="TableText"/>
              <w:keepNext/>
              <w:keepLines/>
              <w:widowControl/>
              <w:spacing w:before="0" w:after="0" w:line="240" w:lineRule="auto"/>
            </w:pPr>
            <w:r w:rsidRPr="001825C9">
              <w:t xml:space="preserve">Calculated as a product of incident mCRC patients with a </w:t>
            </w:r>
            <w:r w:rsidRPr="001825C9">
              <w:rPr>
                <w:i/>
                <w:iCs/>
              </w:rPr>
              <w:t xml:space="preserve">BRAF </w:t>
            </w:r>
            <w:r w:rsidR="0090484C" w:rsidRPr="001825C9">
              <w:rPr>
                <w:iCs/>
              </w:rPr>
              <w:t>V600E</w:t>
            </w:r>
            <w:r w:rsidRPr="001825C9">
              <w:t xml:space="preserve"> variant and uptake rate</w:t>
            </w:r>
            <w:r w:rsidR="00A8257F" w:rsidRPr="001825C9">
              <w:t>.</w:t>
            </w:r>
          </w:p>
        </w:tc>
        <w:tc>
          <w:tcPr>
            <w:tcW w:w="1308" w:type="pct"/>
          </w:tcPr>
          <w:p w:rsidR="00AE46DA" w:rsidRPr="001825C9" w:rsidRDefault="00AE46DA" w:rsidP="00F0739D">
            <w:pPr>
              <w:pStyle w:val="TableText"/>
              <w:keepNext/>
              <w:keepLines/>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Dispensed packs per treatment</w:t>
            </w:r>
          </w:p>
        </w:tc>
        <w:tc>
          <w:tcPr>
            <w:tcW w:w="1023" w:type="pct"/>
          </w:tcPr>
          <w:p w:rsidR="00AE46DA" w:rsidRPr="001825C9" w:rsidRDefault="00AE46DA" w:rsidP="00B21F37">
            <w:pPr>
              <w:pStyle w:val="TableText"/>
              <w:widowControl/>
              <w:spacing w:before="0" w:after="0" w:line="240" w:lineRule="auto"/>
            </w:pPr>
            <w:r w:rsidRPr="001825C9">
              <w:t>5.56</w:t>
            </w:r>
          </w:p>
        </w:tc>
        <w:tc>
          <w:tcPr>
            <w:tcW w:w="1493" w:type="pct"/>
            <w:shd w:val="clear" w:color="auto" w:fill="auto"/>
          </w:tcPr>
          <w:p w:rsidR="00AE46DA" w:rsidRPr="001825C9" w:rsidRDefault="00AE46DA" w:rsidP="00B21F37">
            <w:pPr>
              <w:pStyle w:val="TableText"/>
              <w:widowControl/>
              <w:spacing w:before="0" w:after="0" w:line="240" w:lineRule="auto"/>
            </w:pPr>
            <w:r w:rsidRPr="001825C9">
              <w:t xml:space="preserve">Calculated using the treatment duration (months) in BEACON: 5.75, equivalent to 175 days and the dose per maximum quantity: 31.5 (estimated as maximum quantity units-126/capsules per day-4, assuming use of 75 mg capsule). That is, 175/31.5. </w:t>
            </w:r>
          </w:p>
        </w:tc>
        <w:tc>
          <w:tcPr>
            <w:tcW w:w="1308" w:type="pct"/>
          </w:tcPr>
          <w:p w:rsidR="00AE46DA" w:rsidRPr="001825C9" w:rsidRDefault="00AE46DA" w:rsidP="00B21F37">
            <w:pPr>
              <w:pStyle w:val="TableText"/>
              <w:widowControl/>
              <w:spacing w:before="0" w:after="0" w:line="240" w:lineRule="auto"/>
            </w:pPr>
            <w:r w:rsidRPr="001825C9">
              <w:t>The approach used in estimating the dispensed packs per treatment was conservative and reasonable.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 xml:space="preserve">Estimated number of packs dispensed </w:t>
            </w:r>
          </w:p>
        </w:tc>
        <w:tc>
          <w:tcPr>
            <w:tcW w:w="1023" w:type="pct"/>
          </w:tcPr>
          <w:p w:rsidR="00AE46DA" w:rsidRPr="001825C9" w:rsidRDefault="00AE46DA" w:rsidP="00B21F37">
            <w:pPr>
              <w:pStyle w:val="TableText"/>
              <w:widowControl/>
              <w:spacing w:before="0" w:after="0" w:line="240" w:lineRule="auto"/>
            </w:pPr>
            <w:r w:rsidRPr="001825C9">
              <w:t xml:space="preserve">Yr 1: </w:t>
            </w:r>
            <w:r w:rsidR="00B72C43">
              <w:rPr>
                <w:noProof/>
                <w:color w:val="000000"/>
                <w:highlight w:val="black"/>
              </w:rPr>
              <w:t>'''''''''''''</w:t>
            </w:r>
            <w:r w:rsidR="00970A3B">
              <w:rPr>
                <w:vertAlign w:val="superscript"/>
              </w:rPr>
              <w:t>4</w:t>
            </w:r>
          </w:p>
          <w:p w:rsidR="00AE46DA" w:rsidRPr="001825C9" w:rsidRDefault="00AE46DA" w:rsidP="00B21F37">
            <w:pPr>
              <w:pStyle w:val="TableText"/>
              <w:widowControl/>
              <w:spacing w:before="0" w:after="0" w:line="240" w:lineRule="auto"/>
            </w:pPr>
            <w:r w:rsidRPr="001825C9">
              <w:t xml:space="preserve">Yr 2: </w:t>
            </w:r>
            <w:r w:rsidR="00B72C43">
              <w:rPr>
                <w:noProof/>
                <w:color w:val="000000"/>
                <w:highlight w:val="black"/>
              </w:rPr>
              <w:t>'''''''''''''</w:t>
            </w:r>
            <w:r w:rsidR="00970A3B">
              <w:rPr>
                <w:vertAlign w:val="superscript"/>
              </w:rPr>
              <w:t>4</w:t>
            </w:r>
          </w:p>
          <w:p w:rsidR="00AE46DA" w:rsidRPr="001825C9" w:rsidRDefault="00AE46DA" w:rsidP="00B21F37">
            <w:pPr>
              <w:pStyle w:val="TableText"/>
              <w:widowControl/>
              <w:spacing w:before="0" w:after="0" w:line="240" w:lineRule="auto"/>
            </w:pPr>
            <w:r w:rsidRPr="001825C9">
              <w:t xml:space="preserve">Yr 3: </w:t>
            </w:r>
            <w:r w:rsidR="00B72C43">
              <w:rPr>
                <w:noProof/>
                <w:color w:val="000000"/>
                <w:highlight w:val="black"/>
              </w:rPr>
              <w:t>'''''''''''''</w:t>
            </w:r>
            <w:r w:rsidR="00970A3B">
              <w:rPr>
                <w:vertAlign w:val="superscript"/>
              </w:rPr>
              <w:t>4</w:t>
            </w:r>
          </w:p>
          <w:p w:rsidR="00AE46DA" w:rsidRPr="001825C9" w:rsidRDefault="00AE46DA" w:rsidP="00B21F37">
            <w:pPr>
              <w:pStyle w:val="TableText"/>
              <w:widowControl/>
              <w:spacing w:before="0" w:after="0" w:line="240" w:lineRule="auto"/>
            </w:pPr>
            <w:r w:rsidRPr="001825C9">
              <w:t xml:space="preserve">Yr 4: </w:t>
            </w:r>
            <w:r w:rsidR="00B72C43">
              <w:rPr>
                <w:noProof/>
                <w:color w:val="000000"/>
                <w:highlight w:val="black"/>
              </w:rPr>
              <w:t>''''''''''''''</w:t>
            </w:r>
            <w:r w:rsidR="00970A3B">
              <w:rPr>
                <w:vertAlign w:val="superscript"/>
              </w:rPr>
              <w:t>4</w:t>
            </w:r>
          </w:p>
          <w:p w:rsidR="00AE46DA" w:rsidRPr="001825C9" w:rsidRDefault="00AE46DA" w:rsidP="00B21F37">
            <w:pPr>
              <w:pStyle w:val="TableText"/>
              <w:widowControl/>
              <w:spacing w:before="0" w:after="0" w:line="240" w:lineRule="auto"/>
            </w:pPr>
            <w:r w:rsidRPr="001825C9">
              <w:t xml:space="preserve">Yr 5: </w:t>
            </w:r>
            <w:r w:rsidR="00B72C43">
              <w:rPr>
                <w:noProof/>
                <w:color w:val="000000"/>
                <w:highlight w:val="black"/>
              </w:rPr>
              <w:t>'''''''''''''''</w:t>
            </w:r>
            <w:r w:rsidR="00970A3B">
              <w:rPr>
                <w:vertAlign w:val="superscript"/>
              </w:rPr>
              <w:t>4</w:t>
            </w:r>
          </w:p>
          <w:p w:rsidR="00AE46DA" w:rsidRPr="001825C9" w:rsidRDefault="00AE46DA" w:rsidP="00B21F37">
            <w:pPr>
              <w:pStyle w:val="TableText"/>
              <w:widowControl/>
              <w:spacing w:before="0" w:after="0" w:line="240" w:lineRule="auto"/>
            </w:pPr>
            <w:r w:rsidRPr="001825C9">
              <w:t xml:space="preserve">Yr 6: </w:t>
            </w:r>
            <w:r w:rsidR="00B72C43">
              <w:rPr>
                <w:noProof/>
                <w:color w:val="000000"/>
                <w:highlight w:val="black"/>
              </w:rPr>
              <w:t>''''''''''''</w:t>
            </w:r>
            <w:r w:rsidR="00970A3B">
              <w:rPr>
                <w:vertAlign w:val="superscript"/>
              </w:rPr>
              <w:t>4</w:t>
            </w:r>
          </w:p>
        </w:tc>
        <w:tc>
          <w:tcPr>
            <w:tcW w:w="1493" w:type="pct"/>
          </w:tcPr>
          <w:p w:rsidR="00AE46DA" w:rsidRPr="001825C9" w:rsidRDefault="00AE46DA" w:rsidP="00B21F37">
            <w:pPr>
              <w:pStyle w:val="TableText"/>
              <w:widowControl/>
              <w:spacing w:before="0" w:after="0" w:line="240" w:lineRule="auto"/>
            </w:pPr>
            <w:r w:rsidRPr="001825C9">
              <w:t xml:space="preserve">Calculated as a product of the number of mCRC patients with a </w:t>
            </w:r>
            <w:r w:rsidRPr="001825C9">
              <w:rPr>
                <w:i/>
                <w:iCs/>
              </w:rPr>
              <w:t xml:space="preserve">BRAF </w:t>
            </w:r>
            <w:r w:rsidR="0090484C" w:rsidRPr="001825C9">
              <w:rPr>
                <w:iCs/>
              </w:rPr>
              <w:t>V600E</w:t>
            </w:r>
            <w:r w:rsidRPr="001825C9">
              <w:t xml:space="preserve"> variant likely to uptake encorafenib + cetuximab and the dispensed packs per treatment.</w:t>
            </w:r>
          </w:p>
        </w:tc>
        <w:tc>
          <w:tcPr>
            <w:tcW w:w="1308" w:type="pct"/>
          </w:tcPr>
          <w:p w:rsidR="00AE46DA" w:rsidRPr="001825C9" w:rsidRDefault="00AE46DA" w:rsidP="00B21F37">
            <w:pPr>
              <w:pStyle w:val="TableText"/>
              <w:widowControl/>
              <w:spacing w:before="0" w:after="0" w:line="240" w:lineRule="auto"/>
            </w:pPr>
            <w:r w:rsidRPr="001825C9">
              <w:t>This was reasonable.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lastRenderedPageBreak/>
              <w:t>Treatment duration (months)</w:t>
            </w:r>
          </w:p>
        </w:tc>
        <w:tc>
          <w:tcPr>
            <w:tcW w:w="1023" w:type="pct"/>
          </w:tcPr>
          <w:p w:rsidR="00AE46DA" w:rsidRPr="001825C9" w:rsidRDefault="00AE46DA" w:rsidP="00B21F37">
            <w:pPr>
              <w:pStyle w:val="TableText"/>
              <w:widowControl/>
              <w:spacing w:before="0" w:after="0" w:line="240" w:lineRule="auto"/>
            </w:pPr>
            <w:r w:rsidRPr="001825C9">
              <w:t>Encorafenib + cetuximab = 5.75</w:t>
            </w:r>
          </w:p>
          <w:p w:rsidR="00AE46DA" w:rsidRPr="001825C9" w:rsidRDefault="00AE46DA" w:rsidP="00B21F37">
            <w:pPr>
              <w:pStyle w:val="TableText"/>
              <w:widowControl/>
              <w:spacing w:before="0" w:after="0" w:line="240" w:lineRule="auto"/>
            </w:pPr>
            <w:r w:rsidRPr="001825C9">
              <w:t>- Encorafenib = 5.72</w:t>
            </w:r>
          </w:p>
          <w:p w:rsidR="00AE46DA" w:rsidRPr="001825C9" w:rsidRDefault="00AE46DA" w:rsidP="00B21F37">
            <w:pPr>
              <w:pStyle w:val="TableText"/>
              <w:widowControl/>
              <w:spacing w:before="0" w:after="0" w:line="240" w:lineRule="auto"/>
            </w:pPr>
            <w:r w:rsidRPr="001825C9">
              <w:t>- Cetuximab = 5.75</w:t>
            </w:r>
          </w:p>
          <w:p w:rsidR="00AE46DA" w:rsidRPr="001825C9" w:rsidRDefault="00AE46DA" w:rsidP="00B21F37">
            <w:pPr>
              <w:pStyle w:val="TableText"/>
              <w:widowControl/>
              <w:spacing w:before="0" w:after="0" w:line="240" w:lineRule="auto"/>
            </w:pPr>
            <w:r w:rsidRPr="001825C9">
              <w:t>FOLFIRI or irinotecan + cetuximab = 2.68</w:t>
            </w:r>
          </w:p>
          <w:p w:rsidR="00AE46DA" w:rsidRPr="001825C9" w:rsidRDefault="00AE46DA" w:rsidP="00B21F37">
            <w:pPr>
              <w:pStyle w:val="TableText"/>
              <w:widowControl/>
              <w:spacing w:before="0" w:after="0" w:line="240" w:lineRule="auto"/>
            </w:pPr>
            <w:r w:rsidRPr="001825C9">
              <w:t>- Irinotecan = 2.68</w:t>
            </w:r>
          </w:p>
          <w:p w:rsidR="00AE46DA" w:rsidRPr="001825C9" w:rsidRDefault="00AE46DA" w:rsidP="00B21F37">
            <w:pPr>
              <w:pStyle w:val="TableText"/>
              <w:widowControl/>
              <w:spacing w:before="0" w:after="0" w:line="240" w:lineRule="auto"/>
            </w:pPr>
            <w:r w:rsidRPr="001825C9">
              <w:t>- Folinic acid = 2.68</w:t>
            </w:r>
          </w:p>
          <w:p w:rsidR="00AE46DA" w:rsidRPr="001825C9" w:rsidRDefault="00AE46DA" w:rsidP="00B21F37">
            <w:pPr>
              <w:pStyle w:val="TableText"/>
              <w:widowControl/>
              <w:spacing w:before="0" w:after="0" w:line="240" w:lineRule="auto"/>
            </w:pPr>
            <w:r w:rsidRPr="001825C9">
              <w:t>- Fluorouracil bolus = 2.68</w:t>
            </w:r>
          </w:p>
          <w:p w:rsidR="00AE46DA" w:rsidRPr="001825C9" w:rsidRDefault="00AE46DA" w:rsidP="00B21F37">
            <w:pPr>
              <w:pStyle w:val="TableText"/>
              <w:widowControl/>
              <w:spacing w:before="0" w:after="0" w:line="240" w:lineRule="auto"/>
            </w:pPr>
            <w:r w:rsidRPr="001825C9">
              <w:t>- Infusional 5-Fluorouracil =2.68</w:t>
            </w:r>
          </w:p>
          <w:p w:rsidR="00AE46DA" w:rsidRPr="001825C9" w:rsidRDefault="00AE46DA" w:rsidP="00B21F37">
            <w:pPr>
              <w:pStyle w:val="TableText"/>
              <w:widowControl/>
              <w:spacing w:before="0" w:after="0" w:line="240" w:lineRule="auto"/>
            </w:pPr>
            <w:r w:rsidRPr="001825C9">
              <w:t>- Cetuximab = 2.68</w:t>
            </w:r>
          </w:p>
          <w:p w:rsidR="00AE46DA" w:rsidRPr="001825C9" w:rsidRDefault="00AE46DA" w:rsidP="00B21F37">
            <w:pPr>
              <w:pStyle w:val="TableText"/>
              <w:widowControl/>
              <w:spacing w:before="0" w:after="0" w:line="240" w:lineRule="auto"/>
            </w:pPr>
            <w:r w:rsidRPr="001825C9">
              <w:t>FOLFIRI + bevacizumab = 2.68</w:t>
            </w:r>
          </w:p>
          <w:p w:rsidR="00AE46DA" w:rsidRPr="001825C9" w:rsidRDefault="00AE46DA" w:rsidP="00B21F37">
            <w:pPr>
              <w:pStyle w:val="TableText"/>
              <w:widowControl/>
              <w:spacing w:before="0" w:after="0" w:line="240" w:lineRule="auto"/>
            </w:pPr>
            <w:r w:rsidRPr="001825C9">
              <w:t>- Irinotecan = 2.68</w:t>
            </w:r>
          </w:p>
          <w:p w:rsidR="00AE46DA" w:rsidRPr="001825C9" w:rsidRDefault="00AE46DA" w:rsidP="00B21F37">
            <w:pPr>
              <w:pStyle w:val="TableText"/>
              <w:widowControl/>
              <w:spacing w:before="0" w:after="0" w:line="240" w:lineRule="auto"/>
            </w:pPr>
            <w:r w:rsidRPr="001825C9">
              <w:t>- Folinic acid = 2.68</w:t>
            </w:r>
          </w:p>
          <w:p w:rsidR="00AE46DA" w:rsidRPr="001825C9" w:rsidRDefault="00AE46DA" w:rsidP="00B21F37">
            <w:pPr>
              <w:pStyle w:val="TableText"/>
              <w:widowControl/>
              <w:spacing w:before="0" w:after="0" w:line="240" w:lineRule="auto"/>
            </w:pPr>
            <w:r w:rsidRPr="001825C9">
              <w:t>- Fluorouracil bolus = 2.68</w:t>
            </w:r>
          </w:p>
          <w:p w:rsidR="00AE46DA" w:rsidRPr="001825C9" w:rsidRDefault="00AE46DA" w:rsidP="00B21F37">
            <w:pPr>
              <w:pStyle w:val="TableText"/>
              <w:widowControl/>
              <w:spacing w:before="0" w:after="0" w:line="240" w:lineRule="auto"/>
            </w:pPr>
            <w:r w:rsidRPr="001825C9">
              <w:t>- Infusional 5-Fluorouracil =2.68</w:t>
            </w:r>
          </w:p>
          <w:p w:rsidR="00AE46DA" w:rsidRPr="001825C9" w:rsidRDefault="00AE46DA" w:rsidP="00B21F37">
            <w:pPr>
              <w:pStyle w:val="TableText"/>
              <w:widowControl/>
              <w:spacing w:before="0" w:after="0" w:line="240" w:lineRule="auto"/>
            </w:pPr>
            <w:r w:rsidRPr="001825C9">
              <w:t>- Bevacizumab = 2.68</w:t>
            </w:r>
          </w:p>
        </w:tc>
        <w:tc>
          <w:tcPr>
            <w:tcW w:w="1493" w:type="pct"/>
          </w:tcPr>
          <w:p w:rsidR="00AE46DA" w:rsidRPr="001825C9" w:rsidRDefault="00AE46DA" w:rsidP="00B21F37">
            <w:pPr>
              <w:pStyle w:val="TableText"/>
              <w:widowControl/>
              <w:spacing w:before="0" w:after="0" w:line="240" w:lineRule="auto"/>
            </w:pPr>
            <w:r w:rsidRPr="001825C9">
              <w:t>Observed BEACON results without extrapolation</w:t>
            </w:r>
            <w:r w:rsidR="00A8257F" w:rsidRPr="001825C9">
              <w:t>.</w:t>
            </w:r>
          </w:p>
        </w:tc>
        <w:tc>
          <w:tcPr>
            <w:tcW w:w="1308" w:type="pct"/>
          </w:tcPr>
          <w:p w:rsidR="00AE46DA" w:rsidRPr="001825C9" w:rsidRDefault="00AE46DA" w:rsidP="00B21F37">
            <w:pPr>
              <w:pStyle w:val="TableText"/>
              <w:widowControl/>
              <w:spacing w:before="0" w:after="0" w:line="240" w:lineRule="auto"/>
            </w:pPr>
            <w:r w:rsidRPr="001825C9">
              <w:t>The mean duration of treatment used for the financial estimates was not consistent with the mean duration of treatment in the economic model; 5.75 vs 6.57 months in the encorafenib + cetuximab arm and 2.68 vs 3.02 months in the comparator arm for FOLFIRI/Ir + cetuximab and 2.68 vs 3.32 months for FOLFIRI + bevacizumab.</w:t>
            </w:r>
          </w:p>
          <w:p w:rsidR="00AE46DA" w:rsidRPr="001825C9" w:rsidRDefault="00AE46DA" w:rsidP="00B21F37">
            <w:pPr>
              <w:pStyle w:val="TableText"/>
              <w:widowControl/>
              <w:spacing w:before="0" w:after="0" w:line="240" w:lineRule="auto"/>
            </w:pPr>
          </w:p>
          <w:p w:rsidR="00AE46DA" w:rsidRPr="001825C9" w:rsidRDefault="00AE46DA" w:rsidP="00B21F37">
            <w:pPr>
              <w:pStyle w:val="TableText"/>
              <w:widowControl/>
              <w:spacing w:before="0" w:after="0" w:line="240" w:lineRule="auto"/>
            </w:pPr>
            <w:r w:rsidRPr="001825C9">
              <w:t>Assuming the treatment duration of 6.57 resulted in an 18% increase in the overall net financial implications to the health budget for all the years (published prices).</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Treatment compliance</w:t>
            </w:r>
          </w:p>
        </w:tc>
        <w:tc>
          <w:tcPr>
            <w:tcW w:w="1023" w:type="pct"/>
          </w:tcPr>
          <w:p w:rsidR="00AE46DA" w:rsidRPr="001825C9" w:rsidRDefault="00AE46DA" w:rsidP="00B21F37">
            <w:pPr>
              <w:pStyle w:val="TableText"/>
              <w:widowControl/>
              <w:spacing w:before="0" w:after="0" w:line="240" w:lineRule="auto"/>
            </w:pPr>
            <w:r w:rsidRPr="001825C9">
              <w:t>Full compliance</w:t>
            </w:r>
          </w:p>
        </w:tc>
        <w:tc>
          <w:tcPr>
            <w:tcW w:w="1493" w:type="pct"/>
          </w:tcPr>
          <w:p w:rsidR="00AE46DA" w:rsidRPr="001825C9" w:rsidRDefault="00AE46DA" w:rsidP="00B21F37">
            <w:pPr>
              <w:pStyle w:val="TableText"/>
              <w:widowControl/>
              <w:spacing w:before="0" w:after="0" w:line="240" w:lineRule="auto"/>
            </w:pPr>
            <w:r w:rsidRPr="001825C9">
              <w:t>BEACON</w:t>
            </w:r>
          </w:p>
        </w:tc>
        <w:tc>
          <w:tcPr>
            <w:tcW w:w="1308" w:type="pct"/>
          </w:tcPr>
          <w:p w:rsidR="00AE46DA" w:rsidRPr="001825C9" w:rsidRDefault="00AE46DA" w:rsidP="00B21F37">
            <w:pPr>
              <w:pStyle w:val="TableText"/>
              <w:widowControl/>
              <w:spacing w:before="0" w:after="0" w:line="240" w:lineRule="auto"/>
              <w:rPr>
                <w:iCs/>
              </w:rPr>
            </w:pPr>
            <w:r w:rsidRPr="001825C9">
              <w:rPr>
                <w:iCs/>
              </w:rPr>
              <w:t>This was not reasonable as compliance in clinical practice will not be the same as for clinical trials, BEACON.</w:t>
            </w:r>
          </w:p>
        </w:tc>
      </w:tr>
      <w:tr w:rsidR="00AE46DA" w:rsidRPr="001825C9" w:rsidTr="00B21F37">
        <w:trPr>
          <w:cantSplit/>
        </w:trPr>
        <w:tc>
          <w:tcPr>
            <w:tcW w:w="5000" w:type="pct"/>
            <w:gridSpan w:val="4"/>
            <w:vAlign w:val="center"/>
          </w:tcPr>
          <w:p w:rsidR="00AE46DA" w:rsidRPr="001825C9" w:rsidRDefault="00AE46DA" w:rsidP="00B21F37">
            <w:pPr>
              <w:pStyle w:val="TableText"/>
              <w:widowControl/>
              <w:spacing w:before="0" w:after="0" w:line="240" w:lineRule="auto"/>
              <w:rPr>
                <w:b/>
              </w:rPr>
            </w:pPr>
            <w:r w:rsidRPr="001825C9">
              <w:rPr>
                <w:b/>
              </w:rPr>
              <w:t>Costs</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Encorafenib (DPMQ, effective price)</w:t>
            </w:r>
          </w:p>
        </w:tc>
        <w:tc>
          <w:tcPr>
            <w:tcW w:w="1023" w:type="pct"/>
          </w:tcPr>
          <w:p w:rsidR="00AE46DA" w:rsidRPr="001825C9" w:rsidRDefault="00AE46DA" w:rsidP="00B21F37">
            <w:pPr>
              <w:pStyle w:val="TableText"/>
              <w:widowControl/>
              <w:spacing w:before="0" w:after="0" w:line="240" w:lineRule="auto"/>
            </w:pPr>
            <w:r w:rsidRPr="001825C9">
              <w:t>75 mg = $</w:t>
            </w:r>
            <w:r w:rsidR="00B72C43">
              <w:rPr>
                <w:noProof/>
                <w:color w:val="000000"/>
                <w:highlight w:val="black"/>
              </w:rPr>
              <w:t>'''''''''''''''''''</w:t>
            </w:r>
          </w:p>
        </w:tc>
        <w:tc>
          <w:tcPr>
            <w:tcW w:w="1493" w:type="pct"/>
          </w:tcPr>
          <w:p w:rsidR="00AE46DA" w:rsidRPr="001825C9" w:rsidRDefault="00AE46DA" w:rsidP="00B21F37">
            <w:pPr>
              <w:pStyle w:val="TableText"/>
              <w:widowControl/>
              <w:spacing w:before="0" w:after="0" w:line="240" w:lineRule="auto"/>
            </w:pPr>
            <w:r w:rsidRPr="001825C9">
              <w:t>Proposed effective price</w:t>
            </w:r>
          </w:p>
        </w:tc>
        <w:tc>
          <w:tcPr>
            <w:tcW w:w="1308" w:type="pct"/>
          </w:tcPr>
          <w:p w:rsidR="00AE46DA" w:rsidRPr="001825C9" w:rsidRDefault="00AE46DA" w:rsidP="00B21F37">
            <w:pPr>
              <w:pStyle w:val="TableText"/>
              <w:widowControl/>
              <w:spacing w:before="0" w:after="0" w:line="240" w:lineRule="auto"/>
            </w:pPr>
            <w:r w:rsidRPr="001825C9">
              <w:t>Consistent with the price proposed.</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Cetuximab (listed price)</w:t>
            </w:r>
          </w:p>
        </w:tc>
        <w:tc>
          <w:tcPr>
            <w:tcW w:w="1023" w:type="pct"/>
          </w:tcPr>
          <w:p w:rsidR="00AE46DA" w:rsidRPr="001825C9" w:rsidRDefault="00AE46DA" w:rsidP="00B21F37">
            <w:pPr>
              <w:pStyle w:val="TableText"/>
              <w:widowControl/>
              <w:spacing w:before="0" w:after="0" w:line="240" w:lineRule="auto"/>
            </w:pPr>
            <w:r w:rsidRPr="001825C9">
              <w:t>550 mg = $1,835.12</w:t>
            </w:r>
          </w:p>
          <w:p w:rsidR="00AE46DA" w:rsidRPr="001825C9" w:rsidRDefault="00AE46DA" w:rsidP="00B21F37">
            <w:pPr>
              <w:pStyle w:val="TableText"/>
              <w:widowControl/>
              <w:spacing w:before="0" w:after="0" w:line="240" w:lineRule="auto"/>
            </w:pPr>
            <w:r w:rsidRPr="001825C9">
              <w:t>550 mg = $1,900.24</w:t>
            </w:r>
          </w:p>
        </w:tc>
        <w:tc>
          <w:tcPr>
            <w:tcW w:w="1493" w:type="pct"/>
          </w:tcPr>
          <w:p w:rsidR="00AE46DA" w:rsidRPr="001825C9" w:rsidRDefault="00AE46DA" w:rsidP="00B21F37">
            <w:pPr>
              <w:pStyle w:val="TableText"/>
              <w:widowControl/>
              <w:spacing w:before="0" w:after="0" w:line="240" w:lineRule="auto"/>
            </w:pPr>
            <w:r w:rsidRPr="001825C9">
              <w:t>4731B</w:t>
            </w:r>
          </w:p>
          <w:p w:rsidR="00AE46DA" w:rsidRPr="001825C9" w:rsidRDefault="00AE46DA" w:rsidP="00B21F37">
            <w:pPr>
              <w:pStyle w:val="TableText"/>
              <w:widowControl/>
              <w:spacing w:before="0" w:after="0" w:line="240" w:lineRule="auto"/>
            </w:pPr>
            <w:r w:rsidRPr="001825C9">
              <w:t>7273T</w:t>
            </w:r>
          </w:p>
        </w:tc>
        <w:tc>
          <w:tcPr>
            <w:tcW w:w="1308" w:type="pct"/>
          </w:tcPr>
          <w:p w:rsidR="00AE46DA" w:rsidRPr="001825C9" w:rsidRDefault="003F6EA3" w:rsidP="00B21F37">
            <w:pPr>
              <w:pStyle w:val="TableText"/>
              <w:widowControl/>
              <w:spacing w:before="0" w:after="0" w:line="240" w:lineRule="auto"/>
            </w:pPr>
            <w:r w:rsidRPr="001825C9">
              <w:t xml:space="preserve">An SPA with an </w:t>
            </w:r>
            <w:r w:rsidR="00B72C43">
              <w:rPr>
                <w:noProof/>
                <w:color w:val="000000"/>
                <w:highlight w:val="black"/>
              </w:rPr>
              <w:t>'''''''</w:t>
            </w:r>
            <w:r w:rsidRPr="001825C9">
              <w:t>% rebate on the published price was assumed</w:t>
            </w:r>
            <w:r w:rsidR="00AE46DA" w:rsidRPr="001825C9">
              <w:t>.</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Bevacizumab (listed price)</w:t>
            </w:r>
          </w:p>
        </w:tc>
        <w:tc>
          <w:tcPr>
            <w:tcW w:w="1023" w:type="pct"/>
          </w:tcPr>
          <w:p w:rsidR="00AE46DA" w:rsidRPr="001825C9" w:rsidRDefault="00AE46DA" w:rsidP="00B21F37">
            <w:pPr>
              <w:pStyle w:val="TableText"/>
              <w:widowControl/>
              <w:spacing w:before="0" w:after="0" w:line="240" w:lineRule="auto"/>
            </w:pPr>
            <w:r w:rsidRPr="001825C9">
              <w:t>900 mg = $2,821.22</w:t>
            </w:r>
          </w:p>
          <w:p w:rsidR="00AE46DA" w:rsidRPr="001825C9" w:rsidRDefault="00AE46DA" w:rsidP="00B21F37">
            <w:pPr>
              <w:pStyle w:val="TableText"/>
              <w:widowControl/>
              <w:spacing w:before="0" w:after="0" w:line="240" w:lineRule="auto"/>
            </w:pPr>
            <w:r w:rsidRPr="001825C9">
              <w:t>900 mg = $2,900.15</w:t>
            </w:r>
          </w:p>
        </w:tc>
        <w:tc>
          <w:tcPr>
            <w:tcW w:w="1493" w:type="pct"/>
          </w:tcPr>
          <w:p w:rsidR="00AE46DA" w:rsidRPr="001825C9" w:rsidRDefault="00AE46DA" w:rsidP="00B21F37">
            <w:pPr>
              <w:pStyle w:val="TableText"/>
              <w:widowControl/>
              <w:spacing w:before="0" w:after="0" w:line="240" w:lineRule="auto"/>
            </w:pPr>
            <w:r w:rsidRPr="001825C9">
              <w:t>4400N</w:t>
            </w:r>
          </w:p>
          <w:p w:rsidR="00AE46DA" w:rsidRPr="001825C9" w:rsidRDefault="00AE46DA" w:rsidP="00B21F37">
            <w:pPr>
              <w:pStyle w:val="TableText"/>
              <w:widowControl/>
              <w:spacing w:before="0" w:after="0" w:line="240" w:lineRule="auto"/>
            </w:pPr>
            <w:r w:rsidRPr="001825C9">
              <w:t>7243F</w:t>
            </w:r>
          </w:p>
        </w:tc>
        <w:tc>
          <w:tcPr>
            <w:tcW w:w="1308" w:type="pct"/>
          </w:tcPr>
          <w:p w:rsidR="00AE46DA" w:rsidRPr="001825C9" w:rsidRDefault="003F6EA3" w:rsidP="00B21F37">
            <w:pPr>
              <w:pStyle w:val="TableText"/>
              <w:widowControl/>
              <w:spacing w:before="0" w:after="0" w:line="240" w:lineRule="auto"/>
            </w:pPr>
            <w:r w:rsidRPr="001825C9">
              <w:t xml:space="preserve">An SPA with an </w:t>
            </w:r>
            <w:r w:rsidR="00B72C43">
              <w:rPr>
                <w:noProof/>
                <w:color w:val="000000"/>
                <w:highlight w:val="black"/>
              </w:rPr>
              <w:t>'''''''</w:t>
            </w:r>
            <w:r w:rsidRPr="001825C9">
              <w:t>% rebate on the published price was assumed.</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Irinotecan (listed price)</w:t>
            </w:r>
          </w:p>
        </w:tc>
        <w:tc>
          <w:tcPr>
            <w:tcW w:w="1023" w:type="pct"/>
          </w:tcPr>
          <w:p w:rsidR="00AE46DA" w:rsidRPr="001825C9" w:rsidRDefault="00AE46DA" w:rsidP="00B21F37">
            <w:pPr>
              <w:pStyle w:val="TableText"/>
              <w:widowControl/>
              <w:spacing w:before="0" w:after="0" w:line="240" w:lineRule="auto"/>
            </w:pPr>
            <w:r w:rsidRPr="001825C9">
              <w:t>800 mg = $150.66</w:t>
            </w:r>
          </w:p>
          <w:p w:rsidR="00AE46DA" w:rsidRPr="001825C9" w:rsidRDefault="00AE46DA" w:rsidP="00B21F37">
            <w:pPr>
              <w:pStyle w:val="TableText"/>
              <w:widowControl/>
              <w:spacing w:before="0" w:after="0" w:line="240" w:lineRule="auto"/>
            </w:pPr>
            <w:r w:rsidRPr="001825C9">
              <w:t>800 mg = $192.17</w:t>
            </w:r>
          </w:p>
        </w:tc>
        <w:tc>
          <w:tcPr>
            <w:tcW w:w="1493" w:type="pct"/>
          </w:tcPr>
          <w:p w:rsidR="00AE46DA" w:rsidRPr="001825C9" w:rsidRDefault="00AE46DA" w:rsidP="00B21F37">
            <w:pPr>
              <w:pStyle w:val="TableText"/>
              <w:widowControl/>
              <w:spacing w:before="0" w:after="0" w:line="240" w:lineRule="auto"/>
            </w:pPr>
            <w:r w:rsidRPr="001825C9">
              <w:t>4451G</w:t>
            </w:r>
          </w:p>
          <w:p w:rsidR="00AE46DA" w:rsidRPr="001825C9" w:rsidRDefault="00AE46DA" w:rsidP="00B21F37">
            <w:pPr>
              <w:pStyle w:val="TableText"/>
              <w:widowControl/>
              <w:spacing w:before="0" w:after="0" w:line="240" w:lineRule="auto"/>
            </w:pPr>
            <w:r w:rsidRPr="001825C9">
              <w:t>7249M</w:t>
            </w:r>
          </w:p>
        </w:tc>
        <w:tc>
          <w:tcPr>
            <w:tcW w:w="1308" w:type="pct"/>
          </w:tcPr>
          <w:p w:rsidR="00AE46DA" w:rsidRPr="001825C9" w:rsidRDefault="00AE46DA" w:rsidP="00B21F37">
            <w:pPr>
              <w:pStyle w:val="TableText"/>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Folinic acid (listed price)</w:t>
            </w:r>
          </w:p>
        </w:tc>
        <w:tc>
          <w:tcPr>
            <w:tcW w:w="1023" w:type="pct"/>
          </w:tcPr>
          <w:p w:rsidR="00AE46DA" w:rsidRPr="001825C9" w:rsidRDefault="00AE46DA" w:rsidP="00B21F37">
            <w:pPr>
              <w:pStyle w:val="TableText"/>
              <w:widowControl/>
              <w:spacing w:before="0" w:after="0" w:line="240" w:lineRule="auto"/>
            </w:pPr>
            <w:r w:rsidRPr="001825C9">
              <w:t>1000 mg = $59.11</w:t>
            </w:r>
          </w:p>
          <w:p w:rsidR="00AE46DA" w:rsidRPr="001825C9" w:rsidRDefault="00AE46DA" w:rsidP="00B21F37">
            <w:pPr>
              <w:pStyle w:val="TableText"/>
              <w:widowControl/>
              <w:spacing w:before="0" w:after="0" w:line="240" w:lineRule="auto"/>
            </w:pPr>
            <w:r w:rsidRPr="001825C9">
              <w:t>1000 mg = $43.80</w:t>
            </w:r>
          </w:p>
          <w:p w:rsidR="00AE46DA" w:rsidRPr="001825C9" w:rsidRDefault="00AE46DA" w:rsidP="00B21F37">
            <w:pPr>
              <w:pStyle w:val="TableText"/>
              <w:widowControl/>
              <w:spacing w:before="0" w:after="0" w:line="240" w:lineRule="auto"/>
            </w:pPr>
            <w:r w:rsidRPr="001825C9">
              <w:t>500 mg = $38.90</w:t>
            </w:r>
          </w:p>
          <w:p w:rsidR="00AE46DA" w:rsidRPr="001825C9" w:rsidRDefault="00AE46DA" w:rsidP="00B21F37">
            <w:pPr>
              <w:pStyle w:val="TableText"/>
              <w:widowControl/>
              <w:spacing w:before="0" w:after="0" w:line="240" w:lineRule="auto"/>
            </w:pPr>
            <w:r w:rsidRPr="001825C9">
              <w:t>500 mg = $53.84</w:t>
            </w:r>
          </w:p>
          <w:p w:rsidR="00AE46DA" w:rsidRPr="001825C9" w:rsidRDefault="00AE46DA" w:rsidP="00B21F37">
            <w:pPr>
              <w:pStyle w:val="TableText"/>
              <w:widowControl/>
              <w:spacing w:before="0" w:after="0" w:line="240" w:lineRule="auto"/>
            </w:pPr>
            <w:r w:rsidRPr="001825C9">
              <w:t>500 mg = $53.85</w:t>
            </w:r>
          </w:p>
          <w:p w:rsidR="00AE46DA" w:rsidRPr="001825C9" w:rsidRDefault="00AE46DA" w:rsidP="00B21F37">
            <w:pPr>
              <w:pStyle w:val="TableText"/>
              <w:widowControl/>
              <w:spacing w:before="0" w:after="0" w:line="240" w:lineRule="auto"/>
            </w:pPr>
            <w:r w:rsidRPr="001825C9">
              <w:t>500 mg = $38.90</w:t>
            </w:r>
          </w:p>
          <w:p w:rsidR="00AE46DA" w:rsidRPr="001825C9" w:rsidRDefault="00AE46DA" w:rsidP="00B21F37">
            <w:pPr>
              <w:pStyle w:val="TableText"/>
              <w:widowControl/>
              <w:spacing w:before="0" w:after="0" w:line="240" w:lineRule="auto"/>
            </w:pPr>
            <w:r w:rsidRPr="001825C9">
              <w:t>1200 mg = $42.12</w:t>
            </w:r>
          </w:p>
          <w:p w:rsidR="00AE46DA" w:rsidRPr="001825C9" w:rsidRDefault="00AE46DA" w:rsidP="00B21F37">
            <w:pPr>
              <w:pStyle w:val="TableText"/>
              <w:widowControl/>
              <w:spacing w:before="0" w:after="0" w:line="240" w:lineRule="auto"/>
            </w:pPr>
            <w:r w:rsidRPr="001825C9">
              <w:t>1200 mg = $57.30</w:t>
            </w:r>
          </w:p>
        </w:tc>
        <w:tc>
          <w:tcPr>
            <w:tcW w:w="1493" w:type="pct"/>
          </w:tcPr>
          <w:p w:rsidR="00AE46DA" w:rsidRPr="001825C9" w:rsidRDefault="00AE46DA" w:rsidP="00B21F37">
            <w:pPr>
              <w:pStyle w:val="TableText"/>
              <w:widowControl/>
              <w:spacing w:before="0" w:after="0" w:line="240" w:lineRule="auto"/>
            </w:pPr>
            <w:r w:rsidRPr="001825C9">
              <w:t>1704Q</w:t>
            </w:r>
          </w:p>
          <w:p w:rsidR="00AE46DA" w:rsidRPr="001825C9" w:rsidRDefault="00AE46DA" w:rsidP="00B21F37">
            <w:pPr>
              <w:pStyle w:val="TableText"/>
              <w:widowControl/>
              <w:spacing w:before="0" w:after="0" w:line="240" w:lineRule="auto"/>
            </w:pPr>
            <w:r w:rsidRPr="001825C9">
              <w:t>1904F</w:t>
            </w:r>
          </w:p>
          <w:p w:rsidR="00AE46DA" w:rsidRPr="001825C9" w:rsidRDefault="00AE46DA" w:rsidP="00B21F37">
            <w:pPr>
              <w:pStyle w:val="TableText"/>
              <w:widowControl/>
              <w:spacing w:before="0" w:after="0" w:line="240" w:lineRule="auto"/>
            </w:pPr>
            <w:r w:rsidRPr="001825C9">
              <w:t>5890B</w:t>
            </w:r>
          </w:p>
          <w:p w:rsidR="00AE46DA" w:rsidRPr="001825C9" w:rsidRDefault="00AE46DA" w:rsidP="00B21F37">
            <w:pPr>
              <w:pStyle w:val="TableText"/>
              <w:widowControl/>
              <w:spacing w:before="0" w:after="0" w:line="240" w:lineRule="auto"/>
            </w:pPr>
            <w:r w:rsidRPr="001825C9">
              <w:t>8740B</w:t>
            </w:r>
          </w:p>
          <w:p w:rsidR="00AE46DA" w:rsidRPr="001825C9" w:rsidRDefault="00AE46DA" w:rsidP="00B21F37">
            <w:pPr>
              <w:pStyle w:val="TableText"/>
              <w:widowControl/>
              <w:spacing w:before="0" w:after="0" w:line="240" w:lineRule="auto"/>
            </w:pPr>
            <w:r w:rsidRPr="001825C9">
              <w:t>1610R</w:t>
            </w:r>
          </w:p>
          <w:p w:rsidR="00AE46DA" w:rsidRPr="001825C9" w:rsidRDefault="00AE46DA" w:rsidP="00B21F37">
            <w:pPr>
              <w:pStyle w:val="TableText"/>
              <w:widowControl/>
              <w:spacing w:before="0" w:after="0" w:line="240" w:lineRule="auto"/>
            </w:pPr>
            <w:r w:rsidRPr="001825C9">
              <w:t>1899Y</w:t>
            </w:r>
          </w:p>
          <w:p w:rsidR="00AE46DA" w:rsidRPr="001825C9" w:rsidRDefault="00AE46DA" w:rsidP="00B21F37">
            <w:pPr>
              <w:pStyle w:val="TableText"/>
              <w:widowControl/>
              <w:spacing w:before="0" w:after="0" w:line="240" w:lineRule="auto"/>
            </w:pPr>
            <w:r w:rsidRPr="001825C9">
              <w:t>5870Y</w:t>
            </w:r>
          </w:p>
          <w:p w:rsidR="00AE46DA" w:rsidRPr="001825C9" w:rsidRDefault="00AE46DA" w:rsidP="00B21F37">
            <w:pPr>
              <w:pStyle w:val="TableText"/>
              <w:widowControl/>
              <w:spacing w:before="0" w:after="0" w:line="240" w:lineRule="auto"/>
            </w:pPr>
            <w:r w:rsidRPr="001825C9">
              <w:t>9041W</w:t>
            </w:r>
          </w:p>
        </w:tc>
        <w:tc>
          <w:tcPr>
            <w:tcW w:w="1308" w:type="pct"/>
          </w:tcPr>
          <w:p w:rsidR="00AE46DA" w:rsidRPr="001825C9" w:rsidRDefault="00AE46DA" w:rsidP="00B21F37">
            <w:pPr>
              <w:pStyle w:val="TableText"/>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Fluorouracil bolus (listed price)</w:t>
            </w:r>
          </w:p>
        </w:tc>
        <w:tc>
          <w:tcPr>
            <w:tcW w:w="1023" w:type="pct"/>
          </w:tcPr>
          <w:p w:rsidR="00AE46DA" w:rsidRPr="001825C9" w:rsidRDefault="00AE46DA" w:rsidP="00B21F37">
            <w:pPr>
              <w:pStyle w:val="TableText"/>
              <w:widowControl/>
              <w:spacing w:before="0" w:after="0" w:line="240" w:lineRule="auto"/>
            </w:pPr>
            <w:r w:rsidRPr="001825C9">
              <w:t>1000 mg = $92.87</w:t>
            </w:r>
          </w:p>
          <w:p w:rsidR="00AE46DA" w:rsidRPr="001825C9" w:rsidRDefault="00AE46DA" w:rsidP="00B21F37">
            <w:pPr>
              <w:pStyle w:val="TableText"/>
              <w:widowControl/>
              <w:spacing w:before="0" w:after="0" w:line="240" w:lineRule="auto"/>
            </w:pPr>
            <w:r w:rsidRPr="001825C9">
              <w:t>1000 mg = $133.60</w:t>
            </w:r>
          </w:p>
        </w:tc>
        <w:tc>
          <w:tcPr>
            <w:tcW w:w="1493" w:type="pct"/>
          </w:tcPr>
          <w:p w:rsidR="00AE46DA" w:rsidRPr="001825C9" w:rsidRDefault="00AE46DA" w:rsidP="00B21F37">
            <w:pPr>
              <w:pStyle w:val="TableText"/>
              <w:widowControl/>
              <w:spacing w:before="0" w:after="0" w:line="240" w:lineRule="auto"/>
            </w:pPr>
            <w:r w:rsidRPr="001825C9">
              <w:t>4431F</w:t>
            </w:r>
          </w:p>
          <w:p w:rsidR="00AE46DA" w:rsidRPr="001825C9" w:rsidRDefault="00AE46DA" w:rsidP="00B21F37">
            <w:pPr>
              <w:pStyle w:val="TableText"/>
              <w:widowControl/>
              <w:spacing w:before="0" w:after="0" w:line="240" w:lineRule="auto"/>
            </w:pPr>
            <w:r w:rsidRPr="001825C9">
              <w:t>7239B</w:t>
            </w:r>
          </w:p>
        </w:tc>
        <w:tc>
          <w:tcPr>
            <w:tcW w:w="1308" w:type="pct"/>
          </w:tcPr>
          <w:p w:rsidR="00AE46DA" w:rsidRPr="001825C9" w:rsidRDefault="00AE46DA" w:rsidP="00B21F37">
            <w:pPr>
              <w:pStyle w:val="TableText"/>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lastRenderedPageBreak/>
              <w:t>Fluorouracil infusion (listed price)</w:t>
            </w:r>
          </w:p>
        </w:tc>
        <w:tc>
          <w:tcPr>
            <w:tcW w:w="1023" w:type="pct"/>
          </w:tcPr>
          <w:p w:rsidR="00AE46DA" w:rsidRPr="001825C9" w:rsidRDefault="00AE46DA" w:rsidP="00B21F37">
            <w:pPr>
              <w:pStyle w:val="TableText"/>
              <w:widowControl/>
              <w:spacing w:before="0" w:after="0" w:line="240" w:lineRule="auto"/>
            </w:pPr>
            <w:r w:rsidRPr="001825C9">
              <w:t>5500 mg = $165.96</w:t>
            </w:r>
          </w:p>
          <w:p w:rsidR="00AE46DA" w:rsidRPr="001825C9" w:rsidRDefault="00AE46DA" w:rsidP="00B21F37">
            <w:pPr>
              <w:pStyle w:val="TableText"/>
              <w:widowControl/>
              <w:spacing w:before="0" w:after="0" w:line="240" w:lineRule="auto"/>
            </w:pPr>
            <w:r w:rsidRPr="001825C9">
              <w:t>5500 mg = $124.78</w:t>
            </w:r>
          </w:p>
        </w:tc>
        <w:tc>
          <w:tcPr>
            <w:tcW w:w="1493" w:type="pct"/>
          </w:tcPr>
          <w:p w:rsidR="00AE46DA" w:rsidRPr="001825C9" w:rsidRDefault="00AE46DA" w:rsidP="00B21F37">
            <w:pPr>
              <w:pStyle w:val="TableText"/>
              <w:widowControl/>
              <w:spacing w:before="0" w:after="0" w:line="240" w:lineRule="auto"/>
            </w:pPr>
            <w:r w:rsidRPr="001825C9">
              <w:t>7234R</w:t>
            </w:r>
          </w:p>
          <w:p w:rsidR="00AE46DA" w:rsidRPr="001825C9" w:rsidRDefault="00AE46DA" w:rsidP="00B21F37">
            <w:pPr>
              <w:pStyle w:val="TableText"/>
              <w:widowControl/>
              <w:spacing w:before="0" w:after="0" w:line="240" w:lineRule="auto"/>
            </w:pPr>
            <w:r w:rsidRPr="001825C9">
              <w:t>4394G</w:t>
            </w:r>
          </w:p>
        </w:tc>
        <w:tc>
          <w:tcPr>
            <w:tcW w:w="1308" w:type="pct"/>
          </w:tcPr>
          <w:p w:rsidR="00AE46DA" w:rsidRPr="001825C9" w:rsidRDefault="00AE46DA" w:rsidP="00B21F37">
            <w:pPr>
              <w:pStyle w:val="TableText"/>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PBS co-payment</w:t>
            </w:r>
          </w:p>
        </w:tc>
        <w:tc>
          <w:tcPr>
            <w:tcW w:w="1023" w:type="pct"/>
          </w:tcPr>
          <w:p w:rsidR="00AE46DA" w:rsidRPr="001825C9" w:rsidRDefault="00AE46DA" w:rsidP="00B21F37">
            <w:pPr>
              <w:pStyle w:val="TableText"/>
              <w:widowControl/>
              <w:spacing w:before="0" w:after="0" w:line="240" w:lineRule="auto"/>
            </w:pPr>
            <w:r w:rsidRPr="001825C9">
              <w:t>PBS = $23.08</w:t>
            </w:r>
          </w:p>
          <w:p w:rsidR="00AE46DA" w:rsidRPr="001825C9" w:rsidRDefault="00AE46DA" w:rsidP="00B21F37">
            <w:pPr>
              <w:pStyle w:val="TableText"/>
              <w:widowControl/>
              <w:spacing w:before="0" w:after="0" w:line="240" w:lineRule="auto"/>
            </w:pPr>
            <w:r w:rsidRPr="001825C9">
              <w:t>RPBS = $6.14</w:t>
            </w:r>
          </w:p>
        </w:tc>
        <w:tc>
          <w:tcPr>
            <w:tcW w:w="1493" w:type="pct"/>
          </w:tcPr>
          <w:p w:rsidR="00AE46DA" w:rsidRPr="001825C9" w:rsidRDefault="00AE46DA" w:rsidP="00A8257F">
            <w:pPr>
              <w:pStyle w:val="TableText"/>
              <w:widowControl/>
              <w:spacing w:before="0" w:after="0" w:line="240" w:lineRule="auto"/>
            </w:pPr>
            <w:r w:rsidRPr="001825C9">
              <w:t>A single patient co-payment calculated on the basis of observed distribution from PBS 2019 statistics (for public setting), for all medicines used to estimate the financial impact for PBS and RPBS setting.</w:t>
            </w:r>
          </w:p>
        </w:tc>
        <w:tc>
          <w:tcPr>
            <w:tcW w:w="1308" w:type="pct"/>
          </w:tcPr>
          <w:p w:rsidR="00AE46DA" w:rsidRPr="001825C9" w:rsidRDefault="00AE46DA" w:rsidP="00B21F37">
            <w:pPr>
              <w:pStyle w:val="TableText"/>
              <w:widowControl/>
              <w:spacing w:before="0" w:after="0" w:line="240" w:lineRule="auto"/>
            </w:pPr>
            <w:r w:rsidRPr="001825C9">
              <w:t>Estimates were appropriately sourced and calculated based on utilisation of the medicines involved.</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Specialist follow up (for medical oncologist, radiation oncologist, psychology specialist and surgeon consultations)</w:t>
            </w:r>
          </w:p>
        </w:tc>
        <w:tc>
          <w:tcPr>
            <w:tcW w:w="1023" w:type="pct"/>
          </w:tcPr>
          <w:p w:rsidR="00AE46DA" w:rsidRPr="001825C9" w:rsidRDefault="00AE46DA" w:rsidP="00B21F37">
            <w:pPr>
              <w:pStyle w:val="TableText"/>
              <w:widowControl/>
              <w:spacing w:before="0" w:after="0" w:line="240" w:lineRule="auto"/>
              <w:rPr>
                <w:vertAlign w:val="superscript"/>
              </w:rPr>
            </w:pPr>
            <w:r w:rsidRPr="001825C9">
              <w:t xml:space="preserve">$45.00 </w:t>
            </w:r>
            <w:r w:rsidRPr="001825C9">
              <w:rPr>
                <w:vertAlign w:val="superscript"/>
              </w:rPr>
              <w:t>a</w:t>
            </w:r>
          </w:p>
        </w:tc>
        <w:tc>
          <w:tcPr>
            <w:tcW w:w="1493" w:type="pct"/>
          </w:tcPr>
          <w:p w:rsidR="00AE46DA" w:rsidRPr="001825C9" w:rsidRDefault="00AE46DA" w:rsidP="00B21F37">
            <w:pPr>
              <w:pStyle w:val="TableText"/>
              <w:widowControl/>
              <w:spacing w:before="0" w:after="0" w:line="240" w:lineRule="auto"/>
            </w:pPr>
            <w:r w:rsidRPr="001825C9">
              <w:t>MBS</w:t>
            </w:r>
            <w:r w:rsidRPr="001825C9">
              <w:rPr>
                <w:spacing w:val="-1"/>
              </w:rPr>
              <w:t xml:space="preserve"> </w:t>
            </w:r>
            <w:r w:rsidRPr="001825C9">
              <w:t>item</w:t>
            </w:r>
            <w:r w:rsidRPr="001825C9">
              <w:rPr>
                <w:spacing w:val="1"/>
              </w:rPr>
              <w:t xml:space="preserve"> </w:t>
            </w:r>
            <w:r w:rsidRPr="001825C9">
              <w:rPr>
                <w:spacing w:val="-6"/>
              </w:rPr>
              <w:t>105</w:t>
            </w:r>
          </w:p>
        </w:tc>
        <w:tc>
          <w:tcPr>
            <w:tcW w:w="1308" w:type="pct"/>
          </w:tcPr>
          <w:p w:rsidR="00AE46DA" w:rsidRPr="001825C9" w:rsidRDefault="00AE46DA" w:rsidP="00B21F37">
            <w:pPr>
              <w:pStyle w:val="TableText"/>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Oncology nurse visit</w:t>
            </w:r>
          </w:p>
        </w:tc>
        <w:tc>
          <w:tcPr>
            <w:tcW w:w="1023" w:type="pct"/>
          </w:tcPr>
          <w:p w:rsidR="00AE46DA" w:rsidRPr="001825C9" w:rsidRDefault="00AE46DA" w:rsidP="00B21F37">
            <w:pPr>
              <w:pStyle w:val="TableText"/>
              <w:widowControl/>
              <w:spacing w:before="0" w:after="0" w:line="240" w:lineRule="auto"/>
            </w:pPr>
            <w:r w:rsidRPr="001825C9">
              <w:t>$9.90</w:t>
            </w:r>
            <w:r w:rsidRPr="001825C9">
              <w:rPr>
                <w:vertAlign w:val="superscript"/>
              </w:rPr>
              <w:t xml:space="preserve"> a</w:t>
            </w:r>
          </w:p>
        </w:tc>
        <w:tc>
          <w:tcPr>
            <w:tcW w:w="1493" w:type="pct"/>
          </w:tcPr>
          <w:p w:rsidR="00AE46DA" w:rsidRPr="001825C9" w:rsidRDefault="00AE46DA" w:rsidP="00B21F37">
            <w:pPr>
              <w:pStyle w:val="TableText"/>
              <w:widowControl/>
              <w:spacing w:before="0" w:after="0" w:line="240" w:lineRule="auto"/>
            </w:pPr>
            <w:r w:rsidRPr="001825C9">
              <w:t>MBS item 82200</w:t>
            </w:r>
          </w:p>
        </w:tc>
        <w:tc>
          <w:tcPr>
            <w:tcW w:w="1308" w:type="pct"/>
          </w:tcPr>
          <w:p w:rsidR="00AE46DA" w:rsidRPr="001825C9" w:rsidRDefault="00AE46DA" w:rsidP="00B21F37">
            <w:pPr>
              <w:pStyle w:val="TableText"/>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Level C GP consultation</w:t>
            </w:r>
          </w:p>
        </w:tc>
        <w:tc>
          <w:tcPr>
            <w:tcW w:w="1023" w:type="pct"/>
          </w:tcPr>
          <w:p w:rsidR="00AE46DA" w:rsidRPr="001825C9" w:rsidRDefault="00AE46DA" w:rsidP="00B21F37">
            <w:pPr>
              <w:pStyle w:val="TableText"/>
              <w:widowControl/>
              <w:spacing w:before="0" w:after="0" w:line="240" w:lineRule="auto"/>
            </w:pPr>
            <w:r w:rsidRPr="001825C9">
              <w:t>$75.50</w:t>
            </w:r>
            <w:r w:rsidRPr="001825C9">
              <w:rPr>
                <w:vertAlign w:val="superscript"/>
              </w:rPr>
              <w:t xml:space="preserve"> a</w:t>
            </w:r>
          </w:p>
        </w:tc>
        <w:tc>
          <w:tcPr>
            <w:tcW w:w="1493" w:type="pct"/>
          </w:tcPr>
          <w:p w:rsidR="00AE46DA" w:rsidRPr="001825C9" w:rsidRDefault="00AE46DA" w:rsidP="00B21F37">
            <w:pPr>
              <w:pStyle w:val="TableText"/>
              <w:widowControl/>
              <w:spacing w:before="0" w:after="0" w:line="240" w:lineRule="auto"/>
            </w:pPr>
            <w:r w:rsidRPr="001825C9">
              <w:t>MBS item</w:t>
            </w:r>
            <w:r w:rsidRPr="001825C9">
              <w:rPr>
                <w:spacing w:val="-2"/>
              </w:rPr>
              <w:t xml:space="preserve"> </w:t>
            </w:r>
            <w:r w:rsidRPr="001825C9">
              <w:t>36</w:t>
            </w:r>
          </w:p>
        </w:tc>
        <w:tc>
          <w:tcPr>
            <w:tcW w:w="1308" w:type="pct"/>
          </w:tcPr>
          <w:p w:rsidR="00AE46DA" w:rsidRPr="001825C9" w:rsidRDefault="00AE46DA" w:rsidP="00B21F37">
            <w:pPr>
              <w:pStyle w:val="TableText"/>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Brain MRI</w:t>
            </w:r>
          </w:p>
        </w:tc>
        <w:tc>
          <w:tcPr>
            <w:tcW w:w="1023" w:type="pct"/>
          </w:tcPr>
          <w:p w:rsidR="00AE46DA" w:rsidRPr="001825C9" w:rsidRDefault="00AE46DA" w:rsidP="00B21F37">
            <w:pPr>
              <w:pStyle w:val="TableText"/>
              <w:widowControl/>
              <w:spacing w:before="0" w:after="0" w:line="240" w:lineRule="auto"/>
            </w:pPr>
            <w:r w:rsidRPr="001825C9">
              <w:t>$403.20</w:t>
            </w:r>
          </w:p>
        </w:tc>
        <w:tc>
          <w:tcPr>
            <w:tcW w:w="1493" w:type="pct"/>
          </w:tcPr>
          <w:p w:rsidR="00AE46DA" w:rsidRPr="001825C9" w:rsidRDefault="00AE46DA" w:rsidP="00B21F37">
            <w:pPr>
              <w:pStyle w:val="TableText"/>
              <w:widowControl/>
              <w:spacing w:before="0" w:after="0" w:line="240" w:lineRule="auto"/>
            </w:pPr>
            <w:r w:rsidRPr="001825C9">
              <w:t>MBS item</w:t>
            </w:r>
            <w:r w:rsidRPr="001825C9">
              <w:rPr>
                <w:spacing w:val="-2"/>
              </w:rPr>
              <w:t xml:space="preserve"> </w:t>
            </w:r>
            <w:r w:rsidRPr="001825C9">
              <w:t>63001</w:t>
            </w:r>
          </w:p>
        </w:tc>
        <w:tc>
          <w:tcPr>
            <w:tcW w:w="1308" w:type="pct"/>
          </w:tcPr>
          <w:p w:rsidR="00AE46DA" w:rsidRPr="001825C9" w:rsidRDefault="00AE46DA" w:rsidP="00B21F37">
            <w:pPr>
              <w:pStyle w:val="TableText"/>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Brain CT-scan</w:t>
            </w:r>
          </w:p>
        </w:tc>
        <w:tc>
          <w:tcPr>
            <w:tcW w:w="1023" w:type="pct"/>
          </w:tcPr>
          <w:p w:rsidR="00AE46DA" w:rsidRPr="001825C9" w:rsidRDefault="00AE46DA" w:rsidP="00B21F37">
            <w:pPr>
              <w:pStyle w:val="TableText"/>
              <w:widowControl/>
              <w:spacing w:before="0" w:after="0" w:line="240" w:lineRule="auto"/>
            </w:pPr>
            <w:r w:rsidRPr="001825C9">
              <w:t>$198.00</w:t>
            </w:r>
            <w:r w:rsidRPr="001825C9">
              <w:rPr>
                <w:vertAlign w:val="superscript"/>
              </w:rPr>
              <w:t xml:space="preserve"> a</w:t>
            </w:r>
          </w:p>
        </w:tc>
        <w:tc>
          <w:tcPr>
            <w:tcW w:w="1493" w:type="pct"/>
          </w:tcPr>
          <w:p w:rsidR="00AE46DA" w:rsidRPr="001825C9" w:rsidRDefault="00AE46DA" w:rsidP="00B21F37">
            <w:pPr>
              <w:pStyle w:val="TableText"/>
              <w:widowControl/>
              <w:spacing w:before="0" w:after="0" w:line="240" w:lineRule="auto"/>
            </w:pPr>
            <w:r w:rsidRPr="001825C9">
              <w:t>MBS item</w:t>
            </w:r>
            <w:r w:rsidRPr="001825C9">
              <w:rPr>
                <w:spacing w:val="-2"/>
              </w:rPr>
              <w:t xml:space="preserve"> </w:t>
            </w:r>
            <w:r w:rsidRPr="001825C9">
              <w:t>56001</w:t>
            </w:r>
          </w:p>
        </w:tc>
        <w:tc>
          <w:tcPr>
            <w:tcW w:w="1308" w:type="pct"/>
          </w:tcPr>
          <w:p w:rsidR="00AE46DA" w:rsidRPr="001825C9" w:rsidRDefault="00AE46DA" w:rsidP="00B21F37">
            <w:pPr>
              <w:pStyle w:val="TableText"/>
              <w:widowControl/>
              <w:spacing w:before="0" w:after="0" w:line="240" w:lineRule="auto"/>
            </w:pPr>
            <w:r w:rsidRPr="001825C9">
              <w:t>This was appropriate.</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Chest radiograph</w:t>
            </w:r>
          </w:p>
        </w:tc>
        <w:tc>
          <w:tcPr>
            <w:tcW w:w="1023" w:type="pct"/>
          </w:tcPr>
          <w:p w:rsidR="00AE46DA" w:rsidRPr="001825C9" w:rsidRDefault="00AE46DA" w:rsidP="00B21F37">
            <w:pPr>
              <w:pStyle w:val="TableText"/>
              <w:widowControl/>
              <w:spacing w:before="0" w:after="0" w:line="240" w:lineRule="auto"/>
            </w:pPr>
            <w:r w:rsidRPr="001825C9">
              <w:t>$299.40</w:t>
            </w:r>
            <w:r w:rsidRPr="001825C9">
              <w:rPr>
                <w:vertAlign w:val="superscript"/>
              </w:rPr>
              <w:t xml:space="preserve"> a</w:t>
            </w:r>
          </w:p>
        </w:tc>
        <w:tc>
          <w:tcPr>
            <w:tcW w:w="1493" w:type="pct"/>
          </w:tcPr>
          <w:p w:rsidR="00AE46DA" w:rsidRPr="001825C9" w:rsidRDefault="00AE46DA" w:rsidP="00B21F37">
            <w:pPr>
              <w:pStyle w:val="TableText"/>
              <w:widowControl/>
              <w:spacing w:before="0" w:after="0" w:line="240" w:lineRule="auto"/>
            </w:pPr>
            <w:r w:rsidRPr="001825C9">
              <w:t>MBS item</w:t>
            </w:r>
            <w:r w:rsidRPr="001825C9">
              <w:rPr>
                <w:spacing w:val="-2"/>
              </w:rPr>
              <w:t xml:space="preserve"> </w:t>
            </w:r>
            <w:r w:rsidRPr="001825C9">
              <w:t>56301</w:t>
            </w:r>
          </w:p>
        </w:tc>
        <w:tc>
          <w:tcPr>
            <w:tcW w:w="1308" w:type="pct"/>
          </w:tcPr>
          <w:p w:rsidR="00AE46DA" w:rsidRPr="001825C9" w:rsidRDefault="00AE46DA" w:rsidP="00B21F37">
            <w:pPr>
              <w:pStyle w:val="TableText"/>
              <w:widowControl/>
              <w:spacing w:before="0" w:after="0" w:line="240" w:lineRule="auto"/>
            </w:pPr>
            <w:r w:rsidRPr="001825C9">
              <w:t xml:space="preserve">MBS item 56341 which was nominated by the submission was deleted as of May 2020 (MBS Online, May 2020). Instead, MBS item 56301 had a similar description and was applied in the evaluation. </w:t>
            </w:r>
          </w:p>
        </w:tc>
      </w:tr>
      <w:tr w:rsidR="00AE46DA" w:rsidRPr="001825C9" w:rsidTr="00EF4EC7">
        <w:trPr>
          <w:cantSplit/>
        </w:trPr>
        <w:tc>
          <w:tcPr>
            <w:tcW w:w="1176" w:type="pct"/>
          </w:tcPr>
          <w:p w:rsidR="00AE46DA" w:rsidRPr="001825C9" w:rsidRDefault="00AE46DA" w:rsidP="00B21F37">
            <w:pPr>
              <w:pStyle w:val="TableText"/>
              <w:widowControl/>
              <w:spacing w:before="0" w:after="0" w:line="240" w:lineRule="auto"/>
            </w:pPr>
            <w:r w:rsidRPr="001825C9">
              <w:t>Blood test</w:t>
            </w:r>
          </w:p>
        </w:tc>
        <w:tc>
          <w:tcPr>
            <w:tcW w:w="1023" w:type="pct"/>
          </w:tcPr>
          <w:p w:rsidR="00AE46DA" w:rsidRPr="001825C9" w:rsidRDefault="00AE46DA" w:rsidP="00B21F37">
            <w:pPr>
              <w:pStyle w:val="TableText"/>
              <w:widowControl/>
              <w:spacing w:before="0" w:after="0" w:line="240" w:lineRule="auto"/>
            </w:pPr>
            <w:r w:rsidRPr="001825C9">
              <w:t>$16.95</w:t>
            </w:r>
          </w:p>
        </w:tc>
        <w:tc>
          <w:tcPr>
            <w:tcW w:w="1493" w:type="pct"/>
          </w:tcPr>
          <w:p w:rsidR="00AE46DA" w:rsidRPr="001825C9" w:rsidRDefault="00AE46DA" w:rsidP="00B21F37">
            <w:pPr>
              <w:pStyle w:val="TableText"/>
              <w:widowControl/>
              <w:spacing w:before="0" w:after="0" w:line="240" w:lineRule="auto"/>
            </w:pPr>
            <w:r w:rsidRPr="001825C9">
              <w:t>MBS item</w:t>
            </w:r>
            <w:r w:rsidRPr="001825C9">
              <w:rPr>
                <w:spacing w:val="-2"/>
              </w:rPr>
              <w:t xml:space="preserve"> </w:t>
            </w:r>
            <w:r w:rsidRPr="001825C9">
              <w:t>65070</w:t>
            </w:r>
          </w:p>
        </w:tc>
        <w:tc>
          <w:tcPr>
            <w:tcW w:w="1308" w:type="pct"/>
          </w:tcPr>
          <w:p w:rsidR="00AE46DA" w:rsidRPr="001825C9" w:rsidRDefault="00AE46DA" w:rsidP="00B21F37">
            <w:pPr>
              <w:pStyle w:val="TableText"/>
              <w:widowControl/>
              <w:spacing w:before="0" w:after="0" w:line="240" w:lineRule="auto"/>
            </w:pPr>
            <w:r w:rsidRPr="001825C9">
              <w:t>This was appropriate.</w:t>
            </w:r>
          </w:p>
        </w:tc>
      </w:tr>
    </w:tbl>
    <w:p w:rsidR="00AE46DA" w:rsidRPr="001825C9" w:rsidRDefault="00AE46DA" w:rsidP="00AE46DA">
      <w:pPr>
        <w:pStyle w:val="TableFooter"/>
        <w:widowControl/>
      </w:pPr>
      <w:r w:rsidRPr="001825C9">
        <w:t xml:space="preserve">Note: </w:t>
      </w:r>
      <w:r w:rsidRPr="001825C9">
        <w:rPr>
          <w:vertAlign w:val="superscript"/>
        </w:rPr>
        <w:t xml:space="preserve">a </w:t>
      </w:r>
      <w:r w:rsidRPr="001825C9">
        <w:t>Updated based on MBS item prices from July 2020.</w:t>
      </w:r>
    </w:p>
    <w:p w:rsidR="00AE46DA" w:rsidRPr="001825C9" w:rsidRDefault="00AE46DA" w:rsidP="00AE46DA">
      <w:pPr>
        <w:pStyle w:val="TableFooter"/>
        <w:widowControl/>
      </w:pPr>
      <w:r w:rsidRPr="001825C9">
        <w:t xml:space="preserve">Abbreviations: </w:t>
      </w:r>
      <w:r w:rsidRPr="001825C9">
        <w:rPr>
          <w:i/>
        </w:rPr>
        <w:t>BRAF</w:t>
      </w:r>
      <w:r w:rsidRPr="001825C9">
        <w:t xml:space="preserve"> = B-Rapidly Accelerated Fibrosarcoma; CT = computed tomography; Dispensed price maximum quantity; FOLFIRI = 5-fluorouracil + folinic acid + irinotecan; GP = general practitioner; MBS = Medicare Benefits Schedule; mCRC = metastatic colorectal cancer; PBS = Pharmaceutical Benefits Scheme; RPBS = Repatriation Pharmaceutical Benefits Scheme; SPA = Special Pricing Arrangement.</w:t>
      </w:r>
    </w:p>
    <w:p w:rsidR="00AE46DA" w:rsidRDefault="00AE46DA" w:rsidP="00AE46DA">
      <w:pPr>
        <w:pStyle w:val="TableFooter"/>
        <w:widowControl/>
      </w:pPr>
      <w:r w:rsidRPr="001825C9">
        <w:t>Source: Table 4-2, p273; Table 4-3, p274; Table 4-4, p274; Table 4-5, p274; Table 4-6, p275; Table 4-7, p275 and Encorafenib mCRC Financial Table Workbook, sheets ‘1.Overview’ and ‘4b. Impact-affected (pub)’ of the submission.</w:t>
      </w:r>
    </w:p>
    <w:p w:rsidR="00970A3B" w:rsidRPr="006D5154" w:rsidRDefault="00970A3B" w:rsidP="00AE46DA">
      <w:pPr>
        <w:pStyle w:val="TableFooter"/>
        <w:widowControl/>
        <w:rPr>
          <w:i/>
        </w:rPr>
      </w:pPr>
      <w:r w:rsidRPr="006D5154">
        <w:rPr>
          <w:i/>
        </w:rPr>
        <w:t>The redacted values correspond to the following ranges:</w:t>
      </w:r>
    </w:p>
    <w:p w:rsidR="00970A3B" w:rsidRPr="006D5154" w:rsidRDefault="00970A3B" w:rsidP="00AE46DA">
      <w:pPr>
        <w:pStyle w:val="TableFooter"/>
        <w:widowControl/>
        <w:rPr>
          <w:i/>
        </w:rPr>
      </w:pPr>
      <w:r w:rsidRPr="006D5154">
        <w:rPr>
          <w:i/>
          <w:vertAlign w:val="superscript"/>
        </w:rPr>
        <w:t>1</w:t>
      </w:r>
      <w:r w:rsidRPr="006D5154">
        <w:rPr>
          <w:i/>
        </w:rPr>
        <w:t>10,000 to &lt;20,000</w:t>
      </w:r>
    </w:p>
    <w:p w:rsidR="00970A3B" w:rsidRPr="006D5154" w:rsidRDefault="00970A3B" w:rsidP="00AE46DA">
      <w:pPr>
        <w:pStyle w:val="TableFooter"/>
        <w:widowControl/>
        <w:rPr>
          <w:i/>
        </w:rPr>
      </w:pPr>
      <w:r w:rsidRPr="006D5154">
        <w:rPr>
          <w:i/>
          <w:vertAlign w:val="superscript"/>
        </w:rPr>
        <w:t>2</w:t>
      </w:r>
      <w:r w:rsidRPr="006D5154">
        <w:rPr>
          <w:i/>
        </w:rPr>
        <w:t>500 to 5,000</w:t>
      </w:r>
    </w:p>
    <w:p w:rsidR="00970A3B" w:rsidRPr="006D5154" w:rsidRDefault="00970A3B" w:rsidP="00AE46DA">
      <w:pPr>
        <w:pStyle w:val="TableFooter"/>
        <w:widowControl/>
        <w:rPr>
          <w:i/>
        </w:rPr>
      </w:pPr>
      <w:r w:rsidRPr="006D5154">
        <w:rPr>
          <w:i/>
          <w:vertAlign w:val="superscript"/>
        </w:rPr>
        <w:t>3</w:t>
      </w:r>
      <w:r w:rsidRPr="006D5154">
        <w:rPr>
          <w:i/>
        </w:rPr>
        <w:t>&lt;500</w:t>
      </w:r>
    </w:p>
    <w:p w:rsidR="00970A3B" w:rsidRPr="006D5154" w:rsidRDefault="00970A3B" w:rsidP="00AE46DA">
      <w:pPr>
        <w:pStyle w:val="TableFooter"/>
        <w:widowControl/>
        <w:rPr>
          <w:i/>
        </w:rPr>
      </w:pPr>
      <w:r w:rsidRPr="006D5154">
        <w:rPr>
          <w:i/>
          <w:vertAlign w:val="superscript"/>
        </w:rPr>
        <w:t>4</w:t>
      </w:r>
      <w:r w:rsidRPr="006D5154">
        <w:rPr>
          <w:i/>
        </w:rPr>
        <w:t>500 to 5,000</w:t>
      </w:r>
    </w:p>
    <w:p w:rsidR="00AE46DA" w:rsidRPr="001825C9" w:rsidRDefault="00AE46DA" w:rsidP="00AE46DA">
      <w:pPr>
        <w:pStyle w:val="ListParagraph"/>
      </w:pPr>
      <w:r w:rsidRPr="001825C9">
        <w:lastRenderedPageBreak/>
        <w:t xml:space="preserve">The submission did not consider potential use by prevalent mCRC patients, arguing that mCRC patients with a </w:t>
      </w:r>
      <w:r w:rsidRPr="001825C9">
        <w:rPr>
          <w:i/>
          <w:iCs/>
        </w:rPr>
        <w:t xml:space="preserve">BRAF </w:t>
      </w:r>
      <w:r w:rsidR="0090484C" w:rsidRPr="001825C9">
        <w:rPr>
          <w:iCs/>
        </w:rPr>
        <w:t>V600E</w:t>
      </w:r>
      <w:r w:rsidRPr="001825C9">
        <w:t xml:space="preserve"> variant have a short survival period. While this may be the case, it is likely that some mCRC patients diagnosed with a </w:t>
      </w:r>
      <w:r w:rsidRPr="001825C9">
        <w:rPr>
          <w:i/>
          <w:iCs/>
        </w:rPr>
        <w:t xml:space="preserve">BRAF </w:t>
      </w:r>
      <w:r w:rsidR="0090484C" w:rsidRPr="001825C9">
        <w:rPr>
          <w:iCs/>
        </w:rPr>
        <w:t>V600E</w:t>
      </w:r>
      <w:r w:rsidRPr="001825C9">
        <w:t xml:space="preserve"> variant in the year before encorafenib is listed will be alive post-listing. As a result, the evaluation considered it likely that the submission had underestimated the number of patients eligible to receive encorafenib + cetuximab in the first year of listing.</w:t>
      </w:r>
      <w:r w:rsidR="00420074" w:rsidRPr="001825C9">
        <w:t xml:space="preserve"> </w:t>
      </w:r>
      <w:r w:rsidR="00F2360C" w:rsidRPr="001825C9">
        <w:t>However,</w:t>
      </w:r>
      <w:r w:rsidRPr="001825C9">
        <w:t xml:space="preserve"> given the short survival period of patients with mCRC</w:t>
      </w:r>
      <w:r w:rsidR="00420074" w:rsidRPr="001825C9">
        <w:t>, the ESCs</w:t>
      </w:r>
      <w:r w:rsidRPr="001825C9">
        <w:t xml:space="preserve"> considered this underestimate in eligible patient numbers would mainly impact the first year of listing.</w:t>
      </w:r>
    </w:p>
    <w:p w:rsidR="00AE46DA" w:rsidRPr="001825C9" w:rsidRDefault="00AE46DA" w:rsidP="00AE46DA">
      <w:pPr>
        <w:pStyle w:val="ListParagraph"/>
      </w:pPr>
      <w:r w:rsidRPr="001825C9">
        <w:t xml:space="preserve">The costs of </w:t>
      </w:r>
      <w:r w:rsidRPr="001825C9">
        <w:rPr>
          <w:i/>
          <w:iCs/>
        </w:rPr>
        <w:t xml:space="preserve">BRAF </w:t>
      </w:r>
      <w:r w:rsidR="0090484C" w:rsidRPr="001825C9">
        <w:rPr>
          <w:iCs/>
        </w:rPr>
        <w:t>V600E</w:t>
      </w:r>
      <w:r w:rsidRPr="001825C9">
        <w:t xml:space="preserve"> testing were not included in the financial estimates. The submission noted that there would be no additional cost to the MBS due to </w:t>
      </w:r>
      <w:r w:rsidRPr="001825C9">
        <w:rPr>
          <w:i/>
        </w:rPr>
        <w:t>BRAF</w:t>
      </w:r>
      <w:r w:rsidRPr="001825C9">
        <w:t xml:space="preserve"> testing as it is already done as part of routine testing for </w:t>
      </w:r>
      <w:r w:rsidRPr="001825C9">
        <w:rPr>
          <w:i/>
          <w:iCs/>
        </w:rPr>
        <w:t>RAS</w:t>
      </w:r>
      <w:r w:rsidRPr="001825C9">
        <w:t xml:space="preserve"> status and that the request is for the formal inclusion and reporting of existing </w:t>
      </w:r>
      <w:r w:rsidRPr="001825C9">
        <w:rPr>
          <w:i/>
          <w:iCs/>
        </w:rPr>
        <w:t xml:space="preserve">BRAF </w:t>
      </w:r>
      <w:r w:rsidR="0090484C" w:rsidRPr="001825C9">
        <w:rPr>
          <w:iCs/>
        </w:rPr>
        <w:t>V600E</w:t>
      </w:r>
      <w:r w:rsidRPr="001825C9">
        <w:t xml:space="preserve"> testing into the existing MBS item 73338.</w:t>
      </w:r>
    </w:p>
    <w:p w:rsidR="00AE46DA" w:rsidRPr="001825C9" w:rsidRDefault="00AE46DA" w:rsidP="00AE46DA">
      <w:pPr>
        <w:pStyle w:val="ListParagraph"/>
      </w:pPr>
      <w:r w:rsidRPr="001825C9">
        <w:rPr>
          <w:iCs/>
          <w:color w:val="auto"/>
        </w:rPr>
        <w:t>The submission requested an SPA for encorafenib. The financial impact of encorafenib presented in the submission was estimated using the encora</w:t>
      </w:r>
      <w:r w:rsidR="00420074" w:rsidRPr="001825C9">
        <w:rPr>
          <w:iCs/>
          <w:color w:val="auto"/>
        </w:rPr>
        <w:t>fe</w:t>
      </w:r>
      <w:r w:rsidRPr="001825C9">
        <w:rPr>
          <w:iCs/>
          <w:color w:val="auto"/>
        </w:rPr>
        <w:t>nib effective price.</w:t>
      </w:r>
      <w:r w:rsidRPr="001825C9">
        <w:rPr>
          <w:i/>
          <w:iCs/>
          <w:color w:val="auto"/>
        </w:rPr>
        <w:t xml:space="preserve"> </w:t>
      </w:r>
      <w:r w:rsidRPr="001825C9">
        <w:t xml:space="preserve">The submission also applied SPAs assumed for cetuximab and bevacizumab (an assumed </w:t>
      </w:r>
      <w:r w:rsidR="00B72C43">
        <w:rPr>
          <w:noProof/>
          <w:color w:val="000000"/>
          <w:highlight w:val="black"/>
        </w:rPr>
        <w:t>'''''</w:t>
      </w:r>
      <w:r w:rsidRPr="001825C9">
        <w:t xml:space="preserve">% </w:t>
      </w:r>
      <w:r w:rsidR="00F258C4" w:rsidRPr="001825C9">
        <w:t>rebate</w:t>
      </w:r>
      <w:r w:rsidRPr="001825C9">
        <w:t xml:space="preserve">) as well as a </w:t>
      </w:r>
      <w:r w:rsidRPr="00D24D69">
        <w:t>25</w:t>
      </w:r>
      <w:r w:rsidRPr="001825C9">
        <w:t xml:space="preserve">% reduction to the price of cetuximab under the assumption of generic entry, to the base case. </w:t>
      </w:r>
      <w:r w:rsidRPr="001825C9">
        <w:rPr>
          <w:color w:val="auto"/>
        </w:rPr>
        <w:t xml:space="preserve">As with the economic model, the assumed price reduction due to generic entry was not consistent with the </w:t>
      </w:r>
      <w:r w:rsidRPr="001825C9">
        <w:rPr>
          <w:i/>
          <w:color w:val="auto"/>
        </w:rPr>
        <w:t>PBAC Guidelines.</w:t>
      </w:r>
    </w:p>
    <w:p w:rsidR="00B86C80" w:rsidRPr="001825C9" w:rsidRDefault="00AE46DA" w:rsidP="00F2360C">
      <w:pPr>
        <w:pStyle w:val="ListParagraph"/>
      </w:pPr>
      <w:r w:rsidRPr="001825C9">
        <w:t>The estimated number</w:t>
      </w:r>
      <w:r w:rsidR="00420074" w:rsidRPr="001825C9">
        <w:t>s</w:t>
      </w:r>
      <w:r w:rsidRPr="001825C9">
        <w:t xml:space="preserve"> of patients treated, scripts dispensed and financial implications of the proposed listing are summarised in Table 18.</w:t>
      </w:r>
      <w:r w:rsidR="00B86C80" w:rsidRPr="001825C9">
        <w:t xml:space="preserve"> At year 6, the estimated number of patients was </w:t>
      </w:r>
      <w:r w:rsidR="003E1D3C">
        <w:t>&lt;500</w:t>
      </w:r>
      <w:r w:rsidR="00B86C80" w:rsidRPr="001825C9">
        <w:t xml:space="preserve"> and the net cost to the PBS would </w:t>
      </w:r>
      <w:r w:rsidR="00B86C80" w:rsidRPr="001825C9">
        <w:lastRenderedPageBreak/>
        <w:t xml:space="preserve">be </w:t>
      </w:r>
      <w:r w:rsidR="00E12074" w:rsidRPr="001825C9">
        <w:rPr>
          <w:color w:val="auto"/>
        </w:rPr>
        <w:t>$</w:t>
      </w:r>
      <w:r w:rsidR="003E1D3C">
        <w:rPr>
          <w:color w:val="auto"/>
        </w:rPr>
        <w:t>0 to &lt;$10 million</w:t>
      </w:r>
      <w:r w:rsidR="00B86C80" w:rsidRPr="001825C9">
        <w:t xml:space="preserve">. </w:t>
      </w:r>
      <w:r w:rsidR="00F2360C" w:rsidRPr="001825C9">
        <w:t>The net cost would increase once the assumption of a price reduction due to generic entry for cetuximab is removed. Applying the effective price of cetuximab will also impact on the net cost.</w:t>
      </w:r>
    </w:p>
    <w:p w:rsidR="00AE46DA" w:rsidRPr="001825C9" w:rsidRDefault="00AE46DA" w:rsidP="00AE46DA">
      <w:pPr>
        <w:pStyle w:val="Caption"/>
      </w:pPr>
      <w:r w:rsidRPr="001825C9">
        <w:lastRenderedPageBreak/>
        <w:t>Table 18: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1134"/>
        <w:gridCol w:w="1134"/>
        <w:gridCol w:w="1134"/>
        <w:gridCol w:w="1132"/>
        <w:gridCol w:w="1131"/>
        <w:gridCol w:w="1087"/>
      </w:tblGrid>
      <w:tr w:rsidR="00AE46DA" w:rsidRPr="001825C9" w:rsidTr="00B21F37">
        <w:trPr>
          <w:trHeight w:val="20"/>
          <w:tblHeader/>
        </w:trPr>
        <w:tc>
          <w:tcPr>
            <w:tcW w:w="1255" w:type="pct"/>
            <w:shd w:val="clear" w:color="auto" w:fill="auto"/>
            <w:vAlign w:val="center"/>
          </w:tcPr>
          <w:p w:rsidR="00AE46DA" w:rsidRPr="001825C9" w:rsidRDefault="00AE46DA" w:rsidP="00B21F37">
            <w:pPr>
              <w:pStyle w:val="TableText"/>
              <w:keepNext/>
              <w:keepLines/>
              <w:widowControl/>
              <w:spacing w:before="0"/>
              <w:jc w:val="center"/>
              <w:rPr>
                <w:b/>
              </w:rPr>
            </w:pPr>
          </w:p>
        </w:tc>
        <w:tc>
          <w:tcPr>
            <w:tcW w:w="629" w:type="pct"/>
            <w:shd w:val="clear" w:color="auto" w:fill="auto"/>
          </w:tcPr>
          <w:p w:rsidR="00AE46DA" w:rsidRPr="001825C9" w:rsidRDefault="00AE46DA" w:rsidP="00B21F37">
            <w:pPr>
              <w:pStyle w:val="TableText"/>
              <w:keepNext/>
              <w:keepLines/>
              <w:widowControl/>
              <w:spacing w:before="0"/>
              <w:jc w:val="center"/>
              <w:rPr>
                <w:b/>
              </w:rPr>
            </w:pPr>
            <w:r w:rsidRPr="001825C9">
              <w:rPr>
                <w:b/>
              </w:rPr>
              <w:t>Year 1</w:t>
            </w:r>
          </w:p>
        </w:tc>
        <w:tc>
          <w:tcPr>
            <w:tcW w:w="629" w:type="pct"/>
            <w:shd w:val="clear" w:color="auto" w:fill="auto"/>
          </w:tcPr>
          <w:p w:rsidR="00AE46DA" w:rsidRPr="001825C9" w:rsidRDefault="00AE46DA" w:rsidP="00B21F37">
            <w:pPr>
              <w:pStyle w:val="TableText"/>
              <w:keepNext/>
              <w:keepLines/>
              <w:widowControl/>
              <w:spacing w:before="0"/>
              <w:jc w:val="center"/>
              <w:rPr>
                <w:b/>
              </w:rPr>
            </w:pPr>
            <w:r w:rsidRPr="001825C9">
              <w:rPr>
                <w:b/>
              </w:rPr>
              <w:t>Year 2</w:t>
            </w:r>
          </w:p>
        </w:tc>
        <w:tc>
          <w:tcPr>
            <w:tcW w:w="629" w:type="pct"/>
            <w:shd w:val="clear" w:color="auto" w:fill="auto"/>
          </w:tcPr>
          <w:p w:rsidR="00AE46DA" w:rsidRPr="001825C9" w:rsidRDefault="00AE46DA" w:rsidP="00B21F37">
            <w:pPr>
              <w:pStyle w:val="TableText"/>
              <w:keepNext/>
              <w:keepLines/>
              <w:widowControl/>
              <w:spacing w:before="0"/>
              <w:jc w:val="center"/>
              <w:rPr>
                <w:b/>
              </w:rPr>
            </w:pPr>
            <w:r w:rsidRPr="001825C9">
              <w:rPr>
                <w:b/>
              </w:rPr>
              <w:t>Year 3</w:t>
            </w:r>
          </w:p>
        </w:tc>
        <w:tc>
          <w:tcPr>
            <w:tcW w:w="628" w:type="pct"/>
            <w:shd w:val="clear" w:color="auto" w:fill="auto"/>
          </w:tcPr>
          <w:p w:rsidR="00AE46DA" w:rsidRPr="001825C9" w:rsidRDefault="00AE46DA" w:rsidP="00B21F37">
            <w:pPr>
              <w:pStyle w:val="TableText"/>
              <w:keepNext/>
              <w:keepLines/>
              <w:widowControl/>
              <w:spacing w:before="0"/>
              <w:jc w:val="center"/>
              <w:rPr>
                <w:b/>
              </w:rPr>
            </w:pPr>
            <w:r w:rsidRPr="001825C9">
              <w:rPr>
                <w:b/>
              </w:rPr>
              <w:t>Year 4</w:t>
            </w:r>
          </w:p>
        </w:tc>
        <w:tc>
          <w:tcPr>
            <w:tcW w:w="627" w:type="pct"/>
            <w:shd w:val="clear" w:color="auto" w:fill="auto"/>
          </w:tcPr>
          <w:p w:rsidR="00AE46DA" w:rsidRPr="001825C9" w:rsidRDefault="00AE46DA" w:rsidP="00B21F37">
            <w:pPr>
              <w:pStyle w:val="TableText"/>
              <w:keepNext/>
              <w:keepLines/>
              <w:widowControl/>
              <w:spacing w:before="0"/>
              <w:jc w:val="center"/>
              <w:rPr>
                <w:b/>
              </w:rPr>
            </w:pPr>
            <w:r w:rsidRPr="001825C9">
              <w:rPr>
                <w:b/>
              </w:rPr>
              <w:t>Year 5</w:t>
            </w:r>
          </w:p>
        </w:tc>
        <w:tc>
          <w:tcPr>
            <w:tcW w:w="603" w:type="pct"/>
            <w:shd w:val="clear" w:color="auto" w:fill="auto"/>
          </w:tcPr>
          <w:p w:rsidR="00AE46DA" w:rsidRPr="001825C9" w:rsidRDefault="00AE46DA" w:rsidP="00B21F37">
            <w:pPr>
              <w:pStyle w:val="TableText"/>
              <w:keepNext/>
              <w:keepLines/>
              <w:widowControl/>
              <w:spacing w:before="0"/>
              <w:jc w:val="center"/>
              <w:rPr>
                <w:b/>
              </w:rPr>
            </w:pPr>
            <w:r w:rsidRPr="001825C9">
              <w:rPr>
                <w:b/>
              </w:rPr>
              <w:t>Year 6</w:t>
            </w:r>
          </w:p>
        </w:tc>
      </w:tr>
      <w:tr w:rsidR="00AE46DA" w:rsidRPr="001825C9" w:rsidTr="00B21F37">
        <w:trPr>
          <w:trHeight w:val="20"/>
        </w:trPr>
        <w:tc>
          <w:tcPr>
            <w:tcW w:w="5000" w:type="pct"/>
            <w:gridSpan w:val="7"/>
            <w:shd w:val="clear" w:color="auto" w:fill="auto"/>
            <w:vAlign w:val="center"/>
          </w:tcPr>
          <w:p w:rsidR="00AE46DA" w:rsidRPr="001825C9" w:rsidRDefault="00AE46DA" w:rsidP="00B21F37">
            <w:pPr>
              <w:pStyle w:val="TableText"/>
              <w:keepNext/>
              <w:keepLines/>
              <w:widowControl/>
              <w:spacing w:before="0"/>
              <w:rPr>
                <w:b/>
              </w:rPr>
            </w:pPr>
            <w:r w:rsidRPr="001825C9">
              <w:rPr>
                <w:b/>
              </w:rPr>
              <w:t>Estimated extent of use of encorafenib</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rPr>
                <w:rFonts w:ascii="Times" w:eastAsia="Times New Roman" w:hAnsi="Times" w:cs="Times New Roman"/>
              </w:rPr>
            </w:pPr>
            <w:r w:rsidRPr="001825C9">
              <w:t xml:space="preserve">Incident mCRC patients with a </w:t>
            </w:r>
            <w:r w:rsidRPr="001825C9">
              <w:rPr>
                <w:i/>
                <w:iCs/>
              </w:rPr>
              <w:t xml:space="preserve">BRAF </w:t>
            </w:r>
            <w:r w:rsidR="0090484C" w:rsidRPr="001825C9">
              <w:rPr>
                <w:iCs/>
              </w:rPr>
              <w:t>V600E</w:t>
            </w:r>
            <w:r w:rsidRPr="001825C9">
              <w:t xml:space="preserve"> variant, eligible, who will receive encorafenib</w:t>
            </w:r>
          </w:p>
        </w:tc>
        <w:tc>
          <w:tcPr>
            <w:tcW w:w="629"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1</w:t>
            </w:r>
          </w:p>
        </w:tc>
        <w:tc>
          <w:tcPr>
            <w:tcW w:w="629"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1</w:t>
            </w:r>
          </w:p>
        </w:tc>
        <w:tc>
          <w:tcPr>
            <w:tcW w:w="629"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1</w:t>
            </w:r>
          </w:p>
        </w:tc>
        <w:tc>
          <w:tcPr>
            <w:tcW w:w="628"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1</w:t>
            </w:r>
          </w:p>
        </w:tc>
        <w:tc>
          <w:tcPr>
            <w:tcW w:w="627"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1</w:t>
            </w:r>
          </w:p>
        </w:tc>
        <w:tc>
          <w:tcPr>
            <w:tcW w:w="603"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1</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rPr>
                <w:rFonts w:ascii="Times" w:eastAsia="Times New Roman" w:hAnsi="Times" w:cs="Times New Roman"/>
              </w:rPr>
            </w:pPr>
            <w:r w:rsidRPr="001825C9">
              <w:t>Estimated total volume of scripts dispensed</w:t>
            </w:r>
          </w:p>
        </w:tc>
        <w:tc>
          <w:tcPr>
            <w:tcW w:w="629"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2</w:t>
            </w:r>
          </w:p>
        </w:tc>
        <w:tc>
          <w:tcPr>
            <w:tcW w:w="629"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2</w:t>
            </w:r>
          </w:p>
        </w:tc>
        <w:tc>
          <w:tcPr>
            <w:tcW w:w="629"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2</w:t>
            </w:r>
          </w:p>
        </w:tc>
        <w:tc>
          <w:tcPr>
            <w:tcW w:w="628"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2</w:t>
            </w:r>
          </w:p>
        </w:tc>
        <w:tc>
          <w:tcPr>
            <w:tcW w:w="627"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2</w:t>
            </w:r>
          </w:p>
        </w:tc>
        <w:tc>
          <w:tcPr>
            <w:tcW w:w="603" w:type="pct"/>
            <w:shd w:val="clear" w:color="auto" w:fill="auto"/>
            <w:vAlign w:val="center"/>
          </w:tcPr>
          <w:p w:rsidR="00AE46DA" w:rsidRPr="00B72C43" w:rsidRDefault="00B72C43" w:rsidP="00B21F37">
            <w:pPr>
              <w:pStyle w:val="TableText"/>
              <w:keepNext/>
              <w:keepLines/>
              <w:widowControl/>
              <w:spacing w:before="0"/>
              <w:jc w:val="center"/>
            </w:pPr>
            <w:r>
              <w:rPr>
                <w:noProof/>
                <w:color w:val="000000"/>
                <w:highlight w:val="black"/>
              </w:rPr>
              <w:t>'''''''''''''</w:t>
            </w:r>
            <w:r w:rsidR="003E1D3C">
              <w:rPr>
                <w:vertAlign w:val="superscript"/>
              </w:rPr>
              <w:t>2</w:t>
            </w:r>
          </w:p>
        </w:tc>
      </w:tr>
      <w:tr w:rsidR="00AE46DA" w:rsidRPr="001825C9" w:rsidTr="00B21F37">
        <w:trPr>
          <w:trHeight w:val="20"/>
        </w:trPr>
        <w:tc>
          <w:tcPr>
            <w:tcW w:w="5000" w:type="pct"/>
            <w:gridSpan w:val="7"/>
            <w:shd w:val="clear" w:color="auto" w:fill="auto"/>
            <w:vAlign w:val="center"/>
          </w:tcPr>
          <w:p w:rsidR="00AE46DA" w:rsidRPr="001825C9" w:rsidRDefault="00AE46DA" w:rsidP="00B21F37">
            <w:pPr>
              <w:pStyle w:val="TableText"/>
              <w:keepNext/>
              <w:keepLines/>
              <w:widowControl/>
              <w:spacing w:before="0"/>
              <w:rPr>
                <w:b/>
              </w:rPr>
            </w:pPr>
            <w:r w:rsidRPr="001825C9">
              <w:rPr>
                <w:b/>
              </w:rPr>
              <w:t>Estimated financial implications of encorafenib to the PBS/RPBS (effective encorafenib price)</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rPr>
                <w:rFonts w:ascii="Times" w:eastAsia="Times New Roman" w:hAnsi="Times" w:cs="Times New Roman"/>
              </w:rPr>
            </w:pPr>
            <w:r w:rsidRPr="001825C9">
              <w:t>Cost to PBS/RPBS</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8"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7"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03"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pPr>
            <w:r w:rsidRPr="001825C9">
              <w:t>Copayments</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8"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7"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03"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pPr>
            <w:r w:rsidRPr="001825C9">
              <w:t>Cost to PBS/RPBS less copayments</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8"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7"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03"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r>
      <w:tr w:rsidR="00AE46DA" w:rsidRPr="001825C9" w:rsidTr="00B21F37">
        <w:trPr>
          <w:trHeight w:val="20"/>
        </w:trPr>
        <w:tc>
          <w:tcPr>
            <w:tcW w:w="5000" w:type="pct"/>
            <w:gridSpan w:val="7"/>
            <w:shd w:val="clear" w:color="auto" w:fill="auto"/>
            <w:vAlign w:val="center"/>
          </w:tcPr>
          <w:p w:rsidR="00AE46DA" w:rsidRPr="001825C9" w:rsidRDefault="00AE46DA" w:rsidP="00B21F37">
            <w:pPr>
              <w:pStyle w:val="TableText"/>
              <w:keepNext/>
              <w:keepLines/>
              <w:widowControl/>
              <w:spacing w:before="0"/>
              <w:rPr>
                <w:b/>
              </w:rPr>
            </w:pPr>
            <w:r w:rsidRPr="001825C9">
              <w:rPr>
                <w:b/>
              </w:rPr>
              <w:t xml:space="preserve">Estimated financial implications of </w:t>
            </w:r>
            <w:r w:rsidRPr="001825C9">
              <w:rPr>
                <w:b/>
                <w:i/>
              </w:rPr>
              <w:t xml:space="preserve">BRAF </w:t>
            </w:r>
            <w:r w:rsidR="0090484C" w:rsidRPr="001825C9">
              <w:rPr>
                <w:b/>
              </w:rPr>
              <w:t>V600E</w:t>
            </w:r>
            <w:r w:rsidRPr="001825C9">
              <w:rPr>
                <w:b/>
                <w:i/>
              </w:rPr>
              <w:t xml:space="preserve"> </w:t>
            </w:r>
            <w:r w:rsidRPr="001825C9">
              <w:rPr>
                <w:b/>
              </w:rPr>
              <w:t>testing to the MBS</w:t>
            </w:r>
          </w:p>
        </w:tc>
      </w:tr>
      <w:tr w:rsidR="00AE46DA" w:rsidRPr="001825C9" w:rsidTr="00B21F37">
        <w:trPr>
          <w:trHeight w:val="20"/>
        </w:trPr>
        <w:tc>
          <w:tcPr>
            <w:tcW w:w="1255" w:type="pct"/>
            <w:shd w:val="clear" w:color="auto" w:fill="auto"/>
            <w:vAlign w:val="center"/>
          </w:tcPr>
          <w:p w:rsidR="00AE46DA" w:rsidRPr="001825C9" w:rsidRDefault="00AE46DA" w:rsidP="00B21F37">
            <w:pPr>
              <w:keepNext/>
              <w:keepLines/>
              <w:spacing w:before="0" w:after="0"/>
              <w:jc w:val="left"/>
            </w:pPr>
            <w:r w:rsidRPr="001825C9">
              <w:rPr>
                <w:rFonts w:ascii="Arial Narrow" w:hAnsi="Arial Narrow"/>
                <w:color w:val="201F1E"/>
                <w:sz w:val="20"/>
                <w:szCs w:val="20"/>
                <w:shd w:val="clear" w:color="auto" w:fill="FFFFFF"/>
              </w:rPr>
              <w:t>Net cost to the MBS budget</w:t>
            </w:r>
          </w:p>
        </w:tc>
        <w:tc>
          <w:tcPr>
            <w:tcW w:w="629" w:type="pct"/>
            <w:shd w:val="clear" w:color="auto" w:fill="auto"/>
            <w:vAlign w:val="center"/>
          </w:tcPr>
          <w:p w:rsidR="00AE46DA" w:rsidRPr="001825C9" w:rsidRDefault="00AE46DA" w:rsidP="00B21F37">
            <w:pPr>
              <w:pStyle w:val="TableText"/>
              <w:keepNext/>
              <w:keepLines/>
              <w:widowControl/>
              <w:spacing w:before="0" w:after="0" w:line="240" w:lineRule="auto"/>
              <w:jc w:val="center"/>
            </w:pPr>
            <w:r w:rsidRPr="001825C9">
              <w:rPr>
                <w:rFonts w:cs="Segoe UI"/>
                <w:color w:val="201F1E"/>
                <w:szCs w:val="20"/>
              </w:rPr>
              <w:t>$</w:t>
            </w:r>
            <w:r w:rsidR="00B72C43">
              <w:rPr>
                <w:rFonts w:cs="Segoe UI"/>
                <w:noProof/>
                <w:color w:val="000000"/>
                <w:szCs w:val="20"/>
                <w:highlight w:val="black"/>
              </w:rPr>
              <w:t>'''</w:t>
            </w:r>
            <w:r w:rsidR="00095562">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after="0" w:line="240" w:lineRule="auto"/>
              <w:jc w:val="center"/>
            </w:pPr>
            <w:r w:rsidRPr="001825C9">
              <w:rPr>
                <w:rFonts w:cs="Segoe UI"/>
                <w:color w:val="201F1E"/>
                <w:szCs w:val="20"/>
              </w:rPr>
              <w:t>$</w:t>
            </w:r>
            <w:r w:rsidR="00B72C43">
              <w:rPr>
                <w:rFonts w:cs="Segoe UI"/>
                <w:noProof/>
                <w:color w:val="000000"/>
                <w:szCs w:val="20"/>
                <w:highlight w:val="black"/>
              </w:rPr>
              <w:t>''''</w:t>
            </w:r>
            <w:r w:rsidR="00095562">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after="0" w:line="240" w:lineRule="auto"/>
              <w:jc w:val="center"/>
            </w:pPr>
            <w:r w:rsidRPr="001825C9">
              <w:rPr>
                <w:rFonts w:cs="Segoe UI"/>
                <w:color w:val="201F1E"/>
                <w:szCs w:val="20"/>
              </w:rPr>
              <w:t>$</w:t>
            </w:r>
            <w:r w:rsidR="00B72C43">
              <w:rPr>
                <w:rFonts w:cs="Segoe UI"/>
                <w:noProof/>
                <w:color w:val="000000"/>
                <w:szCs w:val="20"/>
                <w:highlight w:val="black"/>
              </w:rPr>
              <w:t>'''</w:t>
            </w:r>
            <w:r w:rsidR="00095562">
              <w:rPr>
                <w:vertAlign w:val="superscript"/>
              </w:rPr>
              <w:t>3</w:t>
            </w:r>
          </w:p>
        </w:tc>
        <w:tc>
          <w:tcPr>
            <w:tcW w:w="628" w:type="pct"/>
            <w:shd w:val="clear" w:color="auto" w:fill="auto"/>
            <w:vAlign w:val="center"/>
          </w:tcPr>
          <w:p w:rsidR="00AE46DA" w:rsidRPr="001825C9" w:rsidRDefault="00AE46DA" w:rsidP="00B21F37">
            <w:pPr>
              <w:pStyle w:val="TableText"/>
              <w:keepNext/>
              <w:keepLines/>
              <w:widowControl/>
              <w:spacing w:before="0" w:after="0" w:line="240" w:lineRule="auto"/>
              <w:jc w:val="center"/>
            </w:pPr>
            <w:r w:rsidRPr="001825C9">
              <w:rPr>
                <w:rFonts w:cs="Segoe UI"/>
                <w:color w:val="201F1E"/>
                <w:szCs w:val="20"/>
              </w:rPr>
              <w:t>$</w:t>
            </w:r>
            <w:r w:rsidR="00B72C43">
              <w:rPr>
                <w:rFonts w:cs="Segoe UI"/>
                <w:noProof/>
                <w:color w:val="000000"/>
                <w:szCs w:val="20"/>
                <w:highlight w:val="black"/>
              </w:rPr>
              <w:t>'''</w:t>
            </w:r>
            <w:r w:rsidR="00095562">
              <w:rPr>
                <w:vertAlign w:val="superscript"/>
              </w:rPr>
              <w:t>3</w:t>
            </w:r>
          </w:p>
        </w:tc>
        <w:tc>
          <w:tcPr>
            <w:tcW w:w="627" w:type="pct"/>
            <w:shd w:val="clear" w:color="auto" w:fill="auto"/>
            <w:vAlign w:val="center"/>
          </w:tcPr>
          <w:p w:rsidR="00AE46DA" w:rsidRPr="001825C9" w:rsidRDefault="00AE46DA" w:rsidP="00B21F37">
            <w:pPr>
              <w:pStyle w:val="TableText"/>
              <w:keepNext/>
              <w:keepLines/>
              <w:widowControl/>
              <w:spacing w:before="0" w:after="0" w:line="240" w:lineRule="auto"/>
              <w:jc w:val="center"/>
            </w:pPr>
            <w:r w:rsidRPr="001825C9">
              <w:rPr>
                <w:rFonts w:cs="Segoe UI"/>
                <w:color w:val="201F1E"/>
                <w:szCs w:val="20"/>
              </w:rPr>
              <w:t>$</w:t>
            </w:r>
            <w:r w:rsidR="00B72C43">
              <w:rPr>
                <w:rFonts w:cs="Segoe UI"/>
                <w:noProof/>
                <w:color w:val="000000"/>
                <w:szCs w:val="20"/>
                <w:highlight w:val="black"/>
              </w:rPr>
              <w:t>''''</w:t>
            </w:r>
            <w:r w:rsidR="00095562">
              <w:rPr>
                <w:vertAlign w:val="superscript"/>
              </w:rPr>
              <w:t>3</w:t>
            </w:r>
          </w:p>
        </w:tc>
        <w:tc>
          <w:tcPr>
            <w:tcW w:w="603" w:type="pct"/>
            <w:shd w:val="clear" w:color="auto" w:fill="auto"/>
            <w:vAlign w:val="center"/>
          </w:tcPr>
          <w:p w:rsidR="00AE46DA" w:rsidRPr="001825C9" w:rsidRDefault="00AE46DA" w:rsidP="00B21F37">
            <w:pPr>
              <w:pStyle w:val="TableText"/>
              <w:keepNext/>
              <w:keepLines/>
              <w:widowControl/>
              <w:spacing w:before="0" w:after="0" w:line="240" w:lineRule="auto"/>
              <w:jc w:val="center"/>
            </w:pPr>
            <w:r w:rsidRPr="001825C9">
              <w:rPr>
                <w:rFonts w:cs="Segoe UI"/>
                <w:color w:val="201F1E"/>
                <w:szCs w:val="20"/>
              </w:rPr>
              <w:t>$</w:t>
            </w:r>
            <w:r w:rsidR="00B72C43">
              <w:rPr>
                <w:rFonts w:cs="Segoe UI"/>
                <w:noProof/>
                <w:color w:val="000000"/>
                <w:szCs w:val="20"/>
                <w:highlight w:val="black"/>
              </w:rPr>
              <w:t>''''</w:t>
            </w:r>
            <w:r w:rsidR="00095562">
              <w:rPr>
                <w:vertAlign w:val="superscript"/>
              </w:rPr>
              <w:t>3</w:t>
            </w:r>
          </w:p>
        </w:tc>
      </w:tr>
      <w:tr w:rsidR="00AE46DA" w:rsidRPr="001825C9" w:rsidTr="00B21F37">
        <w:trPr>
          <w:trHeight w:val="20"/>
        </w:trPr>
        <w:tc>
          <w:tcPr>
            <w:tcW w:w="5000" w:type="pct"/>
            <w:gridSpan w:val="7"/>
            <w:shd w:val="clear" w:color="auto" w:fill="auto"/>
            <w:vAlign w:val="center"/>
          </w:tcPr>
          <w:p w:rsidR="00AE46DA" w:rsidRPr="001825C9" w:rsidRDefault="00AE46DA" w:rsidP="00B21F37">
            <w:pPr>
              <w:pStyle w:val="TableText"/>
              <w:keepNext/>
              <w:keepLines/>
              <w:widowControl/>
              <w:spacing w:before="0"/>
              <w:rPr>
                <w:b/>
              </w:rPr>
            </w:pPr>
            <w:r w:rsidRPr="001825C9">
              <w:rPr>
                <w:b/>
              </w:rPr>
              <w:t xml:space="preserve">Estimated financial implications for affected medicines (effective price associated with SPA assumptions) </w:t>
            </w:r>
            <w:r w:rsidRPr="001825C9">
              <w:rPr>
                <w:b/>
                <w:vertAlign w:val="superscript"/>
              </w:rPr>
              <w:t>a</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pPr>
            <w:r w:rsidRPr="001825C9">
              <w:t>Cost to PBS/RPBS</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8"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7"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03"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pPr>
            <w:r w:rsidRPr="001825C9">
              <w:t>Copayments</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8"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7"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03"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pPr>
            <w:r w:rsidRPr="001825C9">
              <w:t>Cost to PBS/RPBS less copayments</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8"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7"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03" w:type="pct"/>
            <w:shd w:val="clear" w:color="auto" w:fill="auto"/>
            <w:vAlign w:val="center"/>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r>
      <w:tr w:rsidR="00AE46DA" w:rsidRPr="001825C9" w:rsidTr="00B21F37">
        <w:trPr>
          <w:trHeight w:val="20"/>
        </w:trPr>
        <w:tc>
          <w:tcPr>
            <w:tcW w:w="5000" w:type="pct"/>
            <w:gridSpan w:val="7"/>
            <w:shd w:val="clear" w:color="auto" w:fill="auto"/>
            <w:vAlign w:val="center"/>
          </w:tcPr>
          <w:p w:rsidR="00AE46DA" w:rsidRPr="001825C9" w:rsidRDefault="00AE46DA" w:rsidP="00B21F37">
            <w:pPr>
              <w:pStyle w:val="TableText"/>
              <w:keepNext/>
              <w:keepLines/>
              <w:widowControl/>
              <w:spacing w:before="0"/>
            </w:pPr>
            <w:r w:rsidRPr="001825C9">
              <w:rPr>
                <w:b/>
              </w:rPr>
              <w:t>Estimated financial implications from changes to MBS items</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pPr>
            <w:r w:rsidRPr="001825C9">
              <w:t xml:space="preserve">Net cost to MBS budget </w:t>
            </w:r>
            <w:r w:rsidRPr="001825C9">
              <w:rPr>
                <w:vertAlign w:val="superscript"/>
              </w:rPr>
              <w:t>b</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8"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7"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03"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r>
      <w:tr w:rsidR="00AE46DA" w:rsidRPr="001825C9" w:rsidTr="00B21F37">
        <w:trPr>
          <w:trHeight w:val="20"/>
        </w:trPr>
        <w:tc>
          <w:tcPr>
            <w:tcW w:w="5000" w:type="pct"/>
            <w:gridSpan w:val="7"/>
            <w:shd w:val="clear" w:color="auto" w:fill="auto"/>
            <w:vAlign w:val="center"/>
          </w:tcPr>
          <w:p w:rsidR="00AE46DA" w:rsidRPr="001825C9" w:rsidRDefault="00AE46DA" w:rsidP="00B21F37">
            <w:pPr>
              <w:pStyle w:val="TableText"/>
              <w:keepNext/>
              <w:keepLines/>
              <w:widowControl/>
              <w:spacing w:before="0"/>
              <w:rPr>
                <w:b/>
              </w:rPr>
            </w:pPr>
            <w:r w:rsidRPr="001825C9">
              <w:rPr>
                <w:b/>
              </w:rPr>
              <w:t>Net financial implications</w:t>
            </w:r>
            <w:r w:rsidRPr="001825C9">
              <w:rPr>
                <w:b/>
                <w:color w:val="4BACC6" w:themeColor="accent5"/>
              </w:rPr>
              <w:t xml:space="preserve"> </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pPr>
            <w:r w:rsidRPr="001825C9">
              <w:rPr>
                <w:iCs/>
              </w:rPr>
              <w:t>Net cost to the PBS</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8"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7"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03"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pPr>
            <w:r w:rsidRPr="001825C9">
              <w:t>Net cost to RPBS</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8"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7"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03"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rPr>
                <w:rFonts w:ascii="Times" w:eastAsia="Times New Roman" w:hAnsi="Times" w:cs="Times New Roman"/>
              </w:rPr>
            </w:pPr>
            <w:r w:rsidRPr="001825C9">
              <w:t xml:space="preserve">Net cost to MBS </w:t>
            </w:r>
            <w:r w:rsidRPr="001825C9">
              <w:rPr>
                <w:vertAlign w:val="superscript"/>
              </w:rPr>
              <w:t>b</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9"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8"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27"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c>
          <w:tcPr>
            <w:tcW w:w="603" w:type="pct"/>
            <w:shd w:val="clear" w:color="auto" w:fill="auto"/>
          </w:tcPr>
          <w:p w:rsidR="00AE46DA" w:rsidRPr="001825C9" w:rsidRDefault="00AE46DA" w:rsidP="00B21F37">
            <w:pPr>
              <w:pStyle w:val="TableText"/>
              <w:keepNext/>
              <w:keepLines/>
              <w:widowControl/>
              <w:spacing w:before="0"/>
              <w:jc w:val="center"/>
            </w:pPr>
            <w:r w:rsidRPr="001825C9">
              <w:t>$</w:t>
            </w:r>
            <w:r w:rsidR="00B72C43">
              <w:rPr>
                <w:noProof/>
                <w:color w:val="000000"/>
                <w:highlight w:val="black"/>
              </w:rPr>
              <w:t>'''''''''''''''''</w:t>
            </w:r>
            <w:r w:rsidR="003679EF">
              <w:rPr>
                <w:vertAlign w:val="superscript"/>
              </w:rPr>
              <w:t>3</w:t>
            </w:r>
          </w:p>
        </w:tc>
      </w:tr>
      <w:tr w:rsidR="00AE46DA" w:rsidRPr="001825C9" w:rsidTr="00B21F37">
        <w:trPr>
          <w:trHeight w:val="20"/>
        </w:trPr>
        <w:tc>
          <w:tcPr>
            <w:tcW w:w="1255" w:type="pct"/>
            <w:shd w:val="clear" w:color="auto" w:fill="auto"/>
            <w:vAlign w:val="center"/>
          </w:tcPr>
          <w:p w:rsidR="00AE46DA" w:rsidRPr="001825C9" w:rsidRDefault="00AE46DA" w:rsidP="00B21F37">
            <w:pPr>
              <w:pStyle w:val="TableText"/>
              <w:keepNext/>
              <w:keepLines/>
              <w:widowControl/>
              <w:spacing w:before="0"/>
            </w:pPr>
            <w:r w:rsidRPr="001825C9">
              <w:t xml:space="preserve">Net cost to government </w:t>
            </w:r>
            <w:r w:rsidRPr="001825C9">
              <w:rPr>
                <w:vertAlign w:val="superscript"/>
              </w:rPr>
              <w:t>b</w:t>
            </w:r>
          </w:p>
        </w:tc>
        <w:tc>
          <w:tcPr>
            <w:tcW w:w="629" w:type="pct"/>
            <w:shd w:val="clear" w:color="auto" w:fill="auto"/>
          </w:tcPr>
          <w:p w:rsidR="00AE46DA" w:rsidRPr="001825C9" w:rsidRDefault="00AE46DA" w:rsidP="00B21F37">
            <w:pPr>
              <w:pStyle w:val="TableText"/>
              <w:keepNext/>
              <w:keepLines/>
              <w:widowControl/>
              <w:spacing w:before="0"/>
              <w:jc w:val="center"/>
            </w:pPr>
            <w:r w:rsidRPr="001825C9">
              <w:rPr>
                <w:b/>
                <w:bCs/>
              </w:rPr>
              <w:t>$</w:t>
            </w:r>
            <w:r w:rsidR="00B72C43">
              <w:rPr>
                <w:b/>
                <w:bCs/>
                <w:noProof/>
                <w:color w:val="000000"/>
                <w:highlight w:val="black"/>
              </w:rPr>
              <w:t>'''''''''''''''''</w:t>
            </w:r>
            <w:r w:rsidR="003679EF">
              <w:rPr>
                <w:vertAlign w:val="superscript"/>
              </w:rPr>
              <w:t>3</w:t>
            </w:r>
          </w:p>
        </w:tc>
        <w:tc>
          <w:tcPr>
            <w:tcW w:w="629" w:type="pct"/>
            <w:shd w:val="clear" w:color="auto" w:fill="auto"/>
          </w:tcPr>
          <w:p w:rsidR="00AE46DA" w:rsidRPr="001825C9" w:rsidRDefault="00AE46DA" w:rsidP="00B21F37">
            <w:pPr>
              <w:pStyle w:val="TableText"/>
              <w:keepNext/>
              <w:keepLines/>
              <w:widowControl/>
              <w:spacing w:before="0"/>
              <w:jc w:val="center"/>
            </w:pPr>
            <w:r w:rsidRPr="001825C9">
              <w:rPr>
                <w:b/>
                <w:bCs/>
              </w:rPr>
              <w:t>$</w:t>
            </w:r>
            <w:r w:rsidR="00B72C43">
              <w:rPr>
                <w:b/>
                <w:bCs/>
                <w:noProof/>
                <w:color w:val="000000"/>
                <w:highlight w:val="black"/>
              </w:rPr>
              <w:t>'''''''''''''''''''</w:t>
            </w:r>
            <w:r w:rsidR="003679EF">
              <w:rPr>
                <w:vertAlign w:val="superscript"/>
              </w:rPr>
              <w:t>3</w:t>
            </w:r>
          </w:p>
        </w:tc>
        <w:tc>
          <w:tcPr>
            <w:tcW w:w="629" w:type="pct"/>
            <w:shd w:val="clear" w:color="auto" w:fill="auto"/>
          </w:tcPr>
          <w:p w:rsidR="00AE46DA" w:rsidRPr="001825C9" w:rsidRDefault="00AE46DA" w:rsidP="00B21F37">
            <w:pPr>
              <w:pStyle w:val="TableText"/>
              <w:keepNext/>
              <w:keepLines/>
              <w:widowControl/>
              <w:spacing w:before="0"/>
              <w:jc w:val="center"/>
            </w:pPr>
            <w:r w:rsidRPr="001825C9">
              <w:rPr>
                <w:b/>
                <w:bCs/>
              </w:rPr>
              <w:t>$</w:t>
            </w:r>
            <w:r w:rsidR="00B72C43">
              <w:rPr>
                <w:b/>
                <w:bCs/>
                <w:noProof/>
                <w:color w:val="000000"/>
                <w:highlight w:val="black"/>
              </w:rPr>
              <w:t>''''''''''''''''''</w:t>
            </w:r>
            <w:r w:rsidR="003679EF">
              <w:rPr>
                <w:vertAlign w:val="superscript"/>
              </w:rPr>
              <w:t>3</w:t>
            </w:r>
          </w:p>
        </w:tc>
        <w:tc>
          <w:tcPr>
            <w:tcW w:w="628" w:type="pct"/>
            <w:shd w:val="clear" w:color="auto" w:fill="auto"/>
          </w:tcPr>
          <w:p w:rsidR="00AE46DA" w:rsidRPr="001825C9" w:rsidRDefault="00AE46DA" w:rsidP="00B21F37">
            <w:pPr>
              <w:pStyle w:val="TableText"/>
              <w:keepNext/>
              <w:keepLines/>
              <w:widowControl/>
              <w:spacing w:before="0"/>
              <w:jc w:val="center"/>
            </w:pPr>
            <w:r w:rsidRPr="001825C9">
              <w:rPr>
                <w:b/>
                <w:bCs/>
              </w:rPr>
              <w:t>$</w:t>
            </w:r>
            <w:r w:rsidR="00B72C43">
              <w:rPr>
                <w:b/>
                <w:bCs/>
                <w:noProof/>
                <w:color w:val="000000"/>
                <w:highlight w:val="black"/>
              </w:rPr>
              <w:t>'''''''''''''''''''</w:t>
            </w:r>
            <w:r w:rsidR="003679EF">
              <w:rPr>
                <w:vertAlign w:val="superscript"/>
              </w:rPr>
              <w:t>3</w:t>
            </w:r>
          </w:p>
        </w:tc>
        <w:tc>
          <w:tcPr>
            <w:tcW w:w="627" w:type="pct"/>
            <w:shd w:val="clear" w:color="auto" w:fill="auto"/>
          </w:tcPr>
          <w:p w:rsidR="00AE46DA" w:rsidRPr="001825C9" w:rsidRDefault="00AE46DA" w:rsidP="00B21F37">
            <w:pPr>
              <w:pStyle w:val="TableText"/>
              <w:keepNext/>
              <w:keepLines/>
              <w:widowControl/>
              <w:spacing w:before="0"/>
              <w:jc w:val="center"/>
            </w:pPr>
            <w:r w:rsidRPr="001825C9">
              <w:rPr>
                <w:b/>
                <w:bCs/>
              </w:rPr>
              <w:t>$</w:t>
            </w:r>
            <w:r w:rsidR="00B72C43">
              <w:rPr>
                <w:b/>
                <w:bCs/>
                <w:noProof/>
                <w:color w:val="000000"/>
                <w:highlight w:val="black"/>
              </w:rPr>
              <w:t>''''''''''''''''''</w:t>
            </w:r>
            <w:r w:rsidR="003679EF">
              <w:rPr>
                <w:vertAlign w:val="superscript"/>
              </w:rPr>
              <w:t>3</w:t>
            </w:r>
          </w:p>
        </w:tc>
        <w:tc>
          <w:tcPr>
            <w:tcW w:w="603" w:type="pct"/>
            <w:shd w:val="clear" w:color="auto" w:fill="auto"/>
          </w:tcPr>
          <w:p w:rsidR="00AE46DA" w:rsidRPr="001825C9" w:rsidRDefault="00AE46DA" w:rsidP="00B21F37">
            <w:pPr>
              <w:pStyle w:val="TableText"/>
              <w:keepNext/>
              <w:keepLines/>
              <w:widowControl/>
              <w:spacing w:before="0"/>
              <w:jc w:val="center"/>
            </w:pPr>
            <w:r w:rsidRPr="001825C9">
              <w:rPr>
                <w:b/>
                <w:bCs/>
              </w:rPr>
              <w:t>$</w:t>
            </w:r>
            <w:r w:rsidR="00B72C43">
              <w:rPr>
                <w:b/>
                <w:bCs/>
                <w:noProof/>
                <w:color w:val="000000"/>
                <w:highlight w:val="black"/>
              </w:rPr>
              <w:t>'''''''''''''''''''</w:t>
            </w:r>
            <w:r w:rsidR="003679EF">
              <w:rPr>
                <w:vertAlign w:val="superscript"/>
              </w:rPr>
              <w:t>3</w:t>
            </w:r>
          </w:p>
        </w:tc>
      </w:tr>
    </w:tbl>
    <w:p w:rsidR="00AE46DA" w:rsidRPr="001825C9" w:rsidRDefault="00AE46DA" w:rsidP="00AE46DA">
      <w:pPr>
        <w:pStyle w:val="TableFooter"/>
        <w:keepNext/>
        <w:keepLines/>
        <w:widowControl/>
      </w:pPr>
      <w:r w:rsidRPr="001825C9">
        <w:rPr>
          <w:vertAlign w:val="superscript"/>
        </w:rPr>
        <w:t>a</w:t>
      </w:r>
      <w:r w:rsidRPr="001825C9">
        <w:t xml:space="preserve"> The submission applied the SPAs assumed for cetuximab and bevacizumab (an assumed </w:t>
      </w:r>
      <w:r w:rsidR="00B72C43">
        <w:rPr>
          <w:noProof/>
          <w:color w:val="000000"/>
          <w:highlight w:val="black"/>
        </w:rPr>
        <w:t>''''''</w:t>
      </w:r>
      <w:r w:rsidRPr="001825C9">
        <w:t xml:space="preserve">% reduction) as well as a </w:t>
      </w:r>
      <w:r w:rsidRPr="00783814">
        <w:t>25</w:t>
      </w:r>
      <w:r w:rsidRPr="001825C9">
        <w:t>% reduction to the price of cetuximab under the assumption of generic entry, to the base case.</w:t>
      </w:r>
    </w:p>
    <w:p w:rsidR="00AE46DA" w:rsidRPr="001825C9" w:rsidRDefault="00AE46DA" w:rsidP="00AE46DA">
      <w:pPr>
        <w:pStyle w:val="TableFooter"/>
        <w:keepNext/>
        <w:keepLines/>
        <w:widowControl/>
      </w:pPr>
      <w:r w:rsidRPr="001825C9">
        <w:rPr>
          <w:vertAlign w:val="superscript"/>
        </w:rPr>
        <w:t xml:space="preserve">b </w:t>
      </w:r>
      <w:r w:rsidRPr="001825C9">
        <w:t>Updated based on MBS item prices from July 2020.</w:t>
      </w:r>
    </w:p>
    <w:p w:rsidR="00AE46DA" w:rsidRPr="001825C9" w:rsidRDefault="00AE46DA" w:rsidP="00AE46DA">
      <w:pPr>
        <w:pStyle w:val="TableFooter"/>
        <w:keepNext/>
        <w:keepLines/>
        <w:widowControl/>
      </w:pPr>
      <w:r w:rsidRPr="001825C9">
        <w:t>Abbreviations: BRAF = B-Rapidly Accelerated Fibrosarcoma; MBS = Medicare Benefit Schedule; PBS = Pharmaceutical Benefits Scheme; RPBS = Repatriation Pharmaceutical Benefits Scheme.</w:t>
      </w:r>
    </w:p>
    <w:p w:rsidR="00AE46DA" w:rsidRDefault="00AE46DA" w:rsidP="00AE46DA">
      <w:pPr>
        <w:pStyle w:val="TableFooter"/>
        <w:keepNext/>
        <w:keepLines/>
        <w:widowControl/>
      </w:pPr>
      <w:r w:rsidRPr="001825C9">
        <w:t>Source: Table 4-7,4-10,4-17,4-23, 2-24, pp275,277,282,285,286 of the submission.</w:t>
      </w:r>
    </w:p>
    <w:p w:rsidR="003E1D3C" w:rsidRPr="00095562" w:rsidRDefault="003E1D3C" w:rsidP="00AE46DA">
      <w:pPr>
        <w:pStyle w:val="TableFooter"/>
        <w:keepNext/>
        <w:keepLines/>
        <w:widowControl/>
        <w:rPr>
          <w:i/>
        </w:rPr>
      </w:pPr>
      <w:r w:rsidRPr="00095562">
        <w:rPr>
          <w:i/>
        </w:rPr>
        <w:t>The redacted values correspond to the following ranges:</w:t>
      </w:r>
    </w:p>
    <w:p w:rsidR="003E1D3C" w:rsidRPr="00095562" w:rsidRDefault="003E1D3C" w:rsidP="00AE46DA">
      <w:pPr>
        <w:pStyle w:val="TableFooter"/>
        <w:keepNext/>
        <w:keepLines/>
        <w:widowControl/>
        <w:rPr>
          <w:i/>
        </w:rPr>
      </w:pPr>
      <w:r w:rsidRPr="00095562">
        <w:rPr>
          <w:i/>
          <w:vertAlign w:val="superscript"/>
        </w:rPr>
        <w:t>1</w:t>
      </w:r>
      <w:r w:rsidRPr="00095562">
        <w:rPr>
          <w:i/>
        </w:rPr>
        <w:t>&lt;500</w:t>
      </w:r>
    </w:p>
    <w:p w:rsidR="003E1D3C" w:rsidRPr="00095562" w:rsidRDefault="003E1D3C" w:rsidP="00AE46DA">
      <w:pPr>
        <w:pStyle w:val="TableFooter"/>
        <w:keepNext/>
        <w:keepLines/>
        <w:widowControl/>
        <w:rPr>
          <w:i/>
        </w:rPr>
      </w:pPr>
      <w:r w:rsidRPr="00095562">
        <w:rPr>
          <w:i/>
          <w:vertAlign w:val="superscript"/>
        </w:rPr>
        <w:t>2</w:t>
      </w:r>
      <w:r w:rsidRPr="00095562">
        <w:rPr>
          <w:i/>
        </w:rPr>
        <w:t>500 to &lt;5,000</w:t>
      </w:r>
    </w:p>
    <w:p w:rsidR="003679EF" w:rsidRPr="00095562" w:rsidRDefault="003679EF" w:rsidP="00AE46DA">
      <w:pPr>
        <w:pStyle w:val="TableFooter"/>
        <w:keepNext/>
        <w:keepLines/>
        <w:widowControl/>
        <w:rPr>
          <w:i/>
        </w:rPr>
      </w:pPr>
      <w:r w:rsidRPr="00095562">
        <w:rPr>
          <w:i/>
          <w:vertAlign w:val="superscript"/>
        </w:rPr>
        <w:t>3</w:t>
      </w:r>
      <w:r w:rsidRPr="00095562">
        <w:rPr>
          <w:i/>
        </w:rPr>
        <w:t>$0 to &lt;$10 million</w:t>
      </w:r>
    </w:p>
    <w:p w:rsidR="00AE46DA" w:rsidRPr="001825C9" w:rsidRDefault="00AE46DA" w:rsidP="00AE46DA">
      <w:pPr>
        <w:pStyle w:val="ListParagraph"/>
      </w:pPr>
      <w:r w:rsidRPr="001825C9">
        <w:rPr>
          <w:color w:val="auto"/>
        </w:rPr>
        <w:t xml:space="preserve">The submission stated that a range of factors such as number of patients who would be treated with encorafenib + cetuximab, accounts for uncertainty in the financial estimates. As such, sensitivity analyses were presented to examine the impact of uncertainty inherent in the base case results. The financial estimates were most sensitive to the mean duration of treatment and compliance rate; resulting in an overall increase in the net financial estimates. </w:t>
      </w:r>
      <w:r w:rsidRPr="001825C9">
        <w:t>The mean duration of treatment used for the financial estimates was as reported within BEACON and not subject to extrapolation. This resulted in the application of shorter mean durations of therapy across all therapies for the financial estimates compared with the</w:t>
      </w:r>
      <w:r w:rsidRPr="001825C9">
        <w:rPr>
          <w:i/>
        </w:rPr>
        <w:t xml:space="preserve"> </w:t>
      </w:r>
      <w:r w:rsidRPr="001825C9">
        <w:t xml:space="preserve">economic model as follows: </w:t>
      </w:r>
      <w:r w:rsidRPr="001825C9">
        <w:rPr>
          <w:iCs/>
        </w:rPr>
        <w:t>5.75 vs 6.57 months for encorafenib + cetuximab; 2.68 vs 3.02 months for FOLFIRI/Ir + cetuximab; and, 2.68 vs 3.32 months for FOLFIRI + bevacizumab</w:t>
      </w:r>
      <w:r w:rsidRPr="001825C9">
        <w:t>.</w:t>
      </w:r>
      <w:r w:rsidRPr="001825C9">
        <w:rPr>
          <w:i/>
          <w:iCs/>
          <w:color w:val="auto"/>
        </w:rPr>
        <w:t xml:space="preserve"> </w:t>
      </w:r>
      <w:r w:rsidRPr="001825C9">
        <w:rPr>
          <w:iCs/>
          <w:color w:val="auto"/>
        </w:rPr>
        <w:t>The ESCs noted the submission presented the results of a sensitivity analysis which assessed the impact of the longer mean duration of treatment (as seen in the economic model), resulting in an 18% increment in the overall net financial implications to the health budget for all the years</w:t>
      </w:r>
      <w:r w:rsidRPr="001825C9">
        <w:rPr>
          <w:i/>
          <w:iCs/>
          <w:color w:val="auto"/>
        </w:rPr>
        <w:t>.</w:t>
      </w:r>
      <w:r w:rsidR="007336AE" w:rsidRPr="001825C9">
        <w:rPr>
          <w:iCs/>
          <w:color w:val="auto"/>
        </w:rPr>
        <w:t xml:space="preserve"> A</w:t>
      </w:r>
      <w:r w:rsidRPr="001825C9">
        <w:rPr>
          <w:color w:val="auto"/>
        </w:rPr>
        <w:t xml:space="preserve"> reduction in the treatment compliance rate led to a reduction in the net financial estimates.</w:t>
      </w:r>
    </w:p>
    <w:p w:rsidR="00AE46DA" w:rsidRPr="001825C9" w:rsidRDefault="00AE46DA" w:rsidP="00AE46DA">
      <w:pPr>
        <w:pStyle w:val="ListParagraph"/>
      </w:pPr>
      <w:r w:rsidRPr="001825C9">
        <w:rPr>
          <w:color w:val="auto"/>
        </w:rPr>
        <w:t>Overall, the absolute impact on government expenditure in all instances of the sensitivity analyses conducted was 10% or less in either direction in the first year of listing, from the base case (based on</w:t>
      </w:r>
      <w:r w:rsidR="001F07AF" w:rsidRPr="001825C9">
        <w:rPr>
          <w:color w:val="auto"/>
        </w:rPr>
        <w:t xml:space="preserve"> the proposed effective price of encorafenib, and</w:t>
      </w:r>
      <w:r w:rsidRPr="001825C9">
        <w:rPr>
          <w:color w:val="auto"/>
        </w:rPr>
        <w:t xml:space="preserve"> </w:t>
      </w:r>
      <w:r w:rsidR="001F07AF" w:rsidRPr="001825C9">
        <w:rPr>
          <w:color w:val="auto"/>
        </w:rPr>
        <w:t xml:space="preserve">the </w:t>
      </w:r>
      <w:r w:rsidRPr="001825C9">
        <w:rPr>
          <w:color w:val="auto"/>
        </w:rPr>
        <w:t>published prices</w:t>
      </w:r>
      <w:r w:rsidR="001F07AF" w:rsidRPr="001825C9">
        <w:rPr>
          <w:color w:val="auto"/>
        </w:rPr>
        <w:t xml:space="preserve"> of cetuximab and bevacizumab</w:t>
      </w:r>
      <w:r w:rsidR="00BF3086" w:rsidRPr="001825C9">
        <w:rPr>
          <w:color w:val="auto"/>
        </w:rPr>
        <w:t xml:space="preserve"> with</w:t>
      </w:r>
      <w:r w:rsidR="001F07AF" w:rsidRPr="001825C9">
        <w:rPr>
          <w:color w:val="auto"/>
        </w:rPr>
        <w:t xml:space="preserve"> </w:t>
      </w:r>
      <w:r w:rsidR="00B72C43">
        <w:rPr>
          <w:noProof/>
          <w:color w:val="000000"/>
          <w:highlight w:val="black"/>
        </w:rPr>
        <w:t>'''''</w:t>
      </w:r>
      <w:r w:rsidR="001F07AF" w:rsidRPr="001825C9">
        <w:rPr>
          <w:color w:val="auto"/>
        </w:rPr>
        <w:t>% SPA</w:t>
      </w:r>
      <w:r w:rsidR="00BF3086" w:rsidRPr="001825C9">
        <w:rPr>
          <w:color w:val="auto"/>
        </w:rPr>
        <w:t xml:space="preserve"> rebate assumptions applied</w:t>
      </w:r>
      <w:r w:rsidRPr="001825C9">
        <w:rPr>
          <w:color w:val="auto"/>
        </w:rPr>
        <w:t>).</w:t>
      </w:r>
    </w:p>
    <w:p w:rsidR="00AE46DA" w:rsidRPr="001825C9" w:rsidRDefault="00AE46DA" w:rsidP="00AE46DA">
      <w:pPr>
        <w:pStyle w:val="ListParagraph"/>
        <w:numPr>
          <w:ilvl w:val="0"/>
          <w:numId w:val="0"/>
        </w:numPr>
        <w:ind w:left="720"/>
        <w:rPr>
          <w:i/>
        </w:rPr>
      </w:pPr>
      <w:r w:rsidRPr="001825C9">
        <w:rPr>
          <w:i/>
        </w:rPr>
        <w:t>For more detail on the PBAC’s view, see section 7 PBAC outcome.</w:t>
      </w:r>
    </w:p>
    <w:bookmarkEnd w:id="41"/>
    <w:p w:rsidR="00AE46DA" w:rsidRPr="001825C9" w:rsidRDefault="00AE46DA" w:rsidP="00AE46DA">
      <w:pPr>
        <w:pStyle w:val="PBACESHeading1"/>
      </w:pPr>
      <w:r w:rsidRPr="001825C9">
        <w:t xml:space="preserve">PBAC </w:t>
      </w:r>
      <w:r w:rsidR="00C2122C" w:rsidRPr="001825C9">
        <w:t>o</w:t>
      </w:r>
      <w:r w:rsidRPr="001825C9">
        <w:t>utcome</w:t>
      </w:r>
    </w:p>
    <w:p w:rsidR="00DB5031" w:rsidRPr="001825C9" w:rsidRDefault="00DB5031" w:rsidP="00DB5031">
      <w:pPr>
        <w:pStyle w:val="ListParagraph"/>
        <w:rPr>
          <w:b/>
          <w:bCs/>
          <w:szCs w:val="24"/>
        </w:rPr>
      </w:pPr>
      <w:r w:rsidRPr="001825C9">
        <w:rPr>
          <w:bCs/>
          <w:szCs w:val="24"/>
        </w:rPr>
        <w:t xml:space="preserve">The PBAC deferred its consideration of encorafenib in combination with cetuximab </w:t>
      </w:r>
      <w:r w:rsidRPr="001825C9">
        <w:t xml:space="preserve">for the targeted treatment of patients with </w:t>
      </w:r>
      <w:r w:rsidRPr="001825C9">
        <w:rPr>
          <w:i/>
        </w:rPr>
        <w:t xml:space="preserve">BRAF </w:t>
      </w:r>
      <w:r w:rsidRPr="001825C9">
        <w:t>V600E</w:t>
      </w:r>
      <w:r w:rsidRPr="001825C9">
        <w:rPr>
          <w:i/>
        </w:rPr>
        <w:t xml:space="preserve"> </w:t>
      </w:r>
      <w:r w:rsidRPr="001825C9">
        <w:t xml:space="preserve">variant mCRC who have received prior systemic therapy </w:t>
      </w:r>
      <w:r w:rsidRPr="001825C9">
        <w:rPr>
          <w:bCs/>
          <w:szCs w:val="24"/>
        </w:rPr>
        <w:t xml:space="preserve">until an MSAC intention to support the </w:t>
      </w:r>
      <w:r w:rsidR="00823CBD" w:rsidRPr="001825C9">
        <w:rPr>
          <w:bCs/>
          <w:szCs w:val="24"/>
        </w:rPr>
        <w:t>co-dependent</w:t>
      </w:r>
      <w:r w:rsidRPr="001825C9">
        <w:rPr>
          <w:bCs/>
          <w:szCs w:val="24"/>
        </w:rPr>
        <w:t xml:space="preserve"> </w:t>
      </w:r>
      <w:r w:rsidRPr="001825C9">
        <w:rPr>
          <w:i/>
        </w:rPr>
        <w:t>BRAF </w:t>
      </w:r>
      <w:r w:rsidRPr="001825C9">
        <w:t>V600</w:t>
      </w:r>
      <w:r w:rsidRPr="001825C9">
        <w:rPr>
          <w:i/>
        </w:rPr>
        <w:t xml:space="preserve"> </w:t>
      </w:r>
      <w:r w:rsidRPr="001825C9">
        <w:t>testing in mCRC</w:t>
      </w:r>
      <w:r w:rsidRPr="001825C9">
        <w:rPr>
          <w:bCs/>
          <w:szCs w:val="24"/>
        </w:rPr>
        <w:t xml:space="preserve"> via the MBS is available. The PBAC foreshadowed its support for recommending that encorafenib in combination with cetuximab be listed and stated that, if MSAC subsequently decide</w:t>
      </w:r>
      <w:r w:rsidR="006A6811" w:rsidRPr="001825C9">
        <w:rPr>
          <w:bCs/>
          <w:szCs w:val="24"/>
        </w:rPr>
        <w:t>d</w:t>
      </w:r>
      <w:r w:rsidRPr="001825C9">
        <w:rPr>
          <w:bCs/>
          <w:szCs w:val="24"/>
        </w:rPr>
        <w:t xml:space="preserve"> to support the MBS listing of </w:t>
      </w:r>
      <w:r w:rsidRPr="001825C9">
        <w:rPr>
          <w:i/>
        </w:rPr>
        <w:t xml:space="preserve">BRAF </w:t>
      </w:r>
      <w:r w:rsidRPr="001825C9">
        <w:t>V600</w:t>
      </w:r>
      <w:r w:rsidRPr="001825C9">
        <w:rPr>
          <w:i/>
        </w:rPr>
        <w:t xml:space="preserve"> </w:t>
      </w:r>
      <w:r w:rsidRPr="001825C9">
        <w:t>testing in mCRC</w:t>
      </w:r>
      <w:r w:rsidRPr="001825C9">
        <w:rPr>
          <w:bCs/>
          <w:szCs w:val="24"/>
        </w:rPr>
        <w:t xml:space="preserve">, it would support an expedited process for reconsideration to align any PBAC recommendation for listing encorafenib </w:t>
      </w:r>
      <w:r w:rsidR="00C53BC3" w:rsidRPr="001825C9">
        <w:rPr>
          <w:bCs/>
          <w:szCs w:val="24"/>
        </w:rPr>
        <w:t xml:space="preserve">aligned with </w:t>
      </w:r>
      <w:r w:rsidRPr="001825C9">
        <w:rPr>
          <w:bCs/>
          <w:szCs w:val="24"/>
        </w:rPr>
        <w:t>the circumstances supported by MSAC.</w:t>
      </w:r>
    </w:p>
    <w:p w:rsidR="00DB5031" w:rsidRPr="001825C9" w:rsidRDefault="00EF4EC7" w:rsidP="00DB5031">
      <w:pPr>
        <w:pStyle w:val="ListParagraph"/>
        <w:tabs>
          <w:tab w:val="left" w:pos="1080"/>
        </w:tabs>
        <w:autoSpaceDE w:val="0"/>
        <w:autoSpaceDN w:val="0"/>
        <w:adjustRightInd w:val="0"/>
        <w:spacing w:before="240" w:after="0"/>
        <w:rPr>
          <w:bCs/>
          <w:szCs w:val="24"/>
        </w:rPr>
      </w:pPr>
      <w:r w:rsidRPr="001825C9">
        <w:rPr>
          <w:rStyle w:val="PBACESHeading1Char"/>
          <w:rFonts w:eastAsiaTheme="majorEastAsia"/>
          <w:b w:val="0"/>
          <w:color w:val="auto"/>
          <w:sz w:val="24"/>
          <w:szCs w:val="24"/>
        </w:rPr>
        <w:t>T</w:t>
      </w:r>
      <w:r w:rsidR="00DB5031" w:rsidRPr="001825C9">
        <w:rPr>
          <w:bCs/>
          <w:color w:val="auto"/>
          <w:szCs w:val="24"/>
        </w:rPr>
        <w:t>he</w:t>
      </w:r>
      <w:r w:rsidR="00DB5031" w:rsidRPr="001825C9">
        <w:rPr>
          <w:bCs/>
          <w:szCs w:val="24"/>
        </w:rPr>
        <w:t xml:space="preserve"> PBAC acknowledged there was a high clinical need for effective treatments for patients with </w:t>
      </w:r>
      <w:r w:rsidR="00DB5031" w:rsidRPr="001825C9">
        <w:rPr>
          <w:bCs/>
          <w:i/>
          <w:szCs w:val="24"/>
        </w:rPr>
        <w:t xml:space="preserve">BRAF </w:t>
      </w:r>
      <w:r w:rsidR="00DB5031" w:rsidRPr="001825C9">
        <w:rPr>
          <w:bCs/>
          <w:szCs w:val="24"/>
        </w:rPr>
        <w:t xml:space="preserve">V600E positive mCRC, noting that the presence of a </w:t>
      </w:r>
      <w:r w:rsidR="00DB5031" w:rsidRPr="001825C9">
        <w:rPr>
          <w:bCs/>
          <w:i/>
          <w:szCs w:val="24"/>
        </w:rPr>
        <w:t xml:space="preserve">BRAF </w:t>
      </w:r>
      <w:r w:rsidR="00306109" w:rsidRPr="00656C5E">
        <w:rPr>
          <w:bCs/>
          <w:szCs w:val="24"/>
        </w:rPr>
        <w:t>V</w:t>
      </w:r>
      <w:r w:rsidR="00DB5031" w:rsidRPr="001825C9">
        <w:rPr>
          <w:bCs/>
          <w:szCs w:val="24"/>
        </w:rPr>
        <w:t>600E variant indicates very poor prognosis, and that currently available therapies have limited effectiveness in this patient population. The PBAC considered that the sponsor hearing and consumer comments received confirmed this high unmet need.</w:t>
      </w:r>
    </w:p>
    <w:p w:rsidR="00DB5031" w:rsidRPr="001825C9" w:rsidRDefault="00DB5031" w:rsidP="00DB5031">
      <w:pPr>
        <w:pStyle w:val="ListParagraph"/>
        <w:rPr>
          <w:color w:val="auto"/>
        </w:rPr>
      </w:pPr>
      <w:r w:rsidRPr="001825C9">
        <w:rPr>
          <w:color w:val="auto"/>
        </w:rPr>
        <w:t>The PBAC agreed with the submission that encorafenib with cetuximab would be used a</w:t>
      </w:r>
      <w:r w:rsidR="00636CA2" w:rsidRPr="001825C9">
        <w:rPr>
          <w:color w:val="auto"/>
        </w:rPr>
        <w:t>s a</w:t>
      </w:r>
      <w:r w:rsidRPr="001825C9">
        <w:rPr>
          <w:color w:val="auto"/>
        </w:rPr>
        <w:t xml:space="preserve"> second-line treatment after prior systemic therapy, noting this was consistent with the key clinical evidence (</w:t>
      </w:r>
      <w:r w:rsidR="00FD1BD7" w:rsidRPr="001825C9">
        <w:rPr>
          <w:color w:val="auto"/>
        </w:rPr>
        <w:t xml:space="preserve">the </w:t>
      </w:r>
      <w:r w:rsidRPr="001825C9">
        <w:rPr>
          <w:color w:val="auto"/>
        </w:rPr>
        <w:t xml:space="preserve">BEACON trial), the proposed TGA registration, and the </w:t>
      </w:r>
      <w:r w:rsidRPr="001825C9">
        <w:rPr>
          <w:i/>
          <w:color w:val="auto"/>
        </w:rPr>
        <w:t>NCCN Guidelines v2.</w:t>
      </w:r>
      <w:r w:rsidR="00C2122C" w:rsidRPr="001825C9">
        <w:rPr>
          <w:i/>
          <w:color w:val="auto"/>
        </w:rPr>
        <w:t> </w:t>
      </w:r>
      <w:r w:rsidRPr="001825C9">
        <w:rPr>
          <w:i/>
          <w:color w:val="auto"/>
        </w:rPr>
        <w:t>2021</w:t>
      </w:r>
      <w:r w:rsidRPr="001825C9">
        <w:rPr>
          <w:color w:val="auto"/>
        </w:rPr>
        <w:t xml:space="preserve">. The submission claimed that FOLFIRI + cetuximab was the most commonly used second-line regimen among patients with </w:t>
      </w:r>
      <w:r w:rsidRPr="001825C9">
        <w:rPr>
          <w:i/>
          <w:color w:val="auto"/>
        </w:rPr>
        <w:t xml:space="preserve">BRAF </w:t>
      </w:r>
      <w:r w:rsidRPr="001825C9">
        <w:rPr>
          <w:color w:val="auto"/>
        </w:rPr>
        <w:t>V600E variant mCRC, and was thus the appropriate</w:t>
      </w:r>
      <w:r w:rsidR="00FD1BD7" w:rsidRPr="001825C9">
        <w:rPr>
          <w:color w:val="auto"/>
        </w:rPr>
        <w:t xml:space="preserve"> main</w:t>
      </w:r>
      <w:r w:rsidRPr="001825C9">
        <w:rPr>
          <w:color w:val="auto"/>
        </w:rPr>
        <w:t xml:space="preserve"> comparator. However, the PBAC noted the ESCs’ advice that this regimen was not recommended in Australian or recent international guidelines </w:t>
      </w:r>
      <w:r w:rsidR="00FD1BD7" w:rsidRPr="001825C9">
        <w:rPr>
          <w:color w:val="auto"/>
        </w:rPr>
        <w:t>since</w:t>
      </w:r>
      <w:r w:rsidRPr="001825C9">
        <w:rPr>
          <w:color w:val="auto"/>
        </w:rPr>
        <w:t xml:space="preserve"> response to EGFR inhibitors was unlikely in this patient population (unless given with encorafenib, owing to the combination’s synergistic mechanism of action). Despite this, the clinician views in the pre-PBAC response and at the sponsor hearing suggested that FOLFIRI + cetuximab continues to be used in Australian clinical practice as even a transient response was clinically meaningful in the context of the very poor survival of these patients. On balance, the PBAC considered that FOLFIRI + cetuximab was the therapy most likely to be replaced in current practice, although the extent of cetuximab use remained uncertain</w:t>
      </w:r>
      <w:r w:rsidR="00FD1BD7" w:rsidRPr="001825C9">
        <w:rPr>
          <w:color w:val="auto"/>
        </w:rPr>
        <w:t xml:space="preserve"> (and other therapies including irinotecan-based regimens may be used in some patients)</w:t>
      </w:r>
      <w:r w:rsidRPr="001825C9">
        <w:rPr>
          <w:color w:val="auto"/>
        </w:rPr>
        <w:t xml:space="preserve">. Importantly, as discussed further below, the clinical trial evidence was supportive of superior effectiveness over FOLFIRI given </w:t>
      </w:r>
      <w:r w:rsidRPr="001825C9">
        <w:rPr>
          <w:rFonts w:cstheme="minorHAnsi"/>
          <w:color w:val="auto"/>
        </w:rPr>
        <w:t>with or without</w:t>
      </w:r>
      <w:r w:rsidRPr="001825C9">
        <w:rPr>
          <w:color w:val="auto"/>
        </w:rPr>
        <w:t xml:space="preserve"> cetuximab.</w:t>
      </w:r>
    </w:p>
    <w:p w:rsidR="00DB5031" w:rsidRPr="001825C9" w:rsidRDefault="00DB5031" w:rsidP="00DB5031">
      <w:pPr>
        <w:pStyle w:val="ListParagraph"/>
        <w:autoSpaceDE w:val="0"/>
        <w:autoSpaceDN w:val="0"/>
        <w:adjustRightInd w:val="0"/>
        <w:spacing w:after="0"/>
        <w:rPr>
          <w:b/>
          <w:bCs/>
          <w:szCs w:val="24"/>
        </w:rPr>
      </w:pPr>
      <w:r w:rsidRPr="001825C9">
        <w:rPr>
          <w:bCs/>
          <w:color w:val="auto"/>
          <w:szCs w:val="24"/>
        </w:rPr>
        <w:t>In terms of the requested PBS listing, the PBAC:</w:t>
      </w:r>
    </w:p>
    <w:p w:rsidR="00DB5031" w:rsidRPr="001825C9" w:rsidRDefault="00DB5031" w:rsidP="00CF5EEB">
      <w:pPr>
        <w:pStyle w:val="ListParagraph"/>
        <w:numPr>
          <w:ilvl w:val="0"/>
          <w:numId w:val="15"/>
        </w:numPr>
        <w:autoSpaceDE w:val="0"/>
        <w:autoSpaceDN w:val="0"/>
        <w:adjustRightInd w:val="0"/>
        <w:spacing w:after="0"/>
        <w:ind w:left="1077" w:hanging="357"/>
        <w:rPr>
          <w:b/>
          <w:bCs/>
          <w:szCs w:val="24"/>
        </w:rPr>
      </w:pPr>
      <w:r w:rsidRPr="001825C9">
        <w:rPr>
          <w:bCs/>
          <w:szCs w:val="24"/>
        </w:rPr>
        <w:t xml:space="preserve">Noted that the submission had initially requested encorafenib be used in combination with any EGFR inhibitor (i.e. cetuximab or panitumumab on the PBS). However, the proposed TGA approval, the clinical evidence, the economic model and </w:t>
      </w:r>
      <w:r w:rsidR="000D54B4" w:rsidRPr="001825C9">
        <w:rPr>
          <w:bCs/>
          <w:szCs w:val="24"/>
        </w:rPr>
        <w:t xml:space="preserve">the </w:t>
      </w:r>
      <w:r w:rsidRPr="001825C9">
        <w:rPr>
          <w:bCs/>
          <w:szCs w:val="24"/>
        </w:rPr>
        <w:t>financial estimates were based on use with cetuximab specifically. Although the PBAC agreed with the ESCs that a broader listing may be clinically preferable so as not to disadvantage patients who develop sensitivity or intolerance to cetuximab, it was mindful of the proposed TGA indication, and stated that, should the sponsor seek regulatory alignment in future, the PBAC would welcome a submission to list encorafenib i</w:t>
      </w:r>
      <w:r w:rsidR="00C2122C" w:rsidRPr="001825C9">
        <w:rPr>
          <w:bCs/>
          <w:szCs w:val="24"/>
        </w:rPr>
        <w:t>n combination with panitumumab.</w:t>
      </w:r>
    </w:p>
    <w:p w:rsidR="00DB5031" w:rsidRPr="00CB4978" w:rsidRDefault="00DB5031" w:rsidP="00CF5EEB">
      <w:pPr>
        <w:pStyle w:val="ListParagraph"/>
        <w:numPr>
          <w:ilvl w:val="0"/>
          <w:numId w:val="15"/>
        </w:numPr>
        <w:autoSpaceDE w:val="0"/>
        <w:autoSpaceDN w:val="0"/>
        <w:adjustRightInd w:val="0"/>
        <w:spacing w:after="0"/>
        <w:ind w:left="1077" w:hanging="357"/>
        <w:rPr>
          <w:b/>
          <w:bCs/>
          <w:szCs w:val="24"/>
        </w:rPr>
      </w:pPr>
      <w:r w:rsidRPr="001825C9">
        <w:rPr>
          <w:bCs/>
          <w:szCs w:val="24"/>
        </w:rPr>
        <w:t xml:space="preserve">Considered that the listing should refer more broadly to V600 variant status (without reference to V600E specifically), noting that this would be consistent with the encorafenib melanoma listing and that </w:t>
      </w:r>
      <w:r w:rsidRPr="001825C9">
        <w:rPr>
          <w:bCs/>
          <w:i/>
          <w:szCs w:val="24"/>
        </w:rPr>
        <w:t>BRAF</w:t>
      </w:r>
      <w:r w:rsidRPr="001825C9">
        <w:rPr>
          <w:bCs/>
          <w:szCs w:val="24"/>
        </w:rPr>
        <w:t xml:space="preserve"> V600E variant accounts for more than 90-95% of </w:t>
      </w:r>
      <w:r w:rsidRPr="001825C9">
        <w:rPr>
          <w:bCs/>
          <w:i/>
          <w:szCs w:val="24"/>
        </w:rPr>
        <w:t>BRAF</w:t>
      </w:r>
      <w:r w:rsidRPr="001825C9">
        <w:rPr>
          <w:bCs/>
          <w:szCs w:val="24"/>
        </w:rPr>
        <w:t xml:space="preserve"> variants.</w:t>
      </w:r>
    </w:p>
    <w:p w:rsidR="00CB4978" w:rsidRPr="001825C9" w:rsidRDefault="004228AA" w:rsidP="00CF5EEB">
      <w:pPr>
        <w:pStyle w:val="ListParagraph"/>
        <w:numPr>
          <w:ilvl w:val="0"/>
          <w:numId w:val="15"/>
        </w:numPr>
        <w:autoSpaceDE w:val="0"/>
        <w:autoSpaceDN w:val="0"/>
        <w:adjustRightInd w:val="0"/>
        <w:spacing w:after="0"/>
        <w:ind w:left="1077" w:hanging="357"/>
        <w:rPr>
          <w:b/>
          <w:bCs/>
          <w:szCs w:val="24"/>
        </w:rPr>
      </w:pPr>
      <w:r>
        <w:rPr>
          <w:bCs/>
          <w:szCs w:val="24"/>
        </w:rPr>
        <w:t>Noted that the submission requested listing for both 50 mg and 75 mg strengths of encorafenib, with the 50 mg strength intended for dose modification purposes. The PBAC noted that the recommended dose modifications in the proposed TGA Product Information are in 75 mg increments, and considered that the 50 mg strength may not be required on the PBS.</w:t>
      </w:r>
    </w:p>
    <w:p w:rsidR="00DB5031" w:rsidRPr="001825C9" w:rsidRDefault="00DB5031" w:rsidP="00DB5031">
      <w:pPr>
        <w:pStyle w:val="ListParagraph"/>
        <w:autoSpaceDE w:val="0"/>
        <w:autoSpaceDN w:val="0"/>
        <w:adjustRightInd w:val="0"/>
        <w:spacing w:after="0"/>
        <w:rPr>
          <w:color w:val="auto"/>
        </w:rPr>
      </w:pPr>
      <w:r w:rsidRPr="001825C9">
        <w:t xml:space="preserve">The PBAC considered that BEACON, the head-to-head randomised controlled trial presented in the submission, had an overall low risk of bias. Although the control arm included cetuximab, which as mentioned above, is not recommended in current guidelines for patients with </w:t>
      </w:r>
      <w:r w:rsidRPr="001825C9">
        <w:rPr>
          <w:i/>
        </w:rPr>
        <w:t xml:space="preserve">BRAF </w:t>
      </w:r>
      <w:r w:rsidRPr="001825C9">
        <w:t xml:space="preserve">V600E variant mCRC, the PBAC considered that this regimen is </w:t>
      </w:r>
      <w:r w:rsidR="000D54B4" w:rsidRPr="001825C9">
        <w:t xml:space="preserve">nonetheless </w:t>
      </w:r>
      <w:r w:rsidR="00C2122C" w:rsidRPr="001825C9">
        <w:t xml:space="preserve">still </w:t>
      </w:r>
      <w:r w:rsidRPr="001825C9">
        <w:t>used in current Australian practice. Furthermore, the PBAC agreed with the ESC</w:t>
      </w:r>
      <w:r w:rsidR="00C2122C" w:rsidRPr="001825C9">
        <w:t>s</w:t>
      </w:r>
      <w:r w:rsidRPr="001825C9">
        <w:t xml:space="preserve"> that the results of BEACON would provide supportive clinical evidence even where FOLFIRI were used alone, since the addition of cetuximab to the control arm was unlikely to </w:t>
      </w:r>
      <w:r w:rsidR="00FD4198" w:rsidRPr="001825C9">
        <w:t>result in a smaller incremental</w:t>
      </w:r>
      <w:r w:rsidR="00C2122C" w:rsidRPr="001825C9">
        <w:t xml:space="preserve"> benefit.</w:t>
      </w:r>
    </w:p>
    <w:p w:rsidR="00DB5031" w:rsidRPr="001825C9" w:rsidRDefault="00DB5031" w:rsidP="004E1BD4">
      <w:pPr>
        <w:pStyle w:val="ListParagraph"/>
        <w:autoSpaceDE w:val="0"/>
        <w:autoSpaceDN w:val="0"/>
        <w:adjustRightInd w:val="0"/>
        <w:spacing w:after="0"/>
        <w:rPr>
          <w:color w:val="auto"/>
        </w:rPr>
      </w:pPr>
      <w:r w:rsidRPr="001825C9">
        <w:t xml:space="preserve">The submission claimed superior comparative effectiveness with respect to a main comparator of FOLFIRI + cetuximab. The PBAC noted that OS, ORR, and PFS results were statistically significantly in favour of encorafenib + cetuximab. </w:t>
      </w:r>
      <w:r w:rsidR="000C1843">
        <w:t>T</w:t>
      </w:r>
      <w:r w:rsidRPr="001825C9">
        <w:t xml:space="preserve">he PBAC noted that the OS </w:t>
      </w:r>
      <w:r w:rsidR="00AC06A0">
        <w:t xml:space="preserve">and QoL </w:t>
      </w:r>
      <w:r w:rsidRPr="001825C9">
        <w:t xml:space="preserve">improvement </w:t>
      </w:r>
      <w:r w:rsidR="00AC06A0" w:rsidRPr="001825C9">
        <w:t>for encorafenib in combination with cetuximab</w:t>
      </w:r>
      <w:r w:rsidR="00303C94">
        <w:t xml:space="preserve"> represented a score of </w:t>
      </w:r>
      <w:r w:rsidR="00AC06A0" w:rsidRPr="001825C9">
        <w:t>5 (out of a maximum of 5, where 5 and 4 represent the grades with substantial improvement)</w:t>
      </w:r>
      <w:r w:rsidR="00303C94">
        <w:t xml:space="preserve"> on the </w:t>
      </w:r>
      <w:r w:rsidR="00303C94" w:rsidRPr="001825C9">
        <w:t>European Society for Medical Oncology Magnitude of Clinical Benefit Scale (ESMO-MCBS)</w:t>
      </w:r>
      <w:r w:rsidR="00303C94">
        <w:t>.</w:t>
      </w:r>
      <w:r w:rsidR="00AC06A0" w:rsidRPr="001825C9">
        <w:rPr>
          <w:rStyle w:val="FootnoteReference"/>
        </w:rPr>
        <w:footnoteReference w:id="14"/>
      </w:r>
      <w:r w:rsidRPr="001825C9">
        <w:t xml:space="preserve"> Thus, the PBAC considered that the claim of superior comparative effectiveness was adequately supported by the data (compared with FOLFIRI </w:t>
      </w:r>
      <w:r w:rsidR="00F12B17" w:rsidRPr="001825C9">
        <w:rPr>
          <w:rFonts w:cstheme="minorHAnsi"/>
        </w:rPr>
        <w:t>±</w:t>
      </w:r>
      <w:r w:rsidR="00F12B17" w:rsidRPr="001825C9">
        <w:t xml:space="preserve"> </w:t>
      </w:r>
      <w:r w:rsidRPr="001825C9">
        <w:t>cetuximab).</w:t>
      </w:r>
    </w:p>
    <w:p w:rsidR="00DB5031" w:rsidRPr="001825C9" w:rsidRDefault="00DB5031" w:rsidP="00DB5031">
      <w:pPr>
        <w:pStyle w:val="ListParagraph"/>
        <w:rPr>
          <w:bCs/>
          <w:szCs w:val="24"/>
        </w:rPr>
      </w:pPr>
      <w:r w:rsidRPr="001825C9">
        <w:t xml:space="preserve">The submission claimed superior comparative safety with respect to a main comparator of FOLFIRI + cetuximab. The PBAC noted that </w:t>
      </w:r>
      <w:r w:rsidRPr="001825C9">
        <w:rPr>
          <w:color w:val="auto"/>
        </w:rPr>
        <w:t xml:space="preserve">the incidence of Grade ≥3 TRAEs, any AEs requiring dose reduction and Grade ≥3 AEs requiring dose reductions were statistically significantly lower for the encorafenib + cetuximab arm compared to the control. However, the data from BEACON </w:t>
      </w:r>
      <w:r w:rsidR="00F12B17" w:rsidRPr="001825C9">
        <w:rPr>
          <w:color w:val="auto"/>
        </w:rPr>
        <w:t xml:space="preserve">also </w:t>
      </w:r>
      <w:r w:rsidRPr="001825C9">
        <w:rPr>
          <w:color w:val="auto"/>
        </w:rPr>
        <w:t xml:space="preserve">showed a mix of different toxicity events across the regimens. </w:t>
      </w:r>
      <w:r w:rsidR="00F12B17" w:rsidRPr="001825C9">
        <w:rPr>
          <w:color w:val="auto"/>
        </w:rPr>
        <w:t>Additionally</w:t>
      </w:r>
      <w:r w:rsidRPr="001825C9">
        <w:rPr>
          <w:color w:val="auto"/>
        </w:rPr>
        <w:t>, the comparative safety relative to FOLFIRI alone was even less clear since this was not the control regimen. The PBAC noted the ESCs</w:t>
      </w:r>
      <w:r w:rsidR="00B30DD7" w:rsidRPr="001825C9">
        <w:rPr>
          <w:color w:val="auto"/>
        </w:rPr>
        <w:t>’</w:t>
      </w:r>
      <w:r w:rsidRPr="001825C9">
        <w:rPr>
          <w:color w:val="auto"/>
        </w:rPr>
        <w:t xml:space="preserve"> advice that BEACON may underestimate comparative toxicity in this situation, in view of additional toxicity expected when adding cetuximab to FOLFIRI. On balance, therefore, the PBAC considered that a claim of non-inferior safety with respect to FOLFIRI + cetuximab (or FOLFIRI alone) was more reasonable</w:t>
      </w:r>
      <w:r w:rsidR="00F12B17" w:rsidRPr="001825C9">
        <w:rPr>
          <w:color w:val="auto"/>
        </w:rPr>
        <w:t xml:space="preserve"> than a claim of superiority</w:t>
      </w:r>
      <w:r w:rsidRPr="001825C9">
        <w:rPr>
          <w:color w:val="auto"/>
        </w:rPr>
        <w:t>.</w:t>
      </w:r>
    </w:p>
    <w:p w:rsidR="00DB5031" w:rsidRPr="001825C9" w:rsidRDefault="00DB5031" w:rsidP="00DB5031">
      <w:pPr>
        <w:pStyle w:val="ListParagraph"/>
        <w:rPr>
          <w:bCs/>
          <w:szCs w:val="24"/>
        </w:rPr>
      </w:pPr>
      <w:r w:rsidRPr="001825C9">
        <w:t xml:space="preserve">The submission presented a cost-effectiveness analysis comparing encorafenib + cetuximab with FOLFIRI/Ir + cetuximab. </w:t>
      </w:r>
      <w:r w:rsidR="00606B77" w:rsidRPr="001825C9">
        <w:t xml:space="preserve">The PBAC considered that this analysis reflected the appropriate main comparator. </w:t>
      </w:r>
      <w:r w:rsidRPr="001825C9">
        <w:t>The PBAC noted a range of issues raised by the evaluation and the ESCs</w:t>
      </w:r>
      <w:r w:rsidR="00606B77" w:rsidRPr="001825C9">
        <w:t xml:space="preserve"> </w:t>
      </w:r>
      <w:r w:rsidRPr="001825C9">
        <w:t xml:space="preserve">(see paragraphs </w:t>
      </w:r>
      <w:r w:rsidR="00F0739D" w:rsidRPr="00F0739D">
        <w:t>6.44 to 56</w:t>
      </w:r>
      <w:r w:rsidRPr="00F0739D">
        <w:t xml:space="preserve"> and Table 13</w:t>
      </w:r>
      <w:r w:rsidRPr="001825C9">
        <w:t xml:space="preserve"> for details). The PBAC considered that the impact of many of these structural</w:t>
      </w:r>
      <w:r w:rsidR="00CB49AB" w:rsidRPr="001825C9">
        <w:t xml:space="preserve"> concerns and inputs </w:t>
      </w:r>
      <w:r w:rsidRPr="001825C9">
        <w:t xml:space="preserve">was relatively minor, noting that the </w:t>
      </w:r>
      <w:r w:rsidR="007F2F54" w:rsidRPr="001825C9">
        <w:t xml:space="preserve">ICER </w:t>
      </w:r>
      <w:r w:rsidRPr="001825C9">
        <w:t xml:space="preserve">was most sensitive to applying the effective price of cetuximab, and to </w:t>
      </w:r>
      <w:r w:rsidR="00606B77" w:rsidRPr="001825C9">
        <w:t>a</w:t>
      </w:r>
      <w:r w:rsidRPr="001825C9">
        <w:t xml:space="preserve"> </w:t>
      </w:r>
      <w:r w:rsidRPr="00D24D69">
        <w:t>25</w:t>
      </w:r>
      <w:r w:rsidRPr="001825C9">
        <w:t xml:space="preserve">% price reduction applied due to an assumed generic entry </w:t>
      </w:r>
      <w:r w:rsidR="00606B77" w:rsidRPr="001825C9">
        <w:t>for</w:t>
      </w:r>
      <w:r w:rsidRPr="001825C9">
        <w:t xml:space="preserve"> cetuximab.</w:t>
      </w:r>
    </w:p>
    <w:p w:rsidR="00A240F0" w:rsidRPr="001825C9" w:rsidRDefault="00A240F0" w:rsidP="00A240F0">
      <w:pPr>
        <w:pStyle w:val="ListParagraph"/>
        <w:numPr>
          <w:ilvl w:val="0"/>
          <w:numId w:val="0"/>
        </w:numPr>
        <w:ind w:left="720"/>
        <w:jc w:val="center"/>
        <w:rPr>
          <w:b/>
          <w:bCs/>
          <w:szCs w:val="24"/>
        </w:rPr>
      </w:pPr>
      <w:r w:rsidRPr="001825C9">
        <w:rPr>
          <w:b/>
        </w:rPr>
        <w:t>Committee-In-Confidence Start</w:t>
      </w:r>
    </w:p>
    <w:p w:rsidR="00584400" w:rsidRPr="007E2152" w:rsidRDefault="007E2152" w:rsidP="007E2152">
      <w:pPr>
        <w:pStyle w:val="ListParagraph"/>
        <w:rPr>
          <w:bCs/>
          <w:szCs w:val="24"/>
        </w:rPr>
      </w:pPr>
      <w:r w:rsidRPr="007E2152">
        <w:rPr>
          <w:bCs/>
          <w:szCs w:val="24"/>
        </w:rPr>
        <w:t xml:space="preserve">The PBAC noted that the ICER presented in Table PBAC.20 of the Committee-In-Confidence section of the ESCs’ advice was </w:t>
      </w:r>
      <w:r w:rsidRPr="00FF1ECF">
        <w:rPr>
          <w:bCs/>
          <w:szCs w:val="24"/>
        </w:rPr>
        <w:t>$</w:t>
      </w:r>
      <w:r w:rsidR="00FF1ECF" w:rsidRPr="00FF1ECF">
        <w:rPr>
          <w:bCs/>
          <w:szCs w:val="24"/>
        </w:rPr>
        <w:t>75,000 to &lt; $95,000</w:t>
      </w:r>
      <w:r w:rsidRPr="00FF1ECF">
        <w:rPr>
          <w:bCs/>
          <w:szCs w:val="24"/>
        </w:rPr>
        <w:t>/QALY when the effective DPMA for cetuximab and the MBS fee for the administration of cetuximab were both applied (and without assumptions around generic entry of cetuximab). The PBAC, noting the relatively small variation across the other sensitivity analyses, considered this ICER to be a more reliable base case result, although relatively high. The PBAC further noted that cetuximab has limited clinical benefit when used alone and when the incremental cost of encorafenib only was conside</w:t>
      </w:r>
      <w:r w:rsidR="00FF1ECF">
        <w:rPr>
          <w:bCs/>
          <w:szCs w:val="24"/>
        </w:rPr>
        <w:t xml:space="preserve">red the ICER reduced to $30,000 to </w:t>
      </w:r>
      <w:r w:rsidRPr="00FF1ECF">
        <w:rPr>
          <w:bCs/>
          <w:szCs w:val="24"/>
        </w:rPr>
        <w:t>&lt;$45,000/QALY. In this context, the PBAC considered the ICER of $</w:t>
      </w:r>
      <w:r w:rsidR="00FF1ECF" w:rsidRPr="00FF1ECF">
        <w:rPr>
          <w:bCs/>
          <w:szCs w:val="24"/>
        </w:rPr>
        <w:t>75,000 to &lt; $95,000</w:t>
      </w:r>
      <w:r w:rsidRPr="00FF1ECF">
        <w:rPr>
          <w:bCs/>
          <w:szCs w:val="24"/>
        </w:rPr>
        <w:t>/QALY to be acceptable,</w:t>
      </w:r>
      <w:r w:rsidRPr="007E2152">
        <w:rPr>
          <w:bCs/>
          <w:szCs w:val="24"/>
        </w:rPr>
        <w:t xml:space="preserve"> together with the </w:t>
      </w:r>
      <w:r>
        <w:rPr>
          <w:bCs/>
          <w:szCs w:val="24"/>
        </w:rPr>
        <w:t>high</w:t>
      </w:r>
      <w:r w:rsidRPr="007E2152">
        <w:rPr>
          <w:bCs/>
          <w:szCs w:val="24"/>
        </w:rPr>
        <w:t xml:space="preserve"> clinical need and </w:t>
      </w:r>
      <w:r>
        <w:rPr>
          <w:bCs/>
          <w:szCs w:val="24"/>
        </w:rPr>
        <w:t>low</w:t>
      </w:r>
      <w:r w:rsidRPr="007E2152">
        <w:rPr>
          <w:bCs/>
          <w:szCs w:val="24"/>
        </w:rPr>
        <w:t xml:space="preserve"> estimated financial implications, and hence that encorafenib would be cost-effective at the price proposed in the submission. </w:t>
      </w:r>
    </w:p>
    <w:p w:rsidR="00A240F0" w:rsidRPr="001825C9" w:rsidRDefault="00566019" w:rsidP="00A240F0">
      <w:pPr>
        <w:pStyle w:val="ListParagraph"/>
        <w:numPr>
          <w:ilvl w:val="0"/>
          <w:numId w:val="0"/>
        </w:numPr>
        <w:ind w:left="720"/>
        <w:jc w:val="center"/>
        <w:rPr>
          <w:b/>
          <w:bCs/>
          <w:szCs w:val="24"/>
        </w:rPr>
      </w:pPr>
      <w:r w:rsidRPr="001825C9">
        <w:rPr>
          <w:b/>
          <w:bCs/>
          <w:szCs w:val="24"/>
        </w:rPr>
        <w:t>Committee-I</w:t>
      </w:r>
      <w:r w:rsidR="00A240F0" w:rsidRPr="001825C9">
        <w:rPr>
          <w:b/>
          <w:bCs/>
          <w:szCs w:val="24"/>
        </w:rPr>
        <w:t>n</w:t>
      </w:r>
      <w:r w:rsidRPr="001825C9">
        <w:rPr>
          <w:b/>
          <w:bCs/>
          <w:szCs w:val="24"/>
        </w:rPr>
        <w:t>-</w:t>
      </w:r>
      <w:r w:rsidR="00A240F0" w:rsidRPr="001825C9">
        <w:rPr>
          <w:b/>
          <w:bCs/>
          <w:szCs w:val="24"/>
        </w:rPr>
        <w:t>Confidence End</w:t>
      </w:r>
    </w:p>
    <w:p w:rsidR="00DB5031" w:rsidRPr="001825C9" w:rsidRDefault="00DB5031" w:rsidP="00DB5031">
      <w:pPr>
        <w:pStyle w:val="ListParagraph"/>
        <w:rPr>
          <w:b/>
          <w:bCs/>
          <w:szCs w:val="24"/>
        </w:rPr>
      </w:pPr>
      <w:r w:rsidRPr="001825C9">
        <w:t>The PBAC noted the associated net cost to the PBS of listing encorafenib reported in the financial estimates was approximately $</w:t>
      </w:r>
      <w:r w:rsidR="00DA5951">
        <w:t>0 to &lt;$10</w:t>
      </w:r>
      <w:r w:rsidRPr="001825C9">
        <w:t xml:space="preserve"> million per year, based on published prices for medicines substituted. The PBAC noted that an assumed price reduction for cetuximab due generic entry should not be included in the estimates. The PBAC noted the financial estimates were most sensitive to the mean duration of treatment and compliance. The PBAC considered the duration of treatment used in the financial estimates should be consistent with the economic model, rather than the shorter duration observed in BEACON (6.57 vs 5.75 months respectively)</w:t>
      </w:r>
      <w:r w:rsidR="008202BA">
        <w:t>, and that use by prevalent mCRC patients should be included in the estimates</w:t>
      </w:r>
      <w:r w:rsidRPr="001825C9">
        <w:t xml:space="preserve">. With regard to other sensitivities of the estimates, the PBAC noted that the impact on expenditure was 10% or less in either direction in the first year of listing </w:t>
      </w:r>
      <w:r w:rsidRPr="001825C9">
        <w:rPr>
          <w:color w:val="auto"/>
        </w:rPr>
        <w:t>(based on published prices).</w:t>
      </w:r>
    </w:p>
    <w:p w:rsidR="00AE46DA" w:rsidRPr="001825C9" w:rsidRDefault="00AE46DA" w:rsidP="00AE46DA">
      <w:pPr>
        <w:tabs>
          <w:tab w:val="left" w:pos="1080"/>
        </w:tabs>
        <w:autoSpaceDE w:val="0"/>
        <w:autoSpaceDN w:val="0"/>
        <w:adjustRightInd w:val="0"/>
        <w:spacing w:before="240" w:after="0"/>
        <w:rPr>
          <w:rFonts w:cstheme="minorHAnsi"/>
          <w:b/>
          <w:bCs/>
          <w:szCs w:val="24"/>
        </w:rPr>
      </w:pPr>
      <w:r w:rsidRPr="001825C9">
        <w:rPr>
          <w:rFonts w:cstheme="minorHAnsi"/>
          <w:b/>
          <w:bCs/>
          <w:szCs w:val="24"/>
        </w:rPr>
        <w:t>Outcome:</w:t>
      </w:r>
    </w:p>
    <w:p w:rsidR="00AE46DA" w:rsidRDefault="00C2122C" w:rsidP="00AE46DA">
      <w:pPr>
        <w:autoSpaceDE w:val="0"/>
        <w:autoSpaceDN w:val="0"/>
        <w:adjustRightInd w:val="0"/>
        <w:spacing w:before="0" w:after="120"/>
        <w:jc w:val="left"/>
        <w:rPr>
          <w:rFonts w:cstheme="minorHAnsi"/>
          <w:szCs w:val="24"/>
        </w:rPr>
      </w:pPr>
      <w:r w:rsidRPr="001825C9">
        <w:rPr>
          <w:rFonts w:cstheme="minorHAnsi"/>
          <w:szCs w:val="24"/>
        </w:rPr>
        <w:t>Deferred</w:t>
      </w:r>
    </w:p>
    <w:p w:rsidR="00160E7F" w:rsidRDefault="00160E7F" w:rsidP="00AE46DA">
      <w:pPr>
        <w:autoSpaceDE w:val="0"/>
        <w:autoSpaceDN w:val="0"/>
        <w:adjustRightInd w:val="0"/>
        <w:spacing w:before="0" w:after="120"/>
        <w:jc w:val="left"/>
        <w:rPr>
          <w:rFonts w:cstheme="minorHAnsi"/>
          <w:szCs w:val="24"/>
        </w:rPr>
      </w:pPr>
    </w:p>
    <w:p w:rsidR="00160E7F" w:rsidRPr="00160E7F" w:rsidRDefault="00160E7F" w:rsidP="00160E7F">
      <w:pPr>
        <w:pStyle w:val="PBACESHeading1"/>
      </w:pPr>
      <w:r w:rsidRPr="00C07617">
        <w:t>Context for Decision</w:t>
      </w:r>
    </w:p>
    <w:p w:rsidR="00160E7F" w:rsidRPr="007129F2" w:rsidRDefault="00160E7F" w:rsidP="00160E7F">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60E7F" w:rsidRPr="00160E7F" w:rsidRDefault="00160E7F" w:rsidP="00160E7F">
      <w:pPr>
        <w:pStyle w:val="PBACESHeading1"/>
      </w:pPr>
      <w:r>
        <w:t>Sponsor’s Comment</w:t>
      </w:r>
    </w:p>
    <w:p w:rsidR="00160E7F" w:rsidRPr="00823CBD" w:rsidRDefault="002818BB" w:rsidP="00B81AF7">
      <w:pPr>
        <w:autoSpaceDE w:val="0"/>
        <w:autoSpaceDN w:val="0"/>
        <w:adjustRightInd w:val="0"/>
        <w:spacing w:before="0" w:after="120"/>
        <w:ind w:left="720"/>
        <w:jc w:val="left"/>
        <w:rPr>
          <w:rFonts w:cstheme="minorHAnsi"/>
          <w:szCs w:val="24"/>
        </w:rPr>
      </w:pPr>
      <w:r w:rsidRPr="002818BB">
        <w:rPr>
          <w:rFonts w:cstheme="minorHAnsi"/>
          <w:snapToGrid w:val="0"/>
          <w:szCs w:val="24"/>
        </w:rPr>
        <w:t>Pierre Fabre welcome the opportunity to work with PBAC and MSAC to expedite availability of Braftovi® (encorafenib) in combination with cetuximab for Australian patients with BRAF V600E variant mCRC.</w:t>
      </w:r>
    </w:p>
    <w:sectPr w:rsidR="00160E7F" w:rsidRPr="00823CBD" w:rsidSect="00B21F3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7AEC" w16cex:dateUtc="2021-04-13T22:40:00Z"/>
  <w16cex:commentExtensible w16cex:durableId="242133B1" w16cex:dateUtc="2021-04-13T23:26:00Z"/>
  <w16cex:commentExtensible w16cex:durableId="24212CAD" w16cex:dateUtc="2021-04-13T22:56:00Z"/>
  <w16cex:commentExtensible w16cex:durableId="242142D3" w16cex:dateUtc="2021-04-14T00:30:00Z"/>
  <w16cex:commentExtensible w16cex:durableId="24227E21" w16cex:dateUtc="2021-04-14T22:56:00Z"/>
  <w16cex:commentExtensible w16cex:durableId="24227F30" w16cex:dateUtc="2021-04-14T23:00:00Z"/>
  <w16cex:commentExtensible w16cex:durableId="24214E4D" w16cex:dateUtc="2021-04-14T01:19:00Z"/>
  <w16cex:commentExtensible w16cex:durableId="24215156" w16cex:dateUtc="2021-04-14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83818B" w16cid:durableId="24212458"/>
  <w16cid:commentId w16cid:paraId="57ACC163" w16cid:durableId="24227AEC"/>
  <w16cid:commentId w16cid:paraId="66D273E6" w16cid:durableId="242133B1"/>
  <w16cid:commentId w16cid:paraId="1CC53CC4" w16cid:durableId="24212459"/>
  <w16cid:commentId w16cid:paraId="22B8069F" w16cid:durableId="24212CAD"/>
  <w16cid:commentId w16cid:paraId="1FF56D98" w16cid:durableId="2421245A"/>
  <w16cid:commentId w16cid:paraId="4348C4C9" w16cid:durableId="242142D3"/>
  <w16cid:commentId w16cid:paraId="53FC8DCB" w16cid:durableId="24227E21"/>
  <w16cid:commentId w16cid:paraId="4CFBDDA9" w16cid:durableId="24227F30"/>
  <w16cid:commentId w16cid:paraId="4BFBBF92" w16cid:durableId="2421245B"/>
  <w16cid:commentId w16cid:paraId="2306DB5F" w16cid:durableId="2421245C"/>
  <w16cid:commentId w16cid:paraId="4C211CF3" w16cid:durableId="2421245D"/>
  <w16cid:commentId w16cid:paraId="3B991D31" w16cid:durableId="24214E4D"/>
  <w16cid:commentId w16cid:paraId="6D5F9AE8" w16cid:durableId="2421245E"/>
  <w16cid:commentId w16cid:paraId="47C11AA6" w16cid:durableId="242151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85C" w:rsidRDefault="0091085C" w:rsidP="00AE46DA">
      <w:pPr>
        <w:spacing w:before="0" w:after="0"/>
      </w:pPr>
      <w:r>
        <w:separator/>
      </w:r>
    </w:p>
  </w:endnote>
  <w:endnote w:type="continuationSeparator" w:id="0">
    <w:p w:rsidR="0091085C" w:rsidRDefault="0091085C" w:rsidP="00AE46DA">
      <w:pPr>
        <w:spacing w:before="0" w:after="0"/>
      </w:pPr>
      <w:r>
        <w:continuationSeparator/>
      </w:r>
    </w:p>
  </w:endnote>
  <w:endnote w:type="continuationNotice" w:id="1">
    <w:p w:rsidR="0091085C" w:rsidRDefault="009108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D0F" w:rsidRDefault="00F34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551668"/>
      <w:docPartObj>
        <w:docPartGallery w:val="Page Numbers (Bottom of Page)"/>
        <w:docPartUnique/>
      </w:docPartObj>
    </w:sdtPr>
    <w:sdtEndPr>
      <w:rPr>
        <w:b/>
        <w:noProof/>
      </w:rPr>
    </w:sdtEndPr>
    <w:sdtContent>
      <w:p w:rsidR="0091085C" w:rsidRDefault="0091085C" w:rsidP="00B21F37">
        <w:pPr>
          <w:pStyle w:val="Footer"/>
          <w:widowControl w:val="0"/>
          <w:jc w:val="center"/>
        </w:pPr>
      </w:p>
      <w:p w:rsidR="0091085C" w:rsidRPr="003506B0" w:rsidRDefault="0091085C" w:rsidP="00B21F37">
        <w:pPr>
          <w:pStyle w:val="Footer"/>
          <w:widowControl w:val="0"/>
          <w:jc w:val="center"/>
          <w:rPr>
            <w:b/>
          </w:rPr>
        </w:pPr>
        <w:r w:rsidRPr="009843EE">
          <w:rPr>
            <w:b/>
          </w:rPr>
          <w:fldChar w:fldCharType="begin"/>
        </w:r>
        <w:r w:rsidRPr="009843EE">
          <w:rPr>
            <w:b/>
          </w:rPr>
          <w:instrText xml:space="preserve"> PAGE   \* MERGEFORMAT </w:instrText>
        </w:r>
        <w:r w:rsidRPr="009843EE">
          <w:rPr>
            <w:b/>
          </w:rPr>
          <w:fldChar w:fldCharType="separate"/>
        </w:r>
        <w:r w:rsidR="002A5879">
          <w:rPr>
            <w:b/>
            <w:noProof/>
          </w:rPr>
          <w:t>7</w:t>
        </w:r>
        <w:r w:rsidRPr="009843EE">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D0F" w:rsidRDefault="00F3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85C" w:rsidRDefault="0091085C" w:rsidP="00AE46DA">
      <w:pPr>
        <w:spacing w:before="0" w:after="0"/>
      </w:pPr>
      <w:r>
        <w:separator/>
      </w:r>
    </w:p>
  </w:footnote>
  <w:footnote w:type="continuationSeparator" w:id="0">
    <w:p w:rsidR="0091085C" w:rsidRDefault="0091085C" w:rsidP="00AE46DA">
      <w:pPr>
        <w:spacing w:before="0" w:after="0"/>
      </w:pPr>
      <w:r>
        <w:continuationSeparator/>
      </w:r>
    </w:p>
  </w:footnote>
  <w:footnote w:type="continuationNotice" w:id="1">
    <w:p w:rsidR="0091085C" w:rsidRDefault="0091085C">
      <w:pPr>
        <w:spacing w:before="0" w:after="0"/>
      </w:pPr>
    </w:p>
  </w:footnote>
  <w:footnote w:id="2">
    <w:p w:rsidR="0091085C" w:rsidRPr="0092270A" w:rsidRDefault="0091085C" w:rsidP="00AE46DA">
      <w:pPr>
        <w:pStyle w:val="FootnoteText"/>
        <w:rPr>
          <w:rFonts w:cstheme="minorHAnsi"/>
          <w:szCs w:val="18"/>
        </w:rPr>
      </w:pPr>
      <w:r w:rsidRPr="0092270A">
        <w:rPr>
          <w:rStyle w:val="FootnoteReference"/>
          <w:rFonts w:cstheme="minorHAnsi"/>
          <w:szCs w:val="18"/>
        </w:rPr>
        <w:footnoteRef/>
      </w:r>
      <w:r w:rsidRPr="0092270A">
        <w:rPr>
          <w:rFonts w:cstheme="minorHAnsi"/>
          <w:szCs w:val="18"/>
        </w:rPr>
        <w:t xml:space="preserve"> https://wiki.cancer.org.au/australia/Guidelines:Colorectal_cancer/Systemic_therapy_molecular_pathology</w:t>
      </w:r>
    </w:p>
  </w:footnote>
  <w:footnote w:id="3">
    <w:p w:rsidR="0091085C" w:rsidRPr="0092270A" w:rsidRDefault="0091085C" w:rsidP="00787D78">
      <w:pPr>
        <w:pStyle w:val="FootnoteText"/>
        <w:rPr>
          <w:szCs w:val="18"/>
        </w:rPr>
      </w:pPr>
      <w:r w:rsidRPr="0092270A">
        <w:rPr>
          <w:rStyle w:val="FootnoteReference"/>
          <w:szCs w:val="18"/>
        </w:rPr>
        <w:footnoteRef/>
      </w:r>
      <w:r w:rsidRPr="0092270A">
        <w:rPr>
          <w:szCs w:val="18"/>
        </w:rPr>
        <w:t xml:space="preserve"> Benson B. et al: Colon Cancer, Version 2.2021, NCCN Clinical Practice Guidelines in Oncology. </w:t>
      </w:r>
      <w:r w:rsidRPr="0092270A">
        <w:rPr>
          <w:i/>
          <w:szCs w:val="18"/>
        </w:rPr>
        <w:t xml:space="preserve">Journal of the National Comprehensive Cancer Network </w:t>
      </w:r>
      <w:r w:rsidRPr="00A85EEC">
        <w:rPr>
          <w:szCs w:val="18"/>
        </w:rPr>
        <w:t>19(3): 329-329,</w:t>
      </w:r>
      <w:r w:rsidRPr="0092270A">
        <w:rPr>
          <w:i/>
          <w:szCs w:val="18"/>
        </w:rPr>
        <w:t xml:space="preserve"> </w:t>
      </w:r>
      <w:r w:rsidRPr="0092270A">
        <w:rPr>
          <w:szCs w:val="18"/>
        </w:rPr>
        <w:t>2021.</w:t>
      </w:r>
    </w:p>
  </w:footnote>
  <w:footnote w:id="4">
    <w:p w:rsidR="0091085C" w:rsidRPr="00787D78" w:rsidRDefault="0091085C" w:rsidP="00AE46DA">
      <w:pPr>
        <w:tabs>
          <w:tab w:val="left" w:pos="426"/>
        </w:tabs>
        <w:autoSpaceDE w:val="0"/>
        <w:autoSpaceDN w:val="0"/>
        <w:adjustRightInd w:val="0"/>
        <w:spacing w:before="0" w:after="120"/>
        <w:rPr>
          <w:rFonts w:cstheme="minorHAnsi"/>
          <w:sz w:val="18"/>
          <w:szCs w:val="18"/>
        </w:rPr>
      </w:pPr>
      <w:r w:rsidRPr="00787D78">
        <w:rPr>
          <w:rStyle w:val="FootnoteReference"/>
          <w:rFonts w:cstheme="minorHAnsi"/>
          <w:sz w:val="18"/>
          <w:szCs w:val="18"/>
        </w:rPr>
        <w:footnoteRef/>
      </w:r>
      <w:r w:rsidRPr="00787D78">
        <w:rPr>
          <w:rFonts w:cstheme="minorHAnsi"/>
          <w:sz w:val="18"/>
          <w:szCs w:val="18"/>
        </w:rPr>
        <w:t xml:space="preserve"> Cherny NI, Dafni U, Bogaerts J, et al: ESMO-Magnitude of Clinical Benefit Scale version 1.1. </w:t>
      </w:r>
      <w:r w:rsidRPr="00787D78">
        <w:rPr>
          <w:rFonts w:cstheme="minorHAnsi"/>
          <w:i/>
          <w:sz w:val="18"/>
          <w:szCs w:val="18"/>
        </w:rPr>
        <w:t>Annals of Oncology</w:t>
      </w:r>
      <w:r w:rsidRPr="00787D78">
        <w:rPr>
          <w:rFonts w:cstheme="minorHAnsi"/>
          <w:sz w:val="18"/>
          <w:szCs w:val="18"/>
        </w:rPr>
        <w:t xml:space="preserve"> 28:2340-2366, 2017.</w:t>
      </w:r>
    </w:p>
    <w:p w:rsidR="0091085C" w:rsidRPr="00787D78" w:rsidRDefault="0091085C" w:rsidP="00AE46DA">
      <w:pPr>
        <w:pStyle w:val="FootnoteText"/>
        <w:rPr>
          <w:rFonts w:cstheme="minorHAnsi"/>
          <w:szCs w:val="18"/>
        </w:rPr>
      </w:pPr>
    </w:p>
  </w:footnote>
  <w:footnote w:id="5">
    <w:p w:rsidR="0091085C" w:rsidRPr="00787D78" w:rsidRDefault="0091085C" w:rsidP="00AE46DA">
      <w:pPr>
        <w:pStyle w:val="FootnoteText"/>
        <w:jc w:val="left"/>
        <w:rPr>
          <w:rFonts w:cstheme="minorHAnsi"/>
          <w:szCs w:val="18"/>
        </w:rPr>
      </w:pPr>
      <w:r w:rsidRPr="00787D78">
        <w:rPr>
          <w:rStyle w:val="FootnoteReference"/>
          <w:rFonts w:cstheme="minorHAnsi"/>
          <w:szCs w:val="18"/>
        </w:rPr>
        <w:footnoteRef/>
      </w:r>
      <w:r w:rsidRPr="00787D78">
        <w:rPr>
          <w:rFonts w:cstheme="minorHAnsi"/>
          <w:szCs w:val="18"/>
        </w:rPr>
        <w:t xml:space="preserve"> </w:t>
      </w:r>
      <w:r w:rsidRPr="00787D78">
        <w:rPr>
          <w:rFonts w:eastAsia="Times New Roman" w:cstheme="minorHAnsi"/>
          <w:iCs/>
          <w:szCs w:val="18"/>
          <w:shd w:val="clear" w:color="auto" w:fill="FFFFFF"/>
          <w:lang w:eastAsia="ko-KR"/>
        </w:rPr>
        <w:t xml:space="preserve">Molecular pathology and biomarkers: implications for systemic therapy, Clinical Guidelines Network, Cancer Council Australia, last modified 7 November 2017, https://wiki.cancer.org.au/australia/Guidelines:Colorectal_cancer/Systemic_therapy_molecular_pathology#Left-sided_versus_right-sided_tumours </w:t>
      </w:r>
    </w:p>
  </w:footnote>
  <w:footnote w:id="6">
    <w:p w:rsidR="0091085C" w:rsidRDefault="0091085C">
      <w:pPr>
        <w:pStyle w:val="FootnoteText"/>
      </w:pPr>
      <w:r>
        <w:rPr>
          <w:rStyle w:val="FootnoteReference"/>
        </w:rPr>
        <w:footnoteRef/>
      </w:r>
      <w:r>
        <w:t xml:space="preserve"> </w:t>
      </w:r>
      <w:r>
        <w:rPr>
          <w:i/>
          <w:iCs/>
        </w:rPr>
        <w:t>OS data cut off May 2020: manuscript in preparation. To be submitted Q3 2021 to BMJ Open</w:t>
      </w:r>
    </w:p>
  </w:footnote>
  <w:footnote w:id="7">
    <w:p w:rsidR="0091085C" w:rsidRPr="00321E61" w:rsidRDefault="0091085C" w:rsidP="00AE46DA">
      <w:pPr>
        <w:tabs>
          <w:tab w:val="left" w:pos="5352"/>
        </w:tabs>
        <w:spacing w:before="0" w:after="0"/>
        <w:rPr>
          <w:rFonts w:cstheme="minorHAnsi"/>
          <w:sz w:val="18"/>
          <w:szCs w:val="18"/>
        </w:rPr>
      </w:pPr>
      <w:r w:rsidRPr="00321E61">
        <w:rPr>
          <w:rStyle w:val="FootnoteReference"/>
          <w:rFonts w:cstheme="minorHAnsi"/>
          <w:sz w:val="18"/>
          <w:szCs w:val="18"/>
        </w:rPr>
        <w:footnoteRef/>
      </w:r>
      <w:r w:rsidRPr="00321E61">
        <w:rPr>
          <w:rFonts w:cstheme="minorHAnsi"/>
          <w:sz w:val="18"/>
          <w:szCs w:val="18"/>
        </w:rPr>
        <w:t xml:space="preserve"> Di Nicolantonio F et al. Wild-type BRAF is required for response to panitumumab or cetuximab in metastatic colorectal cancer.</w:t>
      </w:r>
      <w:r w:rsidRPr="00321E61">
        <w:rPr>
          <w:rFonts w:cstheme="minorHAnsi"/>
          <w:i/>
          <w:sz w:val="18"/>
          <w:szCs w:val="18"/>
        </w:rPr>
        <w:t xml:space="preserve"> J Clin Oncol </w:t>
      </w:r>
      <w:r w:rsidRPr="00321E61">
        <w:rPr>
          <w:rFonts w:cstheme="minorHAnsi"/>
          <w:sz w:val="18"/>
          <w:szCs w:val="18"/>
        </w:rPr>
        <w:t>2008; 26(35):5705-12. Available at https://pubmed.ncbi.nlm.nih.gov/19001320/.</w:t>
      </w:r>
    </w:p>
  </w:footnote>
  <w:footnote w:id="8">
    <w:p w:rsidR="0091085C" w:rsidRPr="00321E61" w:rsidRDefault="0091085C" w:rsidP="00AE46DA">
      <w:pPr>
        <w:spacing w:before="0" w:after="0"/>
        <w:rPr>
          <w:rFonts w:cstheme="minorHAnsi"/>
          <w:sz w:val="18"/>
          <w:szCs w:val="18"/>
        </w:rPr>
      </w:pPr>
      <w:r w:rsidRPr="00321E61">
        <w:rPr>
          <w:rStyle w:val="FootnoteReference"/>
          <w:rFonts w:cstheme="minorHAnsi"/>
          <w:sz w:val="18"/>
          <w:szCs w:val="18"/>
        </w:rPr>
        <w:footnoteRef/>
      </w:r>
      <w:r w:rsidRPr="00321E61">
        <w:rPr>
          <w:rFonts w:cstheme="minorHAnsi"/>
          <w:sz w:val="18"/>
          <w:szCs w:val="18"/>
        </w:rPr>
        <w:t xml:space="preserve"> Pietrantonio, F et al. Predictive role of BRAF mutations in patients with advanced colorectal cancer receiving cetuximab and panitumumab: a meta-analysis. </w:t>
      </w:r>
      <w:r w:rsidRPr="00321E61">
        <w:rPr>
          <w:rFonts w:cstheme="minorHAnsi"/>
          <w:i/>
          <w:sz w:val="18"/>
          <w:szCs w:val="18"/>
        </w:rPr>
        <w:t>Eur J Cancer</w:t>
      </w:r>
      <w:r w:rsidRPr="00321E61">
        <w:rPr>
          <w:rFonts w:cstheme="minorHAnsi"/>
          <w:sz w:val="18"/>
          <w:szCs w:val="18"/>
        </w:rPr>
        <w:t xml:space="preserve"> 2015, 51(5):587-94. Available at https://pubmed.ncbi.nlm.nih.gov/25673558/.</w:t>
      </w:r>
    </w:p>
    <w:p w:rsidR="0091085C" w:rsidRPr="00321E61" w:rsidRDefault="0091085C" w:rsidP="00AE46DA">
      <w:pPr>
        <w:pStyle w:val="FootnoteText"/>
        <w:rPr>
          <w:rFonts w:cstheme="minorHAnsi"/>
          <w:szCs w:val="18"/>
        </w:rPr>
      </w:pPr>
    </w:p>
  </w:footnote>
  <w:footnote w:id="9">
    <w:p w:rsidR="0091085C" w:rsidRDefault="0091085C">
      <w:pPr>
        <w:pStyle w:val="FootnoteText"/>
      </w:pPr>
      <w:r>
        <w:rPr>
          <w:rStyle w:val="FootnoteReference"/>
        </w:rPr>
        <w:footnoteRef/>
      </w:r>
      <w:r>
        <w:t xml:space="preserve"> </w:t>
      </w:r>
      <w:r>
        <w:rPr>
          <w:i/>
          <w:iCs/>
        </w:rPr>
        <w:t>QoL data cut off August 2019: manuscript in preparation. To be submitted Q4 2021 to ESMO Open</w:t>
      </w:r>
    </w:p>
  </w:footnote>
  <w:footnote w:id="10">
    <w:p w:rsidR="0091085C" w:rsidRDefault="0091085C">
      <w:pPr>
        <w:pStyle w:val="FootnoteText"/>
      </w:pPr>
      <w:r>
        <w:rPr>
          <w:rStyle w:val="FootnoteReference"/>
        </w:rPr>
        <w:footnoteRef/>
      </w:r>
      <w:r>
        <w:t xml:space="preserve"> </w:t>
      </w:r>
      <w:r w:rsidRPr="002E5CD1">
        <w:rPr>
          <w:rFonts w:ascii="Arial Narrow" w:hAnsi="Arial Narrow"/>
          <w:i/>
          <w:szCs w:val="18"/>
        </w:rPr>
        <w:t>QoL data cut off August 2019: manuscript in preparation. To be submitted Q4 2021 to ESMO Open</w:t>
      </w:r>
    </w:p>
  </w:footnote>
  <w:footnote w:id="11">
    <w:p w:rsidR="0091085C" w:rsidRDefault="0091085C">
      <w:pPr>
        <w:pStyle w:val="FootnoteText"/>
      </w:pPr>
      <w:r>
        <w:rPr>
          <w:rStyle w:val="FootnoteReference"/>
        </w:rPr>
        <w:footnoteRef/>
      </w:r>
      <w:r>
        <w:t xml:space="preserve"> </w:t>
      </w:r>
      <w:r w:rsidRPr="002E5CD1">
        <w:rPr>
          <w:rFonts w:ascii="Arial Narrow" w:hAnsi="Arial Narrow"/>
          <w:i/>
          <w:szCs w:val="18"/>
        </w:rPr>
        <w:t>QoL data cut off August 2019: manuscript in preparation. To be submitted Q4 2021 to ESMO Open</w:t>
      </w:r>
    </w:p>
  </w:footnote>
  <w:footnote w:id="12">
    <w:p w:rsidR="0091085C" w:rsidRDefault="0091085C">
      <w:pPr>
        <w:pStyle w:val="FootnoteText"/>
      </w:pPr>
      <w:r>
        <w:rPr>
          <w:rStyle w:val="FootnoteReference"/>
        </w:rPr>
        <w:footnoteRef/>
      </w:r>
      <w:r>
        <w:t xml:space="preserve"> </w:t>
      </w:r>
      <w:r>
        <w:rPr>
          <w:i/>
          <w:iCs/>
        </w:rPr>
        <w:t>OS data cut off May 2020: manuscript in preparation. To be submitted Q3 2021 to BMJ Open</w:t>
      </w:r>
    </w:p>
  </w:footnote>
  <w:footnote w:id="13">
    <w:p w:rsidR="0091085C" w:rsidRPr="00690C99" w:rsidRDefault="0091085C" w:rsidP="00690C99">
      <w:pPr>
        <w:pStyle w:val="FootnoteText"/>
        <w:jc w:val="left"/>
      </w:pPr>
      <w:r>
        <w:rPr>
          <w:rStyle w:val="FootnoteReference"/>
        </w:rPr>
        <w:footnoteRef/>
      </w:r>
      <w:r>
        <w:t xml:space="preserve"> </w:t>
      </w:r>
      <w:r>
        <w:rPr>
          <w:i/>
        </w:rPr>
        <w:t xml:space="preserve">Manual of resource items and their associated unit costs – December 2016, </w:t>
      </w:r>
      <w:r>
        <w:t xml:space="preserve">p10, available at: </w:t>
      </w:r>
      <w:r w:rsidRPr="003F6EA3">
        <w:t>https://www.pbs.gov.au/info/industry/useful-resources/manual</w:t>
      </w:r>
      <w:r>
        <w:t xml:space="preserve"> </w:t>
      </w:r>
    </w:p>
  </w:footnote>
  <w:footnote w:id="14">
    <w:p w:rsidR="0091085C" w:rsidRPr="00787D78" w:rsidRDefault="0091085C" w:rsidP="00AC06A0">
      <w:pPr>
        <w:tabs>
          <w:tab w:val="left" w:pos="426"/>
        </w:tabs>
        <w:autoSpaceDE w:val="0"/>
        <w:autoSpaceDN w:val="0"/>
        <w:adjustRightInd w:val="0"/>
        <w:spacing w:before="0" w:after="120"/>
        <w:rPr>
          <w:rFonts w:cstheme="minorHAnsi"/>
          <w:sz w:val="18"/>
          <w:szCs w:val="18"/>
        </w:rPr>
      </w:pPr>
      <w:r w:rsidRPr="00787D78">
        <w:rPr>
          <w:rStyle w:val="FootnoteReference"/>
          <w:rFonts w:cstheme="minorHAnsi"/>
          <w:sz w:val="18"/>
          <w:szCs w:val="18"/>
        </w:rPr>
        <w:footnoteRef/>
      </w:r>
      <w:r w:rsidRPr="00787D78">
        <w:rPr>
          <w:rFonts w:cstheme="minorHAnsi"/>
          <w:sz w:val="18"/>
          <w:szCs w:val="18"/>
        </w:rPr>
        <w:t xml:space="preserve"> Cherny NI, Dafni U, Bogaerts J, et al: ESMO-Magnitude of Clinical Benefit Scale version 1.1. </w:t>
      </w:r>
      <w:r w:rsidRPr="00787D78">
        <w:rPr>
          <w:rFonts w:cstheme="minorHAnsi"/>
          <w:i/>
          <w:sz w:val="18"/>
          <w:szCs w:val="18"/>
        </w:rPr>
        <w:t>Annals of Oncology</w:t>
      </w:r>
      <w:r w:rsidRPr="00787D78">
        <w:rPr>
          <w:rFonts w:cstheme="minorHAnsi"/>
          <w:sz w:val="18"/>
          <w:szCs w:val="18"/>
        </w:rPr>
        <w:t xml:space="preserve"> 28:2340-2366, 2017.</w:t>
      </w:r>
    </w:p>
    <w:p w:rsidR="0091085C" w:rsidRPr="00787D78" w:rsidRDefault="0091085C" w:rsidP="00AC06A0">
      <w:pPr>
        <w:pStyle w:val="FootnoteText"/>
        <w:rPr>
          <w:rFonts w:cstheme="minorHAnsi"/>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D0F" w:rsidRDefault="00F34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5C" w:rsidRPr="001B6309" w:rsidRDefault="0091085C" w:rsidP="00B21F37">
    <w:pPr>
      <w:pStyle w:val="Header"/>
      <w:keepNext/>
      <w:widowControl w:val="0"/>
      <w:ind w:left="360"/>
      <w:jc w:val="center"/>
      <w:rPr>
        <w:rFonts w:eastAsia="Times New Roman" w:cs="Arial"/>
        <w:i/>
        <w:snapToGrid w:val="0"/>
        <w:color w:val="808080"/>
      </w:rPr>
    </w:pPr>
    <w:r>
      <w:rPr>
        <w:rFonts w:eastAsia="Times New Roman" w:cs="Arial"/>
        <w:i/>
        <w:snapToGrid w:val="0"/>
        <w:color w:val="808080"/>
      </w:rPr>
      <w:t>Public Summary Document</w:t>
    </w:r>
    <w:r w:rsidRPr="001B6309">
      <w:rPr>
        <w:rFonts w:eastAsia="Times New Roman" w:cs="Arial"/>
        <w:i/>
        <w:snapToGrid w:val="0"/>
        <w:color w:val="808080"/>
      </w:rPr>
      <w:t xml:space="preserve"> – March 2021 PBAC Meeting</w:t>
    </w:r>
  </w:p>
  <w:p w:rsidR="0091085C" w:rsidRDefault="00910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D0F" w:rsidRDefault="00F3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0346A"/>
    <w:multiLevelType w:val="hybridMultilevel"/>
    <w:tmpl w:val="F9ACC4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86226E"/>
    <w:multiLevelType w:val="hybridMultilevel"/>
    <w:tmpl w:val="1664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456AC"/>
    <w:multiLevelType w:val="hybridMultilevel"/>
    <w:tmpl w:val="9D4CF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A490F8C"/>
    <w:multiLevelType w:val="multilevel"/>
    <w:tmpl w:val="1722EB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C4209"/>
    <w:multiLevelType w:val="hybridMultilevel"/>
    <w:tmpl w:val="34421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F02766"/>
    <w:multiLevelType w:val="hybridMultilevel"/>
    <w:tmpl w:val="537A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4D033C"/>
    <w:multiLevelType w:val="multilevel"/>
    <w:tmpl w:val="1AC2CCF4"/>
    <w:lvl w:ilvl="0">
      <w:start w:val="1"/>
      <w:numFmt w:val="decimal"/>
      <w:pStyle w:val="PBACESHeading1"/>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b w:val="0"/>
        <w:i w:val="0"/>
        <w:color w:val="auto"/>
        <w:sz w:val="24"/>
        <w:szCs w:val="24"/>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num>
  <w:num w:numId="3">
    <w:abstractNumId w:val="6"/>
  </w:num>
  <w:num w:numId="4">
    <w:abstractNumId w:val="5"/>
  </w:num>
  <w:num w:numId="5">
    <w:abstractNumId w:val="13"/>
  </w:num>
  <w:num w:numId="6">
    <w:abstractNumId w:val="2"/>
  </w:num>
  <w:num w:numId="7">
    <w:abstractNumId w:val="7"/>
  </w:num>
  <w:num w:numId="8">
    <w:abstractNumId w:val="14"/>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num>
  <w:num w:numId="13">
    <w:abstractNumId w:val="12"/>
  </w:num>
  <w:num w:numId="14">
    <w:abstractNumId w:val="3"/>
  </w:num>
  <w:num w:numId="15">
    <w:abstractNumId w:val="10"/>
  </w:num>
  <w:num w:numId="16">
    <w:abstractNumId w:val="4"/>
  </w:num>
  <w:num w:numId="17">
    <w:abstractNumId w:val="11"/>
  </w:num>
  <w:num w:numId="18">
    <w:abstractNumId w:val="15"/>
    <w:lvlOverride w:ilvl="0">
      <w:startOverride w:val="6"/>
    </w:lvlOverride>
    <w:lvlOverride w:ilvl="1">
      <w:startOverride w:val="5"/>
    </w:lvlOverride>
    <w:lvlOverride w:ilvl="2">
      <w:startOverride w:val="1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removePersonalInformation/>
  <w:removeDateAndTime/>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DA"/>
    <w:rsid w:val="00000089"/>
    <w:rsid w:val="00000127"/>
    <w:rsid w:val="00054EE7"/>
    <w:rsid w:val="000626E6"/>
    <w:rsid w:val="00071DE2"/>
    <w:rsid w:val="00071E5C"/>
    <w:rsid w:val="000721CD"/>
    <w:rsid w:val="000808D8"/>
    <w:rsid w:val="00095562"/>
    <w:rsid w:val="000A5D46"/>
    <w:rsid w:val="000C1843"/>
    <w:rsid w:val="000D54B4"/>
    <w:rsid w:val="000E2969"/>
    <w:rsid w:val="00103930"/>
    <w:rsid w:val="00103ABD"/>
    <w:rsid w:val="001041F6"/>
    <w:rsid w:val="00117F10"/>
    <w:rsid w:val="00135C88"/>
    <w:rsid w:val="00140004"/>
    <w:rsid w:val="00145010"/>
    <w:rsid w:val="00160E7F"/>
    <w:rsid w:val="00181B37"/>
    <w:rsid w:val="001825C9"/>
    <w:rsid w:val="0018615C"/>
    <w:rsid w:val="00192368"/>
    <w:rsid w:val="001A4401"/>
    <w:rsid w:val="001B64DA"/>
    <w:rsid w:val="001C1074"/>
    <w:rsid w:val="001C48AF"/>
    <w:rsid w:val="001E0979"/>
    <w:rsid w:val="001F07AF"/>
    <w:rsid w:val="001F1BDF"/>
    <w:rsid w:val="001F735A"/>
    <w:rsid w:val="002174EE"/>
    <w:rsid w:val="00225EFD"/>
    <w:rsid w:val="00235F08"/>
    <w:rsid w:val="00247CB8"/>
    <w:rsid w:val="00252CDC"/>
    <w:rsid w:val="00260BD5"/>
    <w:rsid w:val="002637E3"/>
    <w:rsid w:val="0027085E"/>
    <w:rsid w:val="0027301B"/>
    <w:rsid w:val="002818BB"/>
    <w:rsid w:val="002958C2"/>
    <w:rsid w:val="002A5879"/>
    <w:rsid w:val="002C7B10"/>
    <w:rsid w:val="002C7DFB"/>
    <w:rsid w:val="002D0DD4"/>
    <w:rsid w:val="002E5CD1"/>
    <w:rsid w:val="002F1032"/>
    <w:rsid w:val="0030068D"/>
    <w:rsid w:val="00303C94"/>
    <w:rsid w:val="00306109"/>
    <w:rsid w:val="00315AA0"/>
    <w:rsid w:val="00321E61"/>
    <w:rsid w:val="00336E1D"/>
    <w:rsid w:val="00337679"/>
    <w:rsid w:val="00344361"/>
    <w:rsid w:val="00351161"/>
    <w:rsid w:val="003637FF"/>
    <w:rsid w:val="003679EF"/>
    <w:rsid w:val="00374462"/>
    <w:rsid w:val="00383E75"/>
    <w:rsid w:val="003A18D8"/>
    <w:rsid w:val="003A195A"/>
    <w:rsid w:val="003C7F05"/>
    <w:rsid w:val="003D100A"/>
    <w:rsid w:val="003E1D3C"/>
    <w:rsid w:val="003F6EA3"/>
    <w:rsid w:val="0041622C"/>
    <w:rsid w:val="00416D0E"/>
    <w:rsid w:val="00420074"/>
    <w:rsid w:val="004208A7"/>
    <w:rsid w:val="004228A5"/>
    <w:rsid w:val="004228AA"/>
    <w:rsid w:val="00424DE3"/>
    <w:rsid w:val="004339F7"/>
    <w:rsid w:val="0045007E"/>
    <w:rsid w:val="00465EAD"/>
    <w:rsid w:val="004709BD"/>
    <w:rsid w:val="004744C4"/>
    <w:rsid w:val="00477F2D"/>
    <w:rsid w:val="004A0B4E"/>
    <w:rsid w:val="004C5229"/>
    <w:rsid w:val="004D1376"/>
    <w:rsid w:val="004D5B20"/>
    <w:rsid w:val="004E1742"/>
    <w:rsid w:val="004E1BD4"/>
    <w:rsid w:val="004E24CE"/>
    <w:rsid w:val="004F50B5"/>
    <w:rsid w:val="00502D34"/>
    <w:rsid w:val="005202EA"/>
    <w:rsid w:val="005276BC"/>
    <w:rsid w:val="0056025A"/>
    <w:rsid w:val="00566019"/>
    <w:rsid w:val="005704D0"/>
    <w:rsid w:val="00584400"/>
    <w:rsid w:val="00591CC6"/>
    <w:rsid w:val="005C29FC"/>
    <w:rsid w:val="005C573B"/>
    <w:rsid w:val="005C6BAE"/>
    <w:rsid w:val="005C6E5F"/>
    <w:rsid w:val="005D1DB5"/>
    <w:rsid w:val="005D4917"/>
    <w:rsid w:val="005E61CA"/>
    <w:rsid w:val="005E6BA3"/>
    <w:rsid w:val="005F09F6"/>
    <w:rsid w:val="005F62A7"/>
    <w:rsid w:val="00603150"/>
    <w:rsid w:val="00604F96"/>
    <w:rsid w:val="00606B77"/>
    <w:rsid w:val="00621D93"/>
    <w:rsid w:val="0062661B"/>
    <w:rsid w:val="00631655"/>
    <w:rsid w:val="00632250"/>
    <w:rsid w:val="00634C3C"/>
    <w:rsid w:val="00636CA2"/>
    <w:rsid w:val="00643CEC"/>
    <w:rsid w:val="00656C5E"/>
    <w:rsid w:val="00674898"/>
    <w:rsid w:val="00690C99"/>
    <w:rsid w:val="006A6811"/>
    <w:rsid w:val="006D3135"/>
    <w:rsid w:val="006D5154"/>
    <w:rsid w:val="006E0BEE"/>
    <w:rsid w:val="006F2AE3"/>
    <w:rsid w:val="007120FD"/>
    <w:rsid w:val="007336AE"/>
    <w:rsid w:val="0073395C"/>
    <w:rsid w:val="007417BB"/>
    <w:rsid w:val="00753385"/>
    <w:rsid w:val="00754163"/>
    <w:rsid w:val="00780116"/>
    <w:rsid w:val="00783814"/>
    <w:rsid w:val="0078383A"/>
    <w:rsid w:val="00787D78"/>
    <w:rsid w:val="00797683"/>
    <w:rsid w:val="007976C3"/>
    <w:rsid w:val="007C0A7D"/>
    <w:rsid w:val="007D52B9"/>
    <w:rsid w:val="007E2152"/>
    <w:rsid w:val="007F2F54"/>
    <w:rsid w:val="007F40CB"/>
    <w:rsid w:val="008202BA"/>
    <w:rsid w:val="008210FF"/>
    <w:rsid w:val="00823CBD"/>
    <w:rsid w:val="00830370"/>
    <w:rsid w:val="00872325"/>
    <w:rsid w:val="008869D2"/>
    <w:rsid w:val="008B16F9"/>
    <w:rsid w:val="008B2F5E"/>
    <w:rsid w:val="008B6740"/>
    <w:rsid w:val="008B7E51"/>
    <w:rsid w:val="008D51F4"/>
    <w:rsid w:val="008E1045"/>
    <w:rsid w:val="008E4AB5"/>
    <w:rsid w:val="008F3C6C"/>
    <w:rsid w:val="00900EEF"/>
    <w:rsid w:val="00902D90"/>
    <w:rsid w:val="0090484C"/>
    <w:rsid w:val="0091085C"/>
    <w:rsid w:val="00917077"/>
    <w:rsid w:val="0092270A"/>
    <w:rsid w:val="00937442"/>
    <w:rsid w:val="00946FD1"/>
    <w:rsid w:val="00950484"/>
    <w:rsid w:val="00951553"/>
    <w:rsid w:val="00963E90"/>
    <w:rsid w:val="00970A3B"/>
    <w:rsid w:val="0098148B"/>
    <w:rsid w:val="0099629B"/>
    <w:rsid w:val="00996AB5"/>
    <w:rsid w:val="009A1276"/>
    <w:rsid w:val="009A32A4"/>
    <w:rsid w:val="009A47D2"/>
    <w:rsid w:val="009A4AF8"/>
    <w:rsid w:val="009A6FE3"/>
    <w:rsid w:val="009C441B"/>
    <w:rsid w:val="009D787F"/>
    <w:rsid w:val="00A03F93"/>
    <w:rsid w:val="00A13A3B"/>
    <w:rsid w:val="00A240F0"/>
    <w:rsid w:val="00A34F21"/>
    <w:rsid w:val="00A45CF8"/>
    <w:rsid w:val="00A46893"/>
    <w:rsid w:val="00A475FE"/>
    <w:rsid w:val="00A563AF"/>
    <w:rsid w:val="00A63DFD"/>
    <w:rsid w:val="00A8257F"/>
    <w:rsid w:val="00A85EEC"/>
    <w:rsid w:val="00A950E5"/>
    <w:rsid w:val="00AB0397"/>
    <w:rsid w:val="00AC06A0"/>
    <w:rsid w:val="00AE46DA"/>
    <w:rsid w:val="00B10347"/>
    <w:rsid w:val="00B1408E"/>
    <w:rsid w:val="00B21F37"/>
    <w:rsid w:val="00B30DD7"/>
    <w:rsid w:val="00B32D92"/>
    <w:rsid w:val="00B44D36"/>
    <w:rsid w:val="00B63E7F"/>
    <w:rsid w:val="00B72C43"/>
    <w:rsid w:val="00B80B3F"/>
    <w:rsid w:val="00B815A5"/>
    <w:rsid w:val="00B81AF7"/>
    <w:rsid w:val="00B86C80"/>
    <w:rsid w:val="00B9745A"/>
    <w:rsid w:val="00BA01D8"/>
    <w:rsid w:val="00BA32CD"/>
    <w:rsid w:val="00BC58A7"/>
    <w:rsid w:val="00BC7D11"/>
    <w:rsid w:val="00BD65B0"/>
    <w:rsid w:val="00BE0C1A"/>
    <w:rsid w:val="00BF08B7"/>
    <w:rsid w:val="00BF3086"/>
    <w:rsid w:val="00C13410"/>
    <w:rsid w:val="00C2122C"/>
    <w:rsid w:val="00C320AD"/>
    <w:rsid w:val="00C35454"/>
    <w:rsid w:val="00C41967"/>
    <w:rsid w:val="00C45E5B"/>
    <w:rsid w:val="00C514E8"/>
    <w:rsid w:val="00C53BC3"/>
    <w:rsid w:val="00C63DCE"/>
    <w:rsid w:val="00C756E8"/>
    <w:rsid w:val="00C76112"/>
    <w:rsid w:val="00C82C76"/>
    <w:rsid w:val="00C83764"/>
    <w:rsid w:val="00C92FE6"/>
    <w:rsid w:val="00CA3909"/>
    <w:rsid w:val="00CB2562"/>
    <w:rsid w:val="00CB4978"/>
    <w:rsid w:val="00CB49AB"/>
    <w:rsid w:val="00CB4F58"/>
    <w:rsid w:val="00CB50DA"/>
    <w:rsid w:val="00CF0BF4"/>
    <w:rsid w:val="00CF2B1F"/>
    <w:rsid w:val="00CF5EEB"/>
    <w:rsid w:val="00D0309F"/>
    <w:rsid w:val="00D21810"/>
    <w:rsid w:val="00D24D69"/>
    <w:rsid w:val="00D33E23"/>
    <w:rsid w:val="00D37FA9"/>
    <w:rsid w:val="00D40262"/>
    <w:rsid w:val="00D42C27"/>
    <w:rsid w:val="00D46ED9"/>
    <w:rsid w:val="00D57D57"/>
    <w:rsid w:val="00D73F62"/>
    <w:rsid w:val="00D81181"/>
    <w:rsid w:val="00DA5951"/>
    <w:rsid w:val="00DA72E0"/>
    <w:rsid w:val="00DB5031"/>
    <w:rsid w:val="00DD147E"/>
    <w:rsid w:val="00DE52E5"/>
    <w:rsid w:val="00DF2192"/>
    <w:rsid w:val="00E03131"/>
    <w:rsid w:val="00E117D0"/>
    <w:rsid w:val="00E12074"/>
    <w:rsid w:val="00E1276C"/>
    <w:rsid w:val="00E16581"/>
    <w:rsid w:val="00E173F7"/>
    <w:rsid w:val="00E421D6"/>
    <w:rsid w:val="00E636A6"/>
    <w:rsid w:val="00E63BC5"/>
    <w:rsid w:val="00E662A2"/>
    <w:rsid w:val="00E8329E"/>
    <w:rsid w:val="00E95DD9"/>
    <w:rsid w:val="00E97A38"/>
    <w:rsid w:val="00EB0A96"/>
    <w:rsid w:val="00EC71F6"/>
    <w:rsid w:val="00EF49A5"/>
    <w:rsid w:val="00EF4EC7"/>
    <w:rsid w:val="00F0297A"/>
    <w:rsid w:val="00F0739D"/>
    <w:rsid w:val="00F10C00"/>
    <w:rsid w:val="00F11184"/>
    <w:rsid w:val="00F12B17"/>
    <w:rsid w:val="00F159BF"/>
    <w:rsid w:val="00F2360C"/>
    <w:rsid w:val="00F239D2"/>
    <w:rsid w:val="00F2453C"/>
    <w:rsid w:val="00F258C4"/>
    <w:rsid w:val="00F32622"/>
    <w:rsid w:val="00F34D0F"/>
    <w:rsid w:val="00F350D8"/>
    <w:rsid w:val="00F42863"/>
    <w:rsid w:val="00F56DB7"/>
    <w:rsid w:val="00F617B8"/>
    <w:rsid w:val="00F6615C"/>
    <w:rsid w:val="00F675AE"/>
    <w:rsid w:val="00F71EE7"/>
    <w:rsid w:val="00F81D81"/>
    <w:rsid w:val="00F83B75"/>
    <w:rsid w:val="00FC1B12"/>
    <w:rsid w:val="00FD1BD7"/>
    <w:rsid w:val="00FD1FD3"/>
    <w:rsid w:val="00FD4198"/>
    <w:rsid w:val="00FD528B"/>
    <w:rsid w:val="00FD54B7"/>
    <w:rsid w:val="00FF1ECF"/>
    <w:rsid w:val="00FF5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0A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10" w:unhideWhenUsed="1" w:qFormat="1"/>
    <w:lsdException w:name="heading 6" w:semiHidden="1" w:uiPriority="12" w:unhideWhenUsed="1" w:qFormat="1"/>
    <w:lsdException w:name="heading 7" w:semiHidden="1" w:uiPriority="12" w:unhideWhenUsed="1" w:qFormat="1"/>
    <w:lsdException w:name="heading 8" w:semiHidden="1" w:uiPriority="7"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DA"/>
    <w:pPr>
      <w:spacing w:before="120" w:after="160" w:line="240" w:lineRule="auto"/>
      <w:jc w:val="both"/>
    </w:pPr>
    <w:rPr>
      <w:sz w:val="24"/>
    </w:rPr>
  </w:style>
  <w:style w:type="paragraph" w:styleId="Heading1">
    <w:name w:val="heading 1"/>
    <w:next w:val="MSACESParagraph"/>
    <w:link w:val="Heading1Char"/>
    <w:uiPriority w:val="2"/>
    <w:qFormat/>
    <w:rsid w:val="00AE46DA"/>
    <w:pPr>
      <w:keepNext/>
      <w:keepLines/>
      <w:numPr>
        <w:numId w:val="3"/>
      </w:numPr>
      <w:spacing w:before="400" w:after="120" w:line="259" w:lineRule="auto"/>
      <w:outlineLvl w:val="0"/>
    </w:pPr>
    <w:rPr>
      <w:rFonts w:eastAsiaTheme="majorEastAsia" w:cstheme="majorBidi"/>
      <w:b/>
      <w:sz w:val="32"/>
      <w:szCs w:val="28"/>
    </w:rPr>
  </w:style>
  <w:style w:type="paragraph" w:styleId="Heading2">
    <w:name w:val="heading 2"/>
    <w:basedOn w:val="Normal"/>
    <w:next w:val="Normal"/>
    <w:link w:val="Heading2Char"/>
    <w:uiPriority w:val="3"/>
    <w:qFormat/>
    <w:rsid w:val="00AE46DA"/>
    <w:pPr>
      <w:keepNext/>
      <w:keepLines/>
      <w:numPr>
        <w:ilvl w:val="3"/>
        <w:numId w:val="3"/>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AE46DA"/>
    <w:pPr>
      <w:keepNext/>
      <w:keepLines/>
      <w:numPr>
        <w:ilvl w:val="5"/>
        <w:numId w:val="3"/>
      </w:numPr>
      <w:spacing w:after="120"/>
      <w:outlineLvl w:val="2"/>
    </w:pPr>
    <w:rPr>
      <w:rFonts w:eastAsiaTheme="majorEastAsia" w:cstheme="majorBidi"/>
      <w:szCs w:val="28"/>
      <w:u w:val="single"/>
    </w:rPr>
  </w:style>
  <w:style w:type="paragraph" w:styleId="Heading4">
    <w:name w:val="heading 4"/>
    <w:basedOn w:val="InstructionalText"/>
    <w:next w:val="Normal"/>
    <w:link w:val="Heading4Char"/>
    <w:uiPriority w:val="3"/>
    <w:qFormat/>
    <w:rsid w:val="00AE46DA"/>
    <w:pPr>
      <w:spacing w:before="240" w:after="0"/>
      <w:outlineLvl w:val="3"/>
    </w:pPr>
    <w:rPr>
      <w:rFonts w:cs="Arial"/>
      <w:bCs/>
      <w:i/>
      <w:color w:val="000000" w:themeColor="text1"/>
      <w:szCs w:val="24"/>
    </w:rPr>
  </w:style>
  <w:style w:type="paragraph" w:styleId="Heading5">
    <w:name w:val="heading 5"/>
    <w:aliases w:val="Heading 2 - Body"/>
    <w:basedOn w:val="Heading2"/>
    <w:next w:val="Normal"/>
    <w:link w:val="Heading5Char"/>
    <w:uiPriority w:val="10"/>
    <w:semiHidden/>
    <w:rsid w:val="00AE46DA"/>
    <w:pPr>
      <w:numPr>
        <w:ilvl w:val="0"/>
        <w:numId w:val="0"/>
      </w:numPr>
      <w:outlineLvl w:val="4"/>
    </w:pPr>
  </w:style>
  <w:style w:type="paragraph" w:styleId="Heading6">
    <w:name w:val="heading 6"/>
    <w:aliases w:val="Heading 3 - Body"/>
    <w:basedOn w:val="Heading3"/>
    <w:next w:val="Normal"/>
    <w:link w:val="Heading6Char"/>
    <w:uiPriority w:val="12"/>
    <w:semiHidden/>
    <w:rsid w:val="00AE46DA"/>
    <w:pPr>
      <w:outlineLvl w:val="5"/>
    </w:pPr>
  </w:style>
  <w:style w:type="paragraph" w:styleId="Heading7">
    <w:name w:val="heading 7"/>
    <w:basedOn w:val="Heading1"/>
    <w:next w:val="Normal"/>
    <w:link w:val="Heading7Char"/>
    <w:uiPriority w:val="12"/>
    <w:semiHidden/>
    <w:rsid w:val="00AE46DA"/>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AE46D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AE46DA"/>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E46DA"/>
    <w:rPr>
      <w:rFonts w:eastAsiaTheme="majorEastAsia" w:cstheme="majorBidi"/>
      <w:b/>
      <w:sz w:val="32"/>
      <w:szCs w:val="28"/>
    </w:rPr>
  </w:style>
  <w:style w:type="character" w:customStyle="1" w:styleId="Heading2Char">
    <w:name w:val="Heading 2 Char"/>
    <w:basedOn w:val="DefaultParagraphFont"/>
    <w:link w:val="Heading2"/>
    <w:uiPriority w:val="3"/>
    <w:rsid w:val="00AE46DA"/>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AE46DA"/>
    <w:rPr>
      <w:rFonts w:eastAsiaTheme="majorEastAsia" w:cstheme="majorBidi"/>
      <w:sz w:val="24"/>
      <w:szCs w:val="28"/>
      <w:u w:val="single"/>
    </w:rPr>
  </w:style>
  <w:style w:type="character" w:customStyle="1" w:styleId="Heading4Char">
    <w:name w:val="Heading 4 Char"/>
    <w:basedOn w:val="DefaultParagraphFont"/>
    <w:link w:val="Heading4"/>
    <w:uiPriority w:val="3"/>
    <w:rsid w:val="00AE46DA"/>
    <w:rPr>
      <w:rFonts w:cs="Arial"/>
      <w:bCs/>
      <w:i/>
      <w:color w:val="000000" w:themeColor="text1"/>
      <w:sz w:val="24"/>
      <w:szCs w:val="24"/>
    </w:rPr>
  </w:style>
  <w:style w:type="character" w:customStyle="1" w:styleId="Heading5Char">
    <w:name w:val="Heading 5 Char"/>
    <w:aliases w:val="Heading 2 - Body Char"/>
    <w:basedOn w:val="DefaultParagraphFont"/>
    <w:link w:val="Heading5"/>
    <w:uiPriority w:val="10"/>
    <w:semiHidden/>
    <w:rsid w:val="00AE46DA"/>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AE46DA"/>
    <w:rPr>
      <w:rFonts w:eastAsiaTheme="majorEastAsia" w:cstheme="majorBidi"/>
      <w:sz w:val="24"/>
      <w:szCs w:val="28"/>
      <w:u w:val="single"/>
    </w:rPr>
  </w:style>
  <w:style w:type="character" w:customStyle="1" w:styleId="Heading7Char">
    <w:name w:val="Heading 7 Char"/>
    <w:basedOn w:val="DefaultParagraphFont"/>
    <w:link w:val="Heading7"/>
    <w:uiPriority w:val="12"/>
    <w:semiHidden/>
    <w:rsid w:val="00AE46DA"/>
    <w:rPr>
      <w:rFonts w:eastAsiaTheme="majorEastAsia" w:cstheme="majorBidi"/>
      <w:b/>
      <w:i/>
      <w:sz w:val="24"/>
      <w:szCs w:val="24"/>
    </w:rPr>
  </w:style>
  <w:style w:type="character" w:customStyle="1" w:styleId="Heading8Char">
    <w:name w:val="Heading 8 Char"/>
    <w:basedOn w:val="DefaultParagraphFont"/>
    <w:link w:val="Heading8"/>
    <w:uiPriority w:val="7"/>
    <w:semiHidden/>
    <w:rsid w:val="00AE46DA"/>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AE46DA"/>
    <w:rPr>
      <w:rFonts w:eastAsiaTheme="majorEastAsia" w:cstheme="majorBidi"/>
      <w:b/>
      <w:sz w:val="36"/>
      <w:szCs w:val="28"/>
    </w:rPr>
  </w:style>
  <w:style w:type="paragraph" w:styleId="ListParagraph">
    <w:name w:val="List Paragraph"/>
    <w:aliases w:val="PBAC ES Paragraph,BulletPoints,_CC_Bullet,Paragraphe de liste1,Bullets Points,Table Header Row,Bullet 1,Odstavec se seznamem1,2nd Bullet,Bullet1,Section 5,Body Text Bullet Points,Numbered para,List Paragraph1,Bullet point,List Paragraph11"/>
    <w:basedOn w:val="Normal"/>
    <w:link w:val="ListParagraphChar"/>
    <w:uiPriority w:val="34"/>
    <w:qFormat/>
    <w:rsid w:val="00AE46DA"/>
    <w:pPr>
      <w:numPr>
        <w:ilvl w:val="4"/>
        <w:numId w:val="1"/>
      </w:numPr>
    </w:pPr>
    <w:rPr>
      <w:color w:val="000000" w:themeColor="text1"/>
    </w:rPr>
  </w:style>
  <w:style w:type="paragraph" w:styleId="BalloonText">
    <w:name w:val="Balloon Text"/>
    <w:basedOn w:val="Normal"/>
    <w:link w:val="BalloonTextChar"/>
    <w:uiPriority w:val="9"/>
    <w:semiHidden/>
    <w:unhideWhenUsed/>
    <w:rsid w:val="00AE46D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semiHidden/>
    <w:rsid w:val="00AE46DA"/>
    <w:rPr>
      <w:rFonts w:ascii="Segoe UI" w:hAnsi="Segoe UI" w:cs="Segoe UI"/>
      <w:sz w:val="18"/>
      <w:szCs w:val="18"/>
    </w:rPr>
  </w:style>
  <w:style w:type="paragraph" w:customStyle="1" w:styleId="InstructionalText">
    <w:name w:val="Instructional Text"/>
    <w:basedOn w:val="Normal"/>
    <w:link w:val="InstructionalTextChar"/>
    <w:uiPriority w:val="3"/>
    <w:qFormat/>
    <w:rsid w:val="00AE46DA"/>
    <w:rPr>
      <w:color w:val="0070C0"/>
    </w:rPr>
  </w:style>
  <w:style w:type="table" w:styleId="TableGrid">
    <w:name w:val="Table Grid"/>
    <w:aliases w:val="Summary box,Table Gridbeth"/>
    <w:basedOn w:val="TableNormal"/>
    <w:uiPriority w:val="59"/>
    <w:rsid w:val="00AE46D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next w:val="Normal"/>
    <w:link w:val="CaptionChar"/>
    <w:autoRedefine/>
    <w:qFormat/>
    <w:rsid w:val="00AE46DA"/>
    <w:pPr>
      <w:keepNext/>
      <w:tabs>
        <w:tab w:val="left" w:pos="1418"/>
      </w:tabs>
      <w:spacing w:after="0" w:line="240" w:lineRule="auto"/>
      <w:contextualSpacing/>
    </w:pPr>
    <w:rPr>
      <w:rFonts w:ascii="Arial Narrow" w:eastAsia="Times New Roman" w:hAnsi="Arial Narrow" w:cs="Arial"/>
      <w:b/>
      <w:iCs/>
      <w:sz w:val="20"/>
      <w:szCs w:val="20"/>
    </w:rPr>
  </w:style>
  <w:style w:type="paragraph" w:customStyle="1" w:styleId="TableText">
    <w:name w:val="Table Text"/>
    <w:basedOn w:val="Normal"/>
    <w:link w:val="TableTextChar"/>
    <w:qFormat/>
    <w:rsid w:val="00AE46DA"/>
    <w:pPr>
      <w:widowControl w:val="0"/>
      <w:spacing w:before="40" w:after="40" w:line="256" w:lineRule="auto"/>
      <w:jc w:val="left"/>
    </w:pPr>
    <w:rPr>
      <w:rFonts w:ascii="Arial Narrow" w:hAnsi="Arial Narrow"/>
      <w:sz w:val="20"/>
    </w:rPr>
  </w:style>
  <w:style w:type="character" w:styleId="Hyperlink">
    <w:name w:val="Hyperlink"/>
    <w:basedOn w:val="DefaultParagraphFont"/>
    <w:uiPriority w:val="99"/>
    <w:semiHidden/>
    <w:rsid w:val="00AE46DA"/>
    <w:rPr>
      <w:color w:val="00B0F0"/>
      <w:u w:val="single"/>
    </w:rPr>
  </w:style>
  <w:style w:type="paragraph" w:styleId="FootnoteText">
    <w:name w:val="footnote text"/>
    <w:basedOn w:val="Normal"/>
    <w:link w:val="FootnoteTextChar"/>
    <w:uiPriority w:val="99"/>
    <w:semiHidden/>
    <w:rsid w:val="00AE46DA"/>
    <w:pPr>
      <w:spacing w:before="0" w:after="0"/>
    </w:pPr>
    <w:rPr>
      <w:sz w:val="18"/>
      <w:szCs w:val="20"/>
    </w:rPr>
  </w:style>
  <w:style w:type="character" w:customStyle="1" w:styleId="FootnoteTextChar">
    <w:name w:val="Footnote Text Char"/>
    <w:basedOn w:val="DefaultParagraphFont"/>
    <w:link w:val="FootnoteText"/>
    <w:uiPriority w:val="99"/>
    <w:semiHidden/>
    <w:rsid w:val="00AE46DA"/>
    <w:rPr>
      <w:sz w:val="18"/>
      <w:szCs w:val="20"/>
    </w:rPr>
  </w:style>
  <w:style w:type="character" w:styleId="FootnoteReference">
    <w:name w:val="footnote reference"/>
    <w:basedOn w:val="DefaultParagraphFont"/>
    <w:semiHidden/>
    <w:rsid w:val="00AE46DA"/>
    <w:rPr>
      <w:vertAlign w:val="superscript"/>
    </w:rPr>
  </w:style>
  <w:style w:type="character" w:styleId="CommentReference">
    <w:name w:val="annotation reference"/>
    <w:aliases w:val="Table Title,-H18,Annotationmark"/>
    <w:basedOn w:val="DefaultParagraphFont"/>
    <w:uiPriority w:val="99"/>
    <w:qFormat/>
    <w:rsid w:val="00AE46DA"/>
    <w:rPr>
      <w:rFonts w:ascii="Arial Narrow" w:hAnsi="Arial Narrow"/>
      <w:b/>
      <w:sz w:val="20"/>
      <w:szCs w:val="16"/>
    </w:rPr>
  </w:style>
  <w:style w:type="paragraph" w:styleId="CommentText">
    <w:name w:val="annotation text"/>
    <w:aliases w:val="- H19,Comment Text Char1 Char,Comment Text Char Char Char,Comment Text Char2,Comment Text Char Char1,Comment Text Char2 Char Char,Comment Text Char Char1 Char Char,Comment Text Char2 Char Char Char Char"/>
    <w:basedOn w:val="Normal"/>
    <w:link w:val="CommentTextChar"/>
    <w:uiPriority w:val="99"/>
    <w:unhideWhenUsed/>
    <w:qFormat/>
    <w:rsid w:val="00AE46DA"/>
    <w:rPr>
      <w:sz w:val="20"/>
      <w:szCs w:val="20"/>
    </w:rPr>
  </w:style>
  <w:style w:type="character" w:customStyle="1" w:styleId="CommentTextChar">
    <w:name w:val="Comment Text Char"/>
    <w:aliases w:val="- H19 Char,Comment Text Char1 Char Char,Comment Text Char Char Char Char,Comment Text Char2 Char,Comment Text Char Char1 Char,Comment Text Char2 Char Char Char,Comment Text Char Char1 Char Char Char"/>
    <w:basedOn w:val="DefaultParagraphFont"/>
    <w:link w:val="CommentText"/>
    <w:uiPriority w:val="99"/>
    <w:rsid w:val="00AE46DA"/>
    <w:rPr>
      <w:sz w:val="20"/>
      <w:szCs w:val="20"/>
    </w:rPr>
  </w:style>
  <w:style w:type="paragraph" w:styleId="CommentSubject">
    <w:name w:val="annotation subject"/>
    <w:basedOn w:val="Normal"/>
    <w:link w:val="CommentSubjectChar"/>
    <w:uiPriority w:val="99"/>
    <w:semiHidden/>
    <w:rsid w:val="00AE46DA"/>
    <w:rPr>
      <w:b/>
      <w:bCs/>
      <w:sz w:val="20"/>
      <w:szCs w:val="20"/>
    </w:rPr>
  </w:style>
  <w:style w:type="character" w:customStyle="1" w:styleId="CommentSubjectChar">
    <w:name w:val="Comment Subject Char"/>
    <w:basedOn w:val="CommentTextChar"/>
    <w:link w:val="CommentSubject"/>
    <w:uiPriority w:val="99"/>
    <w:semiHidden/>
    <w:rsid w:val="00AE46DA"/>
    <w:rPr>
      <w:b/>
      <w:bCs/>
      <w:sz w:val="20"/>
      <w:szCs w:val="20"/>
    </w:rPr>
  </w:style>
  <w:style w:type="character" w:customStyle="1" w:styleId="InstructionalTextChar">
    <w:name w:val="Instructional Text Char"/>
    <w:basedOn w:val="DefaultParagraphFont"/>
    <w:link w:val="InstructionalText"/>
    <w:uiPriority w:val="3"/>
    <w:rsid w:val="00AE46D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rsid w:val="00AE46DA"/>
    <w:rPr>
      <w:rFonts w:ascii="Arial Narrow" w:eastAsia="Times New Roman" w:hAnsi="Arial Narrow" w:cs="Arial"/>
      <w:b/>
      <w:iCs/>
      <w:sz w:val="20"/>
      <w:szCs w:val="20"/>
    </w:rPr>
  </w:style>
  <w:style w:type="paragraph" w:customStyle="1" w:styleId="TableFooter">
    <w:name w:val="Table Footer"/>
    <w:basedOn w:val="Normal"/>
    <w:link w:val="TableFooterChar"/>
    <w:qFormat/>
    <w:rsid w:val="00AE46DA"/>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AE46DA"/>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AE46DA"/>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AE46DA"/>
    <w:rPr>
      <w:sz w:val="24"/>
    </w:rPr>
  </w:style>
  <w:style w:type="paragraph" w:styleId="Footer">
    <w:name w:val="footer"/>
    <w:basedOn w:val="Normal"/>
    <w:link w:val="FooterChar"/>
    <w:uiPriority w:val="99"/>
    <w:rsid w:val="00AE46DA"/>
    <w:pPr>
      <w:tabs>
        <w:tab w:val="center" w:pos="4513"/>
        <w:tab w:val="right" w:pos="9026"/>
      </w:tabs>
      <w:spacing w:before="0" w:after="0"/>
    </w:pPr>
  </w:style>
  <w:style w:type="character" w:customStyle="1" w:styleId="FooterChar">
    <w:name w:val="Footer Char"/>
    <w:basedOn w:val="DefaultParagraphFont"/>
    <w:link w:val="Footer"/>
    <w:uiPriority w:val="99"/>
    <w:rsid w:val="00AE46DA"/>
    <w:rPr>
      <w:sz w:val="24"/>
    </w:rPr>
  </w:style>
  <w:style w:type="paragraph" w:styleId="TOC2">
    <w:name w:val="toc 2"/>
    <w:basedOn w:val="Normal"/>
    <w:next w:val="Normal"/>
    <w:autoRedefine/>
    <w:uiPriority w:val="39"/>
    <w:qFormat/>
    <w:rsid w:val="00AE46DA"/>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AE46DA"/>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0"/>
    <w:rsid w:val="00AE46DA"/>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AE46DA"/>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AE46DA"/>
    <w:pPr>
      <w:spacing w:before="480" w:after="0" w:line="276" w:lineRule="auto"/>
      <w:outlineLvl w:val="9"/>
    </w:pPr>
    <w:rPr>
      <w:rFonts w:asciiTheme="majorHAnsi" w:hAnsiTheme="majorHAnsi"/>
      <w:bCs/>
      <w:caps/>
      <w:color w:val="365F91" w:themeColor="accent1" w:themeShade="BF"/>
      <w:sz w:val="28"/>
      <w:lang w:val="en-US" w:eastAsia="ja-JP"/>
    </w:rPr>
  </w:style>
  <w:style w:type="paragraph" w:styleId="TOC3">
    <w:name w:val="toc 3"/>
    <w:basedOn w:val="Normal"/>
    <w:next w:val="Normal"/>
    <w:autoRedefine/>
    <w:uiPriority w:val="39"/>
    <w:semiHidden/>
    <w:rsid w:val="00AE46DA"/>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AE46DA"/>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AE46DA"/>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AE46DA"/>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AE46DA"/>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AE46DA"/>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AE46DA"/>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AE46DA"/>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ulletPoints Char,_CC_Bullet Char,Paragraphe de liste1 Char,Bullets Points Char,Table Header Row Char,Bullet 1 Char,Odstavec se seznamem1 Char,2nd Bullet Char,Bullet1 Char,Section 5 Char,Numbered para Char"/>
    <w:basedOn w:val="DefaultParagraphFont"/>
    <w:link w:val="ListParagraph"/>
    <w:uiPriority w:val="34"/>
    <w:qFormat/>
    <w:locked/>
    <w:rsid w:val="00AE46DA"/>
    <w:rPr>
      <w:color w:val="000000" w:themeColor="text1"/>
      <w:sz w:val="24"/>
    </w:rPr>
  </w:style>
  <w:style w:type="numbering" w:customStyle="1" w:styleId="Headings">
    <w:name w:val="Headings"/>
    <w:uiPriority w:val="99"/>
    <w:rsid w:val="00AE46DA"/>
    <w:pPr>
      <w:numPr>
        <w:numId w:val="2"/>
      </w:numPr>
    </w:pPr>
  </w:style>
  <w:style w:type="character" w:styleId="FollowedHyperlink">
    <w:name w:val="FollowedHyperlink"/>
    <w:basedOn w:val="DefaultParagraphFont"/>
    <w:uiPriority w:val="99"/>
    <w:semiHidden/>
    <w:rsid w:val="00AE46DA"/>
    <w:rPr>
      <w:color w:val="800080" w:themeColor="followedHyperlink"/>
      <w:u w:val="single"/>
    </w:rPr>
  </w:style>
  <w:style w:type="paragraph" w:customStyle="1" w:styleId="PBACESHeading1">
    <w:name w:val="PBAC ES Heading 1"/>
    <w:basedOn w:val="Heading1"/>
    <w:next w:val="ListParagraph"/>
    <w:link w:val="PBACESHeading1Char"/>
    <w:uiPriority w:val="1"/>
    <w:qFormat/>
    <w:rsid w:val="00AE46DA"/>
    <w:pPr>
      <w:numPr>
        <w:numId w:val="1"/>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AE46DA"/>
    <w:pPr>
      <w:numPr>
        <w:ilvl w:val="1"/>
      </w:numPr>
    </w:pPr>
    <w:rPr>
      <w:caps/>
    </w:rPr>
  </w:style>
  <w:style w:type="paragraph" w:customStyle="1" w:styleId="Heading2SECTION2">
    <w:name w:val="Heading 2 SECTION 2"/>
    <w:basedOn w:val="Heading2"/>
    <w:next w:val="Normal"/>
    <w:link w:val="Heading2SECTION2Char"/>
    <w:uiPriority w:val="3"/>
    <w:qFormat/>
    <w:rsid w:val="00AE46DA"/>
    <w:pPr>
      <w:numPr>
        <w:ilvl w:val="2"/>
      </w:numPr>
      <w:tabs>
        <w:tab w:val="left" w:pos="1134"/>
      </w:tabs>
    </w:pPr>
  </w:style>
  <w:style w:type="character" w:customStyle="1" w:styleId="Heading1subheadingChar">
    <w:name w:val="Heading 1 subheading Char"/>
    <w:basedOn w:val="Heading1Char"/>
    <w:link w:val="Heading1subheading"/>
    <w:uiPriority w:val="3"/>
    <w:rsid w:val="00AE46DA"/>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AE46DA"/>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AE46DA"/>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AE46DA"/>
    <w:rPr>
      <w:rFonts w:ascii="Calibri" w:eastAsia="Times New Roman" w:hAnsi="Calibri" w:cs="Tahoma"/>
      <w:i/>
      <w:color w:val="C00000"/>
      <w:lang w:eastAsia="en-AU"/>
    </w:rPr>
  </w:style>
  <w:style w:type="character" w:customStyle="1" w:styleId="TableTextChar">
    <w:name w:val="Table Text Char"/>
    <w:link w:val="TableText"/>
    <w:rsid w:val="00AE46DA"/>
    <w:rPr>
      <w:rFonts w:ascii="Arial Narrow" w:hAnsi="Arial Narrow"/>
      <w:sz w:val="20"/>
    </w:rPr>
  </w:style>
  <w:style w:type="paragraph" w:customStyle="1" w:styleId="OutlineHeading1">
    <w:name w:val="Outline Heading 1"/>
    <w:basedOn w:val="Heading1"/>
    <w:next w:val="Normal"/>
    <w:link w:val="OutlineHeading1Char"/>
    <w:uiPriority w:val="3"/>
    <w:qFormat/>
    <w:rsid w:val="00AE46DA"/>
    <w:pPr>
      <w:numPr>
        <w:numId w:val="0"/>
      </w:numPr>
    </w:pPr>
  </w:style>
  <w:style w:type="table" w:customStyle="1" w:styleId="PBACTableStyle">
    <w:name w:val="PBAC Table Style"/>
    <w:basedOn w:val="TableGrid1"/>
    <w:uiPriority w:val="99"/>
    <w:rsid w:val="00AE46DA"/>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AE46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AE46DA"/>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AE46DA"/>
    <w:pPr>
      <w:numPr>
        <w:numId w:val="7"/>
      </w:numPr>
      <w:spacing w:after="120"/>
      <w:jc w:val="left"/>
    </w:pPr>
    <w:rPr>
      <w:rFonts w:ascii="Calibri" w:hAnsi="Calibri"/>
    </w:rPr>
  </w:style>
  <w:style w:type="paragraph" w:customStyle="1" w:styleId="PBACESHeading2">
    <w:name w:val="PBAC ES Heading 2"/>
    <w:basedOn w:val="Heading2"/>
    <w:link w:val="PBACESHeading2Char"/>
    <w:uiPriority w:val="1"/>
    <w:qFormat/>
    <w:rsid w:val="00321E61"/>
    <w:pPr>
      <w:numPr>
        <w:ilvl w:val="0"/>
        <w:numId w:val="0"/>
      </w:numPr>
      <w:spacing w:before="0"/>
    </w:pPr>
    <w:rPr>
      <w:rFonts w:asciiTheme="minorHAnsi" w:hAnsiTheme="minorHAnsi" w:cstheme="minorHAnsi"/>
      <w:szCs w:val="24"/>
    </w:rPr>
  </w:style>
  <w:style w:type="character" w:customStyle="1" w:styleId="InstructionBulletpointChar">
    <w:name w:val="Instruction Bullet point Char"/>
    <w:basedOn w:val="InstructionalTextChar"/>
    <w:link w:val="InstructionBulletpoint"/>
    <w:uiPriority w:val="3"/>
    <w:rsid w:val="00AE46DA"/>
    <w:rPr>
      <w:rFonts w:ascii="Calibri" w:hAnsi="Calibri"/>
      <w:color w:val="0070C0"/>
      <w:sz w:val="24"/>
    </w:rPr>
  </w:style>
  <w:style w:type="character" w:customStyle="1" w:styleId="PBACESHeading2Char">
    <w:name w:val="PBAC ES Heading 2 Char"/>
    <w:basedOn w:val="Heading2Char"/>
    <w:link w:val="PBACESHeading2"/>
    <w:uiPriority w:val="1"/>
    <w:rsid w:val="00321E61"/>
    <w:rPr>
      <w:rFonts w:ascii="Arial" w:eastAsiaTheme="majorEastAsia" w:hAnsi="Arial" w:cstheme="minorHAnsi"/>
      <w:b/>
      <w:i/>
      <w:snapToGrid w:val="0"/>
      <w:sz w:val="28"/>
      <w:szCs w:val="24"/>
    </w:rPr>
  </w:style>
  <w:style w:type="paragraph" w:customStyle="1" w:styleId="CommentTabletext">
    <w:name w:val="Comment Table text"/>
    <w:basedOn w:val="Normal"/>
    <w:uiPriority w:val="4"/>
    <w:semiHidden/>
    <w:rsid w:val="00AE46DA"/>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AE46DA"/>
    <w:pPr>
      <w:numPr>
        <w:ilvl w:val="1"/>
      </w:numPr>
    </w:pPr>
    <w:rPr>
      <w:i w:val="0"/>
      <w:smallCaps/>
      <w:sz w:val="32"/>
    </w:rPr>
  </w:style>
  <w:style w:type="paragraph" w:customStyle="1" w:styleId="PBACESHeading3">
    <w:name w:val="PBAC ES Heading 3"/>
    <w:basedOn w:val="PBACESHeading2"/>
    <w:link w:val="PBACESHeading3Char"/>
    <w:uiPriority w:val="1"/>
    <w:qFormat/>
    <w:rsid w:val="00AE46DA"/>
    <w:pPr>
      <w:numPr>
        <w:ilvl w:val="3"/>
      </w:numPr>
    </w:pPr>
    <w:rPr>
      <w:i w:val="0"/>
      <w:sz w:val="24"/>
    </w:rPr>
  </w:style>
  <w:style w:type="character" w:customStyle="1" w:styleId="PBACESHeadingCAPSChar">
    <w:name w:val="PBAC ES Heading CAPS Char"/>
    <w:basedOn w:val="PBACESHeading2Char"/>
    <w:link w:val="PBACESHeadingCAPS"/>
    <w:uiPriority w:val="1"/>
    <w:rsid w:val="00AE46DA"/>
    <w:rPr>
      <w:rFonts w:ascii="Arial" w:eastAsiaTheme="majorEastAsia" w:hAnsi="Arial" w:cstheme="minorHAnsi"/>
      <w:b/>
      <w:i w:val="0"/>
      <w:smallCaps/>
      <w:snapToGrid w:val="0"/>
      <w:sz w:val="32"/>
      <w:szCs w:val="24"/>
    </w:rPr>
  </w:style>
  <w:style w:type="character" w:customStyle="1" w:styleId="PBACESHeading3Char">
    <w:name w:val="PBAC ES Heading 3 Char"/>
    <w:basedOn w:val="PBACESHeading2Char"/>
    <w:link w:val="PBACESHeading3"/>
    <w:uiPriority w:val="1"/>
    <w:rsid w:val="00AE46DA"/>
    <w:rPr>
      <w:rFonts w:ascii="Arial" w:eastAsiaTheme="majorEastAsia" w:hAnsi="Arial" w:cstheme="minorHAnsi"/>
      <w:b/>
      <w:i w:val="0"/>
      <w:snapToGrid w:val="0"/>
      <w:sz w:val="24"/>
      <w:szCs w:val="24"/>
    </w:rPr>
  </w:style>
  <w:style w:type="paragraph" w:customStyle="1" w:styleId="Level1">
    <w:name w:val="Level 1"/>
    <w:basedOn w:val="Normal"/>
    <w:uiPriority w:val="3"/>
    <w:semiHidden/>
    <w:rsid w:val="00AE46DA"/>
  </w:style>
  <w:style w:type="paragraph" w:customStyle="1" w:styleId="PBACESParagraphBulletPoint">
    <w:name w:val="PBAC ES Paragraph Bullet Point"/>
    <w:basedOn w:val="ListParagraph"/>
    <w:link w:val="PBACESParagraphBulletPointChar"/>
    <w:uiPriority w:val="1"/>
    <w:qFormat/>
    <w:rsid w:val="00AE46DA"/>
    <w:pPr>
      <w:numPr>
        <w:ilvl w:val="0"/>
        <w:numId w:val="8"/>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AE46DA"/>
    <w:rPr>
      <w:color w:val="000000" w:themeColor="text1"/>
      <w:sz w:val="24"/>
    </w:rPr>
  </w:style>
  <w:style w:type="paragraph" w:customStyle="1" w:styleId="OutlineHeading2">
    <w:name w:val="Outline Heading 2"/>
    <w:basedOn w:val="Heading2"/>
    <w:link w:val="OutlineHeading2Char"/>
    <w:uiPriority w:val="3"/>
    <w:qFormat/>
    <w:rsid w:val="00AE46DA"/>
    <w:pPr>
      <w:numPr>
        <w:ilvl w:val="0"/>
        <w:numId w:val="0"/>
      </w:numPr>
    </w:pPr>
  </w:style>
  <w:style w:type="character" w:customStyle="1" w:styleId="OutlineHeading2Char">
    <w:name w:val="Outline Heading 2 Char"/>
    <w:basedOn w:val="Heading2Char"/>
    <w:link w:val="OutlineHeading2"/>
    <w:uiPriority w:val="3"/>
    <w:rsid w:val="00AE46DA"/>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AE46DA"/>
    <w:pPr>
      <w:spacing w:before="120" w:after="16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AE46DA"/>
    <w:pPr>
      <w:tabs>
        <w:tab w:val="decimal" w:pos="396"/>
      </w:tabs>
      <w:jc w:val="center"/>
    </w:pPr>
  </w:style>
  <w:style w:type="paragraph" w:customStyle="1" w:styleId="TableRowHeader">
    <w:name w:val="Table Row Header"/>
    <w:basedOn w:val="TableText"/>
    <w:link w:val="TableRowHeaderChar"/>
    <w:qFormat/>
    <w:rsid w:val="00AE46DA"/>
    <w:pPr>
      <w:jc w:val="center"/>
    </w:pPr>
    <w:rPr>
      <w:b/>
    </w:rPr>
  </w:style>
  <w:style w:type="character" w:styleId="HTMLCite">
    <w:name w:val="HTML Cite"/>
    <w:basedOn w:val="DefaultParagraphFont"/>
    <w:uiPriority w:val="99"/>
    <w:semiHidden/>
    <w:rsid w:val="00AE46DA"/>
    <w:rPr>
      <w:i/>
      <w:iCs/>
    </w:rPr>
  </w:style>
  <w:style w:type="paragraph" w:customStyle="1" w:styleId="Heading2Clinical">
    <w:name w:val="Heading 2 Clinical"/>
    <w:basedOn w:val="Heading3"/>
    <w:next w:val="Normal"/>
    <w:link w:val="Heading2ClinicalChar"/>
    <w:uiPriority w:val="1"/>
    <w:semiHidden/>
    <w:rsid w:val="00AE46DA"/>
    <w:pPr>
      <w:numPr>
        <w:ilvl w:val="4"/>
      </w:numPr>
      <w:tabs>
        <w:tab w:val="left" w:pos="1418"/>
      </w:tabs>
    </w:pPr>
    <w:rPr>
      <w:i/>
      <w:color w:val="000000" w:themeColor="text1"/>
    </w:rPr>
  </w:style>
  <w:style w:type="character" w:customStyle="1" w:styleId="Heading2ClinicalChar">
    <w:name w:val="Heading 2 Clinical Char"/>
    <w:basedOn w:val="Heading4Char"/>
    <w:link w:val="Heading2Clinical"/>
    <w:uiPriority w:val="1"/>
    <w:semiHidden/>
    <w:rsid w:val="00AE46DA"/>
    <w:rPr>
      <w:rFonts w:eastAsiaTheme="majorEastAsia" w:cstheme="majorBidi"/>
      <w:bCs w:val="0"/>
      <w:i/>
      <w:color w:val="000000" w:themeColor="text1"/>
      <w:sz w:val="24"/>
      <w:szCs w:val="28"/>
      <w:u w:val="single"/>
    </w:rPr>
  </w:style>
  <w:style w:type="paragraph" w:customStyle="1" w:styleId="MSACSubtitle">
    <w:name w:val="MSAC Subtitle"/>
    <w:basedOn w:val="Normal"/>
    <w:next w:val="Normal"/>
    <w:link w:val="MSACSubtitleChar"/>
    <w:uiPriority w:val="1"/>
    <w:qFormat/>
    <w:rsid w:val="00AE46DA"/>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AE46DA"/>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AE46DA"/>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AE46DA"/>
    <w:pPr>
      <w:numPr>
        <w:ilvl w:val="5"/>
        <w:numId w:val="1"/>
      </w:numPr>
      <w:spacing w:before="160" w:after="240"/>
    </w:pPr>
    <w:rPr>
      <w:rFonts w:ascii="Times New Roman" w:hAnsi="Times New Roman"/>
      <w:sz w:val="24"/>
    </w:rPr>
  </w:style>
  <w:style w:type="paragraph" w:customStyle="1" w:styleId="MSACESParagraph">
    <w:name w:val="MSAC ES Paragraph"/>
    <w:link w:val="MSACESParagraphChar"/>
    <w:uiPriority w:val="1"/>
    <w:qFormat/>
    <w:rsid w:val="00AE46DA"/>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AE46DA"/>
    <w:rPr>
      <w:rFonts w:ascii="Times New Roman" w:eastAsiaTheme="majorEastAsia" w:hAnsi="Times New Roman" w:cstheme="majorBidi"/>
      <w:b/>
      <w:sz w:val="24"/>
      <w:szCs w:val="28"/>
    </w:rPr>
  </w:style>
  <w:style w:type="paragraph" w:customStyle="1" w:styleId="MSACESHeading2">
    <w:name w:val="MSAC ES Heading 2"/>
    <w:basedOn w:val="Heading2"/>
    <w:next w:val="MSACESParagraph"/>
    <w:link w:val="MSACESHeading2Char"/>
    <w:uiPriority w:val="1"/>
    <w:qFormat/>
    <w:rsid w:val="00AE46DA"/>
    <w:pPr>
      <w:numPr>
        <w:ilvl w:val="6"/>
        <w:numId w:val="1"/>
      </w:numPr>
    </w:pPr>
    <w:rPr>
      <w:rFonts w:ascii="Cambria" w:hAnsi="Cambria"/>
      <w:i w:val="0"/>
      <w:sz w:val="24"/>
    </w:rPr>
  </w:style>
  <w:style w:type="paragraph" w:customStyle="1" w:styleId="MSACESBulletPoint">
    <w:name w:val="MSAC ES Bullet Point"/>
    <w:basedOn w:val="MSACESParagraph"/>
    <w:link w:val="MSACESBulletPointChar"/>
    <w:uiPriority w:val="1"/>
    <w:qFormat/>
    <w:rsid w:val="00AE46DA"/>
    <w:pPr>
      <w:numPr>
        <w:numId w:val="4"/>
      </w:numPr>
      <w:spacing w:before="120" w:after="120"/>
      <w:ind w:left="714" w:hanging="357"/>
    </w:pPr>
  </w:style>
  <w:style w:type="character" w:customStyle="1" w:styleId="MSACESHeading2Char">
    <w:name w:val="MSAC ES Heading 2 Char"/>
    <w:basedOn w:val="DefaultParagraphFont"/>
    <w:link w:val="MSACESHeading2"/>
    <w:uiPriority w:val="1"/>
    <w:rsid w:val="00AE46DA"/>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AE46DA"/>
    <w:rPr>
      <w:rFonts w:ascii="Arial Narrow" w:hAnsi="Arial Narrow"/>
      <w:sz w:val="20"/>
    </w:rPr>
  </w:style>
  <w:style w:type="character" w:customStyle="1" w:styleId="MSACESParagraphChar">
    <w:name w:val="MSAC ES Paragraph Char"/>
    <w:basedOn w:val="DefaultParagraphFont"/>
    <w:link w:val="MSACESParagraph"/>
    <w:uiPriority w:val="1"/>
    <w:rsid w:val="00AE46DA"/>
    <w:rPr>
      <w:rFonts w:ascii="Times New Roman" w:hAnsi="Times New Roman"/>
      <w:sz w:val="24"/>
    </w:rPr>
  </w:style>
  <w:style w:type="character" w:customStyle="1" w:styleId="MSACESBulletPointChar">
    <w:name w:val="MSAC ES Bullet Point Char"/>
    <w:basedOn w:val="MSACESParagraphChar"/>
    <w:link w:val="MSACESBulletPoint"/>
    <w:uiPriority w:val="1"/>
    <w:rsid w:val="00AE46DA"/>
    <w:rPr>
      <w:rFonts w:ascii="Times New Roman" w:hAnsi="Times New Roman"/>
      <w:sz w:val="24"/>
    </w:rPr>
  </w:style>
  <w:style w:type="paragraph" w:customStyle="1" w:styleId="ESHeading1">
    <w:name w:val="ES Heading 1"/>
    <w:basedOn w:val="Heading1"/>
    <w:next w:val="Heading1"/>
    <w:uiPriority w:val="8"/>
    <w:semiHidden/>
    <w:rsid w:val="00AE46DA"/>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AE46DA"/>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AE46DA"/>
    <w:rPr>
      <w:i w:val="0"/>
      <w:smallCaps/>
      <w:sz w:val="32"/>
    </w:rPr>
  </w:style>
  <w:style w:type="paragraph" w:customStyle="1" w:styleId="ESHeading3">
    <w:name w:val="ES Heading 3"/>
    <w:basedOn w:val="ESHeading2"/>
    <w:uiPriority w:val="8"/>
    <w:semiHidden/>
    <w:rsid w:val="00AE46DA"/>
    <w:pPr>
      <w:ind w:left="1080" w:hanging="1080"/>
    </w:pPr>
    <w:rPr>
      <w:i w:val="0"/>
      <w:sz w:val="24"/>
    </w:rPr>
  </w:style>
  <w:style w:type="numbering" w:customStyle="1" w:styleId="MSACESBulletpoints">
    <w:name w:val="MSAC ES Bullet points"/>
    <w:uiPriority w:val="99"/>
    <w:rsid w:val="00AE46DA"/>
    <w:pPr>
      <w:numPr>
        <w:numId w:val="5"/>
      </w:numPr>
    </w:pPr>
  </w:style>
  <w:style w:type="paragraph" w:customStyle="1" w:styleId="MainBodyBulletPoint">
    <w:name w:val="MainBody Bullet Point"/>
    <w:basedOn w:val="InstructionBulletpoint"/>
    <w:link w:val="MainBodyBulletPointChar"/>
    <w:uiPriority w:val="1"/>
    <w:qFormat/>
    <w:rsid w:val="00AE46DA"/>
    <w:pPr>
      <w:numPr>
        <w:numId w:val="6"/>
      </w:numPr>
      <w:ind w:left="714" w:hanging="357"/>
    </w:pPr>
  </w:style>
  <w:style w:type="character" w:customStyle="1" w:styleId="MainBodyBulletPointChar">
    <w:name w:val="MainBody Bullet Point Char"/>
    <w:basedOn w:val="InstructionBulletpointChar"/>
    <w:link w:val="MainBodyBulletPoint"/>
    <w:uiPriority w:val="1"/>
    <w:rsid w:val="00AE46DA"/>
    <w:rPr>
      <w:rFonts w:ascii="Calibri" w:hAnsi="Calibri"/>
      <w:color w:val="0070C0"/>
      <w:sz w:val="24"/>
    </w:rPr>
  </w:style>
  <w:style w:type="character" w:customStyle="1" w:styleId="OutlineHeading1Char">
    <w:name w:val="Outline Heading 1 Char"/>
    <w:basedOn w:val="Heading1Char"/>
    <w:link w:val="OutlineHeading1"/>
    <w:uiPriority w:val="3"/>
    <w:rsid w:val="00AE46DA"/>
    <w:rPr>
      <w:rFonts w:eastAsiaTheme="majorEastAsia" w:cstheme="majorBidi"/>
      <w:b/>
      <w:sz w:val="32"/>
      <w:szCs w:val="28"/>
    </w:rPr>
  </w:style>
  <w:style w:type="numbering" w:customStyle="1" w:styleId="Style1">
    <w:name w:val="Style1"/>
    <w:uiPriority w:val="99"/>
    <w:rsid w:val="00AE46DA"/>
    <w:pPr>
      <w:numPr>
        <w:numId w:val="9"/>
      </w:numPr>
    </w:pPr>
  </w:style>
  <w:style w:type="numbering" w:customStyle="1" w:styleId="Style2">
    <w:name w:val="Style2"/>
    <w:uiPriority w:val="99"/>
    <w:rsid w:val="00AE46DA"/>
    <w:pPr>
      <w:numPr>
        <w:numId w:val="11"/>
      </w:numPr>
    </w:pPr>
  </w:style>
  <w:style w:type="table" w:customStyle="1" w:styleId="ListTable1Light1">
    <w:name w:val="List Table 1 Light1"/>
    <w:basedOn w:val="TableNormal"/>
    <w:uiPriority w:val="46"/>
    <w:rsid w:val="00AE46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AE46DA"/>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AE46DA"/>
    <w:rPr>
      <w:i/>
      <w:iCs/>
    </w:rPr>
  </w:style>
  <w:style w:type="numbering" w:customStyle="1" w:styleId="Style3">
    <w:name w:val="Style3"/>
    <w:uiPriority w:val="99"/>
    <w:rsid w:val="00AE46DA"/>
    <w:pPr>
      <w:numPr>
        <w:numId w:val="12"/>
      </w:numPr>
    </w:pPr>
  </w:style>
  <w:style w:type="character" w:customStyle="1" w:styleId="TableRowHeaderChar">
    <w:name w:val="Table Row Header Char"/>
    <w:basedOn w:val="TableTextChar"/>
    <w:link w:val="TableRowHeader"/>
    <w:rsid w:val="00AE46DA"/>
    <w:rPr>
      <w:rFonts w:ascii="Arial Narrow" w:hAnsi="Arial Narrow"/>
      <w:b/>
      <w:sz w:val="20"/>
    </w:rPr>
  </w:style>
  <w:style w:type="paragraph" w:styleId="BodyText">
    <w:name w:val="Body Text"/>
    <w:basedOn w:val="Normal"/>
    <w:link w:val="BodyTextChar"/>
    <w:uiPriority w:val="4"/>
    <w:semiHidden/>
    <w:unhideWhenUsed/>
    <w:rsid w:val="00AE46DA"/>
    <w:pPr>
      <w:spacing w:after="120"/>
    </w:pPr>
  </w:style>
  <w:style w:type="character" w:customStyle="1" w:styleId="BodyTextChar">
    <w:name w:val="Body Text Char"/>
    <w:basedOn w:val="DefaultParagraphFont"/>
    <w:link w:val="BodyText"/>
    <w:uiPriority w:val="4"/>
    <w:semiHidden/>
    <w:rsid w:val="00AE46DA"/>
    <w:rPr>
      <w:sz w:val="24"/>
    </w:rPr>
  </w:style>
  <w:style w:type="paragraph" w:customStyle="1" w:styleId="TableParagraph">
    <w:name w:val="Table Paragraph"/>
    <w:basedOn w:val="Normal"/>
    <w:uiPriority w:val="1"/>
    <w:qFormat/>
    <w:rsid w:val="00AE46DA"/>
    <w:pPr>
      <w:widowControl w:val="0"/>
      <w:autoSpaceDE w:val="0"/>
      <w:autoSpaceDN w:val="0"/>
      <w:spacing w:before="1" w:after="0" w:line="199" w:lineRule="exact"/>
      <w:ind w:left="107"/>
      <w:jc w:val="left"/>
    </w:pPr>
    <w:rPr>
      <w:rFonts w:ascii="Calibri" w:eastAsia="Calibri" w:hAnsi="Calibri" w:cs="Calibri"/>
      <w:sz w:val="22"/>
    </w:rPr>
  </w:style>
  <w:style w:type="character" w:customStyle="1" w:styleId="UnresolvedMention1">
    <w:name w:val="Unresolved Mention1"/>
    <w:basedOn w:val="DefaultParagraphFont"/>
    <w:uiPriority w:val="99"/>
    <w:semiHidden/>
    <w:unhideWhenUsed/>
    <w:rsid w:val="00AE46DA"/>
    <w:rPr>
      <w:color w:val="605E5C"/>
      <w:shd w:val="clear" w:color="auto" w:fill="E1DFDD"/>
    </w:rPr>
  </w:style>
  <w:style w:type="character" w:customStyle="1" w:styleId="UnresolvedMention2">
    <w:name w:val="Unresolved Mention2"/>
    <w:basedOn w:val="DefaultParagraphFont"/>
    <w:uiPriority w:val="99"/>
    <w:semiHidden/>
    <w:unhideWhenUsed/>
    <w:rsid w:val="00AE46DA"/>
    <w:rPr>
      <w:color w:val="605E5C"/>
      <w:shd w:val="clear" w:color="auto" w:fill="E1DFDD"/>
    </w:rPr>
  </w:style>
  <w:style w:type="character" w:customStyle="1" w:styleId="UnresolvedMention3">
    <w:name w:val="Unresolved Mention3"/>
    <w:basedOn w:val="DefaultParagraphFont"/>
    <w:uiPriority w:val="99"/>
    <w:semiHidden/>
    <w:unhideWhenUsed/>
    <w:rsid w:val="00AE46DA"/>
    <w:rPr>
      <w:color w:val="605E5C"/>
      <w:shd w:val="clear" w:color="auto" w:fill="E1DFDD"/>
    </w:rPr>
  </w:style>
  <w:style w:type="paragraph" w:customStyle="1" w:styleId="Default">
    <w:name w:val="Default"/>
    <w:rsid w:val="00AE46DA"/>
    <w:pPr>
      <w:autoSpaceDE w:val="0"/>
      <w:autoSpaceDN w:val="0"/>
      <w:adjustRightInd w:val="0"/>
      <w:spacing w:after="0" w:line="240" w:lineRule="auto"/>
    </w:pPr>
    <w:rPr>
      <w:rFonts w:ascii="Calibri" w:eastAsia="Batang" w:hAnsi="Calibri" w:cs="Calibri"/>
      <w:color w:val="000000"/>
      <w:sz w:val="24"/>
      <w:szCs w:val="24"/>
      <w:lang w:val="en-US"/>
    </w:rPr>
  </w:style>
  <w:style w:type="paragraph" w:styleId="EndnoteText">
    <w:name w:val="endnote text"/>
    <w:basedOn w:val="Normal"/>
    <w:link w:val="EndnoteTextChar"/>
    <w:uiPriority w:val="99"/>
    <w:semiHidden/>
    <w:rsid w:val="00AE46DA"/>
    <w:pPr>
      <w:spacing w:before="0" w:after="0"/>
    </w:pPr>
    <w:rPr>
      <w:rFonts w:eastAsia="Batang"/>
      <w:sz w:val="20"/>
      <w:szCs w:val="20"/>
    </w:rPr>
  </w:style>
  <w:style w:type="character" w:customStyle="1" w:styleId="EndnoteTextChar">
    <w:name w:val="Endnote Text Char"/>
    <w:basedOn w:val="DefaultParagraphFont"/>
    <w:link w:val="EndnoteText"/>
    <w:uiPriority w:val="99"/>
    <w:semiHidden/>
    <w:rsid w:val="00AE46DA"/>
    <w:rPr>
      <w:rFonts w:eastAsia="Batang"/>
      <w:sz w:val="20"/>
      <w:szCs w:val="20"/>
    </w:rPr>
  </w:style>
  <w:style w:type="character" w:styleId="EndnoteReference">
    <w:name w:val="endnote reference"/>
    <w:basedOn w:val="DefaultParagraphFont"/>
    <w:uiPriority w:val="99"/>
    <w:semiHidden/>
    <w:rsid w:val="00AE46DA"/>
    <w:rPr>
      <w:vertAlign w:val="superscript"/>
    </w:rPr>
  </w:style>
  <w:style w:type="table" w:customStyle="1" w:styleId="TableGridbeth1">
    <w:name w:val="Table Gridbeth1"/>
    <w:basedOn w:val="TableNormal"/>
    <w:next w:val="TableGrid"/>
    <w:uiPriority w:val="59"/>
    <w:rsid w:val="00AE46D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beth2">
    <w:name w:val="Table Gridbeth2"/>
    <w:basedOn w:val="TableNormal"/>
    <w:next w:val="TableGrid"/>
    <w:uiPriority w:val="59"/>
    <w:rsid w:val="00AE46DA"/>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10">
    <w:name w:val="Table Grid1"/>
    <w:basedOn w:val="TableNormal"/>
    <w:next w:val="TableGrid"/>
    <w:rsid w:val="00AE46D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1">
    <w:name w:val="Table Gridbeth11"/>
    <w:basedOn w:val="TableNormal"/>
    <w:next w:val="TableGrid"/>
    <w:uiPriority w:val="59"/>
    <w:rsid w:val="00AE46DA"/>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Style1">
    <w:name w:val="PBAC Table Style1"/>
    <w:basedOn w:val="TableGrid1"/>
    <w:uiPriority w:val="99"/>
    <w:rsid w:val="00AE46DA"/>
    <w:pPr>
      <w:widowControl w:val="0"/>
      <w:spacing w:after="0"/>
      <w:contextualSpacing/>
      <w:jc w:val="center"/>
    </w:pPr>
    <w:rPr>
      <w:rFonts w:ascii="Arial Narrow" w:hAnsi="Arial Narrow"/>
      <w:color w:val="00000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2Sections">
    <w:name w:val="2. Sections"/>
    <w:qFormat/>
    <w:rsid w:val="00AE46DA"/>
    <w:pPr>
      <w:snapToGrid w:val="0"/>
      <w:spacing w:before="240" w:after="120" w:line="240" w:lineRule="auto"/>
      <w:ind w:left="720" w:hanging="720"/>
      <w:outlineLvl w:val="0"/>
    </w:pPr>
    <w:rPr>
      <w:rFonts w:eastAsia="Times New Roman" w:cs="Arial"/>
      <w:b/>
      <w:sz w:val="32"/>
      <w:szCs w:val="32"/>
    </w:rPr>
  </w:style>
  <w:style w:type="paragraph" w:customStyle="1" w:styleId="4Bodytextnumbered">
    <w:name w:val="4. Body text numbered"/>
    <w:basedOn w:val="ListParagraph"/>
    <w:qFormat/>
    <w:rsid w:val="00AE46DA"/>
    <w:pPr>
      <w:numPr>
        <w:ilvl w:val="0"/>
        <w:numId w:val="0"/>
      </w:numPr>
      <w:tabs>
        <w:tab w:val="num" w:pos="360"/>
      </w:tabs>
      <w:spacing w:before="0" w:after="120" w:line="312" w:lineRule="auto"/>
      <w:ind w:left="720"/>
    </w:pPr>
    <w:rPr>
      <w:rFonts w:ascii="Calibri" w:eastAsia="Times New Roman" w:hAnsi="Calibri" w:cs="Tahoma"/>
      <w:color w:val="auto"/>
      <w:lang w:eastAsia="en-AU"/>
    </w:rPr>
  </w:style>
  <w:style w:type="paragraph" w:customStyle="1" w:styleId="2-SectionHeading">
    <w:name w:val="2-Section Heading"/>
    <w:qFormat/>
    <w:rsid w:val="00E16581"/>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E16581"/>
    <w:pPr>
      <w:numPr>
        <w:ilvl w:val="0"/>
        <w:numId w:val="0"/>
      </w:num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DefaultParagraphFont"/>
    <w:link w:val="3-BodyText"/>
    <w:rsid w:val="00E16581"/>
    <w:rPr>
      <w:rFonts w:eastAsia="Times New Roman" w:cs="Arial"/>
      <w:snapToGrid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73617">
      <w:bodyDiv w:val="1"/>
      <w:marLeft w:val="0"/>
      <w:marRight w:val="0"/>
      <w:marTop w:val="0"/>
      <w:marBottom w:val="0"/>
      <w:divBdr>
        <w:top w:val="none" w:sz="0" w:space="0" w:color="auto"/>
        <w:left w:val="none" w:sz="0" w:space="0" w:color="auto"/>
        <w:bottom w:val="none" w:sz="0" w:space="0" w:color="auto"/>
        <w:right w:val="none" w:sz="0" w:space="0" w:color="auto"/>
      </w:divBdr>
    </w:div>
    <w:div w:id="325474417">
      <w:bodyDiv w:val="1"/>
      <w:marLeft w:val="0"/>
      <w:marRight w:val="0"/>
      <w:marTop w:val="0"/>
      <w:marBottom w:val="0"/>
      <w:divBdr>
        <w:top w:val="none" w:sz="0" w:space="0" w:color="auto"/>
        <w:left w:val="none" w:sz="0" w:space="0" w:color="auto"/>
        <w:bottom w:val="none" w:sz="0" w:space="0" w:color="auto"/>
        <w:right w:val="none" w:sz="0" w:space="0" w:color="auto"/>
      </w:divBdr>
    </w:div>
    <w:div w:id="379785478">
      <w:bodyDiv w:val="1"/>
      <w:marLeft w:val="0"/>
      <w:marRight w:val="0"/>
      <w:marTop w:val="0"/>
      <w:marBottom w:val="0"/>
      <w:divBdr>
        <w:top w:val="none" w:sz="0" w:space="0" w:color="auto"/>
        <w:left w:val="none" w:sz="0" w:space="0" w:color="auto"/>
        <w:bottom w:val="none" w:sz="0" w:space="0" w:color="auto"/>
        <w:right w:val="none" w:sz="0" w:space="0" w:color="auto"/>
      </w:divBdr>
    </w:div>
    <w:div w:id="838497436">
      <w:bodyDiv w:val="1"/>
      <w:marLeft w:val="0"/>
      <w:marRight w:val="0"/>
      <w:marTop w:val="0"/>
      <w:marBottom w:val="0"/>
      <w:divBdr>
        <w:top w:val="none" w:sz="0" w:space="0" w:color="auto"/>
        <w:left w:val="none" w:sz="0" w:space="0" w:color="auto"/>
        <w:bottom w:val="none" w:sz="0" w:space="0" w:color="auto"/>
        <w:right w:val="none" w:sz="0" w:space="0" w:color="auto"/>
      </w:divBdr>
    </w:div>
    <w:div w:id="960456482">
      <w:bodyDiv w:val="1"/>
      <w:marLeft w:val="0"/>
      <w:marRight w:val="0"/>
      <w:marTop w:val="0"/>
      <w:marBottom w:val="0"/>
      <w:divBdr>
        <w:top w:val="none" w:sz="0" w:space="0" w:color="auto"/>
        <w:left w:val="none" w:sz="0" w:space="0" w:color="auto"/>
        <w:bottom w:val="none" w:sz="0" w:space="0" w:color="auto"/>
        <w:right w:val="none" w:sz="0" w:space="0" w:color="auto"/>
      </w:divBdr>
    </w:div>
    <w:div w:id="1078214508">
      <w:bodyDiv w:val="1"/>
      <w:marLeft w:val="0"/>
      <w:marRight w:val="0"/>
      <w:marTop w:val="0"/>
      <w:marBottom w:val="0"/>
      <w:divBdr>
        <w:top w:val="none" w:sz="0" w:space="0" w:color="auto"/>
        <w:left w:val="none" w:sz="0" w:space="0" w:color="auto"/>
        <w:bottom w:val="none" w:sz="0" w:space="0" w:color="auto"/>
        <w:right w:val="none" w:sz="0" w:space="0" w:color="auto"/>
      </w:divBdr>
    </w:div>
    <w:div w:id="1121413476">
      <w:bodyDiv w:val="1"/>
      <w:marLeft w:val="0"/>
      <w:marRight w:val="0"/>
      <w:marTop w:val="0"/>
      <w:marBottom w:val="0"/>
      <w:divBdr>
        <w:top w:val="none" w:sz="0" w:space="0" w:color="auto"/>
        <w:left w:val="none" w:sz="0" w:space="0" w:color="auto"/>
        <w:bottom w:val="none" w:sz="0" w:space="0" w:color="auto"/>
        <w:right w:val="none" w:sz="0" w:space="0" w:color="auto"/>
      </w:divBdr>
    </w:div>
    <w:div w:id="1288703831">
      <w:bodyDiv w:val="1"/>
      <w:marLeft w:val="0"/>
      <w:marRight w:val="0"/>
      <w:marTop w:val="0"/>
      <w:marBottom w:val="0"/>
      <w:divBdr>
        <w:top w:val="none" w:sz="0" w:space="0" w:color="auto"/>
        <w:left w:val="none" w:sz="0" w:space="0" w:color="auto"/>
        <w:bottom w:val="none" w:sz="0" w:space="0" w:color="auto"/>
        <w:right w:val="none" w:sz="0" w:space="0" w:color="auto"/>
      </w:divBdr>
    </w:div>
    <w:div w:id="20395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F97F0-6ACD-487C-ADB0-947D40BE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17101</Words>
  <Characters>97482</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2021-07-07T02:07:00Z</dcterms:created>
  <dcterms:modified xsi:type="dcterms:W3CDTF">2021-07-07T02:07:00Z</dcterms:modified>
</cp:coreProperties>
</file>