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413" w:rsidRPr="004417FF" w:rsidRDefault="00073DED" w:rsidP="00156139">
      <w:pPr>
        <w:pStyle w:val="1-MainHeading"/>
        <w:spacing w:before="240"/>
      </w:pPr>
      <w:bookmarkStart w:id="0" w:name="_Toc62042731"/>
      <w:r w:rsidRPr="004417FF">
        <w:t>6</w:t>
      </w:r>
      <w:r w:rsidR="00A25413" w:rsidRPr="004417FF">
        <w:t>.</w:t>
      </w:r>
      <w:r w:rsidRPr="004417FF">
        <w:t>05</w:t>
      </w:r>
      <w:r w:rsidR="00A25413" w:rsidRPr="004417FF">
        <w:tab/>
        <w:t>LACOSAMIDE,</w:t>
      </w:r>
      <w:r w:rsidR="00A25413" w:rsidRPr="004417FF">
        <w:br/>
        <w:t>Tablet</w:t>
      </w:r>
      <w:r w:rsidR="00DA777B" w:rsidRPr="004417FF">
        <w:t xml:space="preserve"> </w:t>
      </w:r>
      <w:r w:rsidR="00A25413" w:rsidRPr="004417FF">
        <w:t>50 mg, 100 mg, 150 mg, 200 mg,</w:t>
      </w:r>
      <w:r w:rsidR="00A25413" w:rsidRPr="004417FF">
        <w:br/>
        <w:t>Oral solution</w:t>
      </w:r>
      <w:r w:rsidR="00A4135C" w:rsidRPr="004417FF">
        <w:t xml:space="preserve"> </w:t>
      </w:r>
      <w:r w:rsidR="000C6947" w:rsidRPr="004417FF">
        <w:t xml:space="preserve">10 mg per </w:t>
      </w:r>
      <w:r w:rsidR="00A25413" w:rsidRPr="004417FF">
        <w:t>mL, 200 mL</w:t>
      </w:r>
      <w:r w:rsidR="00A25413" w:rsidRPr="004417FF">
        <w:br/>
        <w:t>Vimpat®,</w:t>
      </w:r>
      <w:r w:rsidR="00A25413" w:rsidRPr="004417FF">
        <w:br/>
        <w:t>UCB Australia Proprietary Limited</w:t>
      </w:r>
      <w:bookmarkEnd w:id="0"/>
    </w:p>
    <w:p w:rsidR="00A25413" w:rsidRPr="004417FF" w:rsidRDefault="00A25413" w:rsidP="00A25413">
      <w:pPr>
        <w:pStyle w:val="2-SectionHeading"/>
        <w:numPr>
          <w:ilvl w:val="0"/>
          <w:numId w:val="1"/>
        </w:numPr>
      </w:pPr>
      <w:bookmarkStart w:id="1" w:name="_Toc62042733"/>
      <w:r w:rsidRPr="004417FF">
        <w:t>Purpose of submission</w:t>
      </w:r>
      <w:bookmarkEnd w:id="1"/>
    </w:p>
    <w:p w:rsidR="00A25413" w:rsidRPr="004417FF" w:rsidRDefault="00A25413" w:rsidP="00A25413">
      <w:pPr>
        <w:pStyle w:val="3-BodyText"/>
      </w:pPr>
      <w:r w:rsidRPr="004417FF">
        <w:t>The submission requested that lacosamide is listed on the PBS General Schedule as an Authority Required (STREAMLINED) benefit for patients (≥4 years of age) with idiopathic generalised epilepsy (IGE) with pr</w:t>
      </w:r>
      <w:r w:rsidR="00C03925" w:rsidRPr="004417FF">
        <w:t xml:space="preserve">imary generalised tonic-clonic </w:t>
      </w:r>
      <w:r w:rsidRPr="004417FF">
        <w:t>seizures</w:t>
      </w:r>
      <w:r w:rsidR="00C03925" w:rsidRPr="004417FF">
        <w:t xml:space="preserve"> (PGTCS)</w:t>
      </w:r>
      <w:r w:rsidRPr="004417FF">
        <w:t xml:space="preserve">. </w:t>
      </w:r>
    </w:p>
    <w:p w:rsidR="00A25413" w:rsidRPr="00C3432C" w:rsidRDefault="00A25413" w:rsidP="00A25413">
      <w:pPr>
        <w:pStyle w:val="3-BodyText"/>
      </w:pPr>
      <w:r w:rsidRPr="00C3432C">
        <w:t xml:space="preserve">Listing was requested on the basis of a cost-minimisation </w:t>
      </w:r>
      <w:r w:rsidR="00FD2D9D" w:rsidRPr="00C3432C">
        <w:t>with</w:t>
      </w:r>
      <w:r w:rsidR="000D6A49" w:rsidRPr="00C3432C">
        <w:t xml:space="preserve"> </w:t>
      </w:r>
      <w:r w:rsidRPr="00C3432C">
        <w:t>perampanel</w:t>
      </w:r>
      <w:r w:rsidR="00BC6BBE">
        <w:t xml:space="preserve"> (Table 1)</w:t>
      </w:r>
      <w:r w:rsidRPr="00C3432C">
        <w:t xml:space="preserve">. </w:t>
      </w:r>
    </w:p>
    <w:p w:rsidR="00A25413" w:rsidRPr="00C3432C" w:rsidRDefault="00A25413" w:rsidP="00010DA6">
      <w:pPr>
        <w:pStyle w:val="TableFigureHeading"/>
      </w:pPr>
      <w:r w:rsidRPr="00C3432C">
        <w:t xml:space="preserve">Table </w:t>
      </w:r>
      <w:r w:rsidR="003409DC">
        <w:rPr>
          <w:noProof/>
        </w:rPr>
        <w:t>1</w:t>
      </w:r>
      <w:r w:rsidRPr="00C3432C">
        <w:t>: Key components of the clinical issues addressed by the submission</w:t>
      </w:r>
    </w:p>
    <w:tbl>
      <w:tblPr>
        <w:tblStyle w:val="TableGrid"/>
        <w:tblW w:w="0" w:type="auto"/>
        <w:tblInd w:w="-5" w:type="dxa"/>
        <w:tblLook w:val="04A0" w:firstRow="1" w:lastRow="0" w:firstColumn="1" w:lastColumn="0" w:noHBand="0" w:noVBand="1"/>
        <w:tblCaption w:val="Table 1: Key components of the clinical issues addressed by the submission"/>
      </w:tblPr>
      <w:tblGrid>
        <w:gridCol w:w="1701"/>
        <w:gridCol w:w="7320"/>
      </w:tblGrid>
      <w:tr w:rsidR="00A25413" w:rsidRPr="00C3432C" w:rsidTr="00010DA6">
        <w:trPr>
          <w:tblHeader/>
        </w:trPr>
        <w:tc>
          <w:tcPr>
            <w:tcW w:w="1701" w:type="dxa"/>
            <w:shd w:val="clear" w:color="auto" w:fill="auto"/>
          </w:tcPr>
          <w:p w:rsidR="00A25413" w:rsidRPr="00C3432C" w:rsidRDefault="00A25413" w:rsidP="00010DA6">
            <w:pPr>
              <w:pStyle w:val="TableText0"/>
              <w:widowControl w:val="0"/>
              <w:rPr>
                <w:b/>
              </w:rPr>
            </w:pPr>
            <w:r w:rsidRPr="00C3432C">
              <w:rPr>
                <w:b/>
              </w:rPr>
              <w:t>Component</w:t>
            </w:r>
          </w:p>
        </w:tc>
        <w:tc>
          <w:tcPr>
            <w:tcW w:w="7320" w:type="dxa"/>
            <w:shd w:val="clear" w:color="auto" w:fill="auto"/>
          </w:tcPr>
          <w:p w:rsidR="00A25413" w:rsidRPr="00C3432C" w:rsidRDefault="00A25413" w:rsidP="00010DA6">
            <w:pPr>
              <w:pStyle w:val="TableText0"/>
              <w:widowControl w:val="0"/>
              <w:rPr>
                <w:b/>
              </w:rPr>
            </w:pPr>
            <w:r w:rsidRPr="00C3432C">
              <w:rPr>
                <w:b/>
              </w:rPr>
              <w:t>Description</w:t>
            </w:r>
          </w:p>
        </w:tc>
      </w:tr>
      <w:tr w:rsidR="00A25413" w:rsidRPr="00C3432C" w:rsidTr="00010DA6">
        <w:tc>
          <w:tcPr>
            <w:tcW w:w="1701" w:type="dxa"/>
            <w:shd w:val="clear" w:color="auto" w:fill="auto"/>
          </w:tcPr>
          <w:p w:rsidR="00A25413" w:rsidRPr="00C3432C" w:rsidRDefault="00A25413" w:rsidP="00010DA6">
            <w:pPr>
              <w:pStyle w:val="TableText0"/>
              <w:widowControl w:val="0"/>
            </w:pPr>
            <w:r w:rsidRPr="00C3432C">
              <w:t>Population</w:t>
            </w:r>
          </w:p>
        </w:tc>
        <w:tc>
          <w:tcPr>
            <w:tcW w:w="7320" w:type="dxa"/>
            <w:shd w:val="clear" w:color="auto" w:fill="auto"/>
          </w:tcPr>
          <w:p w:rsidR="00A25413" w:rsidRPr="00C3432C" w:rsidRDefault="00A25413" w:rsidP="00010DA6">
            <w:pPr>
              <w:pStyle w:val="TableText0"/>
              <w:widowControl w:val="0"/>
            </w:pPr>
            <w:r w:rsidRPr="00C3432C">
              <w:t>Adults and children aged ≥ 4 years with idiopathic generalised epilepsy</w:t>
            </w:r>
            <w:r w:rsidR="00477FDB">
              <w:t xml:space="preserve"> (IGE)</w:t>
            </w:r>
            <w:r w:rsidRPr="00C3432C">
              <w:t xml:space="preserve"> with primary generalised tonic-clonic seizures</w:t>
            </w:r>
            <w:r w:rsidR="00C03925" w:rsidRPr="00C3432C">
              <w:t xml:space="preserve"> (PGTCS)</w:t>
            </w:r>
          </w:p>
        </w:tc>
      </w:tr>
      <w:tr w:rsidR="00A25413" w:rsidRPr="00C3432C" w:rsidTr="00010DA6">
        <w:tc>
          <w:tcPr>
            <w:tcW w:w="1701" w:type="dxa"/>
            <w:shd w:val="clear" w:color="auto" w:fill="auto"/>
          </w:tcPr>
          <w:p w:rsidR="00A25413" w:rsidRPr="00C3432C" w:rsidRDefault="00A25413" w:rsidP="00010DA6">
            <w:pPr>
              <w:pStyle w:val="TableText0"/>
              <w:widowControl w:val="0"/>
            </w:pPr>
            <w:r w:rsidRPr="00C3432C">
              <w:t>Intervention</w:t>
            </w:r>
          </w:p>
        </w:tc>
        <w:tc>
          <w:tcPr>
            <w:tcW w:w="7320" w:type="dxa"/>
            <w:shd w:val="clear" w:color="auto" w:fill="auto"/>
          </w:tcPr>
          <w:p w:rsidR="00A25413" w:rsidRPr="00C3432C" w:rsidRDefault="00A25413" w:rsidP="00010DA6">
            <w:pPr>
              <w:pStyle w:val="TableText0"/>
              <w:widowControl w:val="0"/>
            </w:pPr>
            <w:r w:rsidRPr="00C3432C">
              <w:t>Vimpat</w:t>
            </w:r>
            <w:r w:rsidR="00477FDB" w:rsidRPr="00477FDB">
              <w:rPr>
                <w:vertAlign w:val="superscript"/>
              </w:rPr>
              <w:t>®</w:t>
            </w:r>
            <w:r w:rsidRPr="00C3432C">
              <w:t xml:space="preserve"> (</w:t>
            </w:r>
            <w:r w:rsidR="00477FDB">
              <w:t>l</w:t>
            </w:r>
            <w:r w:rsidRPr="00C3432C">
              <w:t xml:space="preserve">acosamide) tablets and oral solution; starting dose 100 mg/day (adults and adolescents weighing ≥50 kg) or 2 mg/kg/day (children aged ≥ 4 years) titrated to a maximum recommended dose of up to 400 mg/day (adults and adolescents weighing ≥50 kg), 12 mg/kg/day (children &lt;30 kg) or 8 mg/kg/day </w:t>
            </w:r>
            <w:r w:rsidR="0055297C" w:rsidRPr="00C3432C">
              <w:t>(</w:t>
            </w:r>
            <w:r w:rsidRPr="00C3432C">
              <w:t>children 30-50 kg</w:t>
            </w:r>
            <w:r w:rsidR="0055297C" w:rsidRPr="00C3432C">
              <w:t>)</w:t>
            </w:r>
            <w:r w:rsidRPr="00C3432C">
              <w:t>.</w:t>
            </w:r>
          </w:p>
        </w:tc>
      </w:tr>
      <w:tr w:rsidR="00A25413" w:rsidRPr="00C3432C" w:rsidTr="00010DA6">
        <w:tc>
          <w:tcPr>
            <w:tcW w:w="1701" w:type="dxa"/>
            <w:shd w:val="clear" w:color="auto" w:fill="auto"/>
          </w:tcPr>
          <w:p w:rsidR="00A25413" w:rsidRPr="00C3432C" w:rsidRDefault="00A25413" w:rsidP="00010DA6">
            <w:pPr>
              <w:pStyle w:val="TableText0"/>
              <w:widowControl w:val="0"/>
            </w:pPr>
            <w:r w:rsidRPr="00C3432C">
              <w:t>Comparator</w:t>
            </w:r>
          </w:p>
        </w:tc>
        <w:tc>
          <w:tcPr>
            <w:tcW w:w="7320" w:type="dxa"/>
            <w:shd w:val="clear" w:color="auto" w:fill="auto"/>
          </w:tcPr>
          <w:p w:rsidR="00A25413" w:rsidRPr="00C3432C" w:rsidRDefault="00A25413" w:rsidP="00010DA6">
            <w:pPr>
              <w:pStyle w:val="TableText0"/>
              <w:widowControl w:val="0"/>
            </w:pPr>
            <w:r w:rsidRPr="00C3432C">
              <w:t>Fycompa</w:t>
            </w:r>
            <w:r w:rsidR="00477FDB" w:rsidRPr="0005704B">
              <w:rPr>
                <w:vertAlign w:val="superscript"/>
              </w:rPr>
              <w:t>®</w:t>
            </w:r>
            <w:r w:rsidRPr="00C3432C">
              <w:t xml:space="preserve"> (</w:t>
            </w:r>
            <w:r w:rsidR="00477FDB">
              <w:t>p</w:t>
            </w:r>
            <w:r w:rsidRPr="00C3432C">
              <w:t>erampanel); starting dose 2mg/day titrated to a maintenance dose of up to 8 mg/day in adults and children aged ≥ 12 years</w:t>
            </w:r>
          </w:p>
        </w:tc>
      </w:tr>
      <w:tr w:rsidR="00A25413" w:rsidRPr="00C3432C" w:rsidTr="00010DA6">
        <w:tc>
          <w:tcPr>
            <w:tcW w:w="1701" w:type="dxa"/>
            <w:shd w:val="clear" w:color="auto" w:fill="auto"/>
          </w:tcPr>
          <w:p w:rsidR="00A25413" w:rsidRPr="00C3432C" w:rsidRDefault="00A25413" w:rsidP="00010DA6">
            <w:pPr>
              <w:pStyle w:val="TableText0"/>
              <w:widowControl w:val="0"/>
            </w:pPr>
            <w:r w:rsidRPr="00C3432C">
              <w:t>Outcomes</w:t>
            </w:r>
          </w:p>
        </w:tc>
        <w:tc>
          <w:tcPr>
            <w:tcW w:w="7320" w:type="dxa"/>
            <w:shd w:val="clear" w:color="auto" w:fill="auto"/>
          </w:tcPr>
          <w:p w:rsidR="00A25413" w:rsidRPr="00C3432C" w:rsidRDefault="00A25413" w:rsidP="00010DA6">
            <w:pPr>
              <w:pStyle w:val="TableText0"/>
              <w:widowControl w:val="0"/>
            </w:pPr>
            <w:r w:rsidRPr="00C3432C">
              <w:t>Key outcomes are:</w:t>
            </w:r>
          </w:p>
          <w:p w:rsidR="00A25413" w:rsidRPr="00C3432C" w:rsidRDefault="00A25413" w:rsidP="00010DA6">
            <w:pPr>
              <w:pStyle w:val="TableText0"/>
              <w:widowControl w:val="0"/>
              <w:numPr>
                <w:ilvl w:val="0"/>
                <w:numId w:val="15"/>
              </w:numPr>
            </w:pPr>
            <w:r w:rsidRPr="00C3432C">
              <w:t xml:space="preserve">50% responder rate: percentage of subjects experiencing a 50% or greater reduction in </w:t>
            </w:r>
            <w:r w:rsidR="00C03925" w:rsidRPr="00C3432C">
              <w:t>PGTCS</w:t>
            </w:r>
            <w:r w:rsidRPr="00C3432C">
              <w:t xml:space="preserve"> frequency relative to baseline.</w:t>
            </w:r>
          </w:p>
          <w:p w:rsidR="00A25413" w:rsidRPr="00C3432C" w:rsidRDefault="00A25413" w:rsidP="00010DA6">
            <w:pPr>
              <w:pStyle w:val="TableText0"/>
              <w:widowControl w:val="0"/>
              <w:numPr>
                <w:ilvl w:val="0"/>
                <w:numId w:val="15"/>
              </w:numPr>
            </w:pPr>
            <w:r w:rsidRPr="00C3432C">
              <w:t xml:space="preserve">Percentage change in seizure frequency: median % change from baseline in </w:t>
            </w:r>
            <w:r w:rsidR="003E0F5F" w:rsidRPr="00C3432C">
              <w:t>PGTCS</w:t>
            </w:r>
            <w:r w:rsidRPr="00C3432C">
              <w:t xml:space="preserve"> frequency per 28 days during treatment.</w:t>
            </w:r>
          </w:p>
          <w:p w:rsidR="00A25413" w:rsidRPr="00C3432C" w:rsidRDefault="00A25413" w:rsidP="00010DA6">
            <w:pPr>
              <w:pStyle w:val="TableText0"/>
              <w:widowControl w:val="0"/>
              <w:numPr>
                <w:ilvl w:val="0"/>
                <w:numId w:val="15"/>
              </w:numPr>
            </w:pPr>
            <w:r w:rsidRPr="00C3432C">
              <w:t>Any treatment emergent adverse event (TEAE).</w:t>
            </w:r>
          </w:p>
          <w:p w:rsidR="00A25413" w:rsidRPr="00C3432C" w:rsidRDefault="00A25413" w:rsidP="00010DA6">
            <w:pPr>
              <w:pStyle w:val="TableText0"/>
              <w:widowControl w:val="0"/>
              <w:numPr>
                <w:ilvl w:val="0"/>
                <w:numId w:val="15"/>
              </w:numPr>
            </w:pPr>
            <w:r w:rsidRPr="00C3432C">
              <w:t>Discontinuation due to a TEAE.</w:t>
            </w:r>
          </w:p>
          <w:p w:rsidR="00A25413" w:rsidRPr="00C3432C" w:rsidRDefault="00A25413" w:rsidP="00010DA6">
            <w:pPr>
              <w:pStyle w:val="TableText0"/>
              <w:widowControl w:val="0"/>
              <w:numPr>
                <w:ilvl w:val="0"/>
                <w:numId w:val="15"/>
              </w:numPr>
            </w:pPr>
            <w:r w:rsidRPr="00C3432C">
              <w:t>Discontinuation due to a psychiatric TEAE.</w:t>
            </w:r>
          </w:p>
        </w:tc>
      </w:tr>
      <w:tr w:rsidR="00A25413" w:rsidRPr="00C3432C" w:rsidTr="00010DA6">
        <w:tc>
          <w:tcPr>
            <w:tcW w:w="1701" w:type="dxa"/>
            <w:shd w:val="clear" w:color="auto" w:fill="auto"/>
          </w:tcPr>
          <w:p w:rsidR="00A25413" w:rsidRPr="00C3432C" w:rsidRDefault="00A25413" w:rsidP="00010DA6">
            <w:pPr>
              <w:pStyle w:val="TableText0"/>
              <w:widowControl w:val="0"/>
            </w:pPr>
            <w:r w:rsidRPr="00C3432C">
              <w:t>Clinical claim</w:t>
            </w:r>
          </w:p>
        </w:tc>
        <w:tc>
          <w:tcPr>
            <w:tcW w:w="7320" w:type="dxa"/>
            <w:shd w:val="clear" w:color="auto" w:fill="auto"/>
          </w:tcPr>
          <w:p w:rsidR="00A25413" w:rsidRPr="00C3432C" w:rsidRDefault="00A25413" w:rsidP="00010DA6">
            <w:pPr>
              <w:pStyle w:val="TableText0"/>
              <w:widowControl w:val="0"/>
            </w:pPr>
            <w:r w:rsidRPr="00C3432C">
              <w:t>In adults and children with IGE with PGTCS, lacosamide is non-inferior in terms of effectiveness and safety, compared to perampanel</w:t>
            </w:r>
          </w:p>
        </w:tc>
      </w:tr>
    </w:tbl>
    <w:p w:rsidR="00A25413" w:rsidRPr="00C3432C" w:rsidRDefault="00A25413" w:rsidP="00A25413">
      <w:pPr>
        <w:pStyle w:val="TableFigureFooter"/>
        <w:rPr>
          <w:sz w:val="20"/>
        </w:rPr>
      </w:pPr>
      <w:r w:rsidRPr="00C3432C">
        <w:t>Source: Table 1.1, p13 of the submission.</w:t>
      </w:r>
    </w:p>
    <w:p w:rsidR="00A25413" w:rsidRPr="00C3432C" w:rsidRDefault="00A25413" w:rsidP="00A25413">
      <w:pPr>
        <w:pStyle w:val="2-SectionHeading"/>
        <w:numPr>
          <w:ilvl w:val="0"/>
          <w:numId w:val="1"/>
        </w:numPr>
      </w:pPr>
      <w:bookmarkStart w:id="2" w:name="_Toc62042734"/>
      <w:r w:rsidRPr="00C3432C">
        <w:t>Background</w:t>
      </w:r>
      <w:bookmarkEnd w:id="2"/>
    </w:p>
    <w:p w:rsidR="00A25413" w:rsidRPr="00C3432C" w:rsidRDefault="00A25413" w:rsidP="00A25413">
      <w:pPr>
        <w:pStyle w:val="4-SubsectionHeading"/>
      </w:pPr>
      <w:bookmarkStart w:id="3" w:name="_Toc22897638"/>
      <w:bookmarkStart w:id="4" w:name="_Toc62042735"/>
      <w:r w:rsidRPr="00C3432C">
        <w:t>Registration status</w:t>
      </w:r>
      <w:bookmarkEnd w:id="3"/>
      <w:bookmarkEnd w:id="4"/>
    </w:p>
    <w:p w:rsidR="008F7785" w:rsidRPr="00AE753D" w:rsidRDefault="00022436" w:rsidP="008F7785">
      <w:pPr>
        <w:pStyle w:val="3-BodyText"/>
      </w:pPr>
      <w:r w:rsidRPr="00E63DF4">
        <w:t xml:space="preserve">The submission was lodged under the TGA/PBAC Parallel Process. </w:t>
      </w:r>
      <w:r w:rsidR="008E266D">
        <w:t>The Delegate recommended approval of the proposed indication, considering that</w:t>
      </w:r>
      <w:r w:rsidR="008F7785">
        <w:t xml:space="preserve"> sufficient data and justification </w:t>
      </w:r>
      <w:r w:rsidR="00760F39">
        <w:t>were</w:t>
      </w:r>
      <w:r w:rsidR="008F7785">
        <w:t xml:space="preserve"> provided to support the registration of lacosamide</w:t>
      </w:r>
      <w:r w:rsidR="008E266D">
        <w:t>.</w:t>
      </w:r>
      <w:r w:rsidR="008F7785">
        <w:t xml:space="preserve"> A</w:t>
      </w:r>
      <w:r w:rsidR="00472CC5">
        <w:t>pproval</w:t>
      </w:r>
      <w:r w:rsidR="008F7785">
        <w:t xml:space="preserve"> for registration</w:t>
      </w:r>
      <w:r w:rsidR="00472CC5">
        <w:t xml:space="preserve"> was granted</w:t>
      </w:r>
      <w:r w:rsidR="008F7785" w:rsidRPr="00C3432C">
        <w:t xml:space="preserve"> on 1</w:t>
      </w:r>
      <w:r w:rsidR="00472CC5">
        <w:t>2</w:t>
      </w:r>
      <w:r w:rsidR="008F7785" w:rsidRPr="00C3432C">
        <w:t xml:space="preserve"> March 2021.</w:t>
      </w:r>
      <w:r w:rsidR="008E266D">
        <w:t xml:space="preserve"> </w:t>
      </w:r>
      <w:r w:rsidR="00A25413" w:rsidRPr="00AE753D">
        <w:t xml:space="preserve">The TGA indication, with the addition for the treatment of </w:t>
      </w:r>
      <w:r w:rsidR="003E0F5F" w:rsidRPr="00AE753D">
        <w:t>PGTCS</w:t>
      </w:r>
      <w:r w:rsidR="001924F1" w:rsidRPr="00AE753D">
        <w:t xml:space="preserve"> </w:t>
      </w:r>
      <w:r w:rsidR="00A25413" w:rsidRPr="00AE753D">
        <w:t>in patients with</w:t>
      </w:r>
      <w:r w:rsidR="001B549B" w:rsidRPr="00AE753D">
        <w:t xml:space="preserve"> IGE</w:t>
      </w:r>
      <w:r w:rsidR="00A25413" w:rsidRPr="00AE753D">
        <w:t xml:space="preserve"> (bolded) is provided below.</w:t>
      </w:r>
    </w:p>
    <w:p w:rsidR="00A25413" w:rsidRPr="00AE753D" w:rsidRDefault="00A25413" w:rsidP="00812E7B">
      <w:pPr>
        <w:pStyle w:val="3-BodyText"/>
        <w:numPr>
          <w:ilvl w:val="0"/>
          <w:numId w:val="0"/>
        </w:numPr>
        <w:ind w:left="720"/>
      </w:pPr>
      <w:r w:rsidRPr="00AE753D">
        <w:lastRenderedPageBreak/>
        <w:t>Vimpat (</w:t>
      </w:r>
      <w:r w:rsidR="00477FDB" w:rsidRPr="00AE753D">
        <w:t>l</w:t>
      </w:r>
      <w:r w:rsidRPr="00AE753D">
        <w:t>acosamide) tablets and oral solution are indicated as:</w:t>
      </w:r>
    </w:p>
    <w:p w:rsidR="00A25413" w:rsidRPr="00AE753D" w:rsidRDefault="00A25413" w:rsidP="00010DA6">
      <w:pPr>
        <w:pStyle w:val="3-BodyText"/>
        <w:numPr>
          <w:ilvl w:val="0"/>
          <w:numId w:val="16"/>
        </w:numPr>
        <w:ind w:left="1077" w:hanging="357"/>
      </w:pPr>
      <w:r w:rsidRPr="00AE753D">
        <w:t>monotherapy in the treatment of partial-onset seizures with or without secondary generalisation in patients with epilepsy aged 16 years and older.</w:t>
      </w:r>
    </w:p>
    <w:p w:rsidR="00A25413" w:rsidRPr="00AE753D" w:rsidRDefault="00A25413" w:rsidP="00010DA6">
      <w:pPr>
        <w:pStyle w:val="3-BodyText"/>
        <w:numPr>
          <w:ilvl w:val="0"/>
          <w:numId w:val="16"/>
        </w:numPr>
        <w:ind w:left="1077" w:hanging="357"/>
      </w:pPr>
      <w:r w:rsidRPr="00AE753D">
        <w:t>add-on therapy in the treatment of partial-onset seizures with or without secondary generalisation in patients with epilepsy aged 4 years and older.</w:t>
      </w:r>
    </w:p>
    <w:p w:rsidR="00A25413" w:rsidRPr="00AE753D" w:rsidRDefault="00A25413" w:rsidP="00010DA6">
      <w:pPr>
        <w:pStyle w:val="3-BodyText"/>
        <w:numPr>
          <w:ilvl w:val="0"/>
          <w:numId w:val="16"/>
        </w:numPr>
        <w:ind w:left="1077" w:hanging="357"/>
        <w:rPr>
          <w:b/>
        </w:rPr>
      </w:pPr>
      <w:r w:rsidRPr="00AE753D">
        <w:rPr>
          <w:b/>
        </w:rPr>
        <w:t xml:space="preserve">add-on therapy in the treatment of primary generalised tonic-clonic seizures in patients with idiopathic generalised epilepsy aged 4 years and older. </w:t>
      </w:r>
    </w:p>
    <w:p w:rsidR="00A25413" w:rsidRPr="00C3432C" w:rsidRDefault="00A25413" w:rsidP="00CF5E55">
      <w:pPr>
        <w:pStyle w:val="2-SectionHeading"/>
        <w:keepLines/>
        <w:numPr>
          <w:ilvl w:val="0"/>
          <w:numId w:val="1"/>
        </w:numPr>
      </w:pPr>
      <w:bookmarkStart w:id="5" w:name="_Toc62042736"/>
      <w:r w:rsidRPr="00C3432C">
        <w:t>Requested listing</w:t>
      </w:r>
      <w:bookmarkEnd w:id="5"/>
    </w:p>
    <w:p w:rsidR="005558DB" w:rsidRPr="005558DB" w:rsidRDefault="005558DB" w:rsidP="00E262EC">
      <w:pPr>
        <w:pStyle w:val="3-BodyText"/>
      </w:pPr>
      <w:r w:rsidRPr="00CF5E55">
        <w:t xml:space="preserve">The requested listing for </w:t>
      </w:r>
      <w:r w:rsidRPr="00472CC5">
        <w:t xml:space="preserve">lacosamide is provided below. </w:t>
      </w:r>
      <w:r w:rsidRPr="005558DB">
        <w:t>Suggested additions are in italics and deletions are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38"/>
        <w:gridCol w:w="1405"/>
        <w:gridCol w:w="1405"/>
        <w:gridCol w:w="1122"/>
        <w:gridCol w:w="839"/>
        <w:gridCol w:w="1208"/>
      </w:tblGrid>
      <w:tr w:rsidR="005558DB" w:rsidRPr="005558DB" w:rsidTr="00A219EC">
        <w:trPr>
          <w:cantSplit/>
          <w:trHeight w:val="471"/>
        </w:trPr>
        <w:tc>
          <w:tcPr>
            <w:tcW w:w="1685" w:type="pct"/>
          </w:tcPr>
          <w:p w:rsidR="005558DB" w:rsidRPr="005558DB" w:rsidRDefault="005558DB" w:rsidP="00A24E32">
            <w:pPr>
              <w:keepNext/>
              <w:ind w:left="-57"/>
              <w:rPr>
                <w:rFonts w:ascii="Arial Narrow" w:hAnsi="Arial Narrow"/>
                <w:b/>
                <w:sz w:val="18"/>
                <w:szCs w:val="18"/>
              </w:rPr>
            </w:pPr>
            <w:r w:rsidRPr="005558DB">
              <w:rPr>
                <w:rFonts w:ascii="Arial Narrow" w:hAnsi="Arial Narrow"/>
                <w:b/>
                <w:sz w:val="18"/>
                <w:szCs w:val="18"/>
              </w:rPr>
              <w:t>MEDICINAL PRODCUT,</w:t>
            </w:r>
          </w:p>
          <w:p w:rsidR="005558DB" w:rsidRPr="005558DB" w:rsidRDefault="005558DB" w:rsidP="00A24E32">
            <w:pPr>
              <w:keepNext/>
              <w:ind w:left="-57"/>
              <w:rPr>
                <w:rFonts w:ascii="Arial Narrow" w:hAnsi="Arial Narrow"/>
                <w:b/>
                <w:sz w:val="18"/>
                <w:szCs w:val="18"/>
              </w:rPr>
            </w:pPr>
            <w:r w:rsidRPr="005558DB">
              <w:rPr>
                <w:rFonts w:ascii="Arial Narrow" w:hAnsi="Arial Narrow"/>
                <w:b/>
                <w:sz w:val="18"/>
                <w:szCs w:val="18"/>
              </w:rPr>
              <w:t>medicinal product pack</w:t>
            </w:r>
          </w:p>
        </w:tc>
        <w:tc>
          <w:tcPr>
            <w:tcW w:w="779" w:type="pct"/>
          </w:tcPr>
          <w:p w:rsidR="005558DB" w:rsidRPr="005558DB" w:rsidRDefault="005558DB" w:rsidP="00A24E32">
            <w:pPr>
              <w:keepNext/>
              <w:ind w:left="-108"/>
              <w:jc w:val="center"/>
              <w:rPr>
                <w:rFonts w:ascii="Arial Narrow" w:hAnsi="Arial Narrow"/>
                <w:b/>
                <w:sz w:val="18"/>
                <w:szCs w:val="18"/>
              </w:rPr>
            </w:pPr>
            <w:r w:rsidRPr="005558DB">
              <w:rPr>
                <w:rFonts w:ascii="Arial Narrow" w:hAnsi="Arial Narrow"/>
                <w:b/>
                <w:sz w:val="18"/>
                <w:szCs w:val="18"/>
              </w:rPr>
              <w:t>PBS item code</w:t>
            </w:r>
          </w:p>
        </w:tc>
        <w:tc>
          <w:tcPr>
            <w:tcW w:w="779" w:type="pct"/>
          </w:tcPr>
          <w:p w:rsidR="005558DB" w:rsidRPr="005558DB" w:rsidRDefault="005558DB" w:rsidP="00A24E32">
            <w:pPr>
              <w:keepNext/>
              <w:ind w:left="-108"/>
              <w:jc w:val="center"/>
              <w:rPr>
                <w:rFonts w:ascii="Arial Narrow" w:hAnsi="Arial Narrow"/>
                <w:b/>
                <w:sz w:val="18"/>
                <w:szCs w:val="18"/>
              </w:rPr>
            </w:pPr>
            <w:r w:rsidRPr="005558DB">
              <w:rPr>
                <w:rFonts w:ascii="Arial Narrow" w:hAnsi="Arial Narrow"/>
                <w:b/>
                <w:sz w:val="18"/>
                <w:szCs w:val="18"/>
              </w:rPr>
              <w:t>Max. qty packs</w:t>
            </w:r>
          </w:p>
        </w:tc>
        <w:tc>
          <w:tcPr>
            <w:tcW w:w="622" w:type="pct"/>
          </w:tcPr>
          <w:p w:rsidR="005558DB" w:rsidRPr="005558DB" w:rsidRDefault="005558DB" w:rsidP="00A24E32">
            <w:pPr>
              <w:keepNext/>
              <w:ind w:left="-108"/>
              <w:jc w:val="center"/>
              <w:rPr>
                <w:rFonts w:ascii="Arial Narrow" w:hAnsi="Arial Narrow"/>
                <w:b/>
                <w:sz w:val="18"/>
                <w:szCs w:val="18"/>
              </w:rPr>
            </w:pPr>
            <w:r w:rsidRPr="005558DB">
              <w:rPr>
                <w:rFonts w:ascii="Arial Narrow" w:hAnsi="Arial Narrow"/>
                <w:b/>
                <w:sz w:val="18"/>
                <w:szCs w:val="18"/>
              </w:rPr>
              <w:t>Max. qty units</w:t>
            </w:r>
          </w:p>
        </w:tc>
        <w:tc>
          <w:tcPr>
            <w:tcW w:w="465" w:type="pct"/>
          </w:tcPr>
          <w:p w:rsidR="005558DB" w:rsidRPr="005558DB" w:rsidRDefault="005558DB" w:rsidP="00A24E32">
            <w:pPr>
              <w:keepNext/>
              <w:ind w:left="-108"/>
              <w:jc w:val="center"/>
              <w:rPr>
                <w:rFonts w:ascii="Arial Narrow" w:hAnsi="Arial Narrow"/>
                <w:b/>
                <w:sz w:val="18"/>
                <w:szCs w:val="18"/>
              </w:rPr>
            </w:pPr>
            <w:r w:rsidRPr="005558DB">
              <w:rPr>
                <w:rFonts w:ascii="Arial Narrow" w:hAnsi="Arial Narrow"/>
                <w:b/>
                <w:sz w:val="18"/>
                <w:szCs w:val="18"/>
              </w:rPr>
              <w:t>№.of</w:t>
            </w:r>
          </w:p>
          <w:p w:rsidR="005558DB" w:rsidRPr="005558DB" w:rsidRDefault="005558DB" w:rsidP="00A24E32">
            <w:pPr>
              <w:keepNext/>
              <w:ind w:left="-108"/>
              <w:jc w:val="center"/>
              <w:rPr>
                <w:rFonts w:ascii="Arial Narrow" w:hAnsi="Arial Narrow"/>
                <w:b/>
                <w:sz w:val="18"/>
                <w:szCs w:val="18"/>
              </w:rPr>
            </w:pPr>
            <w:r w:rsidRPr="005558DB">
              <w:rPr>
                <w:rFonts w:ascii="Arial Narrow" w:hAnsi="Arial Narrow"/>
                <w:b/>
                <w:sz w:val="18"/>
                <w:szCs w:val="18"/>
              </w:rPr>
              <w:t>Rpts</w:t>
            </w:r>
          </w:p>
        </w:tc>
        <w:tc>
          <w:tcPr>
            <w:tcW w:w="670" w:type="pct"/>
          </w:tcPr>
          <w:p w:rsidR="005558DB" w:rsidRPr="005558DB" w:rsidRDefault="005558DB" w:rsidP="00A24E32">
            <w:pPr>
              <w:keepNext/>
              <w:rPr>
                <w:rFonts w:ascii="Arial Narrow" w:hAnsi="Arial Narrow"/>
                <w:b/>
                <w:sz w:val="18"/>
                <w:szCs w:val="18"/>
                <w:lang w:val="fr-FR"/>
              </w:rPr>
            </w:pPr>
            <w:r w:rsidRPr="005558DB">
              <w:rPr>
                <w:rFonts w:ascii="Arial Narrow" w:hAnsi="Arial Narrow"/>
                <w:b/>
                <w:sz w:val="18"/>
                <w:szCs w:val="18"/>
              </w:rPr>
              <w:t>Available brands</w:t>
            </w:r>
          </w:p>
        </w:tc>
      </w:tr>
      <w:tr w:rsidR="005558DB" w:rsidRPr="005558DB" w:rsidTr="00A219EC">
        <w:trPr>
          <w:cantSplit/>
          <w:trHeight w:val="224"/>
        </w:trPr>
        <w:tc>
          <w:tcPr>
            <w:tcW w:w="1685" w:type="pct"/>
          </w:tcPr>
          <w:p w:rsidR="005558DB" w:rsidRPr="005558DB" w:rsidRDefault="005558DB" w:rsidP="00A24E32">
            <w:pPr>
              <w:keepNext/>
              <w:ind w:left="-57"/>
              <w:jc w:val="left"/>
              <w:rPr>
                <w:rFonts w:ascii="Arial Narrow" w:hAnsi="Arial Narrow"/>
                <w:sz w:val="18"/>
                <w:szCs w:val="18"/>
              </w:rPr>
            </w:pPr>
            <w:r w:rsidRPr="005558DB">
              <w:rPr>
                <w:rFonts w:ascii="Arial Narrow" w:hAnsi="Arial Narrow"/>
                <w:sz w:val="18"/>
                <w:szCs w:val="18"/>
              </w:rPr>
              <w:t>LACOSAMIDE</w:t>
            </w:r>
          </w:p>
        </w:tc>
        <w:tc>
          <w:tcPr>
            <w:tcW w:w="779" w:type="pct"/>
          </w:tcPr>
          <w:p w:rsidR="005558DB" w:rsidRPr="005558DB" w:rsidRDefault="005558DB" w:rsidP="00A24E32">
            <w:pPr>
              <w:keepNext/>
              <w:ind w:left="-108"/>
              <w:jc w:val="center"/>
              <w:rPr>
                <w:rFonts w:ascii="Arial Narrow" w:hAnsi="Arial Narrow"/>
                <w:sz w:val="18"/>
                <w:szCs w:val="18"/>
              </w:rPr>
            </w:pPr>
          </w:p>
        </w:tc>
        <w:tc>
          <w:tcPr>
            <w:tcW w:w="779" w:type="pct"/>
          </w:tcPr>
          <w:p w:rsidR="005558DB" w:rsidRPr="005558DB" w:rsidRDefault="005558DB" w:rsidP="00A24E32">
            <w:pPr>
              <w:keepNext/>
              <w:jc w:val="center"/>
              <w:rPr>
                <w:rFonts w:ascii="Arial Narrow" w:hAnsi="Arial Narrow"/>
                <w:sz w:val="18"/>
                <w:szCs w:val="18"/>
              </w:rPr>
            </w:pPr>
          </w:p>
        </w:tc>
        <w:tc>
          <w:tcPr>
            <w:tcW w:w="622" w:type="pct"/>
          </w:tcPr>
          <w:p w:rsidR="005558DB" w:rsidRPr="005558DB" w:rsidRDefault="005558DB" w:rsidP="00A24E32">
            <w:pPr>
              <w:keepNext/>
              <w:ind w:left="-108"/>
              <w:jc w:val="center"/>
              <w:rPr>
                <w:rFonts w:ascii="Arial Narrow" w:hAnsi="Arial Narrow"/>
                <w:sz w:val="18"/>
                <w:szCs w:val="18"/>
              </w:rPr>
            </w:pPr>
          </w:p>
        </w:tc>
        <w:tc>
          <w:tcPr>
            <w:tcW w:w="465" w:type="pct"/>
          </w:tcPr>
          <w:p w:rsidR="005558DB" w:rsidRPr="005558DB" w:rsidRDefault="005558DB" w:rsidP="00A24E32">
            <w:pPr>
              <w:keepNext/>
              <w:rPr>
                <w:rFonts w:ascii="Arial Narrow" w:hAnsi="Arial Narrow"/>
                <w:sz w:val="18"/>
                <w:szCs w:val="18"/>
              </w:rPr>
            </w:pPr>
          </w:p>
        </w:tc>
        <w:tc>
          <w:tcPr>
            <w:tcW w:w="670" w:type="pct"/>
          </w:tcPr>
          <w:p w:rsidR="005558DB" w:rsidRPr="005558DB" w:rsidRDefault="005558DB" w:rsidP="00A24E32">
            <w:pPr>
              <w:keepNext/>
              <w:rPr>
                <w:rFonts w:ascii="Arial Narrow" w:hAnsi="Arial Narrow"/>
                <w:sz w:val="18"/>
                <w:szCs w:val="18"/>
              </w:rPr>
            </w:pPr>
          </w:p>
        </w:tc>
      </w:tr>
      <w:tr w:rsidR="005558DB" w:rsidRPr="005558DB" w:rsidTr="00A219EC">
        <w:trPr>
          <w:cantSplit/>
          <w:trHeight w:val="243"/>
        </w:trPr>
        <w:tc>
          <w:tcPr>
            <w:tcW w:w="1685" w:type="pct"/>
          </w:tcPr>
          <w:p w:rsidR="005558DB" w:rsidRPr="00A270A1" w:rsidRDefault="005558DB" w:rsidP="00A24E32">
            <w:pPr>
              <w:keepNext/>
              <w:ind w:left="-57"/>
              <w:rPr>
                <w:rFonts w:ascii="Arial Narrow" w:hAnsi="Arial Narrow"/>
                <w:sz w:val="18"/>
                <w:szCs w:val="18"/>
              </w:rPr>
            </w:pPr>
            <w:r w:rsidRPr="00A270A1">
              <w:rPr>
                <w:rFonts w:ascii="Arial Narrow" w:hAnsi="Arial Narrow"/>
                <w:sz w:val="18"/>
                <w:szCs w:val="18"/>
              </w:rPr>
              <w:t>lacosamide 50 mg tablet, 14</w:t>
            </w:r>
          </w:p>
        </w:tc>
        <w:tc>
          <w:tcPr>
            <w:tcW w:w="779" w:type="pct"/>
          </w:tcPr>
          <w:p w:rsidR="005558DB" w:rsidRPr="00A270A1" w:rsidRDefault="005558DB" w:rsidP="00A24E32">
            <w:pPr>
              <w:keepNext/>
              <w:ind w:left="-108"/>
              <w:jc w:val="center"/>
              <w:rPr>
                <w:rFonts w:ascii="Arial Narrow" w:hAnsi="Arial Narrow"/>
                <w:sz w:val="18"/>
                <w:szCs w:val="18"/>
              </w:rPr>
            </w:pPr>
            <w:r w:rsidRPr="00A270A1">
              <w:rPr>
                <w:rFonts w:ascii="Arial Narrow" w:hAnsi="Arial Narrow"/>
                <w:sz w:val="18"/>
                <w:szCs w:val="18"/>
              </w:rPr>
              <w:t>9333F</w:t>
            </w:r>
          </w:p>
        </w:tc>
        <w:tc>
          <w:tcPr>
            <w:tcW w:w="779" w:type="pct"/>
          </w:tcPr>
          <w:p w:rsidR="005558DB" w:rsidRPr="00A270A1" w:rsidRDefault="005558DB" w:rsidP="00A24E32">
            <w:pPr>
              <w:keepNext/>
              <w:jc w:val="center"/>
              <w:rPr>
                <w:rFonts w:ascii="Arial Narrow" w:hAnsi="Arial Narrow"/>
                <w:sz w:val="18"/>
                <w:szCs w:val="18"/>
              </w:rPr>
            </w:pPr>
            <w:r w:rsidRPr="00A270A1">
              <w:rPr>
                <w:rFonts w:ascii="Arial Narrow" w:hAnsi="Arial Narrow"/>
                <w:sz w:val="18"/>
                <w:szCs w:val="18"/>
              </w:rPr>
              <w:t>1</w:t>
            </w:r>
          </w:p>
        </w:tc>
        <w:tc>
          <w:tcPr>
            <w:tcW w:w="622" w:type="pct"/>
          </w:tcPr>
          <w:p w:rsidR="005558DB" w:rsidRPr="00A270A1" w:rsidRDefault="005558DB" w:rsidP="00A24E32">
            <w:pPr>
              <w:keepNext/>
              <w:ind w:left="-108"/>
              <w:jc w:val="center"/>
              <w:rPr>
                <w:rFonts w:ascii="Arial Narrow" w:hAnsi="Arial Narrow"/>
                <w:sz w:val="18"/>
                <w:szCs w:val="18"/>
              </w:rPr>
            </w:pPr>
            <w:r w:rsidRPr="00A270A1">
              <w:rPr>
                <w:rFonts w:ascii="Arial Narrow" w:hAnsi="Arial Narrow"/>
                <w:sz w:val="18"/>
                <w:szCs w:val="18"/>
              </w:rPr>
              <w:t>14</w:t>
            </w:r>
          </w:p>
        </w:tc>
        <w:tc>
          <w:tcPr>
            <w:tcW w:w="465" w:type="pct"/>
          </w:tcPr>
          <w:p w:rsidR="005558DB" w:rsidRPr="00A270A1" w:rsidRDefault="005558DB" w:rsidP="00A24E32">
            <w:pPr>
              <w:keepNext/>
              <w:ind w:left="-108"/>
              <w:jc w:val="center"/>
              <w:rPr>
                <w:rFonts w:ascii="Arial Narrow" w:hAnsi="Arial Narrow"/>
                <w:sz w:val="18"/>
                <w:szCs w:val="18"/>
              </w:rPr>
            </w:pPr>
            <w:r w:rsidRPr="00A270A1">
              <w:rPr>
                <w:rFonts w:ascii="Arial Narrow" w:hAnsi="Arial Narrow"/>
                <w:sz w:val="18"/>
                <w:szCs w:val="18"/>
              </w:rPr>
              <w:t>1</w:t>
            </w:r>
          </w:p>
        </w:tc>
        <w:tc>
          <w:tcPr>
            <w:tcW w:w="670" w:type="pct"/>
          </w:tcPr>
          <w:p w:rsidR="005558DB" w:rsidRPr="00A270A1" w:rsidRDefault="005558DB" w:rsidP="00A24E32">
            <w:pPr>
              <w:keepNext/>
              <w:rPr>
                <w:rFonts w:ascii="Arial Narrow" w:hAnsi="Arial Narrow"/>
                <w:sz w:val="18"/>
                <w:szCs w:val="18"/>
              </w:rPr>
            </w:pPr>
            <w:r w:rsidRPr="00A270A1">
              <w:rPr>
                <w:rFonts w:ascii="Arial Narrow" w:hAnsi="Arial Narrow"/>
                <w:sz w:val="18"/>
                <w:szCs w:val="18"/>
              </w:rPr>
              <w:t>Vimpat</w:t>
            </w:r>
          </w:p>
        </w:tc>
      </w:tr>
      <w:tr w:rsidR="005558DB" w:rsidRPr="005558DB" w:rsidTr="00A219EC">
        <w:trPr>
          <w:cantSplit/>
          <w:trHeight w:val="243"/>
        </w:trPr>
        <w:tc>
          <w:tcPr>
            <w:tcW w:w="1685" w:type="pct"/>
          </w:tcPr>
          <w:p w:rsidR="005558DB" w:rsidRPr="005558DB" w:rsidRDefault="005558DB" w:rsidP="00A24E32">
            <w:pPr>
              <w:keepNext/>
              <w:ind w:left="-57"/>
              <w:rPr>
                <w:rFonts w:ascii="Arial Narrow" w:hAnsi="Arial Narrow"/>
                <w:sz w:val="18"/>
                <w:szCs w:val="18"/>
              </w:rPr>
            </w:pPr>
            <w:r w:rsidRPr="005558DB">
              <w:rPr>
                <w:rFonts w:ascii="Arial Narrow" w:hAnsi="Arial Narrow"/>
                <w:sz w:val="18"/>
                <w:szCs w:val="18"/>
              </w:rPr>
              <w:t>lacosamide 100 mg tablet, 14</w:t>
            </w:r>
          </w:p>
        </w:tc>
        <w:tc>
          <w:tcPr>
            <w:tcW w:w="779"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9334G</w:t>
            </w:r>
          </w:p>
        </w:tc>
        <w:tc>
          <w:tcPr>
            <w:tcW w:w="779" w:type="pct"/>
          </w:tcPr>
          <w:p w:rsidR="005558DB" w:rsidRPr="005558DB" w:rsidRDefault="005558DB" w:rsidP="00A24E32">
            <w:pPr>
              <w:keepNext/>
              <w:jc w:val="center"/>
              <w:rPr>
                <w:rFonts w:ascii="Arial Narrow" w:hAnsi="Arial Narrow"/>
                <w:sz w:val="18"/>
                <w:szCs w:val="18"/>
              </w:rPr>
            </w:pPr>
            <w:r w:rsidRPr="005558DB">
              <w:rPr>
                <w:rFonts w:ascii="Arial Narrow" w:hAnsi="Arial Narrow"/>
                <w:sz w:val="18"/>
                <w:szCs w:val="18"/>
              </w:rPr>
              <w:t>1</w:t>
            </w:r>
          </w:p>
        </w:tc>
        <w:tc>
          <w:tcPr>
            <w:tcW w:w="622"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14</w:t>
            </w:r>
          </w:p>
        </w:tc>
        <w:tc>
          <w:tcPr>
            <w:tcW w:w="465"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1</w:t>
            </w:r>
          </w:p>
        </w:tc>
        <w:tc>
          <w:tcPr>
            <w:tcW w:w="670" w:type="pct"/>
          </w:tcPr>
          <w:p w:rsidR="005558DB" w:rsidRPr="005558DB" w:rsidRDefault="005558DB" w:rsidP="00A24E32">
            <w:pPr>
              <w:keepNext/>
              <w:rPr>
                <w:rFonts w:ascii="Arial Narrow" w:hAnsi="Arial Narrow"/>
                <w:sz w:val="18"/>
                <w:szCs w:val="18"/>
              </w:rPr>
            </w:pPr>
            <w:r w:rsidRPr="005558DB">
              <w:rPr>
                <w:rFonts w:ascii="Arial Narrow" w:hAnsi="Arial Narrow"/>
                <w:sz w:val="18"/>
                <w:szCs w:val="18"/>
              </w:rPr>
              <w:t>Vimpat</w:t>
            </w:r>
          </w:p>
        </w:tc>
      </w:tr>
      <w:tr w:rsidR="005558DB" w:rsidRPr="005558DB" w:rsidTr="00A219EC">
        <w:trPr>
          <w:cantSplit/>
          <w:trHeight w:val="243"/>
        </w:trPr>
        <w:tc>
          <w:tcPr>
            <w:tcW w:w="1685" w:type="pct"/>
          </w:tcPr>
          <w:p w:rsidR="005558DB" w:rsidRPr="005558DB" w:rsidRDefault="005558DB" w:rsidP="00A24E32">
            <w:pPr>
              <w:keepNext/>
              <w:ind w:left="-57"/>
              <w:rPr>
                <w:rFonts w:ascii="Arial Narrow" w:hAnsi="Arial Narrow"/>
                <w:sz w:val="18"/>
                <w:szCs w:val="18"/>
              </w:rPr>
            </w:pPr>
            <w:r w:rsidRPr="005558DB">
              <w:rPr>
                <w:rFonts w:ascii="Arial Narrow" w:hAnsi="Arial Narrow"/>
                <w:sz w:val="18"/>
                <w:szCs w:val="18"/>
              </w:rPr>
              <w:t>lacosamide 150 mg tablet, 14</w:t>
            </w:r>
          </w:p>
        </w:tc>
        <w:tc>
          <w:tcPr>
            <w:tcW w:w="779"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9336J</w:t>
            </w:r>
          </w:p>
        </w:tc>
        <w:tc>
          <w:tcPr>
            <w:tcW w:w="779" w:type="pct"/>
          </w:tcPr>
          <w:p w:rsidR="005558DB" w:rsidRPr="005558DB" w:rsidRDefault="005558DB" w:rsidP="00A24E32">
            <w:pPr>
              <w:keepNext/>
              <w:jc w:val="center"/>
              <w:rPr>
                <w:rFonts w:ascii="Arial Narrow" w:hAnsi="Arial Narrow"/>
                <w:sz w:val="18"/>
                <w:szCs w:val="18"/>
              </w:rPr>
            </w:pPr>
            <w:r w:rsidRPr="005558DB">
              <w:rPr>
                <w:rFonts w:ascii="Arial Narrow" w:hAnsi="Arial Narrow"/>
                <w:sz w:val="18"/>
                <w:szCs w:val="18"/>
              </w:rPr>
              <w:t>1</w:t>
            </w:r>
          </w:p>
        </w:tc>
        <w:tc>
          <w:tcPr>
            <w:tcW w:w="622"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14</w:t>
            </w:r>
          </w:p>
        </w:tc>
        <w:tc>
          <w:tcPr>
            <w:tcW w:w="465" w:type="pct"/>
          </w:tcPr>
          <w:p w:rsidR="005558DB" w:rsidRPr="005558DB" w:rsidRDefault="005558DB" w:rsidP="00A24E32">
            <w:pPr>
              <w:keepNext/>
              <w:ind w:left="-108"/>
              <w:jc w:val="center"/>
              <w:rPr>
                <w:rFonts w:ascii="Arial Narrow" w:hAnsi="Arial Narrow"/>
                <w:sz w:val="18"/>
                <w:szCs w:val="18"/>
              </w:rPr>
            </w:pPr>
            <w:r w:rsidRPr="005558DB">
              <w:rPr>
                <w:rFonts w:ascii="Arial Narrow" w:hAnsi="Arial Narrow"/>
                <w:sz w:val="18"/>
                <w:szCs w:val="18"/>
              </w:rPr>
              <w:t>1</w:t>
            </w:r>
          </w:p>
        </w:tc>
        <w:tc>
          <w:tcPr>
            <w:tcW w:w="670" w:type="pct"/>
          </w:tcPr>
          <w:p w:rsidR="005558DB" w:rsidRPr="005558DB" w:rsidRDefault="005558DB" w:rsidP="00A24E32">
            <w:pPr>
              <w:keepNext/>
              <w:rPr>
                <w:rFonts w:ascii="Arial Narrow" w:hAnsi="Arial Narrow"/>
                <w:sz w:val="18"/>
                <w:szCs w:val="18"/>
              </w:rPr>
            </w:pPr>
            <w:r w:rsidRPr="005558DB">
              <w:rPr>
                <w:rFonts w:ascii="Arial Narrow" w:hAnsi="Arial Narrow"/>
                <w:sz w:val="18"/>
                <w:szCs w:val="18"/>
              </w:rPr>
              <w:t>Vimpat</w:t>
            </w:r>
          </w:p>
        </w:tc>
      </w:tr>
      <w:tr w:rsidR="005558DB"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right w:val="single" w:sz="4" w:space="0" w:color="auto"/>
            </w:tcBorders>
          </w:tcPr>
          <w:p w:rsidR="005558DB" w:rsidRPr="005558DB" w:rsidRDefault="005558DB" w:rsidP="00A24E32">
            <w:pPr>
              <w:pStyle w:val="Tabletext"/>
              <w:rPr>
                <w:b/>
                <w:sz w:val="18"/>
                <w:szCs w:val="18"/>
              </w:rPr>
            </w:pPr>
          </w:p>
        </w:tc>
      </w:tr>
      <w:tr w:rsidR="005558DB"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right w:val="single" w:sz="4" w:space="0" w:color="auto"/>
            </w:tcBorders>
          </w:tcPr>
          <w:p w:rsidR="005558DB" w:rsidRPr="005558DB" w:rsidRDefault="005558DB" w:rsidP="00A24E32">
            <w:pPr>
              <w:pStyle w:val="Tabletext"/>
              <w:rPr>
                <w:b/>
                <w:sz w:val="18"/>
                <w:szCs w:val="18"/>
              </w:rPr>
            </w:pPr>
            <w:r w:rsidRPr="005558DB">
              <w:rPr>
                <w:b/>
                <w:sz w:val="18"/>
                <w:szCs w:val="18"/>
              </w:rPr>
              <w:t>Create new restriction summary number: [NEW] / Treatment of Concept: [NEW]</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6A370A" w:rsidRDefault="00A219EC" w:rsidP="005558DB">
            <w:pPr>
              <w:pStyle w:val="Tabletext"/>
              <w:rPr>
                <w:sz w:val="18"/>
                <w:szCs w:val="18"/>
              </w:rPr>
            </w:pPr>
            <w:r w:rsidRPr="006A370A">
              <w:rPr>
                <w:b/>
                <w:sz w:val="18"/>
                <w:szCs w:val="18"/>
              </w:rPr>
              <w:t>Category / Program:</w:t>
            </w:r>
            <w:r w:rsidRPr="006A370A">
              <w:rPr>
                <w:sz w:val="18"/>
                <w:szCs w:val="18"/>
              </w:rPr>
              <w:t xml:space="preserve"> General Schedule - Section 85</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sz w:val="18"/>
                <w:szCs w:val="18"/>
              </w:rPr>
            </w:pPr>
            <w:r w:rsidRPr="00A270A1">
              <w:rPr>
                <w:b/>
                <w:sz w:val="18"/>
                <w:szCs w:val="18"/>
              </w:rPr>
              <w:t xml:space="preserve">Prescriber type: </w:t>
            </w:r>
            <w:r w:rsidRPr="005558DB">
              <w:rPr>
                <w:rFonts w:cs="Arial"/>
                <w:sz w:val="18"/>
                <w:szCs w:val="18"/>
              </w:rPr>
              <w:fldChar w:fldCharType="begin">
                <w:ffData>
                  <w:name w:val=""/>
                  <w:enabled/>
                  <w:calcOnExit w:val="0"/>
                  <w:checkBox>
                    <w:sizeAuto/>
                    <w:default w:val="1"/>
                  </w:checkBox>
                </w:ffData>
              </w:fldChar>
            </w:r>
            <w:r w:rsidRPr="00A270A1">
              <w:rPr>
                <w:rFonts w:cs="Arial"/>
                <w:sz w:val="18"/>
                <w:szCs w:val="18"/>
              </w:rPr>
              <w:instrText xml:space="preserve"> FORMCHECKBOX </w:instrText>
            </w:r>
            <w:r w:rsidR="00520DB9">
              <w:rPr>
                <w:rFonts w:cs="Arial"/>
                <w:sz w:val="18"/>
                <w:szCs w:val="18"/>
              </w:rPr>
            </w:r>
            <w:r w:rsidR="00520DB9">
              <w:rPr>
                <w:rFonts w:cs="Arial"/>
                <w:sz w:val="18"/>
                <w:szCs w:val="18"/>
              </w:rPr>
              <w:fldChar w:fldCharType="separate"/>
            </w:r>
            <w:r w:rsidRPr="005558DB">
              <w:rPr>
                <w:rFonts w:cs="Arial"/>
                <w:sz w:val="18"/>
                <w:szCs w:val="18"/>
              </w:rPr>
              <w:fldChar w:fldCharType="end"/>
            </w:r>
            <w:r w:rsidRPr="005558DB">
              <w:rPr>
                <w:rFonts w:cs="Arial"/>
                <w:sz w:val="18"/>
                <w:szCs w:val="18"/>
              </w:rPr>
              <w:t xml:space="preserve"> Medical Practitioners </w:t>
            </w:r>
            <w:r w:rsidRPr="005558DB">
              <w:rPr>
                <w:rFonts w:cs="Arial"/>
                <w:i/>
                <w:sz w:val="18"/>
                <w:szCs w:val="18"/>
              </w:rPr>
              <w:t>(Note: the nurse practitioner prescribing icon is currently incorrectly attached to PBS item codes 9333F, 9334G, 9336J as at 1 January 2021)</w:t>
            </w:r>
            <w:r w:rsidRPr="005558DB">
              <w:rPr>
                <w:rFonts w:cs="Arial"/>
                <w:sz w:val="18"/>
                <w:szCs w:val="18"/>
              </w:rPr>
              <w:t xml:space="preserve">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cs="Arial"/>
                <w:sz w:val="18"/>
                <w:szCs w:val="18"/>
              </w:rPr>
            </w:pPr>
            <w:r w:rsidRPr="00A270A1">
              <w:rPr>
                <w:b/>
                <w:sz w:val="18"/>
                <w:szCs w:val="18"/>
              </w:rPr>
              <w:t xml:space="preserve">Restriction type: </w:t>
            </w:r>
            <w:r w:rsidRPr="005558DB">
              <w:rPr>
                <w:sz w:val="18"/>
                <w:szCs w:val="18"/>
              </w:rPr>
              <w:fldChar w:fldCharType="begin">
                <w:ffData>
                  <w:name w:val="Check5"/>
                  <w:enabled/>
                  <w:calcOnExit w:val="0"/>
                  <w:checkBox>
                    <w:sizeAuto/>
                    <w:default w:val="1"/>
                  </w:checkBox>
                </w:ffData>
              </w:fldChar>
            </w:r>
            <w:r w:rsidRPr="00A270A1">
              <w:rPr>
                <w:sz w:val="18"/>
                <w:szCs w:val="18"/>
              </w:rPr>
              <w:instrText xml:space="preserve"> FORMCHECKBOX </w:instrText>
            </w:r>
            <w:r w:rsidR="00520DB9">
              <w:rPr>
                <w:sz w:val="18"/>
                <w:szCs w:val="18"/>
              </w:rPr>
            </w:r>
            <w:r w:rsidR="00520DB9">
              <w:rPr>
                <w:sz w:val="18"/>
                <w:szCs w:val="18"/>
              </w:rPr>
              <w:fldChar w:fldCharType="separate"/>
            </w:r>
            <w:r w:rsidRPr="005558DB">
              <w:rPr>
                <w:sz w:val="18"/>
                <w:szCs w:val="18"/>
              </w:rPr>
              <w:fldChar w:fldCharType="end"/>
            </w:r>
            <w:r w:rsidRPr="005558DB">
              <w:rPr>
                <w:sz w:val="18"/>
                <w:szCs w:val="18"/>
              </w:rPr>
              <w:t xml:space="preserve"> Authority Required – (STREAMLINED) [NEW CODE – NOT 7815]</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A270A1" w:rsidRDefault="00A219EC" w:rsidP="00A24E32">
            <w:pPr>
              <w:pStyle w:val="Tabletext"/>
              <w:rPr>
                <w:sz w:val="18"/>
                <w:szCs w:val="18"/>
              </w:rPr>
            </w:pPr>
            <w:r w:rsidRPr="00A270A1">
              <w:rPr>
                <w:b/>
                <w:sz w:val="18"/>
                <w:szCs w:val="18"/>
              </w:rPr>
              <w:t xml:space="preserve">Episodicity: </w:t>
            </w:r>
            <w:r w:rsidRPr="00A270A1">
              <w:rPr>
                <w:sz w:val="18"/>
                <w:szCs w:val="18"/>
              </w:rPr>
              <w:t>[blank]</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A270A1" w:rsidRDefault="00A219EC" w:rsidP="00A24E32">
            <w:pPr>
              <w:pStyle w:val="Tabletext"/>
              <w:rPr>
                <w:sz w:val="18"/>
                <w:szCs w:val="18"/>
              </w:rPr>
            </w:pPr>
            <w:r w:rsidRPr="00A270A1">
              <w:rPr>
                <w:b/>
                <w:sz w:val="18"/>
                <w:szCs w:val="18"/>
              </w:rPr>
              <w:t xml:space="preserve">Severity: </w:t>
            </w:r>
            <w:r w:rsidRPr="00A270A1">
              <w:rPr>
                <w:sz w:val="18"/>
                <w:szCs w:val="18"/>
              </w:rPr>
              <w:t>[blank]</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A270A1" w:rsidRDefault="00A219EC" w:rsidP="00A24E32">
            <w:pPr>
              <w:pStyle w:val="Tabletext"/>
              <w:rPr>
                <w:i/>
                <w:sz w:val="18"/>
                <w:szCs w:val="18"/>
                <w:lang w:val="en-GB"/>
              </w:rPr>
            </w:pPr>
            <w:r w:rsidRPr="00A270A1">
              <w:rPr>
                <w:b/>
                <w:i/>
                <w:sz w:val="18"/>
                <w:szCs w:val="18"/>
              </w:rPr>
              <w:t xml:space="preserve">Condition: </w:t>
            </w:r>
            <w:r w:rsidRPr="00A270A1">
              <w:rPr>
                <w:i/>
                <w:sz w:val="18"/>
                <w:szCs w:val="18"/>
                <w:lang w:val="en-GB"/>
              </w:rPr>
              <w:t>Idiopathic generalised epilepsy with primary generalised tonic-clonic seizures</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b/>
                <w:sz w:val="18"/>
                <w:szCs w:val="18"/>
              </w:rPr>
            </w:pPr>
            <w:r w:rsidRPr="005558DB">
              <w:rPr>
                <w:b/>
                <w:sz w:val="18"/>
                <w:szCs w:val="18"/>
              </w:rPr>
              <w:t xml:space="preserve">PBS Indication: </w:t>
            </w:r>
            <w:r w:rsidRPr="005558DB">
              <w:rPr>
                <w:sz w:val="18"/>
                <w:szCs w:val="18"/>
              </w:rPr>
              <w:t>Idiopathic generalised epilepsy with primary generalised tonic-clonic seizures</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5558DB" w:rsidRDefault="00A219EC" w:rsidP="00A24E32">
            <w:pPr>
              <w:pStyle w:val="Tabletext"/>
              <w:rPr>
                <w:i/>
                <w:sz w:val="18"/>
                <w:szCs w:val="18"/>
              </w:rPr>
            </w:pPr>
            <w:r w:rsidRPr="005558DB">
              <w:rPr>
                <w:b/>
                <w:sz w:val="18"/>
                <w:szCs w:val="18"/>
              </w:rPr>
              <w:t xml:space="preserve">Treatment phase: </w:t>
            </w:r>
            <w:r w:rsidRPr="005558DB">
              <w:rPr>
                <w:strike/>
                <w:sz w:val="18"/>
                <w:szCs w:val="18"/>
              </w:rPr>
              <w:t>Initial treatment</w:t>
            </w:r>
            <w:r w:rsidRPr="005558DB">
              <w:rPr>
                <w:i/>
                <w:strike/>
                <w:sz w:val="18"/>
                <w:szCs w:val="18"/>
              </w:rPr>
              <w:t xml:space="preserve"> </w:t>
            </w:r>
            <w:r w:rsidRPr="005558DB">
              <w:rPr>
                <w:i/>
                <w:sz w:val="18"/>
                <w:szCs w:val="18"/>
              </w:rPr>
              <w:t>Dose titration at the start of therapy, during therapy or to gradually cease treatment</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0"/>
              <w:rPr>
                <w:b/>
                <w:sz w:val="18"/>
                <w:szCs w:val="18"/>
              </w:rPr>
            </w:pPr>
            <w:r w:rsidRPr="005558DB">
              <w:rPr>
                <w:b/>
                <w:sz w:val="18"/>
                <w:szCs w:val="18"/>
              </w:rPr>
              <w:t>Treatment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5558DB" w:rsidRDefault="00A219EC" w:rsidP="00A24E32">
            <w:pPr>
              <w:pStyle w:val="TableText0"/>
              <w:rPr>
                <w:color w:val="000000"/>
                <w:sz w:val="18"/>
                <w:szCs w:val="18"/>
              </w:rPr>
            </w:pPr>
            <w:r w:rsidRPr="005558DB">
              <w:rPr>
                <w:sz w:val="18"/>
                <w:szCs w:val="18"/>
              </w:rPr>
              <w:t>Must be treated by a neurologist</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112A5A" w:rsidRDefault="00A219EC" w:rsidP="00A24E32">
            <w:pPr>
              <w:pStyle w:val="TableText0"/>
              <w:rPr>
                <w:b/>
                <w:sz w:val="18"/>
                <w:szCs w:val="18"/>
              </w:rPr>
            </w:pPr>
            <w:r w:rsidRPr="00112A5A">
              <w:rPr>
                <w:b/>
                <w:sz w:val="18"/>
                <w:szCs w:val="18"/>
              </w:rPr>
              <w:t>OR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A270A1" w:rsidRDefault="00A219EC" w:rsidP="00A24E32">
            <w:pPr>
              <w:pStyle w:val="TableText0"/>
              <w:rPr>
                <w:b/>
                <w:strike/>
                <w:sz w:val="18"/>
                <w:szCs w:val="18"/>
              </w:rPr>
            </w:pPr>
            <w:r w:rsidRPr="00A270A1">
              <w:rPr>
                <w:strike/>
                <w:sz w:val="18"/>
                <w:szCs w:val="18"/>
              </w:rPr>
              <w:t>Must be treated by a paediatrician</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Default"/>
              <w:rPr>
                <w:rFonts w:ascii="Arial Narrow" w:eastAsiaTheme="majorEastAsia" w:hAnsi="Arial Narrow" w:cstheme="majorBidi"/>
                <w:bCs/>
                <w:color w:val="auto"/>
                <w:sz w:val="18"/>
                <w:szCs w:val="18"/>
              </w:rPr>
            </w:pPr>
            <w:r w:rsidRPr="005558DB">
              <w:rPr>
                <w:rFonts w:ascii="Arial Narrow" w:hAnsi="Arial Narrow"/>
                <w:b/>
                <w:sz w:val="18"/>
                <w:szCs w:val="18"/>
              </w:rPr>
              <w:t>Clinical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Default"/>
              <w:rPr>
                <w:rFonts w:ascii="Arial Narrow" w:eastAsiaTheme="majorEastAsia" w:hAnsi="Arial Narrow" w:cstheme="majorBidi"/>
                <w:bCs/>
                <w:i/>
                <w:color w:val="auto"/>
                <w:sz w:val="18"/>
                <w:szCs w:val="18"/>
              </w:rPr>
            </w:pPr>
            <w:r w:rsidRPr="005558DB">
              <w:rPr>
                <w:rFonts w:ascii="Arial Narrow" w:eastAsiaTheme="majorEastAsia" w:hAnsi="Arial Narrow" w:cstheme="majorBidi"/>
                <w:bCs/>
                <w:color w:val="auto"/>
                <w:sz w:val="18"/>
                <w:szCs w:val="18"/>
              </w:rPr>
              <w:t xml:space="preserve">The condition must have failed to be controlled satisfactorily by at least two anti-epileptic drugs </w:t>
            </w:r>
            <w:r w:rsidRPr="005558DB">
              <w:rPr>
                <w:rFonts w:ascii="Arial Narrow" w:eastAsiaTheme="majorEastAsia" w:hAnsi="Arial Narrow" w:cstheme="majorBidi"/>
                <w:bCs/>
                <w:i/>
                <w:color w:val="auto"/>
                <w:sz w:val="18"/>
                <w:szCs w:val="18"/>
              </w:rPr>
              <w:t>prior to when the drug is/was first commenced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eastAsiaTheme="majorEastAsia" w:cstheme="majorBidi"/>
                <w:b/>
                <w:bCs/>
                <w:sz w:val="18"/>
                <w:szCs w:val="18"/>
              </w:rPr>
            </w:pPr>
            <w:r w:rsidRPr="005558DB">
              <w:rPr>
                <w:rFonts w:eastAsiaTheme="majorEastAsia" w:cstheme="majorBidi"/>
                <w:b/>
                <w:bCs/>
                <w:sz w:val="18"/>
                <w:szCs w:val="18"/>
              </w:rPr>
              <w:t>AND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eastAsiaTheme="majorEastAsia" w:cstheme="majorBidi"/>
                <w:bCs/>
                <w:sz w:val="18"/>
                <w:szCs w:val="18"/>
              </w:rPr>
            </w:pPr>
            <w:r w:rsidRPr="005558DB">
              <w:rPr>
                <w:b/>
                <w:sz w:val="18"/>
                <w:szCs w:val="18"/>
              </w:rPr>
              <w:t>Clinical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b/>
                <w:sz w:val="18"/>
                <w:szCs w:val="18"/>
              </w:rPr>
            </w:pPr>
            <w:r w:rsidRPr="005558DB">
              <w:rPr>
                <w:rFonts w:eastAsiaTheme="majorEastAsia" w:cstheme="majorBidi"/>
                <w:bCs/>
                <w:sz w:val="18"/>
                <w:szCs w:val="18"/>
              </w:rPr>
              <w:t xml:space="preserve">The treatment must be </w:t>
            </w:r>
            <w:r w:rsidRPr="005558DB">
              <w:rPr>
                <w:rFonts w:eastAsiaTheme="majorEastAsia" w:cstheme="majorBidi"/>
                <w:bCs/>
                <w:i/>
                <w:sz w:val="18"/>
                <w:szCs w:val="18"/>
              </w:rPr>
              <w:t>(for initiating treatment)/have been (for continuing treatment)</w:t>
            </w:r>
            <w:r w:rsidRPr="005558DB">
              <w:rPr>
                <w:rFonts w:eastAsiaTheme="majorEastAsia" w:cstheme="majorBidi"/>
                <w:bCs/>
                <w:sz w:val="18"/>
                <w:szCs w:val="18"/>
              </w:rPr>
              <w:t xml:space="preserve"> in combination with at least one PBS-subsidised anti-epileptic drug </w:t>
            </w:r>
            <w:r w:rsidRPr="005558DB">
              <w:rPr>
                <w:rFonts w:eastAsiaTheme="majorEastAsia" w:cstheme="majorBidi"/>
                <w:bCs/>
                <w:i/>
                <w:sz w:val="18"/>
                <w:szCs w:val="18"/>
              </w:rPr>
              <w:t>at the time the drug is/was first commenced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eastAsiaTheme="majorEastAsia" w:cstheme="majorBidi"/>
                <w:bCs/>
                <w:sz w:val="18"/>
                <w:szCs w:val="18"/>
              </w:rPr>
            </w:pPr>
            <w:r w:rsidRPr="005558DB">
              <w:rPr>
                <w:rFonts w:eastAsiaTheme="majorEastAsia" w:cstheme="majorBidi"/>
                <w:b/>
                <w:bCs/>
                <w:sz w:val="18"/>
                <w:szCs w:val="18"/>
              </w:rPr>
              <w:t>AND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eastAsiaTheme="majorEastAsia" w:cstheme="majorBidi"/>
                <w:bCs/>
                <w:sz w:val="18"/>
                <w:szCs w:val="18"/>
              </w:rPr>
            </w:pPr>
            <w:r w:rsidRPr="005558DB">
              <w:rPr>
                <w:b/>
                <w:sz w:val="18"/>
                <w:szCs w:val="18"/>
              </w:rPr>
              <w:t>Clinical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rFonts w:eastAsiaTheme="majorEastAsia" w:cstheme="majorBidi"/>
                <w:bCs/>
                <w:sz w:val="18"/>
                <w:szCs w:val="18"/>
              </w:rPr>
            </w:pPr>
            <w:r w:rsidRPr="005558DB">
              <w:rPr>
                <w:rFonts w:eastAsiaTheme="majorEastAsia" w:cstheme="majorBidi"/>
                <w:bCs/>
                <w:sz w:val="18"/>
                <w:szCs w:val="18"/>
              </w:rPr>
              <w:t>The treatment must be for dose titration purposes</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color w:val="000000"/>
                <w:sz w:val="18"/>
                <w:szCs w:val="18"/>
              </w:rPr>
            </w:pPr>
            <w:r w:rsidRPr="005558DB">
              <w:rPr>
                <w:b/>
                <w:sz w:val="18"/>
                <w:szCs w:val="18"/>
              </w:rPr>
              <w:t xml:space="preserve">Population criteria: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b/>
                <w:strike/>
                <w:sz w:val="18"/>
                <w:szCs w:val="18"/>
              </w:rPr>
            </w:pPr>
            <w:r w:rsidRPr="005558DB">
              <w:rPr>
                <w:rFonts w:eastAsiaTheme="majorEastAsia" w:cstheme="majorBidi"/>
                <w:bCs/>
                <w:strike/>
                <w:sz w:val="18"/>
                <w:szCs w:val="18"/>
              </w:rPr>
              <w:lastRenderedPageBreak/>
              <w:t>Patient must be aged 4 years or older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C73EF4" w:rsidRDefault="00A219EC" w:rsidP="00A24E32">
            <w:pPr>
              <w:pStyle w:val="Tabletext"/>
              <w:rPr>
                <w:rFonts w:eastAsiaTheme="majorEastAsia" w:cstheme="majorBidi"/>
                <w:bCs/>
                <w:i/>
                <w:strike/>
                <w:sz w:val="18"/>
                <w:szCs w:val="18"/>
              </w:rPr>
            </w:pPr>
            <w:r w:rsidRPr="00C73EF4">
              <w:rPr>
                <w:rFonts w:eastAsiaTheme="majorEastAsia" w:cstheme="majorBidi"/>
                <w:bCs/>
                <w:i/>
                <w:strike/>
                <w:sz w:val="18"/>
                <w:szCs w:val="18"/>
              </w:rPr>
              <w:t>Patient must be aged in line with the age requirements specified in the approved Product Information for this drug</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A24E32">
            <w:pPr>
              <w:pStyle w:val="Tabletext"/>
              <w:rPr>
                <w:b/>
                <w:iCs/>
                <w:sz w:val="18"/>
                <w:szCs w:val="18"/>
              </w:rPr>
            </w:pPr>
            <w:r w:rsidRPr="005558DB">
              <w:rPr>
                <w:b/>
                <w:iCs/>
                <w:sz w:val="18"/>
                <w:szCs w:val="18"/>
              </w:rPr>
              <w:t xml:space="preserve">Administrative Advice: </w:t>
            </w:r>
            <w:r w:rsidRPr="005558DB">
              <w:rPr>
                <w:sz w:val="18"/>
                <w:szCs w:val="18"/>
              </w:rPr>
              <w:t>Special Pricing Arrangements apply</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5558DB" w:rsidRDefault="00A219EC" w:rsidP="00530CBB">
            <w:pPr>
              <w:pStyle w:val="NormalWeb"/>
              <w:spacing w:before="0" w:after="0"/>
              <w:rPr>
                <w:rFonts w:ascii="Arial Narrow" w:hAnsi="Arial Narrow"/>
                <w:b/>
                <w:i/>
                <w:iCs/>
                <w:sz w:val="18"/>
                <w:szCs w:val="18"/>
              </w:rPr>
            </w:pPr>
            <w:r w:rsidRPr="002F3E89">
              <w:rPr>
                <w:rFonts w:ascii="Arial Narrow" w:hAnsi="Arial Narrow"/>
                <w:b/>
                <w:i/>
                <w:iCs/>
                <w:sz w:val="18"/>
                <w:szCs w:val="18"/>
              </w:rPr>
              <w:t xml:space="preserve">Administrative Advice: </w:t>
            </w:r>
            <w:r w:rsidRPr="002F3E89">
              <w:rPr>
                <w:rFonts w:ascii="Arial Narrow" w:hAnsi="Arial Narrow"/>
                <w:i/>
                <w:iCs/>
                <w:sz w:val="18"/>
                <w:szCs w:val="18"/>
              </w:rPr>
              <w:t>No applications for increased maximum quantities will be authorised.</w:t>
            </w:r>
          </w:p>
        </w:tc>
      </w:tr>
    </w:tbl>
    <w:p w:rsidR="005558DB" w:rsidRPr="005558DB" w:rsidRDefault="005558DB" w:rsidP="005558DB">
      <w:pPr>
        <w:spacing w:after="120"/>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6"/>
        <w:gridCol w:w="1418"/>
        <w:gridCol w:w="1417"/>
        <w:gridCol w:w="1134"/>
        <w:gridCol w:w="851"/>
        <w:gridCol w:w="1181"/>
      </w:tblGrid>
      <w:tr w:rsidR="00A219EC" w:rsidRPr="005558DB" w:rsidTr="00A219EC">
        <w:trPr>
          <w:cantSplit/>
          <w:trHeight w:val="471"/>
        </w:trPr>
        <w:tc>
          <w:tcPr>
            <w:tcW w:w="1672" w:type="pct"/>
          </w:tcPr>
          <w:p w:rsidR="005558DB" w:rsidRPr="005558DB" w:rsidRDefault="005558DB" w:rsidP="00A219EC">
            <w:pPr>
              <w:ind w:left="-57"/>
              <w:rPr>
                <w:rFonts w:ascii="Arial Narrow" w:hAnsi="Arial Narrow"/>
                <w:b/>
                <w:i/>
                <w:sz w:val="18"/>
                <w:szCs w:val="18"/>
              </w:rPr>
            </w:pPr>
            <w:r w:rsidRPr="005558DB">
              <w:rPr>
                <w:rFonts w:ascii="Arial Narrow" w:hAnsi="Arial Narrow"/>
                <w:b/>
                <w:i/>
                <w:sz w:val="18"/>
                <w:szCs w:val="18"/>
              </w:rPr>
              <w:t>MEDICINAL PRODCUT,</w:t>
            </w:r>
          </w:p>
          <w:p w:rsidR="005558DB" w:rsidRPr="005558DB" w:rsidRDefault="005558DB" w:rsidP="00A219EC">
            <w:pPr>
              <w:ind w:left="-57"/>
              <w:rPr>
                <w:rFonts w:ascii="Arial Narrow" w:hAnsi="Arial Narrow"/>
                <w:b/>
                <w:sz w:val="18"/>
                <w:szCs w:val="18"/>
              </w:rPr>
            </w:pPr>
            <w:r w:rsidRPr="005558DB">
              <w:rPr>
                <w:rFonts w:ascii="Arial Narrow" w:hAnsi="Arial Narrow"/>
                <w:b/>
                <w:i/>
                <w:sz w:val="18"/>
                <w:szCs w:val="18"/>
              </w:rPr>
              <w:t>medicinal product pack</w:t>
            </w:r>
          </w:p>
        </w:tc>
        <w:tc>
          <w:tcPr>
            <w:tcW w:w="786" w:type="pct"/>
          </w:tcPr>
          <w:p w:rsidR="005558DB" w:rsidRPr="005558DB" w:rsidRDefault="005558DB" w:rsidP="00A219EC">
            <w:pPr>
              <w:ind w:left="-108"/>
              <w:jc w:val="center"/>
              <w:rPr>
                <w:rFonts w:ascii="Arial Narrow" w:hAnsi="Arial Narrow"/>
                <w:b/>
                <w:sz w:val="18"/>
                <w:szCs w:val="18"/>
              </w:rPr>
            </w:pPr>
            <w:r w:rsidRPr="005558DB">
              <w:rPr>
                <w:rFonts w:ascii="Arial Narrow" w:hAnsi="Arial Narrow"/>
                <w:b/>
                <w:sz w:val="18"/>
                <w:szCs w:val="18"/>
              </w:rPr>
              <w:t>PBS item code</w:t>
            </w:r>
          </w:p>
        </w:tc>
        <w:tc>
          <w:tcPr>
            <w:tcW w:w="786" w:type="pct"/>
          </w:tcPr>
          <w:p w:rsidR="005558DB" w:rsidRPr="005558DB" w:rsidRDefault="005558DB" w:rsidP="00A219EC">
            <w:pPr>
              <w:ind w:left="-108"/>
              <w:jc w:val="center"/>
              <w:rPr>
                <w:rFonts w:ascii="Arial Narrow" w:hAnsi="Arial Narrow"/>
                <w:b/>
                <w:sz w:val="18"/>
                <w:szCs w:val="18"/>
              </w:rPr>
            </w:pPr>
            <w:r w:rsidRPr="005558DB">
              <w:rPr>
                <w:rFonts w:ascii="Arial Narrow" w:hAnsi="Arial Narrow"/>
                <w:b/>
                <w:sz w:val="18"/>
                <w:szCs w:val="18"/>
              </w:rPr>
              <w:t>Max. qty packs</w:t>
            </w:r>
          </w:p>
        </w:tc>
        <w:tc>
          <w:tcPr>
            <w:tcW w:w="629" w:type="pct"/>
          </w:tcPr>
          <w:p w:rsidR="005558DB" w:rsidRPr="005558DB" w:rsidRDefault="005558DB" w:rsidP="00A219EC">
            <w:pPr>
              <w:ind w:left="-108"/>
              <w:jc w:val="center"/>
              <w:rPr>
                <w:rFonts w:ascii="Arial Narrow" w:hAnsi="Arial Narrow"/>
                <w:b/>
                <w:sz w:val="18"/>
                <w:szCs w:val="18"/>
              </w:rPr>
            </w:pPr>
            <w:r w:rsidRPr="005558DB">
              <w:rPr>
                <w:rFonts w:ascii="Arial Narrow" w:hAnsi="Arial Narrow"/>
                <w:b/>
                <w:sz w:val="18"/>
                <w:szCs w:val="18"/>
              </w:rPr>
              <w:t>Max. qty units</w:t>
            </w:r>
          </w:p>
        </w:tc>
        <w:tc>
          <w:tcPr>
            <w:tcW w:w="472" w:type="pct"/>
          </w:tcPr>
          <w:p w:rsidR="005558DB" w:rsidRPr="005558DB" w:rsidRDefault="005558DB" w:rsidP="00A219EC">
            <w:pPr>
              <w:ind w:left="-108"/>
              <w:jc w:val="center"/>
              <w:rPr>
                <w:rFonts w:ascii="Arial Narrow" w:hAnsi="Arial Narrow"/>
                <w:b/>
                <w:sz w:val="18"/>
                <w:szCs w:val="18"/>
              </w:rPr>
            </w:pPr>
            <w:r w:rsidRPr="005558DB">
              <w:rPr>
                <w:rFonts w:ascii="Arial Narrow" w:hAnsi="Arial Narrow"/>
                <w:b/>
                <w:sz w:val="18"/>
                <w:szCs w:val="18"/>
              </w:rPr>
              <w:t>№.of</w:t>
            </w:r>
          </w:p>
          <w:p w:rsidR="005558DB" w:rsidRPr="005558DB" w:rsidRDefault="005558DB" w:rsidP="00A219EC">
            <w:pPr>
              <w:ind w:left="-108"/>
              <w:jc w:val="center"/>
              <w:rPr>
                <w:rFonts w:ascii="Arial Narrow" w:hAnsi="Arial Narrow"/>
                <w:b/>
                <w:sz w:val="18"/>
                <w:szCs w:val="18"/>
              </w:rPr>
            </w:pPr>
            <w:r w:rsidRPr="005558DB">
              <w:rPr>
                <w:rFonts w:ascii="Arial Narrow" w:hAnsi="Arial Narrow"/>
                <w:b/>
                <w:sz w:val="18"/>
                <w:szCs w:val="18"/>
              </w:rPr>
              <w:t>Rpts</w:t>
            </w:r>
          </w:p>
        </w:tc>
        <w:tc>
          <w:tcPr>
            <w:tcW w:w="655" w:type="pct"/>
          </w:tcPr>
          <w:p w:rsidR="005558DB" w:rsidRPr="005558DB" w:rsidRDefault="005558DB" w:rsidP="00A219EC">
            <w:pPr>
              <w:rPr>
                <w:rFonts w:ascii="Arial Narrow" w:hAnsi="Arial Narrow"/>
                <w:b/>
                <w:i/>
                <w:sz w:val="18"/>
                <w:szCs w:val="18"/>
                <w:lang w:val="fr-FR"/>
              </w:rPr>
            </w:pPr>
            <w:r w:rsidRPr="005558DB">
              <w:rPr>
                <w:rFonts w:ascii="Arial Narrow" w:hAnsi="Arial Narrow"/>
                <w:b/>
                <w:i/>
                <w:sz w:val="18"/>
                <w:szCs w:val="18"/>
              </w:rPr>
              <w:t>Available brands</w:t>
            </w:r>
          </w:p>
        </w:tc>
      </w:tr>
      <w:tr w:rsidR="005558DB" w:rsidRPr="005558DB" w:rsidTr="0022673B">
        <w:trPr>
          <w:cantSplit/>
          <w:trHeight w:val="227"/>
        </w:trPr>
        <w:tc>
          <w:tcPr>
            <w:tcW w:w="5000" w:type="pct"/>
            <w:gridSpan w:val="6"/>
          </w:tcPr>
          <w:p w:rsidR="005558DB" w:rsidRPr="00E262EC" w:rsidRDefault="005558DB" w:rsidP="00A219EC">
            <w:pPr>
              <w:ind w:left="-57"/>
              <w:rPr>
                <w:rFonts w:ascii="Arial Narrow" w:hAnsi="Arial Narrow"/>
                <w:sz w:val="18"/>
                <w:szCs w:val="18"/>
              </w:rPr>
            </w:pPr>
            <w:r w:rsidRPr="00E262EC">
              <w:rPr>
                <w:rFonts w:ascii="Arial Narrow" w:hAnsi="Arial Narrow"/>
                <w:sz w:val="18"/>
                <w:szCs w:val="18"/>
              </w:rPr>
              <w:t>LACOSAMIDE</w:t>
            </w:r>
          </w:p>
        </w:tc>
      </w:tr>
      <w:tr w:rsidR="00A219EC" w:rsidRPr="005558DB" w:rsidTr="00A219EC">
        <w:trPr>
          <w:cantSplit/>
          <w:trHeight w:val="243"/>
        </w:trPr>
        <w:tc>
          <w:tcPr>
            <w:tcW w:w="1672" w:type="pct"/>
          </w:tcPr>
          <w:p w:rsidR="005558DB" w:rsidRPr="00E262EC" w:rsidRDefault="005558DB" w:rsidP="00A219EC">
            <w:pPr>
              <w:ind w:left="-57"/>
              <w:rPr>
                <w:rFonts w:ascii="Arial Narrow" w:hAnsi="Arial Narrow"/>
                <w:i/>
                <w:sz w:val="18"/>
                <w:szCs w:val="18"/>
              </w:rPr>
            </w:pPr>
            <w:r w:rsidRPr="00E26B78">
              <w:rPr>
                <w:rFonts w:ascii="Arial Narrow" w:hAnsi="Arial Narrow"/>
                <w:i/>
                <w:sz w:val="18"/>
                <w:szCs w:val="18"/>
              </w:rPr>
              <w:t>lacosamide 50 mg tablet, 56</w:t>
            </w:r>
          </w:p>
        </w:tc>
        <w:tc>
          <w:tcPr>
            <w:tcW w:w="786" w:type="pct"/>
          </w:tcPr>
          <w:p w:rsidR="005558DB" w:rsidRPr="00F65794" w:rsidRDefault="00F65794" w:rsidP="00A219EC">
            <w:pPr>
              <w:ind w:left="-108"/>
              <w:jc w:val="center"/>
              <w:rPr>
                <w:rFonts w:ascii="Arial Narrow" w:hAnsi="Arial Narrow"/>
                <w:i/>
                <w:sz w:val="18"/>
                <w:szCs w:val="18"/>
              </w:rPr>
            </w:pPr>
            <w:r w:rsidRPr="00F65794">
              <w:rPr>
                <w:rFonts w:ascii="Arial Narrow" w:hAnsi="Arial Narrow"/>
                <w:i/>
                <w:sz w:val="18"/>
                <w:szCs w:val="18"/>
              </w:rPr>
              <w:t>10293R</w:t>
            </w:r>
          </w:p>
        </w:tc>
        <w:tc>
          <w:tcPr>
            <w:tcW w:w="786" w:type="pct"/>
          </w:tcPr>
          <w:p w:rsidR="005558DB" w:rsidRPr="00E262EC" w:rsidRDefault="005558DB" w:rsidP="00A219EC">
            <w:pPr>
              <w:jc w:val="center"/>
              <w:rPr>
                <w:rFonts w:ascii="Arial Narrow" w:hAnsi="Arial Narrow"/>
                <w:i/>
                <w:sz w:val="18"/>
                <w:szCs w:val="18"/>
              </w:rPr>
            </w:pPr>
            <w:r w:rsidRPr="00E262EC">
              <w:rPr>
                <w:rFonts w:ascii="Arial Narrow" w:hAnsi="Arial Narrow"/>
                <w:i/>
                <w:sz w:val="18"/>
                <w:szCs w:val="18"/>
              </w:rPr>
              <w:t>4</w:t>
            </w:r>
          </w:p>
        </w:tc>
        <w:tc>
          <w:tcPr>
            <w:tcW w:w="629"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56</w:t>
            </w:r>
          </w:p>
        </w:tc>
        <w:tc>
          <w:tcPr>
            <w:tcW w:w="472"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w:t>
            </w:r>
          </w:p>
        </w:tc>
        <w:tc>
          <w:tcPr>
            <w:tcW w:w="655" w:type="pct"/>
          </w:tcPr>
          <w:p w:rsidR="005558DB" w:rsidRPr="00E262EC" w:rsidRDefault="005558DB" w:rsidP="00A219EC">
            <w:pPr>
              <w:rPr>
                <w:rFonts w:ascii="Arial Narrow" w:hAnsi="Arial Narrow"/>
                <w:i/>
                <w:sz w:val="18"/>
                <w:szCs w:val="18"/>
              </w:rPr>
            </w:pPr>
            <w:r w:rsidRPr="00E262EC">
              <w:rPr>
                <w:rFonts w:ascii="Arial Narrow" w:hAnsi="Arial Narrow"/>
                <w:i/>
                <w:sz w:val="18"/>
                <w:szCs w:val="18"/>
              </w:rPr>
              <w:t>Vimpat</w:t>
            </w:r>
          </w:p>
        </w:tc>
      </w:tr>
      <w:tr w:rsidR="00A219EC" w:rsidRPr="005558DB" w:rsidTr="00A219EC">
        <w:trPr>
          <w:cantSplit/>
          <w:trHeight w:val="243"/>
        </w:trPr>
        <w:tc>
          <w:tcPr>
            <w:tcW w:w="1672" w:type="pct"/>
          </w:tcPr>
          <w:p w:rsidR="005558DB" w:rsidRPr="00E262EC" w:rsidRDefault="005558DB" w:rsidP="00A219EC">
            <w:pPr>
              <w:ind w:left="-57"/>
              <w:rPr>
                <w:rFonts w:ascii="Arial Narrow" w:hAnsi="Arial Narrow"/>
                <w:i/>
                <w:sz w:val="18"/>
                <w:szCs w:val="18"/>
              </w:rPr>
            </w:pPr>
            <w:r w:rsidRPr="00E262EC">
              <w:rPr>
                <w:rFonts w:ascii="Arial Narrow" w:hAnsi="Arial Narrow"/>
                <w:i/>
                <w:sz w:val="18"/>
                <w:szCs w:val="18"/>
              </w:rPr>
              <w:t>lacosamide 100 mg tablet, 56</w:t>
            </w:r>
          </w:p>
        </w:tc>
        <w:tc>
          <w:tcPr>
            <w:tcW w:w="786"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9335H</w:t>
            </w:r>
          </w:p>
        </w:tc>
        <w:tc>
          <w:tcPr>
            <w:tcW w:w="786" w:type="pct"/>
          </w:tcPr>
          <w:p w:rsidR="005558DB" w:rsidRPr="00E262EC" w:rsidRDefault="005558DB" w:rsidP="00A219EC">
            <w:pPr>
              <w:jc w:val="center"/>
              <w:rPr>
                <w:rFonts w:ascii="Arial Narrow" w:hAnsi="Arial Narrow"/>
                <w:i/>
                <w:sz w:val="18"/>
                <w:szCs w:val="18"/>
              </w:rPr>
            </w:pPr>
            <w:r w:rsidRPr="00E262EC">
              <w:rPr>
                <w:rFonts w:ascii="Arial Narrow" w:hAnsi="Arial Narrow"/>
                <w:i/>
                <w:sz w:val="18"/>
                <w:szCs w:val="18"/>
              </w:rPr>
              <w:t>1</w:t>
            </w:r>
          </w:p>
        </w:tc>
        <w:tc>
          <w:tcPr>
            <w:tcW w:w="629"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56</w:t>
            </w:r>
          </w:p>
        </w:tc>
        <w:tc>
          <w:tcPr>
            <w:tcW w:w="472"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w:t>
            </w:r>
          </w:p>
        </w:tc>
        <w:tc>
          <w:tcPr>
            <w:tcW w:w="655" w:type="pct"/>
          </w:tcPr>
          <w:p w:rsidR="005558DB" w:rsidRPr="00E262EC" w:rsidRDefault="005558DB" w:rsidP="00A219EC">
            <w:pPr>
              <w:rPr>
                <w:rFonts w:ascii="Arial Narrow" w:hAnsi="Arial Narrow"/>
                <w:i/>
                <w:sz w:val="18"/>
                <w:szCs w:val="18"/>
              </w:rPr>
            </w:pPr>
            <w:r w:rsidRPr="00E262EC">
              <w:rPr>
                <w:rFonts w:ascii="Arial Narrow" w:hAnsi="Arial Narrow"/>
                <w:i/>
                <w:sz w:val="18"/>
                <w:szCs w:val="18"/>
              </w:rPr>
              <w:t>Vimpat</w:t>
            </w:r>
          </w:p>
        </w:tc>
      </w:tr>
      <w:tr w:rsidR="00A219EC" w:rsidRPr="005558DB" w:rsidTr="00A219EC">
        <w:trPr>
          <w:cantSplit/>
          <w:trHeight w:val="243"/>
        </w:trPr>
        <w:tc>
          <w:tcPr>
            <w:tcW w:w="1672" w:type="pct"/>
          </w:tcPr>
          <w:p w:rsidR="005558DB" w:rsidRPr="00E262EC" w:rsidRDefault="005558DB" w:rsidP="00A219EC">
            <w:pPr>
              <w:ind w:left="-57"/>
              <w:rPr>
                <w:rFonts w:ascii="Arial Narrow" w:hAnsi="Arial Narrow"/>
                <w:i/>
                <w:sz w:val="18"/>
                <w:szCs w:val="18"/>
              </w:rPr>
            </w:pPr>
            <w:r w:rsidRPr="00E262EC">
              <w:rPr>
                <w:rFonts w:ascii="Arial Narrow" w:hAnsi="Arial Narrow"/>
                <w:i/>
                <w:sz w:val="18"/>
                <w:szCs w:val="18"/>
              </w:rPr>
              <w:t>lacosamide 150 mg tablet, 56</w:t>
            </w:r>
          </w:p>
        </w:tc>
        <w:tc>
          <w:tcPr>
            <w:tcW w:w="786"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9337K</w:t>
            </w:r>
          </w:p>
        </w:tc>
        <w:tc>
          <w:tcPr>
            <w:tcW w:w="786" w:type="pct"/>
          </w:tcPr>
          <w:p w:rsidR="005558DB" w:rsidRPr="00E262EC" w:rsidRDefault="005558DB" w:rsidP="00A219EC">
            <w:pPr>
              <w:jc w:val="center"/>
              <w:rPr>
                <w:rFonts w:ascii="Arial Narrow" w:hAnsi="Arial Narrow"/>
                <w:i/>
                <w:sz w:val="18"/>
                <w:szCs w:val="18"/>
              </w:rPr>
            </w:pPr>
            <w:r w:rsidRPr="00E262EC">
              <w:rPr>
                <w:rFonts w:ascii="Arial Narrow" w:hAnsi="Arial Narrow"/>
                <w:i/>
                <w:sz w:val="18"/>
                <w:szCs w:val="18"/>
              </w:rPr>
              <w:t>1</w:t>
            </w:r>
          </w:p>
        </w:tc>
        <w:tc>
          <w:tcPr>
            <w:tcW w:w="629"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56</w:t>
            </w:r>
          </w:p>
        </w:tc>
        <w:tc>
          <w:tcPr>
            <w:tcW w:w="472"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w:t>
            </w:r>
          </w:p>
        </w:tc>
        <w:tc>
          <w:tcPr>
            <w:tcW w:w="655" w:type="pct"/>
          </w:tcPr>
          <w:p w:rsidR="005558DB" w:rsidRPr="00E262EC" w:rsidRDefault="005558DB" w:rsidP="00A219EC">
            <w:pPr>
              <w:rPr>
                <w:rFonts w:ascii="Arial Narrow" w:hAnsi="Arial Narrow"/>
                <w:i/>
                <w:sz w:val="18"/>
                <w:szCs w:val="18"/>
              </w:rPr>
            </w:pPr>
            <w:r w:rsidRPr="00E262EC">
              <w:rPr>
                <w:rFonts w:ascii="Arial Narrow" w:hAnsi="Arial Narrow"/>
                <w:i/>
                <w:sz w:val="18"/>
                <w:szCs w:val="18"/>
              </w:rPr>
              <w:t>Vimpat</w:t>
            </w:r>
          </w:p>
        </w:tc>
      </w:tr>
      <w:tr w:rsidR="00A219EC" w:rsidRPr="005558DB" w:rsidTr="00A219EC">
        <w:trPr>
          <w:cantSplit/>
          <w:trHeight w:val="243"/>
        </w:trPr>
        <w:tc>
          <w:tcPr>
            <w:tcW w:w="1672" w:type="pct"/>
          </w:tcPr>
          <w:p w:rsidR="005558DB" w:rsidRPr="00E262EC" w:rsidRDefault="005558DB" w:rsidP="00A219EC">
            <w:pPr>
              <w:ind w:left="-57"/>
              <w:rPr>
                <w:rFonts w:ascii="Arial Narrow" w:hAnsi="Arial Narrow"/>
                <w:i/>
                <w:sz w:val="18"/>
                <w:szCs w:val="18"/>
              </w:rPr>
            </w:pPr>
            <w:r w:rsidRPr="00E262EC">
              <w:rPr>
                <w:rFonts w:ascii="Arial Narrow" w:hAnsi="Arial Narrow"/>
                <w:i/>
                <w:sz w:val="18"/>
                <w:szCs w:val="18"/>
              </w:rPr>
              <w:t>lacosamide 200 mg tablet, 56</w:t>
            </w:r>
          </w:p>
        </w:tc>
        <w:tc>
          <w:tcPr>
            <w:tcW w:w="786"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9338L</w:t>
            </w:r>
          </w:p>
        </w:tc>
        <w:tc>
          <w:tcPr>
            <w:tcW w:w="786" w:type="pct"/>
          </w:tcPr>
          <w:p w:rsidR="005558DB" w:rsidRPr="00E262EC" w:rsidRDefault="005558DB" w:rsidP="00A219EC">
            <w:pPr>
              <w:jc w:val="center"/>
              <w:rPr>
                <w:rFonts w:ascii="Arial Narrow" w:hAnsi="Arial Narrow"/>
                <w:i/>
                <w:sz w:val="18"/>
                <w:szCs w:val="18"/>
              </w:rPr>
            </w:pPr>
            <w:r w:rsidRPr="00E262EC">
              <w:rPr>
                <w:rFonts w:ascii="Arial Narrow" w:hAnsi="Arial Narrow"/>
                <w:i/>
                <w:sz w:val="18"/>
                <w:szCs w:val="18"/>
              </w:rPr>
              <w:t>1</w:t>
            </w:r>
          </w:p>
        </w:tc>
        <w:tc>
          <w:tcPr>
            <w:tcW w:w="629"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56</w:t>
            </w:r>
          </w:p>
        </w:tc>
        <w:tc>
          <w:tcPr>
            <w:tcW w:w="472"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w:t>
            </w:r>
          </w:p>
        </w:tc>
        <w:tc>
          <w:tcPr>
            <w:tcW w:w="655" w:type="pct"/>
          </w:tcPr>
          <w:p w:rsidR="005558DB" w:rsidRPr="00E262EC" w:rsidRDefault="005558DB" w:rsidP="00A219EC">
            <w:pPr>
              <w:rPr>
                <w:rFonts w:ascii="Arial Narrow" w:hAnsi="Arial Narrow"/>
                <w:i/>
                <w:sz w:val="18"/>
                <w:szCs w:val="18"/>
              </w:rPr>
            </w:pPr>
            <w:r w:rsidRPr="00E262EC">
              <w:rPr>
                <w:rFonts w:ascii="Arial Narrow" w:hAnsi="Arial Narrow"/>
                <w:i/>
                <w:sz w:val="18"/>
                <w:szCs w:val="18"/>
              </w:rPr>
              <w:t>Vimpat</w:t>
            </w:r>
          </w:p>
        </w:tc>
      </w:tr>
      <w:tr w:rsidR="00A219EC" w:rsidRPr="005558DB" w:rsidTr="00A219EC">
        <w:trPr>
          <w:cantSplit/>
          <w:trHeight w:val="243"/>
        </w:trPr>
        <w:tc>
          <w:tcPr>
            <w:tcW w:w="1672" w:type="pct"/>
          </w:tcPr>
          <w:p w:rsidR="005558DB" w:rsidRPr="00E26B78" w:rsidRDefault="005558DB" w:rsidP="00A219EC">
            <w:pPr>
              <w:ind w:left="-57"/>
              <w:rPr>
                <w:rFonts w:ascii="Arial Narrow" w:hAnsi="Arial Narrow"/>
                <w:i/>
                <w:sz w:val="18"/>
                <w:szCs w:val="18"/>
              </w:rPr>
            </w:pPr>
            <w:r w:rsidRPr="00E26B78">
              <w:rPr>
                <w:rFonts w:ascii="Arial Narrow" w:hAnsi="Arial Narrow"/>
                <w:i/>
                <w:sz w:val="18"/>
                <w:szCs w:val="18"/>
              </w:rPr>
              <w:t>lacosamide 10 mg/mL oral liquid, 200 mL</w:t>
            </w:r>
          </w:p>
        </w:tc>
        <w:tc>
          <w:tcPr>
            <w:tcW w:w="786" w:type="pct"/>
          </w:tcPr>
          <w:p w:rsidR="005558DB" w:rsidRPr="00E262EC" w:rsidRDefault="005558DB" w:rsidP="00A219EC">
            <w:pPr>
              <w:ind w:left="-108"/>
              <w:jc w:val="center"/>
              <w:rPr>
                <w:rFonts w:ascii="Arial Narrow" w:hAnsi="Arial Narrow"/>
                <w:i/>
                <w:sz w:val="18"/>
                <w:szCs w:val="18"/>
              </w:rPr>
            </w:pPr>
            <w:r w:rsidRPr="00E26B78">
              <w:rPr>
                <w:rFonts w:ascii="Arial Narrow" w:hAnsi="Arial Narrow"/>
                <w:i/>
                <w:sz w:val="18"/>
                <w:szCs w:val="18"/>
              </w:rPr>
              <w:t>NEW (not 11694L</w:t>
            </w:r>
            <w:r w:rsidRPr="00E262EC">
              <w:rPr>
                <w:rFonts w:ascii="Arial Narrow" w:hAnsi="Arial Narrow"/>
                <w:i/>
                <w:sz w:val="18"/>
                <w:szCs w:val="18"/>
              </w:rPr>
              <w:t>)</w:t>
            </w:r>
          </w:p>
        </w:tc>
        <w:tc>
          <w:tcPr>
            <w:tcW w:w="786" w:type="pct"/>
          </w:tcPr>
          <w:p w:rsidR="005558DB" w:rsidRPr="00E262EC" w:rsidRDefault="005558DB" w:rsidP="00A219EC">
            <w:pPr>
              <w:jc w:val="center"/>
              <w:rPr>
                <w:rFonts w:ascii="Arial Narrow" w:hAnsi="Arial Narrow"/>
                <w:i/>
                <w:sz w:val="18"/>
                <w:szCs w:val="18"/>
              </w:rPr>
            </w:pPr>
            <w:r w:rsidRPr="00E262EC">
              <w:rPr>
                <w:rFonts w:ascii="Arial Narrow" w:hAnsi="Arial Narrow"/>
                <w:i/>
                <w:sz w:val="18"/>
                <w:szCs w:val="18"/>
              </w:rPr>
              <w:t>2</w:t>
            </w:r>
          </w:p>
        </w:tc>
        <w:tc>
          <w:tcPr>
            <w:tcW w:w="629"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2</w:t>
            </w:r>
          </w:p>
        </w:tc>
        <w:tc>
          <w:tcPr>
            <w:tcW w:w="472" w:type="pct"/>
          </w:tcPr>
          <w:p w:rsidR="005558DB" w:rsidRPr="00E262EC" w:rsidRDefault="005558DB" w:rsidP="00A219EC">
            <w:pPr>
              <w:ind w:left="-108"/>
              <w:jc w:val="center"/>
              <w:rPr>
                <w:rFonts w:ascii="Arial Narrow" w:hAnsi="Arial Narrow"/>
                <w:i/>
                <w:sz w:val="18"/>
                <w:szCs w:val="18"/>
              </w:rPr>
            </w:pPr>
            <w:r w:rsidRPr="00E262EC">
              <w:rPr>
                <w:rFonts w:ascii="Arial Narrow" w:hAnsi="Arial Narrow"/>
                <w:i/>
                <w:sz w:val="18"/>
                <w:szCs w:val="18"/>
              </w:rPr>
              <w:t>5</w:t>
            </w:r>
          </w:p>
        </w:tc>
        <w:tc>
          <w:tcPr>
            <w:tcW w:w="655" w:type="pct"/>
          </w:tcPr>
          <w:p w:rsidR="005558DB" w:rsidRPr="00E262EC" w:rsidRDefault="005558DB" w:rsidP="00A219EC">
            <w:pPr>
              <w:rPr>
                <w:rFonts w:ascii="Arial Narrow" w:hAnsi="Arial Narrow"/>
                <w:i/>
                <w:sz w:val="18"/>
                <w:szCs w:val="18"/>
              </w:rPr>
            </w:pPr>
            <w:r w:rsidRPr="00E262EC">
              <w:rPr>
                <w:rFonts w:ascii="Arial Narrow" w:hAnsi="Arial Narrow"/>
                <w:i/>
                <w:sz w:val="18"/>
                <w:szCs w:val="18"/>
              </w:rPr>
              <w:t>Vimpat</w:t>
            </w:r>
          </w:p>
        </w:tc>
      </w:tr>
      <w:tr w:rsidR="005558DB" w:rsidRPr="005558DB" w:rsidTr="0022673B">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right w:val="single" w:sz="4" w:space="0" w:color="auto"/>
            </w:tcBorders>
          </w:tcPr>
          <w:p w:rsidR="005558DB" w:rsidRPr="00E262EC" w:rsidRDefault="005558DB" w:rsidP="00A219EC">
            <w:pPr>
              <w:pStyle w:val="Tabletext"/>
              <w:rPr>
                <w:b/>
                <w:sz w:val="18"/>
                <w:szCs w:val="18"/>
              </w:rPr>
            </w:pPr>
          </w:p>
        </w:tc>
      </w:tr>
      <w:tr w:rsidR="005558DB" w:rsidRPr="005558DB" w:rsidTr="0022673B">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right w:val="single" w:sz="4" w:space="0" w:color="auto"/>
            </w:tcBorders>
          </w:tcPr>
          <w:p w:rsidR="005558DB" w:rsidRPr="00E262EC" w:rsidRDefault="005558DB" w:rsidP="00A219EC">
            <w:pPr>
              <w:pStyle w:val="Tabletext"/>
              <w:rPr>
                <w:b/>
                <w:sz w:val="18"/>
                <w:szCs w:val="18"/>
              </w:rPr>
            </w:pPr>
            <w:r w:rsidRPr="00E262EC">
              <w:rPr>
                <w:b/>
                <w:sz w:val="18"/>
                <w:szCs w:val="18"/>
              </w:rPr>
              <w:t>Create new restriction summary number: [NEW] / Treatment of Concept: [NEW]</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E26B78" w:rsidRDefault="00A219EC" w:rsidP="00A219EC">
            <w:pPr>
              <w:pStyle w:val="Tabletext"/>
              <w:rPr>
                <w:sz w:val="18"/>
                <w:szCs w:val="18"/>
              </w:rPr>
            </w:pPr>
            <w:r w:rsidRPr="00E26B78">
              <w:rPr>
                <w:b/>
                <w:sz w:val="18"/>
                <w:szCs w:val="18"/>
              </w:rPr>
              <w:t>Category / Program:</w:t>
            </w:r>
            <w:r w:rsidRPr="00E26B78">
              <w:rPr>
                <w:sz w:val="18"/>
                <w:szCs w:val="18"/>
              </w:rPr>
              <w:t xml:space="preserve"> General Schedule - Section 85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sz w:val="18"/>
                <w:szCs w:val="18"/>
              </w:rPr>
            </w:pPr>
            <w:r w:rsidRPr="00A270A1">
              <w:rPr>
                <w:b/>
                <w:sz w:val="18"/>
                <w:szCs w:val="18"/>
              </w:rPr>
              <w:t xml:space="preserve">Prescriber type: </w:t>
            </w:r>
            <w:r w:rsidRPr="00E262EC">
              <w:rPr>
                <w:rFonts w:cs="Arial"/>
                <w:sz w:val="18"/>
                <w:szCs w:val="18"/>
              </w:rPr>
              <w:fldChar w:fldCharType="begin">
                <w:ffData>
                  <w:name w:val=""/>
                  <w:enabled/>
                  <w:calcOnExit w:val="0"/>
                  <w:checkBox>
                    <w:sizeAuto/>
                    <w:default w:val="1"/>
                  </w:checkBox>
                </w:ffData>
              </w:fldChar>
            </w:r>
            <w:r w:rsidRPr="00A270A1">
              <w:rPr>
                <w:rFonts w:cs="Arial"/>
                <w:sz w:val="18"/>
                <w:szCs w:val="18"/>
              </w:rPr>
              <w:instrText xml:space="preserve"> FORMCHECKBOX </w:instrText>
            </w:r>
            <w:r w:rsidR="00520DB9">
              <w:rPr>
                <w:rFonts w:cs="Arial"/>
                <w:sz w:val="18"/>
                <w:szCs w:val="18"/>
              </w:rPr>
            </w:r>
            <w:r w:rsidR="00520DB9">
              <w:rPr>
                <w:rFonts w:cs="Arial"/>
                <w:sz w:val="18"/>
                <w:szCs w:val="18"/>
              </w:rPr>
              <w:fldChar w:fldCharType="separate"/>
            </w:r>
            <w:r w:rsidRPr="00E262EC">
              <w:rPr>
                <w:rFonts w:cs="Arial"/>
                <w:sz w:val="18"/>
                <w:szCs w:val="18"/>
              </w:rPr>
              <w:fldChar w:fldCharType="end"/>
            </w:r>
            <w:r w:rsidRPr="00E262EC">
              <w:rPr>
                <w:rFonts w:cs="Arial"/>
                <w:sz w:val="18"/>
                <w:szCs w:val="18"/>
              </w:rPr>
              <w:t xml:space="preserve"> Medical Practitioners    </w:t>
            </w:r>
            <w:r w:rsidRPr="00E26B78">
              <w:rPr>
                <w:rFonts w:cs="Arial"/>
                <w:sz w:val="18"/>
                <w:szCs w:val="18"/>
              </w:rPr>
              <w:fldChar w:fldCharType="begin">
                <w:ffData>
                  <w:name w:val=""/>
                  <w:enabled/>
                  <w:calcOnExit w:val="0"/>
                  <w:checkBox>
                    <w:sizeAuto/>
                    <w:default w:val="1"/>
                  </w:checkBox>
                </w:ffData>
              </w:fldChar>
            </w:r>
            <w:r w:rsidRPr="00A270A1">
              <w:rPr>
                <w:rFonts w:cs="Arial"/>
                <w:sz w:val="18"/>
                <w:szCs w:val="18"/>
              </w:rPr>
              <w:instrText xml:space="preserve"> FORMCHECKBOX </w:instrText>
            </w:r>
            <w:r w:rsidR="00520DB9">
              <w:rPr>
                <w:rFonts w:cs="Arial"/>
                <w:sz w:val="18"/>
                <w:szCs w:val="18"/>
              </w:rPr>
            </w:r>
            <w:r w:rsidR="00520DB9">
              <w:rPr>
                <w:rFonts w:cs="Arial"/>
                <w:sz w:val="18"/>
                <w:szCs w:val="18"/>
              </w:rPr>
              <w:fldChar w:fldCharType="separate"/>
            </w:r>
            <w:r w:rsidRPr="00E26B78">
              <w:rPr>
                <w:rFonts w:cs="Arial"/>
                <w:sz w:val="18"/>
                <w:szCs w:val="18"/>
              </w:rPr>
              <w:fldChar w:fldCharType="end"/>
            </w:r>
            <w:r w:rsidRPr="00E26B78">
              <w:rPr>
                <w:rFonts w:cs="Arial"/>
                <w:sz w:val="18"/>
                <w:szCs w:val="18"/>
              </w:rPr>
              <w:t xml:space="preserve"> Nurse Practitioners - CTO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rFonts w:cs="Arial"/>
                <w:sz w:val="18"/>
                <w:szCs w:val="18"/>
              </w:rPr>
            </w:pPr>
            <w:r w:rsidRPr="00A270A1">
              <w:rPr>
                <w:b/>
                <w:sz w:val="18"/>
                <w:szCs w:val="18"/>
              </w:rPr>
              <w:t xml:space="preserve">Restriction: </w:t>
            </w:r>
            <w:r w:rsidRPr="00E26B78">
              <w:rPr>
                <w:sz w:val="18"/>
                <w:szCs w:val="18"/>
              </w:rPr>
              <w:fldChar w:fldCharType="begin">
                <w:ffData>
                  <w:name w:val="Check5"/>
                  <w:enabled/>
                  <w:calcOnExit w:val="0"/>
                  <w:checkBox>
                    <w:sizeAuto/>
                    <w:default w:val="1"/>
                  </w:checkBox>
                </w:ffData>
              </w:fldChar>
            </w:r>
            <w:r w:rsidRPr="00A270A1">
              <w:rPr>
                <w:sz w:val="18"/>
                <w:szCs w:val="18"/>
              </w:rPr>
              <w:instrText xml:space="preserve"> FORMCHECKBOX </w:instrText>
            </w:r>
            <w:r w:rsidR="00520DB9">
              <w:rPr>
                <w:sz w:val="18"/>
                <w:szCs w:val="18"/>
              </w:rPr>
            </w:r>
            <w:r w:rsidR="00520DB9">
              <w:rPr>
                <w:sz w:val="18"/>
                <w:szCs w:val="18"/>
              </w:rPr>
              <w:fldChar w:fldCharType="separate"/>
            </w:r>
            <w:r w:rsidRPr="00E26B78">
              <w:rPr>
                <w:sz w:val="18"/>
                <w:szCs w:val="18"/>
              </w:rPr>
              <w:fldChar w:fldCharType="end"/>
            </w:r>
            <w:r w:rsidRPr="00E26B78">
              <w:rPr>
                <w:sz w:val="18"/>
                <w:szCs w:val="18"/>
              </w:rPr>
              <w:t xml:space="preserve"> Authority Required – (STREAMLINED) [new code]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b/>
                <w:sz w:val="18"/>
                <w:szCs w:val="18"/>
              </w:rPr>
            </w:pPr>
            <w:r w:rsidRPr="00E26B78">
              <w:rPr>
                <w:b/>
                <w:sz w:val="18"/>
                <w:szCs w:val="18"/>
              </w:rPr>
              <w:t xml:space="preserve">PBS Indication: </w:t>
            </w:r>
            <w:r w:rsidRPr="00E26B78">
              <w:rPr>
                <w:sz w:val="18"/>
                <w:szCs w:val="18"/>
              </w:rPr>
              <w:t>Idiopathic generalised epilepsy with primary generalised tonic-clonic seizures</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E26B78" w:rsidRDefault="00A219EC" w:rsidP="00A219EC">
            <w:pPr>
              <w:pStyle w:val="Tabletext"/>
              <w:rPr>
                <w:i/>
                <w:sz w:val="18"/>
                <w:szCs w:val="18"/>
              </w:rPr>
            </w:pPr>
            <w:r w:rsidRPr="00E26B78">
              <w:rPr>
                <w:b/>
                <w:sz w:val="18"/>
                <w:szCs w:val="18"/>
              </w:rPr>
              <w:t xml:space="preserve">Treatment phase: </w:t>
            </w:r>
            <w:r w:rsidRPr="00E26B78">
              <w:rPr>
                <w:strike/>
                <w:sz w:val="18"/>
                <w:szCs w:val="18"/>
              </w:rPr>
              <w:t xml:space="preserve">Initial treatment </w:t>
            </w:r>
            <w:r w:rsidRPr="00E26B78">
              <w:rPr>
                <w:i/>
                <w:sz w:val="18"/>
                <w:szCs w:val="18"/>
              </w:rPr>
              <w:t>[blank]</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hideMark/>
          </w:tcPr>
          <w:p w:rsidR="00A219EC" w:rsidRPr="00E26B78" w:rsidRDefault="00A219EC" w:rsidP="00A219EC">
            <w:pPr>
              <w:pStyle w:val="TableText0"/>
              <w:keepNext w:val="0"/>
              <w:rPr>
                <w:color w:val="000000"/>
                <w:sz w:val="18"/>
                <w:szCs w:val="18"/>
              </w:rPr>
            </w:pPr>
            <w:r w:rsidRPr="00E26B78">
              <w:rPr>
                <w:b/>
                <w:sz w:val="18"/>
                <w:szCs w:val="18"/>
              </w:rPr>
              <w:t xml:space="preserve">Treatment criteria: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0"/>
              <w:keepNext w:val="0"/>
              <w:rPr>
                <w:b/>
                <w:i/>
                <w:sz w:val="18"/>
                <w:szCs w:val="18"/>
              </w:rPr>
            </w:pPr>
            <w:r w:rsidRPr="00E26B78">
              <w:rPr>
                <w:sz w:val="18"/>
                <w:szCs w:val="18"/>
              </w:rPr>
              <w:t xml:space="preserve">Must be treated by a neurologist </w:t>
            </w:r>
            <w:r w:rsidRPr="00A270A1">
              <w:rPr>
                <w:strike/>
                <w:sz w:val="18"/>
                <w:szCs w:val="18"/>
              </w:rPr>
              <w:t>or paediatrician</w:t>
            </w:r>
            <w:r w:rsidRPr="006A370A">
              <w:rPr>
                <w:sz w:val="18"/>
                <w:szCs w:val="18"/>
              </w:rPr>
              <w:t xml:space="preserve"> </w:t>
            </w:r>
            <w:r w:rsidRPr="006A370A">
              <w:rPr>
                <w:i/>
                <w:sz w:val="18"/>
                <w:szCs w:val="18"/>
              </w:rPr>
              <w:t>i</w:t>
            </w:r>
            <w:r w:rsidRPr="00E26B78">
              <w:rPr>
                <w:i/>
                <w:sz w:val="18"/>
                <w:szCs w:val="18"/>
              </w:rPr>
              <w:t>f: (i) initiating treatment, (ii) titrating the dose; or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0"/>
              <w:keepNext w:val="0"/>
              <w:rPr>
                <w:i/>
                <w:sz w:val="18"/>
                <w:szCs w:val="18"/>
              </w:rPr>
            </w:pPr>
            <w:r w:rsidRPr="00E26B78">
              <w:rPr>
                <w:i/>
                <w:sz w:val="18"/>
                <w:szCs w:val="18"/>
              </w:rPr>
              <w:t>Must be treated by one of the following prescriber types if continuing established treatment: (i) medical practitioner, (ii) nurse practitioner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0"/>
              <w:keepNext w:val="0"/>
              <w:rPr>
                <w:b/>
                <w:strike/>
                <w:sz w:val="18"/>
                <w:szCs w:val="18"/>
              </w:rPr>
            </w:pPr>
            <w:r w:rsidRPr="00E26B78">
              <w:rPr>
                <w:b/>
                <w:strike/>
                <w:sz w:val="18"/>
                <w:szCs w:val="18"/>
              </w:rPr>
              <w:t>OR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0"/>
              <w:keepNext w:val="0"/>
              <w:rPr>
                <w:b/>
                <w:strike/>
                <w:sz w:val="18"/>
                <w:szCs w:val="18"/>
              </w:rPr>
            </w:pPr>
            <w:r w:rsidRPr="00E26B78">
              <w:rPr>
                <w:b/>
                <w:strike/>
                <w:sz w:val="18"/>
                <w:szCs w:val="18"/>
              </w:rPr>
              <w:t>Treatment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0"/>
              <w:keepNext w:val="0"/>
              <w:rPr>
                <w:b/>
                <w:strike/>
                <w:sz w:val="18"/>
                <w:szCs w:val="18"/>
              </w:rPr>
            </w:pPr>
            <w:r w:rsidRPr="00E26B78">
              <w:rPr>
                <w:strike/>
                <w:sz w:val="18"/>
                <w:szCs w:val="18"/>
              </w:rPr>
              <w:t>Must be treated by a paediatrician</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Default"/>
              <w:rPr>
                <w:rFonts w:ascii="Arial Narrow" w:eastAsiaTheme="majorEastAsia" w:hAnsi="Arial Narrow" w:cstheme="majorBidi"/>
                <w:bCs/>
                <w:color w:val="auto"/>
                <w:sz w:val="18"/>
                <w:szCs w:val="18"/>
              </w:rPr>
            </w:pPr>
            <w:r w:rsidRPr="00E26B78">
              <w:rPr>
                <w:rFonts w:ascii="Arial Narrow" w:hAnsi="Arial Narrow"/>
                <w:b/>
                <w:sz w:val="18"/>
                <w:szCs w:val="18"/>
              </w:rPr>
              <w:t>Clinical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Default"/>
              <w:rPr>
                <w:rFonts w:ascii="Arial Narrow" w:eastAsiaTheme="majorEastAsia" w:hAnsi="Arial Narrow" w:cstheme="majorBidi"/>
                <w:bCs/>
                <w:i/>
                <w:color w:val="auto"/>
                <w:sz w:val="18"/>
                <w:szCs w:val="18"/>
              </w:rPr>
            </w:pPr>
            <w:r w:rsidRPr="00E26B78">
              <w:rPr>
                <w:rFonts w:ascii="Arial Narrow" w:eastAsiaTheme="majorEastAsia" w:hAnsi="Arial Narrow" w:cstheme="majorBidi"/>
                <w:bCs/>
                <w:color w:val="auto"/>
                <w:sz w:val="18"/>
                <w:szCs w:val="18"/>
              </w:rPr>
              <w:t xml:space="preserve">The condition must have failed to be controlled satisfactorily by at least two anti-epileptic drugs </w:t>
            </w:r>
            <w:r w:rsidRPr="00E26B78">
              <w:rPr>
                <w:rFonts w:ascii="Arial Narrow" w:eastAsiaTheme="majorEastAsia" w:hAnsi="Arial Narrow" w:cstheme="majorBidi"/>
                <w:bCs/>
                <w:i/>
                <w:color w:val="auto"/>
                <w:sz w:val="18"/>
                <w:szCs w:val="18"/>
              </w:rPr>
              <w:t>prior to when the drug is/was first commenced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rFonts w:eastAsiaTheme="majorEastAsia" w:cstheme="majorBidi"/>
                <w:b/>
                <w:bCs/>
                <w:sz w:val="18"/>
                <w:szCs w:val="18"/>
              </w:rPr>
            </w:pPr>
            <w:r w:rsidRPr="00E26B78">
              <w:rPr>
                <w:rFonts w:eastAsiaTheme="majorEastAsia" w:cstheme="majorBidi"/>
                <w:b/>
                <w:bCs/>
                <w:sz w:val="18"/>
                <w:szCs w:val="18"/>
              </w:rPr>
              <w:t>AND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rFonts w:eastAsiaTheme="majorEastAsia" w:cstheme="majorBidi"/>
                <w:bCs/>
                <w:sz w:val="18"/>
                <w:szCs w:val="18"/>
              </w:rPr>
            </w:pPr>
            <w:r w:rsidRPr="00E26B78">
              <w:rPr>
                <w:b/>
                <w:sz w:val="18"/>
                <w:szCs w:val="18"/>
              </w:rPr>
              <w:t>Clinical criteria:</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b/>
                <w:sz w:val="18"/>
                <w:szCs w:val="18"/>
              </w:rPr>
            </w:pPr>
            <w:r w:rsidRPr="00E26B78">
              <w:rPr>
                <w:rFonts w:eastAsiaTheme="majorEastAsia" w:cstheme="majorBidi"/>
                <w:bCs/>
                <w:sz w:val="18"/>
                <w:szCs w:val="18"/>
              </w:rPr>
              <w:t xml:space="preserve">The treatment must be </w:t>
            </w:r>
            <w:r w:rsidRPr="00E26B78">
              <w:rPr>
                <w:rFonts w:eastAsiaTheme="majorEastAsia" w:cstheme="majorBidi"/>
                <w:bCs/>
                <w:i/>
                <w:sz w:val="18"/>
                <w:szCs w:val="18"/>
              </w:rPr>
              <w:t>(for initiating treatment)/have been (for continuing treatment)</w:t>
            </w:r>
            <w:r w:rsidRPr="00E26B78">
              <w:rPr>
                <w:rFonts w:eastAsiaTheme="majorEastAsia" w:cstheme="majorBidi"/>
                <w:bCs/>
                <w:sz w:val="18"/>
                <w:szCs w:val="18"/>
              </w:rPr>
              <w:t xml:space="preserve"> in combination with at least one PBS-subsidised anti-epileptic drug</w:t>
            </w:r>
            <w:r w:rsidRPr="00E26B78">
              <w:rPr>
                <w:rFonts w:eastAsiaTheme="majorEastAsia" w:cstheme="majorBidi"/>
                <w:bCs/>
                <w:i/>
                <w:sz w:val="18"/>
                <w:szCs w:val="18"/>
              </w:rPr>
              <w:t xml:space="preserve"> at the time the drug is/was first commenced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B78" w:rsidRDefault="00A219EC" w:rsidP="00A219EC">
            <w:pPr>
              <w:pStyle w:val="Tabletext"/>
              <w:rPr>
                <w:color w:val="000000"/>
                <w:sz w:val="18"/>
                <w:szCs w:val="18"/>
              </w:rPr>
            </w:pPr>
            <w:r w:rsidRPr="00E26B78">
              <w:rPr>
                <w:b/>
                <w:sz w:val="18"/>
                <w:szCs w:val="18"/>
              </w:rPr>
              <w:t xml:space="preserve">Population criteria: </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Tabletext"/>
              <w:rPr>
                <w:b/>
                <w:strike/>
                <w:sz w:val="18"/>
                <w:szCs w:val="18"/>
              </w:rPr>
            </w:pPr>
            <w:r w:rsidRPr="00E262EC">
              <w:rPr>
                <w:rFonts w:eastAsiaTheme="majorEastAsia" w:cstheme="majorBidi"/>
                <w:bCs/>
                <w:strike/>
                <w:sz w:val="18"/>
                <w:szCs w:val="18"/>
              </w:rPr>
              <w:t>Patient must be aged 4 years or older</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C73EF4" w:rsidRDefault="00A219EC" w:rsidP="00A219EC">
            <w:pPr>
              <w:pStyle w:val="Tabletext"/>
              <w:rPr>
                <w:rFonts w:eastAsiaTheme="majorEastAsia" w:cstheme="majorBidi"/>
                <w:bCs/>
                <w:strike/>
                <w:sz w:val="18"/>
                <w:szCs w:val="18"/>
              </w:rPr>
            </w:pPr>
            <w:r w:rsidRPr="00C73EF4">
              <w:rPr>
                <w:rFonts w:eastAsiaTheme="majorEastAsia" w:cstheme="majorBidi"/>
                <w:bCs/>
                <w:i/>
                <w:strike/>
                <w:sz w:val="18"/>
                <w:szCs w:val="18"/>
              </w:rPr>
              <w:t>Patient must be aged in line with the age requirements specified in the approved Product Information for this drug</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Tabletext"/>
              <w:rPr>
                <w:b/>
                <w:iCs/>
                <w:sz w:val="18"/>
                <w:szCs w:val="18"/>
              </w:rPr>
            </w:pPr>
            <w:r w:rsidRPr="00E262EC">
              <w:rPr>
                <w:b/>
                <w:iCs/>
                <w:sz w:val="18"/>
                <w:szCs w:val="18"/>
              </w:rPr>
              <w:t xml:space="preserve">Administrative Advice: </w:t>
            </w:r>
            <w:r w:rsidRPr="00E262EC">
              <w:rPr>
                <w:sz w:val="18"/>
                <w:szCs w:val="18"/>
              </w:rPr>
              <w:t>Special Pricing Arrangements apply</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NormalWeb"/>
              <w:spacing w:before="0" w:after="0"/>
              <w:rPr>
                <w:rFonts w:ascii="Arial Narrow" w:hAnsi="Arial Narrow"/>
                <w:i/>
                <w:iCs/>
                <w:sz w:val="18"/>
                <w:szCs w:val="18"/>
              </w:rPr>
            </w:pPr>
            <w:r w:rsidRPr="00E262EC">
              <w:rPr>
                <w:rFonts w:ascii="Arial Narrow" w:hAnsi="Arial Narrow"/>
                <w:i/>
                <w:iCs/>
                <w:sz w:val="18"/>
                <w:szCs w:val="18"/>
              </w:rPr>
              <w:t>Apply the following administrative advice to the oral liquid only:</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NormalWeb"/>
              <w:spacing w:before="0" w:after="0"/>
              <w:rPr>
                <w:rFonts w:ascii="Arial Narrow" w:hAnsi="Arial Narrow"/>
                <w:b/>
                <w:i/>
                <w:iCs/>
                <w:sz w:val="18"/>
                <w:szCs w:val="18"/>
              </w:rPr>
            </w:pPr>
            <w:r w:rsidRPr="00E262EC">
              <w:rPr>
                <w:rFonts w:ascii="Arial Narrow" w:hAnsi="Arial Narrow"/>
                <w:b/>
                <w:i/>
                <w:iCs/>
                <w:sz w:val="18"/>
                <w:szCs w:val="18"/>
              </w:rPr>
              <w:t xml:space="preserve">Administrative Advice: </w:t>
            </w:r>
          </w:p>
          <w:p w:rsidR="00A219EC" w:rsidRPr="00E262EC" w:rsidRDefault="00A219EC" w:rsidP="00A219EC">
            <w:pPr>
              <w:pStyle w:val="NormalWeb"/>
              <w:spacing w:before="0" w:after="0"/>
              <w:rPr>
                <w:rFonts w:ascii="Arial Narrow" w:hAnsi="Arial Narrow"/>
                <w:b/>
                <w:i/>
                <w:iCs/>
                <w:sz w:val="18"/>
                <w:szCs w:val="18"/>
              </w:rPr>
            </w:pPr>
            <w:r w:rsidRPr="00E262EC">
              <w:rPr>
                <w:rFonts w:ascii="Arial Narrow" w:hAnsi="Arial Narrow"/>
                <w:i/>
                <w:iCs/>
                <w:sz w:val="18"/>
                <w:szCs w:val="18"/>
              </w:rPr>
              <w:t>Requests for increases to the maximum quantity/units seeking up to 6 units (corresponding to the Product Information’s maximum dose of 400 mg/day for this indication) are permitted.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NormalWeb"/>
              <w:spacing w:before="0" w:after="0"/>
              <w:rPr>
                <w:rFonts w:ascii="Arial Narrow" w:hAnsi="Arial Narrow"/>
                <w:b/>
                <w:i/>
                <w:iCs/>
                <w:sz w:val="18"/>
                <w:szCs w:val="18"/>
              </w:rPr>
            </w:pPr>
            <w:r w:rsidRPr="00E262EC">
              <w:rPr>
                <w:rFonts w:ascii="Arial Narrow" w:hAnsi="Arial Narrow"/>
                <w:i/>
                <w:iCs/>
                <w:sz w:val="18"/>
                <w:szCs w:val="18"/>
              </w:rPr>
              <w:t>Apply the following administrative advice to the tablets only:</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NormalWeb"/>
              <w:spacing w:before="0" w:after="0"/>
              <w:rPr>
                <w:rFonts w:ascii="Arial Narrow" w:hAnsi="Arial Narrow"/>
                <w:b/>
                <w:i/>
                <w:iCs/>
                <w:sz w:val="18"/>
                <w:szCs w:val="18"/>
              </w:rPr>
            </w:pPr>
            <w:r w:rsidRPr="00E262EC">
              <w:rPr>
                <w:rFonts w:ascii="Arial Narrow" w:hAnsi="Arial Narrow"/>
                <w:b/>
                <w:i/>
                <w:iCs/>
                <w:sz w:val="18"/>
                <w:szCs w:val="18"/>
              </w:rPr>
              <w:t xml:space="preserve">Administrative Advice: </w:t>
            </w:r>
            <w:r w:rsidRPr="00E262EC">
              <w:rPr>
                <w:rFonts w:ascii="Arial Narrow" w:hAnsi="Arial Narrow"/>
                <w:i/>
                <w:iCs/>
                <w:sz w:val="18"/>
                <w:szCs w:val="18"/>
              </w:rPr>
              <w:t>No increase in the maximum quantity or number of units may be authorised.</w:t>
            </w:r>
          </w:p>
        </w:tc>
      </w:tr>
      <w:tr w:rsidR="00A219EC" w:rsidRPr="005558DB" w:rsidTr="00A219EC">
        <w:tblPrEx>
          <w:tblCellMar>
            <w:left w:w="28" w:type="dxa"/>
            <w:right w:w="28" w:type="dxa"/>
          </w:tblCellMar>
          <w:tblLook w:val="04A0" w:firstRow="1" w:lastRow="0" w:firstColumn="1" w:lastColumn="0" w:noHBand="0" w:noVBand="1"/>
        </w:tblPrEx>
        <w:trPr>
          <w:trHeight w:val="284"/>
        </w:trPr>
        <w:tc>
          <w:tcPr>
            <w:tcW w:w="5000" w:type="pct"/>
            <w:gridSpan w:val="6"/>
            <w:tcBorders>
              <w:top w:val="single" w:sz="4" w:space="0" w:color="auto"/>
              <w:left w:val="single" w:sz="4" w:space="0" w:color="auto"/>
              <w:bottom w:val="single" w:sz="4" w:space="0" w:color="auto"/>
              <w:right w:val="single" w:sz="4" w:space="0" w:color="auto"/>
            </w:tcBorders>
          </w:tcPr>
          <w:p w:rsidR="00A219EC" w:rsidRPr="00E262EC" w:rsidRDefault="00A219EC" w:rsidP="00A219EC">
            <w:pPr>
              <w:pStyle w:val="NormalWeb"/>
              <w:spacing w:before="0" w:after="0"/>
              <w:rPr>
                <w:rFonts w:ascii="Arial Narrow" w:hAnsi="Arial Narrow"/>
                <w:iCs/>
                <w:sz w:val="18"/>
                <w:szCs w:val="18"/>
              </w:rPr>
            </w:pPr>
            <w:r w:rsidRPr="00E262EC">
              <w:rPr>
                <w:rFonts w:ascii="Arial Narrow" w:hAnsi="Arial Narrow"/>
                <w:b/>
                <w:iCs/>
                <w:sz w:val="18"/>
                <w:szCs w:val="18"/>
              </w:rPr>
              <w:t>Administrative Advice:</w:t>
            </w:r>
          </w:p>
          <w:p w:rsidR="00A219EC" w:rsidRPr="00E262EC" w:rsidRDefault="00A219EC" w:rsidP="00A219EC">
            <w:pPr>
              <w:pStyle w:val="NormalWeb"/>
              <w:spacing w:before="0" w:after="0"/>
              <w:rPr>
                <w:rFonts w:ascii="Arial Narrow" w:hAnsi="Arial Narrow"/>
                <w:iCs/>
                <w:sz w:val="18"/>
                <w:szCs w:val="18"/>
              </w:rPr>
            </w:pPr>
            <w:r w:rsidRPr="00E262EC">
              <w:rPr>
                <w:rFonts w:ascii="Arial Narrow" w:hAnsi="Arial Narrow"/>
                <w:b/>
                <w:iCs/>
                <w:sz w:val="18"/>
                <w:szCs w:val="18"/>
              </w:rPr>
              <w:t>Continuing Therapy Only</w:t>
            </w:r>
            <w:r w:rsidRPr="00E262EC">
              <w:rPr>
                <w:rFonts w:ascii="Arial Narrow" w:hAnsi="Arial Narrow"/>
                <w:iCs/>
                <w:sz w:val="18"/>
                <w:szCs w:val="18"/>
              </w:rPr>
              <w:t>:</w:t>
            </w:r>
          </w:p>
          <w:p w:rsidR="00A219EC" w:rsidRPr="00E262EC" w:rsidRDefault="00A219EC" w:rsidP="00A219EC">
            <w:pPr>
              <w:pStyle w:val="NormalWeb"/>
              <w:spacing w:before="0" w:after="0"/>
              <w:rPr>
                <w:rFonts w:ascii="Arial Narrow" w:hAnsi="Arial Narrow"/>
                <w:b/>
                <w:i/>
                <w:iCs/>
                <w:sz w:val="18"/>
                <w:szCs w:val="18"/>
              </w:rPr>
            </w:pPr>
            <w:r w:rsidRPr="00E262EC">
              <w:rPr>
                <w:rFonts w:ascii="Arial Narrow" w:hAnsi="Arial Narrow"/>
                <w:iCs/>
                <w:sz w:val="18"/>
                <w:szCs w:val="18"/>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CF5E55" w:rsidRDefault="00CF5E55" w:rsidP="00A25413"/>
    <w:p w:rsidR="00A25413" w:rsidRPr="00C3432C" w:rsidRDefault="00A25413" w:rsidP="00C3432C">
      <w:pPr>
        <w:pStyle w:val="3-BodyText"/>
      </w:pPr>
      <w:r w:rsidRPr="00C3432C">
        <w:t>The eligible age range differ</w:t>
      </w:r>
      <w:r w:rsidR="002D35D2" w:rsidRPr="00C3432C">
        <w:t>ed</w:t>
      </w:r>
      <w:r w:rsidRPr="00C3432C">
        <w:t xml:space="preserve"> between the broader requested restriction for lacosamide (4 years or older) and the current restriction for perampanel (12 years and older). </w:t>
      </w:r>
      <w:r w:rsidR="005C5195" w:rsidRPr="00C3432C">
        <w:t>Thus,</w:t>
      </w:r>
      <w:r w:rsidRPr="00C3432C">
        <w:t xml:space="preserve"> perampanel may not be the only </w:t>
      </w:r>
      <w:r w:rsidR="00C3432C" w:rsidRPr="00C3432C">
        <w:t>anti-epileptic drug (AED)</w:t>
      </w:r>
      <w:r w:rsidR="00C3432C">
        <w:rPr>
          <w:i/>
        </w:rPr>
        <w:t xml:space="preserve"> </w:t>
      </w:r>
      <w:r w:rsidRPr="00C3432C">
        <w:t xml:space="preserve">to be replaced by lacosamide. </w:t>
      </w:r>
      <w:r w:rsidR="005318D6">
        <w:t>T</w:t>
      </w:r>
      <w:r w:rsidRPr="00C3432C">
        <w:t xml:space="preserve">he age range requested for lacosamide </w:t>
      </w:r>
      <w:r w:rsidR="002D35D2" w:rsidRPr="00C3432C">
        <w:t>wa</w:t>
      </w:r>
      <w:r w:rsidRPr="00C3432C">
        <w:t>s consistent with the proposed TGA indication and the lacosamide SP0982 trial population. Of note, the paediatric group (&lt;18 years of age) represented only 20% of the total SP0982 study population.</w:t>
      </w:r>
      <w:r w:rsidR="007A7486">
        <w:t xml:space="preserve"> The </w:t>
      </w:r>
      <w:r w:rsidR="0060070C">
        <w:t>s</w:t>
      </w:r>
      <w:r w:rsidR="007A7486">
        <w:t xml:space="preserve">ponsor emphasised in the pre-PBAC response that the population aged 4–12 years is </w:t>
      </w:r>
      <w:r w:rsidR="00486B7D">
        <w:t>a small, discreet and highly vulnerable group where there is a significant unmet clinical need for treatment options.</w:t>
      </w:r>
    </w:p>
    <w:p w:rsidR="008E41D1" w:rsidRDefault="008E41D1" w:rsidP="008E41D1">
      <w:pPr>
        <w:pStyle w:val="3-BodyText"/>
      </w:pPr>
      <w:r>
        <w:t xml:space="preserve">The proposed PBS restriction is narrower than the study population in trial SP0982, as the study included </w:t>
      </w:r>
      <w:r w:rsidRPr="008E41D1">
        <w:t>patients who had been maintained on a stable dose of 1 to 2 AEDs (non-benzodiazepine), or 1 benzodiazepine AED with 1 to 2 non-benzodiazepine AEDs, for the previous 28 days. In contrast, the proposed PBS restriction for initial treatment with lacosamide states that it is to be used as add on-therapy in patients who have failed at least 2 prior treatments and remain uncontrolled despite the use of 1 concomitant treatment.</w:t>
      </w:r>
      <w:r>
        <w:t xml:space="preserve"> </w:t>
      </w:r>
    </w:p>
    <w:p w:rsidR="00A25413" w:rsidRPr="003C6DEF" w:rsidRDefault="00A25413" w:rsidP="008E41D1">
      <w:pPr>
        <w:pStyle w:val="3-BodyText"/>
      </w:pPr>
      <w:r w:rsidRPr="003C6DEF">
        <w:t>The proposed TGA indication for lacosamide d</w:t>
      </w:r>
      <w:r w:rsidR="002D35D2" w:rsidRPr="003C6DEF">
        <w:t>id</w:t>
      </w:r>
      <w:r w:rsidRPr="003C6DEF">
        <w:t xml:space="preserve"> not have a requirement for patients to have failed multiple AEDs, except for use as an add-on therapy. </w:t>
      </w:r>
      <w:r w:rsidR="005C5195" w:rsidRPr="003C6DEF">
        <w:t>Thus,</w:t>
      </w:r>
      <w:r w:rsidRPr="003C6DEF">
        <w:t xml:space="preserve"> the proposed PBS restriction </w:t>
      </w:r>
      <w:r w:rsidR="002D35D2" w:rsidRPr="003C6DEF">
        <w:t>wa</w:t>
      </w:r>
      <w:r w:rsidRPr="003C6DEF">
        <w:t>s narrower than the proposed TGA indication because it require</w:t>
      </w:r>
      <w:r w:rsidR="002D35D2" w:rsidRPr="003C6DEF">
        <w:t>d</w:t>
      </w:r>
      <w:r w:rsidRPr="003C6DEF">
        <w:t xml:space="preserve"> patients to have failed to be controlled by at least two AEDs (treatment with lacosamide must be in combination with at least one PBS-subsidised AED or simply as an add-on therapy).</w:t>
      </w:r>
      <w:r w:rsidR="008E41D1">
        <w:t xml:space="preserve"> </w:t>
      </w:r>
    </w:p>
    <w:p w:rsidR="00A25413" w:rsidRPr="002A2062" w:rsidRDefault="00B51B9F" w:rsidP="000D5EAE">
      <w:pPr>
        <w:pStyle w:val="3-BodyText"/>
      </w:pPr>
      <w:r>
        <w:t>The evaluation noted that m</w:t>
      </w:r>
      <w:r w:rsidR="005663BF" w:rsidRPr="003C6DEF">
        <w:t xml:space="preserve">ore than 50% of the study participants had no lifetime AEDs (defined as AEDs taken by the study participant at some point and stopped at least 28 days prior to Visit 1). </w:t>
      </w:r>
      <w:r w:rsidR="0060070C">
        <w:t>The s</w:t>
      </w:r>
      <w:r w:rsidR="006A4BA6" w:rsidRPr="002A2062">
        <w:t xml:space="preserve">ponsor stated in the </w:t>
      </w:r>
      <w:r w:rsidR="00600F96">
        <w:t>Pre-Sub-Committee Response</w:t>
      </w:r>
      <w:r w:rsidR="00600F96" w:rsidRPr="002A2062">
        <w:t xml:space="preserve"> </w:t>
      </w:r>
      <w:r w:rsidR="00600F96">
        <w:t>(</w:t>
      </w:r>
      <w:r w:rsidR="006A4BA6" w:rsidRPr="002A2062">
        <w:t>PSCR</w:t>
      </w:r>
      <w:r w:rsidR="00600F96">
        <w:t>)</w:t>
      </w:r>
      <w:r w:rsidR="00F4681C">
        <w:t xml:space="preserve"> and pre-PBAC response</w:t>
      </w:r>
      <w:r w:rsidR="006A4BA6" w:rsidRPr="002A2062">
        <w:t xml:space="preserve"> that the interpretation that more than 50% of the study participants had no lifetime AEDs is incorrect, and that it refers to the fact that a patient had not discontinued an AED in the 28 days before entering the trial</w:t>
      </w:r>
      <w:r w:rsidR="00D43491" w:rsidRPr="002A2062">
        <w:t>.</w:t>
      </w:r>
      <w:r w:rsidR="006A4BA6" w:rsidRPr="002A2062">
        <w:t xml:space="preserve"> </w:t>
      </w:r>
      <w:r w:rsidR="000A20FE">
        <w:t>The PBAC noted that</w:t>
      </w:r>
      <w:r w:rsidR="000A20FE" w:rsidRPr="00B51B9F">
        <w:rPr>
          <w:rFonts w:cstheme="minorHAnsi"/>
        </w:rPr>
        <w:t xml:space="preserve"> 45% of patients had at least one prior AED, and all patients were receiving one concomitant AED at trial entry</w:t>
      </w:r>
      <w:r w:rsidR="00D96FCC">
        <w:rPr>
          <w:rFonts w:cstheme="minorHAnsi"/>
        </w:rPr>
        <w:t xml:space="preserve">; </w:t>
      </w:r>
      <w:r w:rsidR="00CA45A9" w:rsidRPr="00B51B9F">
        <w:rPr>
          <w:rFonts w:cstheme="minorHAnsi"/>
        </w:rPr>
        <w:t>therefore</w:t>
      </w:r>
      <w:r w:rsidR="00D96FCC">
        <w:rPr>
          <w:rFonts w:cstheme="minorHAnsi"/>
        </w:rPr>
        <w:t>,</w:t>
      </w:r>
      <w:r w:rsidR="00CA45A9" w:rsidRPr="00B51B9F">
        <w:rPr>
          <w:rFonts w:cstheme="minorHAnsi"/>
        </w:rPr>
        <w:t xml:space="preserve"> 45% of</w:t>
      </w:r>
      <w:r w:rsidRPr="00B51B9F">
        <w:rPr>
          <w:rFonts w:cstheme="minorHAnsi"/>
        </w:rPr>
        <w:t xml:space="preserve"> </w:t>
      </w:r>
      <w:r w:rsidRPr="00B51B9F">
        <w:t>SP0982</w:t>
      </w:r>
      <w:r w:rsidR="00CA45A9" w:rsidRPr="00B51B9F">
        <w:rPr>
          <w:rFonts w:cstheme="minorHAnsi"/>
        </w:rPr>
        <w:t xml:space="preserve"> trial patients </w:t>
      </w:r>
      <w:r w:rsidR="00CA45A9" w:rsidRPr="00B51B9F">
        <w:t>failed to be controlled satisfactorily by at least two anti-epileptic drugs</w:t>
      </w:r>
      <w:r w:rsidR="000A20FE" w:rsidRPr="00B51B9F">
        <w:rPr>
          <w:rFonts w:cstheme="minorHAnsi"/>
        </w:rPr>
        <w:t>.</w:t>
      </w:r>
      <w:r w:rsidRPr="00B51B9F">
        <w:rPr>
          <w:rFonts w:cstheme="minorHAnsi"/>
        </w:rPr>
        <w:t xml:space="preserve"> The PBAC considered that Study</w:t>
      </w:r>
      <w:r>
        <w:rPr>
          <w:rFonts w:cstheme="minorHAnsi"/>
        </w:rPr>
        <w:t xml:space="preserve"> </w:t>
      </w:r>
      <w:r w:rsidRPr="003C6DEF">
        <w:t>SP0982</w:t>
      </w:r>
      <w:r>
        <w:t xml:space="preserve"> was adequately reflective of the </w:t>
      </w:r>
      <w:r w:rsidRPr="003C6DEF">
        <w:t xml:space="preserve">refractory patient population targeted in the requested </w:t>
      </w:r>
      <w:r w:rsidRPr="002A2062">
        <w:t>restriction.</w:t>
      </w:r>
    </w:p>
    <w:p w:rsidR="0022673B" w:rsidRDefault="00A25413" w:rsidP="008A5538">
      <w:pPr>
        <w:pStyle w:val="3-BodyText"/>
      </w:pPr>
      <w:r w:rsidRPr="003C6DEF">
        <w:t>Compared to the restriction for perampanel</w:t>
      </w:r>
      <w:r w:rsidR="00F34094" w:rsidRPr="003C6DEF">
        <w:t>,</w:t>
      </w:r>
      <w:r w:rsidR="008A5538" w:rsidRPr="003C6DEF">
        <w:t xml:space="preserve"> which allows only a neurologist to initiate treatment and adjust dosing, </w:t>
      </w:r>
      <w:r w:rsidRPr="003C6DEF">
        <w:t>the requested restriction for lacosamide include</w:t>
      </w:r>
      <w:r w:rsidR="002D35D2" w:rsidRPr="003C6DEF">
        <w:t>d</w:t>
      </w:r>
      <w:r w:rsidRPr="003C6DEF">
        <w:t xml:space="preserve"> the additional </w:t>
      </w:r>
      <w:r w:rsidR="00E262EC">
        <w:t>option</w:t>
      </w:r>
      <w:r w:rsidR="00E262EC" w:rsidRPr="003C6DEF">
        <w:t xml:space="preserve"> </w:t>
      </w:r>
      <w:r w:rsidRPr="003C6DEF">
        <w:t>for prescribing by a paediatrician (in addition to a neurologist)</w:t>
      </w:r>
      <w:r w:rsidR="00827FB9" w:rsidRPr="003C6DEF">
        <w:t>,</w:t>
      </w:r>
      <w:r w:rsidRPr="003C6DEF">
        <w:t xml:space="preserve"> </w:t>
      </w:r>
      <w:r w:rsidR="008A5538" w:rsidRPr="003C6DEF">
        <w:t xml:space="preserve">noting </w:t>
      </w:r>
      <w:r w:rsidRPr="003C6DEF">
        <w:t xml:space="preserve">the younger age range included </w:t>
      </w:r>
      <w:r w:rsidR="008A5538" w:rsidRPr="003C6DEF">
        <w:t>in the target population for lacosamide.</w:t>
      </w:r>
      <w:r w:rsidR="00E262EC">
        <w:t xml:space="preserve"> The </w:t>
      </w:r>
      <w:r w:rsidR="0060070C">
        <w:t>s</w:t>
      </w:r>
      <w:r w:rsidR="00E262EC">
        <w:t>ponsor maintained in the pre-PBAC response that the majority of generalised epilepsy occurs from childhood and patients are generally managed by a paediatricia</w:t>
      </w:r>
      <w:r w:rsidR="00A70F1D">
        <w:t>n</w:t>
      </w:r>
      <w:r w:rsidR="00E262EC">
        <w:t>.</w:t>
      </w:r>
      <w:r w:rsidR="00E46A5C">
        <w:t xml:space="preserve"> The </w:t>
      </w:r>
      <w:r w:rsidR="0060070C">
        <w:t>s</w:t>
      </w:r>
      <w:r w:rsidR="00E46A5C">
        <w:t xml:space="preserve">ponsor stated that flexibility is required for prescribing by a neurologist or </w:t>
      </w:r>
      <w:r w:rsidR="00E46A5C">
        <w:lastRenderedPageBreak/>
        <w:t xml:space="preserve">paediatrician in the extended age group of 4 years or older. The PBAC </w:t>
      </w:r>
      <w:r w:rsidR="00A47B1D">
        <w:t xml:space="preserve">agreed with the </w:t>
      </w:r>
      <w:r w:rsidR="0060070C">
        <w:t>s</w:t>
      </w:r>
      <w:r w:rsidR="00A47B1D">
        <w:t xml:space="preserve">ponsor </w:t>
      </w:r>
      <w:r w:rsidR="00E46A5C">
        <w:t>that lacosamide should be initiated by either a neurologist or paediatrician.</w:t>
      </w:r>
    </w:p>
    <w:p w:rsidR="00A25413" w:rsidRPr="003C6DEF" w:rsidRDefault="0022673B" w:rsidP="008A5538">
      <w:pPr>
        <w:pStyle w:val="3-BodyText"/>
      </w:pPr>
      <w:r>
        <w:t>In the pre-PBAC response, the sponsor proposed a continuing treatment listing for the 50 mg strength with a maximum qu</w:t>
      </w:r>
      <w:r w:rsidR="00C76A01">
        <w:t>antity of up to 4 packs. T</w:t>
      </w:r>
      <w:r>
        <w:t xml:space="preserve">he Secretariat noted that 50 mg is intended as a titration dose </w:t>
      </w:r>
      <w:r w:rsidR="00C76A01">
        <w:t xml:space="preserve">(hence the 14 tablet pack size) </w:t>
      </w:r>
      <w:r>
        <w:t>and expected there would be very little use as an ongoing maintenance dose. Patients requiring such a low dose on a continuing basis would likely be young children and these patients would likely require the oral liquid presentation, not the tablet presentation. However, it was noted that prescribers are under no obligation to seek the maximum quantity of 4 packs for this strength, therefore the Secretariat advised that such a listing would have utility in that it could be used to facilitate both maintenance treatment and dose titration purposes.</w:t>
      </w:r>
    </w:p>
    <w:p w:rsidR="003B14AB" w:rsidRDefault="00A23920" w:rsidP="008E41D1">
      <w:pPr>
        <w:pStyle w:val="3-BodyText"/>
      </w:pPr>
      <w:r w:rsidRPr="003C6DEF">
        <w:t>Th</w:t>
      </w:r>
      <w:r w:rsidR="00D24674" w:rsidRPr="003C6DEF">
        <w:t>e</w:t>
      </w:r>
      <w:r w:rsidRPr="003C6DEF">
        <w:t xml:space="preserve"> pricing of</w:t>
      </w:r>
      <w:r w:rsidR="006E1ABC">
        <w:t xml:space="preserve"> the comparator,</w:t>
      </w:r>
      <w:r w:rsidRPr="003C6DEF">
        <w:t xml:space="preserve"> p</w:t>
      </w:r>
      <w:r w:rsidR="00D24674" w:rsidRPr="003C6DEF">
        <w:t xml:space="preserve">erampanel </w:t>
      </w:r>
      <w:r w:rsidR="00635A68" w:rsidRPr="003C6DEF">
        <w:t xml:space="preserve">4 mg, </w:t>
      </w:r>
      <w:r w:rsidRPr="003C6DEF">
        <w:t xml:space="preserve">6 mg, 8 mg, 10 mg and 12 mg </w:t>
      </w:r>
      <w:r w:rsidR="00635A68" w:rsidRPr="003C6DEF">
        <w:t>(for continuing treatment)</w:t>
      </w:r>
      <w:r w:rsidR="006E1ABC">
        <w:t>,</w:t>
      </w:r>
      <w:r w:rsidR="00635A68" w:rsidRPr="003C6DEF">
        <w:t xml:space="preserve"> </w:t>
      </w:r>
      <w:r w:rsidR="009225F7" w:rsidRPr="003C6DEF">
        <w:t>is</w:t>
      </w:r>
      <w:r w:rsidR="00D24674" w:rsidRPr="003C6DEF">
        <w:t xml:space="preserve"> subject to a Special Pricing Arrangement </w:t>
      </w:r>
      <w:r w:rsidR="001C7992" w:rsidRPr="003C6DEF">
        <w:t xml:space="preserve">(SPA) </w:t>
      </w:r>
      <w:r w:rsidR="00D24674" w:rsidRPr="003C6DEF">
        <w:t xml:space="preserve">for </w:t>
      </w:r>
      <w:r w:rsidRPr="003C6DEF">
        <w:t xml:space="preserve">the PGTCS </w:t>
      </w:r>
      <w:r w:rsidR="00D24674" w:rsidRPr="003C6DEF">
        <w:t xml:space="preserve">indication. </w:t>
      </w:r>
      <w:r w:rsidR="006E1ABC">
        <w:t>T</w:t>
      </w:r>
      <w:r w:rsidR="00D24674" w:rsidRPr="003C6DEF">
        <w:t xml:space="preserve">he current PBS </w:t>
      </w:r>
      <w:r w:rsidR="00BB03DD" w:rsidRPr="003C6DEF">
        <w:t xml:space="preserve">published </w:t>
      </w:r>
      <w:r w:rsidR="00D24674" w:rsidRPr="003C6DEF">
        <w:t>prices</w:t>
      </w:r>
      <w:r w:rsidR="006E1ABC">
        <w:t xml:space="preserve"> for perampanel</w:t>
      </w:r>
      <w:r w:rsidR="00D24674" w:rsidRPr="003C6DEF">
        <w:t xml:space="preserve"> </w:t>
      </w:r>
      <w:r w:rsidR="009225F7" w:rsidRPr="003C6DEF">
        <w:t>we</w:t>
      </w:r>
      <w:r w:rsidR="00D24674" w:rsidRPr="003C6DEF">
        <w:t>re used in this submission.</w:t>
      </w:r>
      <w:r w:rsidR="006E1ABC">
        <w:t xml:space="preserve"> </w:t>
      </w:r>
      <w:r w:rsidR="008E41D1" w:rsidRPr="008E41D1">
        <w:t>The submission requested a SPA for lacosamide for initial or continuing therapy.</w:t>
      </w:r>
    </w:p>
    <w:p w:rsidR="002A7D1A" w:rsidRPr="003C6DEF" w:rsidRDefault="002A7D1A" w:rsidP="002A7D1A">
      <w:pPr>
        <w:pStyle w:val="3-BodyText"/>
        <w:numPr>
          <w:ilvl w:val="0"/>
          <w:numId w:val="0"/>
        </w:numPr>
        <w:ind w:left="720"/>
      </w:pPr>
      <w:r w:rsidRPr="00A413DE">
        <w:rPr>
          <w:i/>
        </w:rPr>
        <w:t>For more detail on PBAC’s view, see section 7 PBAC outcome.</w:t>
      </w:r>
    </w:p>
    <w:p w:rsidR="00A25413" w:rsidRPr="00C3432C" w:rsidRDefault="00A25413" w:rsidP="00A25413">
      <w:pPr>
        <w:pStyle w:val="2-SectionHeading"/>
        <w:numPr>
          <w:ilvl w:val="0"/>
          <w:numId w:val="1"/>
        </w:numPr>
      </w:pPr>
      <w:bookmarkStart w:id="6" w:name="_Toc62042737"/>
      <w:r w:rsidRPr="00C3432C">
        <w:t>Population and disease</w:t>
      </w:r>
      <w:bookmarkEnd w:id="6"/>
    </w:p>
    <w:p w:rsidR="00A25413" w:rsidRPr="00C3432C" w:rsidRDefault="00A25413" w:rsidP="00A25413">
      <w:pPr>
        <w:pStyle w:val="3-BodyText"/>
      </w:pPr>
      <w:r w:rsidRPr="00C3432C">
        <w:t>Worldwide, an estimated 65 million people have epilepsy at any given time and over 250,000 Australians are currently living with epilepsy (Epilepsy Action Australia, 2020)</w:t>
      </w:r>
      <w:r w:rsidR="003A3279">
        <w:t>.</w:t>
      </w:r>
      <w:r w:rsidRPr="00C3432C">
        <w:rPr>
          <w:rStyle w:val="FootnoteReference"/>
        </w:rPr>
        <w:footnoteReference w:id="1"/>
      </w:r>
      <w:r w:rsidRPr="00C3432C">
        <w:t xml:space="preserve"> IGE represents 20</w:t>
      </w:r>
      <w:r w:rsidR="001C7992">
        <w:t>%</w:t>
      </w:r>
      <w:r w:rsidRPr="00C3432C">
        <w:t xml:space="preserve"> to 40% of all epilepsies</w:t>
      </w:r>
      <w:r w:rsidR="003A3279">
        <w:t>.</w:t>
      </w:r>
      <w:r w:rsidR="00DA759B" w:rsidRPr="00C3432C">
        <w:rPr>
          <w:rStyle w:val="FootnoteReference"/>
        </w:rPr>
        <w:footnoteReference w:id="2"/>
      </w:r>
      <w:r w:rsidRPr="00C3432C">
        <w:t xml:space="preserve"> Generalised tonic-clonic seizures (GTCS) are one seizure type in IGE and it is estimated that up to 74% of adults and children with IGE include GTCS as one of their seizure types</w:t>
      </w:r>
      <w:r w:rsidR="003A3279">
        <w:t>.</w:t>
      </w:r>
      <w:r w:rsidR="00DA759B" w:rsidRPr="00C3432C">
        <w:rPr>
          <w:rStyle w:val="FootnoteReference"/>
        </w:rPr>
        <w:footnoteReference w:id="3"/>
      </w:r>
      <w:r w:rsidRPr="00C3432C">
        <w:t xml:space="preserve"> </w:t>
      </w:r>
      <w:r w:rsidR="00A232B4" w:rsidRPr="00C3432C">
        <w:t>PGTCS</w:t>
      </w:r>
      <w:r w:rsidRPr="00C3432C">
        <w:t xml:space="preserve"> are clinically characterised by a sudden onset with an initial tonic phase, in which patients experience generalised muscle contraction and body stiffening, followed by a clonic phase of rhythmic jerking of the face and limbs.</w:t>
      </w:r>
    </w:p>
    <w:p w:rsidR="00A25413" w:rsidRPr="003C6DEF" w:rsidRDefault="00A25413" w:rsidP="00A25413">
      <w:pPr>
        <w:pStyle w:val="3-BodyText"/>
      </w:pPr>
      <w:r w:rsidRPr="003C6DEF">
        <w:t>Classification issues: In the first round TGA clinical evaluation report for lacosamide the clinical evaluator noted that the proposed indication of primary generalised tonic-clonic seizures in patients with idiopathic generalised epilepsy aged 4 years and older referred to:</w:t>
      </w:r>
    </w:p>
    <w:p w:rsidR="00A25413" w:rsidRPr="003C6DEF" w:rsidRDefault="00A25413" w:rsidP="00010DA6">
      <w:pPr>
        <w:pStyle w:val="3-BodyText"/>
        <w:numPr>
          <w:ilvl w:val="0"/>
          <w:numId w:val="18"/>
        </w:numPr>
        <w:ind w:left="1077" w:hanging="357"/>
      </w:pPr>
      <w:r w:rsidRPr="003C6DEF">
        <w:t>Primary: The epilepsy is the condition diagnosed first (not symptomatic of another previously diagnosed condition);</w:t>
      </w:r>
    </w:p>
    <w:p w:rsidR="00A25413" w:rsidRPr="003C6DEF" w:rsidRDefault="00A25413" w:rsidP="00010DA6">
      <w:pPr>
        <w:pStyle w:val="3-BodyText"/>
        <w:numPr>
          <w:ilvl w:val="0"/>
          <w:numId w:val="18"/>
        </w:numPr>
        <w:ind w:left="1077" w:hanging="357"/>
      </w:pPr>
      <w:r w:rsidRPr="003C6DEF">
        <w:lastRenderedPageBreak/>
        <w:t>Generalised tonic-clonic seizures: Bilateral and symmetric generali</w:t>
      </w:r>
      <w:r w:rsidR="00771DF8" w:rsidRPr="003C6DEF">
        <w:t>s</w:t>
      </w:r>
      <w:r w:rsidRPr="003C6DEF">
        <w:t>ed motor seizures, that occur in an individual with loss of consciousness. The tonic-clonic seizure consists of a tonic (bilateral increased tone, lasting seconds to minutes) and then a clonic (bilateral sustained rhythmic jerking) phase, typically in this order, or sometimes with variations such as clonic-tonic-clonic and myoclonic-tonic-clonic); and</w:t>
      </w:r>
    </w:p>
    <w:p w:rsidR="00A25413" w:rsidRPr="003C6DEF" w:rsidRDefault="00A25413" w:rsidP="00010DA6">
      <w:pPr>
        <w:pStyle w:val="3-BodyText"/>
        <w:numPr>
          <w:ilvl w:val="0"/>
          <w:numId w:val="18"/>
        </w:numPr>
        <w:ind w:left="1077" w:hanging="357"/>
      </w:pPr>
      <w:r w:rsidRPr="003C6DEF">
        <w:t>Idiopathic: relating to, or denoting any disease or condition which arises spontaneously or for which the cause is unknown.</w:t>
      </w:r>
    </w:p>
    <w:p w:rsidR="00A25413" w:rsidRPr="003C6DEF" w:rsidRDefault="00A25413" w:rsidP="00A25413">
      <w:pPr>
        <w:pStyle w:val="3-BodyText"/>
      </w:pPr>
      <w:r w:rsidRPr="003C6DEF">
        <w:t xml:space="preserve">The clinical evaluator also stated that </w:t>
      </w:r>
    </w:p>
    <w:p w:rsidR="00A25413" w:rsidRPr="003C6DEF" w:rsidRDefault="00A25413" w:rsidP="00A25413">
      <w:pPr>
        <w:pStyle w:val="3-BodyText"/>
        <w:numPr>
          <w:ilvl w:val="0"/>
          <w:numId w:val="0"/>
        </w:numPr>
        <w:ind w:left="1440"/>
      </w:pPr>
      <w:r w:rsidRPr="003C6DEF">
        <w:t>“</w:t>
      </w:r>
      <w:r w:rsidR="005C5195" w:rsidRPr="003C6DEF">
        <w:t>T</w:t>
      </w:r>
      <w:r w:rsidRPr="003C6DEF">
        <w:t>he proposed indication no longer exists in the presently accepted framework for diagnosing and classifying epileps</w:t>
      </w:r>
      <w:r w:rsidR="0060070C">
        <w:t>y. This creates a paradox: the s</w:t>
      </w:r>
      <w:r w:rsidRPr="003C6DEF">
        <w:t>ponsor, quite correctly, developed lacosamide using the framework available at the time, but in the interim the diagnostic framework has evolved. In the opinion of the Clinical Evaluator, it is possible to map the proposed indication to the currently used diagnostic framework. Experienced clinicians will be able to do this themselves. However, less experienced clinicians may require some guidance in the Product Information to enable this process, especially as, in the course of time, the older diagnostic framework recedes from collective memory”.</w:t>
      </w:r>
    </w:p>
    <w:p w:rsidR="00A25413" w:rsidRDefault="00A25413" w:rsidP="00A25413">
      <w:pPr>
        <w:pStyle w:val="3-BodyText"/>
      </w:pPr>
      <w:r w:rsidRPr="003C6DEF">
        <w:t>This issue raised by the clinical evaluator also appears to apply to the current PBS PGTCS restriction wording for perampanel.</w:t>
      </w:r>
    </w:p>
    <w:p w:rsidR="002A7D1A" w:rsidRPr="003C6DEF" w:rsidRDefault="002A7D1A" w:rsidP="002A7D1A">
      <w:pPr>
        <w:pStyle w:val="3-BodyText"/>
        <w:numPr>
          <w:ilvl w:val="0"/>
          <w:numId w:val="0"/>
        </w:numPr>
        <w:ind w:left="720"/>
      </w:pPr>
      <w:r w:rsidRPr="00AC3C67">
        <w:rPr>
          <w:i/>
        </w:rPr>
        <w:t>For more detail on PBAC’s view, see section 7 PBAC outcome.</w:t>
      </w:r>
    </w:p>
    <w:p w:rsidR="00A25413" w:rsidRPr="00C3432C" w:rsidRDefault="00A25413" w:rsidP="00A25413">
      <w:pPr>
        <w:pStyle w:val="2-SectionHeading"/>
        <w:numPr>
          <w:ilvl w:val="0"/>
          <w:numId w:val="1"/>
        </w:numPr>
      </w:pPr>
      <w:bookmarkStart w:id="7" w:name="_Toc62042738"/>
      <w:r w:rsidRPr="00C3432C">
        <w:t>Comparator</w:t>
      </w:r>
      <w:bookmarkEnd w:id="7"/>
    </w:p>
    <w:p w:rsidR="00A25413" w:rsidRPr="00F7511B" w:rsidRDefault="00A25413" w:rsidP="00A25413">
      <w:pPr>
        <w:pStyle w:val="3-BodyText"/>
        <w:rPr>
          <w:i/>
        </w:rPr>
      </w:pPr>
      <w:r w:rsidRPr="00C3432C">
        <w:t xml:space="preserve">The submission nominated perampanel as the main comparator. </w:t>
      </w:r>
      <w:r w:rsidR="00EB7DB2">
        <w:t>P</w:t>
      </w:r>
      <w:r w:rsidRPr="00C3432C">
        <w:t xml:space="preserve">erampanel is listed on the PBS for the treatment of adults and </w:t>
      </w:r>
      <w:r w:rsidRPr="003C6DEF">
        <w:t xml:space="preserve">children aged ≥12 years with refractory PGTCS whereas the requested listing </w:t>
      </w:r>
      <w:r w:rsidR="001C7992" w:rsidRPr="003C6DEF">
        <w:t xml:space="preserve">for lacosamide </w:t>
      </w:r>
      <w:r w:rsidRPr="003C6DEF">
        <w:t>is the treatment of adults and children aged ≥</w:t>
      </w:r>
      <w:r w:rsidRPr="00C6075F">
        <w:t>4 years</w:t>
      </w:r>
      <w:r w:rsidR="00EB7DB2">
        <w:t>.</w:t>
      </w:r>
      <w:r w:rsidRPr="00C6075F">
        <w:t xml:space="preserve"> </w:t>
      </w:r>
    </w:p>
    <w:p w:rsidR="009D4075" w:rsidRDefault="009D4075" w:rsidP="009A7335">
      <w:pPr>
        <w:pStyle w:val="3-BodyText"/>
      </w:pPr>
      <w:r>
        <w:t>While p</w:t>
      </w:r>
      <w:r w:rsidR="00A25413" w:rsidRPr="003C6DEF">
        <w:t xml:space="preserve">erampanel </w:t>
      </w:r>
      <w:r w:rsidR="00D81054" w:rsidRPr="003C6DEF">
        <w:t>i</w:t>
      </w:r>
      <w:r w:rsidR="00A25413" w:rsidRPr="003C6DEF">
        <w:t>s a relevant comparator</w:t>
      </w:r>
      <w:r>
        <w:t xml:space="preserve">, </w:t>
      </w:r>
      <w:r w:rsidR="007F1687" w:rsidRPr="003C6DEF">
        <w:t xml:space="preserve">other </w:t>
      </w:r>
      <w:r w:rsidR="00C56794" w:rsidRPr="003C6DEF">
        <w:t xml:space="preserve">AEDs may be substituted by lacosamide for patients in clinical practice who may not be considered suitable for perampanel. The age disparity for eligibility between the current perampanel listing </w:t>
      </w:r>
      <w:r w:rsidR="001749DF">
        <w:t xml:space="preserve">(≥12 years) </w:t>
      </w:r>
      <w:r w:rsidR="00C56794" w:rsidRPr="003C6DEF">
        <w:t>and that requested for lacosamide</w:t>
      </w:r>
      <w:r w:rsidR="001749DF">
        <w:t xml:space="preserve"> (</w:t>
      </w:r>
      <w:r w:rsidR="001749DF" w:rsidRPr="003C6DEF">
        <w:t>≥</w:t>
      </w:r>
      <w:r w:rsidR="001749DF" w:rsidRPr="00C6075F">
        <w:t>4 years</w:t>
      </w:r>
      <w:r w:rsidR="001749DF">
        <w:t>)</w:t>
      </w:r>
      <w:r w:rsidR="00C56794" w:rsidRPr="003C6DEF">
        <w:t xml:space="preserve"> may be one such factor that may result in </w:t>
      </w:r>
      <w:r w:rsidR="00263AFC">
        <w:t>the substitution of other AEDs.</w:t>
      </w:r>
      <w:r w:rsidR="00FD704E" w:rsidRPr="003C6DEF">
        <w:t xml:space="preserve"> There are some AEDs </w:t>
      </w:r>
      <w:r w:rsidR="00803029">
        <w:t xml:space="preserve">that </w:t>
      </w:r>
      <w:r w:rsidR="00FD704E" w:rsidRPr="003C6DEF">
        <w:t>could be used in the proposed target population which may be less costly than the nominated comparator perampanel: lamotrigine, levetiracetam, topiramate and valproate.</w:t>
      </w:r>
      <w:r w:rsidR="009A7335">
        <w:t xml:space="preserve"> </w:t>
      </w:r>
    </w:p>
    <w:p w:rsidR="00A25413" w:rsidRDefault="009A7335" w:rsidP="00B43EED">
      <w:pPr>
        <w:pStyle w:val="3-BodyText"/>
      </w:pPr>
      <w:r>
        <w:t>The PBAC noted that while other AEDs could be considered</w:t>
      </w:r>
      <w:r w:rsidR="00B43EED">
        <w:t xml:space="preserve"> comparators, as well as no treatment (placebo)</w:t>
      </w:r>
      <w:r>
        <w:t xml:space="preserve"> with respect to last line therapy, </w:t>
      </w:r>
      <w:r w:rsidR="009D4075">
        <w:t>it</w:t>
      </w:r>
      <w:r>
        <w:t xml:space="preserve"> acknowledged the </w:t>
      </w:r>
      <w:r w:rsidR="0060070C">
        <w:t>s</w:t>
      </w:r>
      <w:r>
        <w:t xml:space="preserve">ponsor’s </w:t>
      </w:r>
      <w:r w:rsidR="00335BAF">
        <w:t xml:space="preserve">reasoning </w:t>
      </w:r>
      <w:r>
        <w:t>in the PSCR</w:t>
      </w:r>
      <w:r w:rsidRPr="00E55334">
        <w:t>,</w:t>
      </w:r>
      <w:r>
        <w:t xml:space="preserve"> that</w:t>
      </w:r>
      <w:r w:rsidR="00B43EED">
        <w:t xml:space="preserve"> perampanel is the only other treatment specifically reimbursed for the same population, </w:t>
      </w:r>
      <w:r w:rsidR="009D4075">
        <w:t xml:space="preserve">and </w:t>
      </w:r>
      <w:r w:rsidR="00B43EED">
        <w:t xml:space="preserve">the current perampanel price is weighted based on a mix of replacing other AEDs and no treatment (placebo) </w:t>
      </w:r>
      <w:r w:rsidR="00B43EED">
        <w:lastRenderedPageBreak/>
        <w:t>(</w:t>
      </w:r>
      <w:r w:rsidR="00C37D92" w:rsidRPr="00C37D92">
        <w:t>paragraph 7.1</w:t>
      </w:r>
      <w:r w:rsidR="00B43EED">
        <w:t xml:space="preserve">, perampanel </w:t>
      </w:r>
      <w:r w:rsidR="00600F96">
        <w:t>Public Summary Document (</w:t>
      </w:r>
      <w:r w:rsidR="00B43EED">
        <w:t>PSD</w:t>
      </w:r>
      <w:r w:rsidR="00600F96">
        <w:t>)</w:t>
      </w:r>
      <w:r w:rsidR="00B43EED">
        <w:t>, July 2017)</w:t>
      </w:r>
      <w:r w:rsidR="00E55334">
        <w:t xml:space="preserve">. The PBAC further noted </w:t>
      </w:r>
      <w:r w:rsidR="00B43EED">
        <w:t>that both perampanel and lacosamide are</w:t>
      </w:r>
      <w:r w:rsidR="006732E2">
        <w:t xml:space="preserve"> likely to be</w:t>
      </w:r>
      <w:r w:rsidR="00B43EED">
        <w:t xml:space="preserve"> added on top o</w:t>
      </w:r>
      <w:r w:rsidR="00803029">
        <w:t>f</w:t>
      </w:r>
      <w:r w:rsidR="00B43EED">
        <w:t xml:space="preserve"> a</w:t>
      </w:r>
      <w:r w:rsidR="006732E2">
        <w:t>nother AED rather than replace</w:t>
      </w:r>
      <w:r w:rsidR="00B43EED">
        <w:t xml:space="preserve"> it.</w:t>
      </w:r>
      <w:r w:rsidR="00B509B0" w:rsidRPr="003C6DEF">
        <w:t xml:space="preserve"> </w:t>
      </w:r>
      <w:r w:rsidR="00C37D92">
        <w:t>The PBAC considered that perampanel is a reasonable comparator.</w:t>
      </w:r>
    </w:p>
    <w:p w:rsidR="002A7D1A" w:rsidRPr="003C6DEF" w:rsidRDefault="002A7D1A" w:rsidP="002A7D1A">
      <w:pPr>
        <w:pStyle w:val="3-BodyText"/>
        <w:numPr>
          <w:ilvl w:val="0"/>
          <w:numId w:val="0"/>
        </w:numPr>
        <w:ind w:left="720"/>
      </w:pPr>
      <w:r w:rsidRPr="00C37D92">
        <w:rPr>
          <w:i/>
        </w:rPr>
        <w:t>For more detail on PBAC’s view, see section 7 PBAC outcome.</w:t>
      </w:r>
    </w:p>
    <w:p w:rsidR="00A25413" w:rsidRDefault="00A25413" w:rsidP="00A25413">
      <w:pPr>
        <w:pStyle w:val="2-SectionHeading"/>
        <w:numPr>
          <w:ilvl w:val="0"/>
          <w:numId w:val="1"/>
        </w:numPr>
      </w:pPr>
      <w:bookmarkStart w:id="8" w:name="_Toc62042739"/>
      <w:bookmarkStart w:id="9" w:name="_Toc22897640"/>
      <w:r w:rsidRPr="00C3432C">
        <w:t>Consideration of the evidence</w:t>
      </w:r>
      <w:bookmarkEnd w:id="8"/>
    </w:p>
    <w:p w:rsidR="003F25E0" w:rsidRPr="00836F75" w:rsidRDefault="003F25E0" w:rsidP="003F25E0">
      <w:pPr>
        <w:pStyle w:val="4-SubsectionHeading"/>
        <w:rPr>
          <w:snapToGrid w:val="0"/>
        </w:rPr>
      </w:pPr>
      <w:r w:rsidRPr="00836F75">
        <w:rPr>
          <w:snapToGrid w:val="0"/>
        </w:rPr>
        <w:t>Sponsor hearing</w:t>
      </w:r>
    </w:p>
    <w:p w:rsidR="00974F67" w:rsidRPr="00836F75" w:rsidRDefault="00974F67" w:rsidP="00974F67">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There was no hearing for this item.</w:t>
      </w:r>
    </w:p>
    <w:p w:rsidR="003F25E0" w:rsidRPr="00836F75" w:rsidRDefault="003F25E0" w:rsidP="003F25E0">
      <w:pPr>
        <w:pStyle w:val="4-SubsectionHeading"/>
        <w:rPr>
          <w:snapToGrid w:val="0"/>
        </w:rPr>
      </w:pPr>
      <w:r w:rsidRPr="00836F75">
        <w:rPr>
          <w:snapToGrid w:val="0"/>
        </w:rPr>
        <w:t>Consumer comments</w:t>
      </w:r>
    </w:p>
    <w:p w:rsidR="003F25E0" w:rsidRPr="00F93056" w:rsidRDefault="00974F67" w:rsidP="00F93056">
      <w:pPr>
        <w:widowControl w:val="0"/>
        <w:numPr>
          <w:ilvl w:val="1"/>
          <w:numId w:val="1"/>
        </w:numPr>
        <w:spacing w:after="120"/>
        <w:rPr>
          <w:rFonts w:asciiTheme="minorHAnsi" w:hAnsiTheme="minorHAnsi"/>
          <w:bCs/>
          <w:snapToGrid w:val="0"/>
        </w:rPr>
      </w:pPr>
      <w:r w:rsidRPr="00836F75">
        <w:rPr>
          <w:rFonts w:asciiTheme="minorHAnsi" w:hAnsiTheme="minorHAnsi"/>
          <w:bCs/>
          <w:snapToGrid w:val="0"/>
        </w:rPr>
        <w:t xml:space="preserve">The PBAC noted and welcomed the input from </w:t>
      </w:r>
      <w:r w:rsidR="00126DDF">
        <w:rPr>
          <w:rFonts w:asciiTheme="minorHAnsi" w:hAnsiTheme="minorHAnsi"/>
          <w:bCs/>
          <w:snapToGrid w:val="0"/>
        </w:rPr>
        <w:t>the National Paediatric Medicines Forum (NPMF)</w:t>
      </w:r>
      <w:r w:rsidRPr="00836F75">
        <w:rPr>
          <w:rFonts w:asciiTheme="minorHAnsi" w:hAnsiTheme="minorHAnsi"/>
          <w:bCs/>
          <w:snapToGrid w:val="0"/>
        </w:rPr>
        <w:t xml:space="preserve"> via the Consumer Commen</w:t>
      </w:r>
      <w:r w:rsidR="00126DDF">
        <w:rPr>
          <w:rFonts w:asciiTheme="minorHAnsi" w:hAnsiTheme="minorHAnsi"/>
          <w:bCs/>
          <w:snapToGrid w:val="0"/>
        </w:rPr>
        <w:t>ts facility on the PBS website.</w:t>
      </w:r>
      <w:r w:rsidRPr="00836F75">
        <w:rPr>
          <w:rFonts w:asciiTheme="minorHAnsi" w:hAnsiTheme="minorHAnsi"/>
          <w:bCs/>
          <w:snapToGrid w:val="0"/>
        </w:rPr>
        <w:t xml:space="preserve"> The </w:t>
      </w:r>
      <w:r w:rsidR="00FB5382">
        <w:rPr>
          <w:rFonts w:asciiTheme="minorHAnsi" w:hAnsiTheme="minorHAnsi"/>
          <w:bCs/>
          <w:snapToGrid w:val="0"/>
        </w:rPr>
        <w:t>NPMF</w:t>
      </w:r>
      <w:r w:rsidRPr="00836F75">
        <w:rPr>
          <w:rFonts w:asciiTheme="minorHAnsi" w:hAnsiTheme="minorHAnsi"/>
          <w:bCs/>
          <w:snapToGrid w:val="0"/>
        </w:rPr>
        <w:t xml:space="preserve"> described a range of benefits of treatment with </w:t>
      </w:r>
      <w:r w:rsidR="00126DDF">
        <w:rPr>
          <w:rFonts w:asciiTheme="minorHAnsi" w:hAnsiTheme="minorHAnsi"/>
          <w:bCs/>
          <w:snapToGrid w:val="0"/>
        </w:rPr>
        <w:t>lacosamide</w:t>
      </w:r>
      <w:r w:rsidR="002E2A3F">
        <w:rPr>
          <w:rFonts w:asciiTheme="minorHAnsi" w:hAnsiTheme="minorHAnsi"/>
          <w:bCs/>
          <w:snapToGrid w:val="0"/>
        </w:rPr>
        <w:t xml:space="preserve"> specifically for paediatric patients</w:t>
      </w:r>
      <w:r w:rsidR="00FB5382">
        <w:rPr>
          <w:rFonts w:asciiTheme="minorHAnsi" w:hAnsiTheme="minorHAnsi"/>
          <w:bCs/>
          <w:snapToGrid w:val="0"/>
        </w:rPr>
        <w:t>,</w:t>
      </w:r>
      <w:r w:rsidRPr="00836F75">
        <w:rPr>
          <w:rFonts w:asciiTheme="minorHAnsi" w:hAnsiTheme="minorHAnsi"/>
          <w:bCs/>
          <w:snapToGrid w:val="0"/>
        </w:rPr>
        <w:t xml:space="preserve"> including</w:t>
      </w:r>
      <w:r w:rsidR="00FB5382">
        <w:rPr>
          <w:rFonts w:asciiTheme="minorHAnsi" w:hAnsiTheme="minorHAnsi"/>
          <w:bCs/>
          <w:snapToGrid w:val="0"/>
        </w:rPr>
        <w:t xml:space="preserve"> easy dosing administration in children due to the number of strengths available. The NPMF </w:t>
      </w:r>
      <w:r w:rsidR="00323C18">
        <w:rPr>
          <w:rFonts w:asciiTheme="minorHAnsi" w:hAnsiTheme="minorHAnsi"/>
          <w:bCs/>
          <w:snapToGrid w:val="0"/>
        </w:rPr>
        <w:t>considered</w:t>
      </w:r>
      <w:r w:rsidR="00FB5382">
        <w:rPr>
          <w:rFonts w:asciiTheme="minorHAnsi" w:hAnsiTheme="minorHAnsi"/>
          <w:bCs/>
          <w:snapToGrid w:val="0"/>
        </w:rPr>
        <w:t xml:space="preserve"> that use of lacosamide would increase patient compliance and in turn reduce the number of presentations to hospitals and general practitioners for uncontrolled seizures.</w:t>
      </w:r>
      <w:r w:rsidR="00F93056">
        <w:rPr>
          <w:rFonts w:asciiTheme="minorHAnsi" w:hAnsiTheme="minorHAnsi"/>
          <w:bCs/>
          <w:snapToGrid w:val="0"/>
        </w:rPr>
        <w:t xml:space="preserve"> </w:t>
      </w:r>
      <w:r w:rsidRPr="00F93056">
        <w:rPr>
          <w:rFonts w:asciiTheme="minorHAnsi" w:hAnsiTheme="minorHAnsi"/>
          <w:bCs/>
          <w:snapToGrid w:val="0"/>
        </w:rPr>
        <w:t xml:space="preserve">The PBAC noted the advice received from </w:t>
      </w:r>
      <w:r w:rsidR="00126DDF" w:rsidRPr="00F93056">
        <w:rPr>
          <w:rFonts w:asciiTheme="minorHAnsi" w:hAnsiTheme="minorHAnsi"/>
          <w:bCs/>
          <w:snapToGrid w:val="0"/>
        </w:rPr>
        <w:t>the NPMF</w:t>
      </w:r>
      <w:r w:rsidRPr="00F93056">
        <w:rPr>
          <w:rFonts w:asciiTheme="minorHAnsi" w:hAnsiTheme="minorHAnsi"/>
          <w:bCs/>
          <w:snapToGrid w:val="0"/>
        </w:rPr>
        <w:t xml:space="preserve"> </w:t>
      </w:r>
      <w:r w:rsidRPr="00E061B9">
        <w:rPr>
          <w:rFonts w:asciiTheme="minorHAnsi" w:hAnsiTheme="minorHAnsi"/>
          <w:bCs/>
          <w:snapToGrid w:val="0"/>
        </w:rPr>
        <w:t>was</w:t>
      </w:r>
      <w:r w:rsidRPr="00F93056">
        <w:rPr>
          <w:rFonts w:asciiTheme="minorHAnsi" w:hAnsiTheme="minorHAnsi"/>
          <w:bCs/>
          <w:snapToGrid w:val="0"/>
        </w:rPr>
        <w:t xml:space="preserve"> supportive of the evidence provided in the submission.</w:t>
      </w:r>
    </w:p>
    <w:p w:rsidR="00E94D78" w:rsidRDefault="00E94D78" w:rsidP="00E94D78">
      <w:pPr>
        <w:pStyle w:val="4-SubsectionHeading"/>
        <w:rPr>
          <w:snapToGrid w:val="0"/>
        </w:rPr>
      </w:pPr>
      <w:bookmarkStart w:id="10" w:name="_Toc62042740"/>
      <w:r w:rsidRPr="00C3432C">
        <w:t>Clinical trials</w:t>
      </w:r>
      <w:bookmarkEnd w:id="10"/>
    </w:p>
    <w:bookmarkEnd w:id="9"/>
    <w:p w:rsidR="00A25413" w:rsidRPr="00E94D78" w:rsidRDefault="00A25413" w:rsidP="00812E7B">
      <w:pPr>
        <w:widowControl w:val="0"/>
        <w:numPr>
          <w:ilvl w:val="1"/>
          <w:numId w:val="1"/>
        </w:numPr>
        <w:spacing w:after="120"/>
        <w:rPr>
          <w:rFonts w:asciiTheme="minorHAnsi" w:hAnsiTheme="minorHAnsi"/>
          <w:bCs/>
          <w:snapToGrid w:val="0"/>
        </w:rPr>
      </w:pPr>
      <w:r w:rsidRPr="00E94D78">
        <w:rPr>
          <w:rFonts w:cs="Calibri"/>
        </w:rPr>
        <w:t xml:space="preserve">The submission was based on an indirect comparison of lacosamide </w:t>
      </w:r>
      <w:r w:rsidRPr="00335078">
        <w:rPr>
          <w:rFonts w:cs="Calibri"/>
        </w:rPr>
        <w:t>versus</w:t>
      </w:r>
      <w:r w:rsidRPr="00E94D78">
        <w:rPr>
          <w:rFonts w:cs="Calibri"/>
          <w:i/>
        </w:rPr>
        <w:t xml:space="preserve"> </w:t>
      </w:r>
      <w:r w:rsidRPr="00E94D78">
        <w:rPr>
          <w:rFonts w:cs="Calibri"/>
        </w:rPr>
        <w:t>perampanel via placebo as the common reference. The following trials were presented:</w:t>
      </w:r>
    </w:p>
    <w:p w:rsidR="00A25413" w:rsidRPr="003C6DEF" w:rsidRDefault="00A25413" w:rsidP="00812E7B">
      <w:pPr>
        <w:pStyle w:val="ListParagraph"/>
        <w:numPr>
          <w:ilvl w:val="1"/>
          <w:numId w:val="12"/>
        </w:numPr>
        <w:tabs>
          <w:tab w:val="left" w:pos="993"/>
        </w:tabs>
        <w:snapToGrid w:val="0"/>
        <w:ind w:left="993" w:hanging="284"/>
      </w:pPr>
      <w:r w:rsidRPr="00C3432C">
        <w:t xml:space="preserve">Study SP0982: a Phase III, randomised, double-blinded, placebo-controlled trial comparing lacosamide with placebo in IGE patients with </w:t>
      </w:r>
      <w:r w:rsidR="00EC2AAC" w:rsidRPr="00C3432C">
        <w:t xml:space="preserve">uncontrolled </w:t>
      </w:r>
      <w:r w:rsidR="00A232B4" w:rsidRPr="00C3432C">
        <w:t>PGTCS</w:t>
      </w:r>
      <w:r w:rsidRPr="00C3432C">
        <w:t xml:space="preserve"> (n=242); </w:t>
      </w:r>
    </w:p>
    <w:p w:rsidR="00A25413" w:rsidRPr="003C6DEF" w:rsidRDefault="00A25413" w:rsidP="00AB2D25">
      <w:pPr>
        <w:pStyle w:val="ListParagraph"/>
        <w:numPr>
          <w:ilvl w:val="1"/>
          <w:numId w:val="12"/>
        </w:numPr>
        <w:tabs>
          <w:tab w:val="left" w:pos="993"/>
        </w:tabs>
        <w:snapToGrid w:val="0"/>
        <w:ind w:left="993" w:hanging="284"/>
      </w:pPr>
      <w:r w:rsidRPr="003C6DEF">
        <w:t>Study 332: a Phase III, randomised, double-blinded, placebo-controlled trial comparing perampanel in patients wit</w:t>
      </w:r>
      <w:r w:rsidR="00E64280" w:rsidRPr="003C6DEF">
        <w:t>h placebo in IGE patients with uncontrolled</w:t>
      </w:r>
      <w:r w:rsidRPr="003C6DEF">
        <w:t xml:space="preserve"> </w:t>
      </w:r>
      <w:r w:rsidR="00A232B4" w:rsidRPr="003C6DEF">
        <w:t>PGTCS</w:t>
      </w:r>
      <w:r w:rsidRPr="003C6DEF">
        <w:t xml:space="preserve"> (n=164). This trial was presented in previous perampanel submissions and was considered by the PBAC at the July 2016 and July 2017 meetings.</w:t>
      </w:r>
    </w:p>
    <w:p w:rsidR="00A25413" w:rsidRPr="003C6DEF" w:rsidRDefault="00A25413" w:rsidP="00A25413">
      <w:pPr>
        <w:pStyle w:val="3-BodyText"/>
      </w:pPr>
      <w:r w:rsidRPr="003C6DEF">
        <w:rPr>
          <w:snapToGrid/>
        </w:rPr>
        <w:t xml:space="preserve">Details of the trials presented in the submission are provided in </w:t>
      </w:r>
      <w:r w:rsidR="00C35C25" w:rsidRPr="003C6DEF">
        <w:rPr>
          <w:snapToGrid/>
        </w:rPr>
        <w:t>Table 2</w:t>
      </w:r>
      <w:r w:rsidRPr="003C6DEF">
        <w:rPr>
          <w:snapToGrid/>
        </w:rPr>
        <w:t xml:space="preserve">. </w:t>
      </w:r>
    </w:p>
    <w:p w:rsidR="00A25413" w:rsidRPr="00C3432C" w:rsidRDefault="00A25413" w:rsidP="00D61272">
      <w:pPr>
        <w:pStyle w:val="TableFigureHeading"/>
        <w:keepLines/>
        <w:rPr>
          <w:rStyle w:val="CommentReference"/>
          <w:b/>
          <w:szCs w:val="24"/>
        </w:rPr>
      </w:pPr>
      <w:r w:rsidRPr="00C3432C">
        <w:lastRenderedPageBreak/>
        <w:t xml:space="preserve">Table </w:t>
      </w:r>
      <w:r w:rsidR="003409DC">
        <w:rPr>
          <w:noProof/>
        </w:rPr>
        <w:t>2</w:t>
      </w:r>
      <w:r w:rsidRPr="00C3432C">
        <w:t xml:space="preserve">: </w:t>
      </w:r>
      <w:r w:rsidRPr="00C3432C">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A25413" w:rsidRPr="00C3432C" w:rsidTr="00DB1775">
        <w:trPr>
          <w:cantSplit/>
          <w:tblHeader/>
        </w:trPr>
        <w:tc>
          <w:tcPr>
            <w:tcW w:w="796" w:type="pct"/>
            <w:tcBorders>
              <w:top w:val="single" w:sz="4" w:space="0" w:color="auto"/>
              <w:left w:val="single" w:sz="4" w:space="0" w:color="auto"/>
              <w:bottom w:val="single" w:sz="4" w:space="0" w:color="auto"/>
              <w:right w:val="single" w:sz="4" w:space="0" w:color="auto"/>
            </w:tcBorders>
            <w:vAlign w:val="center"/>
          </w:tcPr>
          <w:p w:rsidR="00A25413" w:rsidRPr="00C3432C" w:rsidRDefault="00A25413" w:rsidP="00D61272">
            <w:pPr>
              <w:pStyle w:val="In-tableHeading"/>
              <w:keepLines/>
              <w:jc w:val="center"/>
              <w:rPr>
                <w:lang w:val="en-AU"/>
              </w:rPr>
            </w:pPr>
            <w:r w:rsidRPr="00C3432C">
              <w:rPr>
                <w:lang w:val="en-AU"/>
              </w:rPr>
              <w:t>Trial ID</w:t>
            </w:r>
          </w:p>
        </w:tc>
        <w:tc>
          <w:tcPr>
            <w:tcW w:w="3027" w:type="pct"/>
            <w:tcBorders>
              <w:top w:val="single" w:sz="4" w:space="0" w:color="auto"/>
              <w:left w:val="single" w:sz="4" w:space="0" w:color="auto"/>
              <w:bottom w:val="single" w:sz="4" w:space="0" w:color="auto"/>
              <w:right w:val="single" w:sz="4" w:space="0" w:color="auto"/>
            </w:tcBorders>
            <w:vAlign w:val="center"/>
          </w:tcPr>
          <w:p w:rsidR="00A25413" w:rsidRPr="00C3432C" w:rsidRDefault="00A25413" w:rsidP="00D61272">
            <w:pPr>
              <w:pStyle w:val="In-tableHeading"/>
              <w:keepLines/>
              <w:rPr>
                <w:lang w:val="en-AU"/>
              </w:rPr>
            </w:pPr>
            <w:r w:rsidRPr="00C3432C">
              <w:rPr>
                <w:lang w:val="en-AU"/>
              </w:rPr>
              <w:t>Protocol title/ Publication title</w:t>
            </w:r>
          </w:p>
        </w:tc>
        <w:tc>
          <w:tcPr>
            <w:tcW w:w="1177" w:type="pct"/>
            <w:tcBorders>
              <w:top w:val="single" w:sz="4" w:space="0" w:color="auto"/>
              <w:left w:val="single" w:sz="4" w:space="0" w:color="auto"/>
              <w:bottom w:val="single" w:sz="4" w:space="0" w:color="auto"/>
              <w:right w:val="single" w:sz="4" w:space="0" w:color="auto"/>
            </w:tcBorders>
            <w:vAlign w:val="center"/>
          </w:tcPr>
          <w:p w:rsidR="00A25413" w:rsidRPr="00C3432C" w:rsidRDefault="00A25413" w:rsidP="00D61272">
            <w:pPr>
              <w:pStyle w:val="In-tableHeading"/>
              <w:keepLines/>
              <w:rPr>
                <w:lang w:val="en-AU"/>
              </w:rPr>
            </w:pPr>
            <w:r w:rsidRPr="00C3432C">
              <w:rPr>
                <w:lang w:val="en-AU"/>
              </w:rPr>
              <w:t>Publication citation</w:t>
            </w:r>
          </w:p>
        </w:tc>
      </w:tr>
      <w:tr w:rsidR="00A25413" w:rsidRPr="00C3432C" w:rsidTr="00B72D17">
        <w:tc>
          <w:tcPr>
            <w:tcW w:w="5000" w:type="pct"/>
            <w:gridSpan w:val="3"/>
            <w:tcBorders>
              <w:bottom w:val="nil"/>
            </w:tcBorders>
          </w:tcPr>
          <w:p w:rsidR="00A25413" w:rsidRPr="00C3432C" w:rsidRDefault="00A25413" w:rsidP="00D61272">
            <w:pPr>
              <w:pStyle w:val="TableText0"/>
              <w:keepLines/>
              <w:rPr>
                <w:b/>
              </w:rPr>
            </w:pPr>
            <w:r w:rsidRPr="00C3432C">
              <w:rPr>
                <w:b/>
              </w:rPr>
              <w:t>Lacosamide trial</w:t>
            </w:r>
          </w:p>
        </w:tc>
      </w:tr>
      <w:tr w:rsidR="00A25413" w:rsidRPr="00C3432C" w:rsidTr="00B72D17">
        <w:tc>
          <w:tcPr>
            <w:tcW w:w="796" w:type="pct"/>
            <w:tcBorders>
              <w:bottom w:val="nil"/>
            </w:tcBorders>
          </w:tcPr>
          <w:p w:rsidR="00A25413" w:rsidRPr="00C3432C" w:rsidRDefault="00A25413" w:rsidP="00D61272">
            <w:pPr>
              <w:pStyle w:val="TableText0"/>
              <w:keepLines/>
            </w:pPr>
            <w:r w:rsidRPr="00C3432C">
              <w:t>Study SP0982</w:t>
            </w:r>
          </w:p>
        </w:tc>
        <w:tc>
          <w:tcPr>
            <w:tcW w:w="3027" w:type="pct"/>
            <w:tcBorders>
              <w:bottom w:val="nil"/>
            </w:tcBorders>
            <w:vAlign w:val="center"/>
          </w:tcPr>
          <w:p w:rsidR="00A25413" w:rsidRPr="00C3432C" w:rsidRDefault="00A25413" w:rsidP="00D61272">
            <w:pPr>
              <w:pStyle w:val="TableText0"/>
              <w:keepLines/>
              <w:rPr>
                <w:szCs w:val="18"/>
              </w:rPr>
            </w:pPr>
            <w:r w:rsidRPr="00C3432C">
              <w:rPr>
                <w:szCs w:val="18"/>
              </w:rPr>
              <w:t>Clinical study report.</w:t>
            </w:r>
          </w:p>
          <w:p w:rsidR="00A25413" w:rsidRPr="00C3432C" w:rsidRDefault="00A25413" w:rsidP="00D61272">
            <w:pPr>
              <w:pStyle w:val="TableText0"/>
              <w:keepLines/>
              <w:rPr>
                <w:szCs w:val="18"/>
              </w:rPr>
            </w:pPr>
            <w:r w:rsidRPr="00C3432C">
              <w:rPr>
                <w:szCs w:val="18"/>
              </w:rPr>
              <w:t>A double-blind, randomized, placebo-controlled, parallel-group, multicenter study to evaluate the efficacy and safety of lacosamide as adjunctive therapy for uncontrolled primary generalized tonic-clonic seizures in subjects with idiopathic generalized epilepsy</w:t>
            </w:r>
          </w:p>
          <w:p w:rsidR="00A25413" w:rsidRPr="00C3432C" w:rsidRDefault="00A25413" w:rsidP="00D61272">
            <w:pPr>
              <w:pStyle w:val="TableText0"/>
              <w:keepLines/>
              <w:rPr>
                <w:szCs w:val="18"/>
              </w:rPr>
            </w:pPr>
          </w:p>
        </w:tc>
        <w:tc>
          <w:tcPr>
            <w:tcW w:w="1177" w:type="pct"/>
            <w:tcBorders>
              <w:bottom w:val="nil"/>
            </w:tcBorders>
          </w:tcPr>
          <w:p w:rsidR="00A25413" w:rsidRPr="00C3432C" w:rsidRDefault="00A25413" w:rsidP="00D61272">
            <w:pPr>
              <w:pStyle w:val="TableText0"/>
              <w:keepLines/>
            </w:pPr>
          </w:p>
          <w:p w:rsidR="00A25413" w:rsidRPr="00C3432C" w:rsidRDefault="00A25413" w:rsidP="00D61272">
            <w:pPr>
              <w:pStyle w:val="TableText0"/>
              <w:keepLines/>
            </w:pPr>
            <w:r w:rsidRPr="00C3432C">
              <w:t>September 2019</w:t>
            </w: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tcBorders>
              <w:top w:val="nil"/>
              <w:bottom w:val="nil"/>
            </w:tcBorders>
            <w:vAlign w:val="center"/>
          </w:tcPr>
          <w:p w:rsidR="00A25413" w:rsidRPr="00C3432C" w:rsidRDefault="00A25413" w:rsidP="00D61272">
            <w:pPr>
              <w:pStyle w:val="TableText0"/>
              <w:keepLines/>
              <w:rPr>
                <w:szCs w:val="18"/>
              </w:rPr>
            </w:pPr>
            <w:r w:rsidRPr="00C3432C">
              <w:rPr>
                <w:szCs w:val="18"/>
              </w:rPr>
              <w:t xml:space="preserve">Vossler DG, Knake S, </w:t>
            </w:r>
            <w:r w:rsidRPr="00C3432C">
              <w:rPr>
                <w:i/>
                <w:szCs w:val="18"/>
              </w:rPr>
              <w:t>et al</w:t>
            </w:r>
            <w:r w:rsidRPr="00C3432C">
              <w:rPr>
                <w:szCs w:val="18"/>
              </w:rPr>
              <w:t>. Efficacy and safety of adjunctive Lacosamide in the treatment of primary generalised tonic-clonic seizures: a double-blind, randomised, placebo-controlled trial.</w:t>
            </w:r>
          </w:p>
          <w:p w:rsidR="00A25413" w:rsidRPr="00C3432C" w:rsidRDefault="00A25413" w:rsidP="00D61272">
            <w:pPr>
              <w:pStyle w:val="TableText0"/>
              <w:keepLines/>
              <w:rPr>
                <w:szCs w:val="18"/>
              </w:rPr>
            </w:pPr>
          </w:p>
        </w:tc>
        <w:tc>
          <w:tcPr>
            <w:tcW w:w="1177" w:type="pct"/>
            <w:tcBorders>
              <w:top w:val="nil"/>
              <w:bottom w:val="nil"/>
            </w:tcBorders>
          </w:tcPr>
          <w:p w:rsidR="00A25413" w:rsidRPr="00C3432C" w:rsidRDefault="00A25413" w:rsidP="00D61272">
            <w:pPr>
              <w:pStyle w:val="TableText0"/>
              <w:keepLines/>
              <w:rPr>
                <w:i/>
                <w:szCs w:val="18"/>
              </w:rPr>
            </w:pPr>
            <w:r w:rsidRPr="00C3432C">
              <w:rPr>
                <w:i/>
                <w:szCs w:val="18"/>
              </w:rPr>
              <w:t xml:space="preserve">Journal of Neurology, Neurosurgery &amp; Psychiatry </w:t>
            </w:r>
            <w:r w:rsidRPr="00C3432C">
              <w:rPr>
                <w:szCs w:val="18"/>
              </w:rPr>
              <w:t>2020;</w:t>
            </w:r>
            <w:r w:rsidRPr="00C3432C">
              <w:rPr>
                <w:i/>
                <w:szCs w:val="18"/>
              </w:rPr>
              <w:t xml:space="preserve"> </w:t>
            </w:r>
            <w:r w:rsidRPr="00C3432C">
              <w:rPr>
                <w:szCs w:val="18"/>
              </w:rPr>
              <w:t>91:1067-1075</w:t>
            </w: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tcBorders>
              <w:top w:val="nil"/>
              <w:bottom w:val="nil"/>
            </w:tcBorders>
            <w:vAlign w:val="center"/>
          </w:tcPr>
          <w:p w:rsidR="00A25413" w:rsidRPr="00C3432C" w:rsidRDefault="00A25413" w:rsidP="00D61272">
            <w:pPr>
              <w:pStyle w:val="TableText0"/>
              <w:keepLines/>
              <w:rPr>
                <w:szCs w:val="18"/>
              </w:rPr>
            </w:pPr>
            <w:r w:rsidRPr="00C3432C">
              <w:rPr>
                <w:szCs w:val="18"/>
              </w:rPr>
              <w:t>A study to assess the safety and efficacy of lacosamide versus placebo (a pill without active medication) in patients with idiopathic generalised epilepsy who are already taking anti-epileptic medications (VALOR). NCT02408523.</w:t>
            </w:r>
          </w:p>
        </w:tc>
        <w:tc>
          <w:tcPr>
            <w:tcW w:w="1177" w:type="pct"/>
            <w:tcBorders>
              <w:top w:val="nil"/>
              <w:bottom w:val="nil"/>
            </w:tcBorders>
          </w:tcPr>
          <w:p w:rsidR="00A25413" w:rsidRPr="00C3432C" w:rsidRDefault="00A25413" w:rsidP="00D61272">
            <w:pPr>
              <w:pStyle w:val="TableText0"/>
              <w:keepLines/>
              <w:rPr>
                <w:i/>
                <w:szCs w:val="18"/>
              </w:rPr>
            </w:pPr>
            <w:r w:rsidRPr="00C3432C">
              <w:t>May 2020</w:t>
            </w:r>
          </w:p>
        </w:tc>
      </w:tr>
      <w:tr w:rsidR="00A25413" w:rsidRPr="00C3432C" w:rsidTr="00B72D17">
        <w:tc>
          <w:tcPr>
            <w:tcW w:w="5000" w:type="pct"/>
            <w:gridSpan w:val="3"/>
            <w:tcBorders>
              <w:bottom w:val="nil"/>
            </w:tcBorders>
          </w:tcPr>
          <w:p w:rsidR="00A25413" w:rsidRPr="00C3432C" w:rsidRDefault="00A25413" w:rsidP="00D61272">
            <w:pPr>
              <w:pStyle w:val="TableText0"/>
              <w:keepLines/>
              <w:rPr>
                <w:b/>
              </w:rPr>
            </w:pPr>
            <w:r w:rsidRPr="00C3432C">
              <w:rPr>
                <w:b/>
              </w:rPr>
              <w:t>Perampanel trial</w:t>
            </w:r>
          </w:p>
        </w:tc>
      </w:tr>
      <w:tr w:rsidR="00A25413" w:rsidRPr="00C3432C" w:rsidTr="00B72D17">
        <w:tc>
          <w:tcPr>
            <w:tcW w:w="796" w:type="pct"/>
            <w:tcBorders>
              <w:bottom w:val="nil"/>
            </w:tcBorders>
          </w:tcPr>
          <w:p w:rsidR="00A25413" w:rsidRPr="00C3432C" w:rsidRDefault="00A25413" w:rsidP="00D61272">
            <w:pPr>
              <w:pStyle w:val="TableText0"/>
              <w:keepLines/>
            </w:pPr>
            <w:r w:rsidRPr="00C3432C">
              <w:t>E2007-G000-332 (Study 332)</w:t>
            </w:r>
          </w:p>
        </w:tc>
        <w:tc>
          <w:tcPr>
            <w:tcW w:w="3027" w:type="pct"/>
            <w:vMerge w:val="restart"/>
            <w:vAlign w:val="center"/>
          </w:tcPr>
          <w:p w:rsidR="00A25413" w:rsidRPr="00C3432C" w:rsidRDefault="00A25413" w:rsidP="00D61272">
            <w:pPr>
              <w:pStyle w:val="TableText0"/>
              <w:keepLines/>
              <w:rPr>
                <w:szCs w:val="18"/>
              </w:rPr>
            </w:pPr>
            <w:r w:rsidRPr="00C3432C">
              <w:rPr>
                <w:szCs w:val="18"/>
              </w:rPr>
              <w:t xml:space="preserve">French JA, Krauss GL, </w:t>
            </w:r>
            <w:r w:rsidRPr="00C3432C">
              <w:rPr>
                <w:i/>
                <w:szCs w:val="18"/>
              </w:rPr>
              <w:t xml:space="preserve">et al. </w:t>
            </w:r>
            <w:r w:rsidRPr="00C3432C">
              <w:rPr>
                <w:szCs w:val="18"/>
              </w:rPr>
              <w:t>Perampanel for tonic-clonic seizures in idiopathic generalized epilepsy.</w:t>
            </w:r>
          </w:p>
          <w:p w:rsidR="00A25413" w:rsidRPr="00C3432C" w:rsidRDefault="00A25413" w:rsidP="00D61272">
            <w:pPr>
              <w:pStyle w:val="TableText0"/>
              <w:keepLines/>
            </w:pPr>
          </w:p>
        </w:tc>
        <w:tc>
          <w:tcPr>
            <w:tcW w:w="1177" w:type="pct"/>
            <w:vMerge w:val="restart"/>
          </w:tcPr>
          <w:p w:rsidR="00A25413" w:rsidRPr="00C3432C" w:rsidRDefault="00A25413" w:rsidP="00D61272">
            <w:pPr>
              <w:pStyle w:val="TableText0"/>
              <w:keepLines/>
            </w:pPr>
            <w:r w:rsidRPr="00C3432C">
              <w:rPr>
                <w:i/>
                <w:szCs w:val="18"/>
              </w:rPr>
              <w:t>Neurology</w:t>
            </w:r>
            <w:r w:rsidRPr="00C3432C">
              <w:rPr>
                <w:szCs w:val="18"/>
              </w:rPr>
              <w:t xml:space="preserve"> 2015; 85(11):950-957</w:t>
            </w: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vMerge/>
            <w:tcBorders>
              <w:bottom w:val="nil"/>
            </w:tcBorders>
            <w:vAlign w:val="center"/>
          </w:tcPr>
          <w:p w:rsidR="00A25413" w:rsidRPr="00C3432C" w:rsidRDefault="00A25413" w:rsidP="00D61272">
            <w:pPr>
              <w:pStyle w:val="TableText0"/>
              <w:keepLines/>
              <w:rPr>
                <w:szCs w:val="18"/>
              </w:rPr>
            </w:pPr>
          </w:p>
        </w:tc>
        <w:tc>
          <w:tcPr>
            <w:tcW w:w="1177" w:type="pct"/>
            <w:vMerge/>
            <w:tcBorders>
              <w:bottom w:val="nil"/>
            </w:tcBorders>
          </w:tcPr>
          <w:p w:rsidR="00A25413" w:rsidRPr="00C3432C" w:rsidRDefault="00A25413" w:rsidP="00D61272">
            <w:pPr>
              <w:pStyle w:val="TableText0"/>
              <w:keepLines/>
              <w:rPr>
                <w:i/>
              </w:rPr>
            </w:pP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tcBorders>
              <w:top w:val="nil"/>
              <w:bottom w:val="nil"/>
            </w:tcBorders>
            <w:vAlign w:val="center"/>
          </w:tcPr>
          <w:p w:rsidR="00A25413" w:rsidRPr="00C3432C" w:rsidRDefault="00010DA6" w:rsidP="00D61272">
            <w:pPr>
              <w:pStyle w:val="TableText0"/>
              <w:keepLines/>
            </w:pPr>
            <w:r w:rsidRPr="00C3432C">
              <w:t>An</w:t>
            </w:r>
            <w:r w:rsidR="00A25413" w:rsidRPr="00C3432C">
              <w:t xml:space="preserve"> efficacy and safety study of adjunctive perampanel in primary generalized tonic clonic seizures. NCT01393743.</w:t>
            </w:r>
          </w:p>
          <w:p w:rsidR="00A25413" w:rsidRPr="00C3432C" w:rsidRDefault="00A25413" w:rsidP="00D61272">
            <w:pPr>
              <w:pStyle w:val="TableText0"/>
              <w:keepLines/>
              <w:rPr>
                <w:szCs w:val="18"/>
              </w:rPr>
            </w:pPr>
          </w:p>
        </w:tc>
        <w:tc>
          <w:tcPr>
            <w:tcW w:w="1177" w:type="pct"/>
            <w:tcBorders>
              <w:top w:val="nil"/>
              <w:bottom w:val="nil"/>
            </w:tcBorders>
          </w:tcPr>
          <w:p w:rsidR="00A25413" w:rsidRPr="00C3432C" w:rsidRDefault="00A25413" w:rsidP="00D61272">
            <w:pPr>
              <w:pStyle w:val="TableText0"/>
              <w:keepLines/>
            </w:pPr>
            <w:r w:rsidRPr="00C3432C">
              <w:t>August 2017</w:t>
            </w: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tcBorders>
              <w:top w:val="nil"/>
              <w:bottom w:val="nil"/>
            </w:tcBorders>
            <w:vAlign w:val="center"/>
          </w:tcPr>
          <w:p w:rsidR="00A25413" w:rsidRPr="00C3432C" w:rsidRDefault="00A25413" w:rsidP="00D61272">
            <w:pPr>
              <w:pStyle w:val="TableText0"/>
              <w:keepLines/>
              <w:rPr>
                <w:szCs w:val="18"/>
              </w:rPr>
            </w:pPr>
            <w:r w:rsidRPr="00C3432C">
              <w:rPr>
                <w:szCs w:val="18"/>
              </w:rPr>
              <w:t xml:space="preserve">Krauss G, Wechsler RT, </w:t>
            </w:r>
            <w:r w:rsidRPr="00C3432C">
              <w:rPr>
                <w:i/>
                <w:szCs w:val="18"/>
              </w:rPr>
              <w:t xml:space="preserve">et al. </w:t>
            </w:r>
            <w:r w:rsidRPr="00C3432C">
              <w:rPr>
                <w:szCs w:val="18"/>
              </w:rPr>
              <w:t>Relationship between Perampanel exposure, seizure outcomes and treatment-emergent adverse events (TEAEs) in patients with primary generalized tonic-clonic (PGTC) seizures in idiopathic generalized epilepsy (IGE): a randomized, double-blind phase III study. (Abstract)</w:t>
            </w:r>
          </w:p>
          <w:p w:rsidR="00A25413" w:rsidRPr="00C3432C" w:rsidRDefault="00A25413" w:rsidP="00D61272">
            <w:pPr>
              <w:pStyle w:val="TableText0"/>
              <w:keepLines/>
              <w:rPr>
                <w:szCs w:val="18"/>
              </w:rPr>
            </w:pPr>
          </w:p>
        </w:tc>
        <w:tc>
          <w:tcPr>
            <w:tcW w:w="1177" w:type="pct"/>
            <w:tcBorders>
              <w:top w:val="nil"/>
              <w:bottom w:val="nil"/>
            </w:tcBorders>
          </w:tcPr>
          <w:p w:rsidR="00A25413" w:rsidRPr="00C3432C" w:rsidRDefault="00A25413" w:rsidP="00D61272">
            <w:pPr>
              <w:pStyle w:val="TableText0"/>
              <w:keepLines/>
              <w:rPr>
                <w:szCs w:val="18"/>
              </w:rPr>
            </w:pPr>
            <w:r w:rsidRPr="00C3432C">
              <w:rPr>
                <w:i/>
                <w:szCs w:val="18"/>
              </w:rPr>
              <w:t>Epilepsia</w:t>
            </w:r>
            <w:r w:rsidRPr="00C3432C">
              <w:rPr>
                <w:szCs w:val="18"/>
              </w:rPr>
              <w:t xml:space="preserve"> 2015; 56:132</w:t>
            </w:r>
          </w:p>
          <w:p w:rsidR="00A25413" w:rsidRPr="00C3432C" w:rsidRDefault="00A25413" w:rsidP="00D61272">
            <w:pPr>
              <w:pStyle w:val="TableText0"/>
              <w:keepLines/>
            </w:pPr>
          </w:p>
        </w:tc>
      </w:tr>
      <w:tr w:rsidR="00A25413" w:rsidRPr="00C3432C" w:rsidTr="00B72D17">
        <w:tc>
          <w:tcPr>
            <w:tcW w:w="796" w:type="pct"/>
            <w:tcBorders>
              <w:top w:val="nil"/>
              <w:bottom w:val="nil"/>
            </w:tcBorders>
            <w:vAlign w:val="center"/>
          </w:tcPr>
          <w:p w:rsidR="00A25413" w:rsidRPr="00C3432C" w:rsidRDefault="00A25413" w:rsidP="00D61272">
            <w:pPr>
              <w:pStyle w:val="TableText0"/>
              <w:keepLines/>
            </w:pPr>
          </w:p>
        </w:tc>
        <w:tc>
          <w:tcPr>
            <w:tcW w:w="3027" w:type="pct"/>
            <w:tcBorders>
              <w:top w:val="nil"/>
              <w:bottom w:val="nil"/>
            </w:tcBorders>
            <w:vAlign w:val="center"/>
          </w:tcPr>
          <w:p w:rsidR="00A25413" w:rsidRPr="00C3432C" w:rsidRDefault="00A25413" w:rsidP="00D61272">
            <w:pPr>
              <w:pStyle w:val="TableText0"/>
              <w:keepLines/>
              <w:rPr>
                <w:szCs w:val="18"/>
              </w:rPr>
            </w:pPr>
            <w:r w:rsidRPr="00C3432C">
              <w:rPr>
                <w:szCs w:val="18"/>
              </w:rPr>
              <w:t>O'Brien TJ, Steinhoff BJ, Yang H, Laurenza A, Patten A, Bibbiani F</w:t>
            </w:r>
          </w:p>
          <w:p w:rsidR="00A25413" w:rsidRPr="00C3432C" w:rsidRDefault="00A25413" w:rsidP="00D61272">
            <w:pPr>
              <w:pStyle w:val="TableText0"/>
              <w:keepLines/>
              <w:rPr>
                <w:szCs w:val="18"/>
              </w:rPr>
            </w:pPr>
            <w:r w:rsidRPr="00C3432C">
              <w:rPr>
                <w:szCs w:val="18"/>
              </w:rPr>
              <w:t>Efficacy of adjunctive Perampanel in idiopathic generalised epilepsy: subgroup analysis of patients with absence and myoclonic seizures in a double-blind placebo-controlled Phase 3 trial. (Abstract)</w:t>
            </w:r>
          </w:p>
          <w:p w:rsidR="00A25413" w:rsidRPr="00C3432C" w:rsidRDefault="00A25413" w:rsidP="00D61272">
            <w:pPr>
              <w:pStyle w:val="TableText0"/>
              <w:keepLines/>
              <w:rPr>
                <w:szCs w:val="18"/>
              </w:rPr>
            </w:pPr>
          </w:p>
        </w:tc>
        <w:tc>
          <w:tcPr>
            <w:tcW w:w="1177" w:type="pct"/>
            <w:tcBorders>
              <w:top w:val="nil"/>
              <w:bottom w:val="nil"/>
            </w:tcBorders>
          </w:tcPr>
          <w:p w:rsidR="00A25413" w:rsidRPr="00C3432C" w:rsidRDefault="00A25413" w:rsidP="00D61272">
            <w:pPr>
              <w:pStyle w:val="TableText0"/>
              <w:keepLines/>
            </w:pPr>
            <w:r w:rsidRPr="00C3432C">
              <w:rPr>
                <w:i/>
                <w:szCs w:val="18"/>
              </w:rPr>
              <w:t>European Journal of Neurology</w:t>
            </w:r>
            <w:r w:rsidRPr="00C3432C">
              <w:rPr>
                <w:szCs w:val="18"/>
              </w:rPr>
              <w:t xml:space="preserve"> 2015; 22:343</w:t>
            </w:r>
          </w:p>
        </w:tc>
      </w:tr>
      <w:tr w:rsidR="00A25413" w:rsidRPr="00C3432C" w:rsidTr="00B72D17">
        <w:tc>
          <w:tcPr>
            <w:tcW w:w="796" w:type="pct"/>
            <w:tcBorders>
              <w:top w:val="nil"/>
              <w:bottom w:val="single" w:sz="4" w:space="0" w:color="auto"/>
            </w:tcBorders>
            <w:vAlign w:val="center"/>
          </w:tcPr>
          <w:p w:rsidR="00A25413" w:rsidRPr="00C3432C" w:rsidRDefault="00A25413" w:rsidP="00D61272">
            <w:pPr>
              <w:pStyle w:val="TableText0"/>
              <w:keepLines/>
            </w:pPr>
          </w:p>
        </w:tc>
        <w:tc>
          <w:tcPr>
            <w:tcW w:w="3027" w:type="pct"/>
            <w:tcBorders>
              <w:top w:val="nil"/>
              <w:bottom w:val="single" w:sz="4" w:space="0" w:color="auto"/>
            </w:tcBorders>
            <w:vAlign w:val="center"/>
          </w:tcPr>
          <w:p w:rsidR="00A25413" w:rsidRPr="00C3432C" w:rsidRDefault="00A25413" w:rsidP="00D61272">
            <w:pPr>
              <w:pStyle w:val="TableText0"/>
              <w:keepLines/>
              <w:rPr>
                <w:szCs w:val="18"/>
              </w:rPr>
            </w:pPr>
            <w:r w:rsidRPr="00C3432C">
              <w:rPr>
                <w:szCs w:val="18"/>
              </w:rPr>
              <w:t xml:space="preserve">Wechsler RT, French J, </w:t>
            </w:r>
            <w:r w:rsidRPr="00C3432C">
              <w:rPr>
                <w:i/>
                <w:szCs w:val="18"/>
              </w:rPr>
              <w:t xml:space="preserve">et al. </w:t>
            </w:r>
            <w:r w:rsidRPr="00C3432C">
              <w:rPr>
                <w:szCs w:val="18"/>
              </w:rPr>
              <w:t>Long-Term safety and efficacy of adjunctive Perampanel in patients with drug-resistant primary generalised tonic</w:t>
            </w:r>
            <w:r w:rsidR="005A6FCA">
              <w:rPr>
                <w:szCs w:val="18"/>
              </w:rPr>
              <w:t>-</w:t>
            </w:r>
            <w:r w:rsidRPr="00C3432C">
              <w:rPr>
                <w:szCs w:val="18"/>
              </w:rPr>
              <w:t>clonic seizures in idiopathic generalised epilepsy: results of an open-label extension. (Abstract)</w:t>
            </w:r>
          </w:p>
        </w:tc>
        <w:tc>
          <w:tcPr>
            <w:tcW w:w="1177" w:type="pct"/>
            <w:tcBorders>
              <w:top w:val="nil"/>
              <w:bottom w:val="single" w:sz="4" w:space="0" w:color="auto"/>
            </w:tcBorders>
          </w:tcPr>
          <w:p w:rsidR="00A25413" w:rsidRPr="00C3432C" w:rsidRDefault="00A25413" w:rsidP="00D61272">
            <w:pPr>
              <w:pStyle w:val="TableText0"/>
              <w:keepLines/>
            </w:pPr>
            <w:r w:rsidRPr="00C3432C">
              <w:rPr>
                <w:i/>
                <w:szCs w:val="18"/>
              </w:rPr>
              <w:t>Epilepsia</w:t>
            </w:r>
            <w:r w:rsidRPr="00C3432C">
              <w:rPr>
                <w:szCs w:val="18"/>
              </w:rPr>
              <w:t xml:space="preserve"> 2016; 57(Suppl 2):168</w:t>
            </w:r>
            <w:r w:rsidRPr="00C3432C">
              <w:rPr>
                <w:rFonts w:ascii="Cambria Math" w:hAnsi="Cambria Math" w:cs="Cambria Math"/>
                <w:szCs w:val="18"/>
              </w:rPr>
              <w:t>‐</w:t>
            </w:r>
            <w:r w:rsidRPr="00C3432C">
              <w:rPr>
                <w:szCs w:val="18"/>
              </w:rPr>
              <w:t>169</w:t>
            </w:r>
          </w:p>
        </w:tc>
      </w:tr>
    </w:tbl>
    <w:p w:rsidR="00A25413" w:rsidRPr="00C3432C" w:rsidRDefault="00715352" w:rsidP="00D61272">
      <w:pPr>
        <w:pStyle w:val="TableFigureFooter"/>
        <w:keepNext/>
        <w:keepLines/>
        <w:rPr>
          <w:sz w:val="20"/>
        </w:rPr>
      </w:pPr>
      <w:r w:rsidRPr="00C3432C">
        <w:t>Source: Table 2.</w:t>
      </w:r>
      <w:r w:rsidR="00A25413" w:rsidRPr="00C3432C">
        <w:t>3, p35 of the submission.</w:t>
      </w:r>
    </w:p>
    <w:p w:rsidR="00A25413" w:rsidRPr="00C3432C" w:rsidRDefault="00A25413" w:rsidP="00A25413">
      <w:pPr>
        <w:pStyle w:val="3-BodyText"/>
      </w:pPr>
      <w:r w:rsidRPr="00C3432C">
        <w:t xml:space="preserve">The key features of the randomised trials included in the indirect comparison are summarised in </w:t>
      </w:r>
      <w:r w:rsidR="00D61272">
        <w:t>Table 3</w:t>
      </w:r>
      <w:r w:rsidRPr="00C3432C">
        <w:t xml:space="preserve">. </w:t>
      </w:r>
    </w:p>
    <w:p w:rsidR="00A25413" w:rsidRPr="00C3432C" w:rsidRDefault="00A25413" w:rsidP="00D61272">
      <w:pPr>
        <w:pStyle w:val="TableFigureHeading"/>
        <w:keepLines/>
        <w:rPr>
          <w:rStyle w:val="CommentReference"/>
          <w:b/>
          <w:szCs w:val="24"/>
        </w:rPr>
      </w:pPr>
      <w:r w:rsidRPr="00C3432C">
        <w:lastRenderedPageBreak/>
        <w:t xml:space="preserve">Table </w:t>
      </w:r>
      <w:r w:rsidR="003409DC">
        <w:rPr>
          <w:noProof/>
        </w:rPr>
        <w:t>3</w:t>
      </w:r>
      <w:r w:rsidRPr="00C3432C">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80"/>
        <w:gridCol w:w="575"/>
        <w:gridCol w:w="1841"/>
        <w:gridCol w:w="566"/>
        <w:gridCol w:w="1277"/>
        <w:gridCol w:w="2649"/>
        <w:gridCol w:w="1129"/>
      </w:tblGrid>
      <w:tr w:rsidR="00A25413" w:rsidRPr="00C3432C" w:rsidTr="001B517C">
        <w:trPr>
          <w:cantSplit/>
          <w:tblHeader/>
        </w:trPr>
        <w:tc>
          <w:tcPr>
            <w:tcW w:w="543" w:type="pct"/>
            <w:shd w:val="clear" w:color="auto" w:fill="auto"/>
            <w:vAlign w:val="center"/>
          </w:tcPr>
          <w:p w:rsidR="00A25413" w:rsidRPr="00C3432C" w:rsidRDefault="00A25413" w:rsidP="00D61272">
            <w:pPr>
              <w:pStyle w:val="In-tableHeading"/>
              <w:keepLines/>
              <w:rPr>
                <w:lang w:val="en-AU"/>
              </w:rPr>
            </w:pPr>
            <w:r w:rsidRPr="00C3432C">
              <w:rPr>
                <w:lang w:val="en-AU"/>
              </w:rPr>
              <w:t>Trial</w:t>
            </w:r>
          </w:p>
        </w:tc>
        <w:tc>
          <w:tcPr>
            <w:tcW w:w="319" w:type="pct"/>
            <w:shd w:val="clear" w:color="auto" w:fill="auto"/>
            <w:vAlign w:val="center"/>
          </w:tcPr>
          <w:p w:rsidR="00A25413" w:rsidRPr="00C3432C" w:rsidRDefault="00A25413" w:rsidP="00D61272">
            <w:pPr>
              <w:pStyle w:val="In-tableHeading"/>
              <w:keepLines/>
              <w:jc w:val="center"/>
              <w:rPr>
                <w:lang w:val="en-AU"/>
              </w:rPr>
            </w:pPr>
            <w:r w:rsidRPr="00C3432C">
              <w:rPr>
                <w:lang w:val="en-AU"/>
              </w:rPr>
              <w:t>N</w:t>
            </w:r>
          </w:p>
        </w:tc>
        <w:tc>
          <w:tcPr>
            <w:tcW w:w="1021" w:type="pct"/>
            <w:shd w:val="clear" w:color="auto" w:fill="auto"/>
            <w:vAlign w:val="center"/>
          </w:tcPr>
          <w:p w:rsidR="00A25413" w:rsidRPr="00C3432C" w:rsidRDefault="00A25413" w:rsidP="00D61272">
            <w:pPr>
              <w:pStyle w:val="In-tableHeading"/>
              <w:keepLines/>
              <w:jc w:val="center"/>
              <w:rPr>
                <w:lang w:val="en-AU"/>
              </w:rPr>
            </w:pPr>
            <w:r w:rsidRPr="00C3432C">
              <w:rPr>
                <w:lang w:val="en-AU"/>
              </w:rPr>
              <w:t>Design/ duration</w:t>
            </w:r>
          </w:p>
        </w:tc>
        <w:tc>
          <w:tcPr>
            <w:tcW w:w="314" w:type="pct"/>
            <w:shd w:val="clear" w:color="auto" w:fill="auto"/>
            <w:vAlign w:val="center"/>
          </w:tcPr>
          <w:p w:rsidR="00A25413" w:rsidRPr="00C3432C" w:rsidRDefault="00A25413" w:rsidP="00D61272">
            <w:pPr>
              <w:pStyle w:val="In-tableHeading"/>
              <w:keepLines/>
              <w:jc w:val="center"/>
              <w:rPr>
                <w:vertAlign w:val="superscript"/>
                <w:lang w:val="en-AU"/>
              </w:rPr>
            </w:pPr>
            <w:r w:rsidRPr="00C3432C">
              <w:rPr>
                <w:lang w:val="en-AU"/>
              </w:rPr>
              <w:t xml:space="preserve">Risk of bias </w:t>
            </w:r>
            <w:r w:rsidRPr="00C3432C">
              <w:rPr>
                <w:vertAlign w:val="superscript"/>
                <w:lang w:val="en-AU"/>
              </w:rPr>
              <w:t>a</w:t>
            </w:r>
          </w:p>
        </w:tc>
        <w:tc>
          <w:tcPr>
            <w:tcW w:w="708" w:type="pct"/>
            <w:shd w:val="clear" w:color="auto" w:fill="auto"/>
            <w:vAlign w:val="center"/>
          </w:tcPr>
          <w:p w:rsidR="00A25413" w:rsidRPr="00C3432C" w:rsidRDefault="00A25413" w:rsidP="00D61272">
            <w:pPr>
              <w:pStyle w:val="In-tableHeading"/>
              <w:keepLines/>
              <w:jc w:val="center"/>
              <w:rPr>
                <w:lang w:val="en-AU"/>
              </w:rPr>
            </w:pPr>
            <w:r w:rsidRPr="00C3432C">
              <w:rPr>
                <w:lang w:val="en-AU"/>
              </w:rPr>
              <w:t>Patient population</w:t>
            </w:r>
          </w:p>
        </w:tc>
        <w:tc>
          <w:tcPr>
            <w:tcW w:w="1469" w:type="pct"/>
            <w:shd w:val="clear" w:color="auto" w:fill="auto"/>
            <w:vAlign w:val="center"/>
          </w:tcPr>
          <w:p w:rsidR="00A25413" w:rsidRPr="00C3432C" w:rsidRDefault="00A25413" w:rsidP="00D61272">
            <w:pPr>
              <w:pStyle w:val="In-tableHeading"/>
              <w:keepLines/>
              <w:jc w:val="center"/>
              <w:rPr>
                <w:lang w:val="en-AU"/>
              </w:rPr>
            </w:pPr>
            <w:r w:rsidRPr="00C3432C">
              <w:rPr>
                <w:lang w:val="en-AU"/>
              </w:rPr>
              <w:t>Outcome(s)</w:t>
            </w:r>
          </w:p>
        </w:tc>
        <w:tc>
          <w:tcPr>
            <w:tcW w:w="625" w:type="pct"/>
            <w:shd w:val="clear" w:color="auto" w:fill="auto"/>
            <w:vAlign w:val="center"/>
          </w:tcPr>
          <w:p w:rsidR="00A25413" w:rsidRPr="00C3432C" w:rsidRDefault="00A25413" w:rsidP="00D61272">
            <w:pPr>
              <w:pStyle w:val="In-tableHeading"/>
              <w:keepLines/>
              <w:jc w:val="center"/>
              <w:rPr>
                <w:lang w:val="en-AU"/>
              </w:rPr>
            </w:pPr>
            <w:r w:rsidRPr="00C3432C">
              <w:rPr>
                <w:lang w:val="en-AU"/>
              </w:rPr>
              <w:t>Use in modelled evaluation</w:t>
            </w:r>
          </w:p>
        </w:tc>
      </w:tr>
      <w:tr w:rsidR="00A25413" w:rsidRPr="00C3432C" w:rsidTr="00D61272">
        <w:trPr>
          <w:cantSplit/>
        </w:trPr>
        <w:tc>
          <w:tcPr>
            <w:tcW w:w="5000" w:type="pct"/>
            <w:gridSpan w:val="7"/>
            <w:shd w:val="clear" w:color="auto" w:fill="auto"/>
            <w:vAlign w:val="center"/>
          </w:tcPr>
          <w:p w:rsidR="00A25413" w:rsidRPr="00C3432C" w:rsidRDefault="00A25413" w:rsidP="00D61272">
            <w:pPr>
              <w:pStyle w:val="In-tableHeading"/>
              <w:keepLines/>
              <w:rPr>
                <w:lang w:val="en-AU"/>
              </w:rPr>
            </w:pPr>
            <w:r w:rsidRPr="00C3432C">
              <w:rPr>
                <w:lang w:val="en-AU"/>
              </w:rPr>
              <w:t xml:space="preserve">Lacosamide </w:t>
            </w:r>
            <w:r w:rsidRPr="00C3432C">
              <w:rPr>
                <w:i/>
                <w:lang w:val="en-AU"/>
              </w:rPr>
              <w:t xml:space="preserve">vs. </w:t>
            </w:r>
            <w:r w:rsidRPr="00C3432C">
              <w:rPr>
                <w:lang w:val="en-AU"/>
              </w:rPr>
              <w:t>placebo</w:t>
            </w:r>
          </w:p>
        </w:tc>
      </w:tr>
      <w:tr w:rsidR="00A25413" w:rsidRPr="00C3432C" w:rsidTr="001B517C">
        <w:trPr>
          <w:cantSplit/>
        </w:trPr>
        <w:tc>
          <w:tcPr>
            <w:tcW w:w="543" w:type="pct"/>
            <w:shd w:val="clear" w:color="auto" w:fill="auto"/>
            <w:vAlign w:val="center"/>
          </w:tcPr>
          <w:p w:rsidR="00A25413" w:rsidRPr="00C3432C" w:rsidRDefault="00A25413" w:rsidP="00D61272">
            <w:pPr>
              <w:pStyle w:val="TableText0"/>
              <w:keepLines/>
            </w:pPr>
            <w:r w:rsidRPr="00C3432C">
              <w:t>Study SP0982</w:t>
            </w:r>
          </w:p>
        </w:tc>
        <w:tc>
          <w:tcPr>
            <w:tcW w:w="319" w:type="pct"/>
            <w:shd w:val="clear" w:color="auto" w:fill="auto"/>
            <w:vAlign w:val="center"/>
          </w:tcPr>
          <w:p w:rsidR="00A25413" w:rsidRPr="00C3432C" w:rsidRDefault="00A25413" w:rsidP="00D61272">
            <w:pPr>
              <w:pStyle w:val="TableText0"/>
              <w:keepLines/>
              <w:jc w:val="center"/>
              <w:rPr>
                <w:vertAlign w:val="superscript"/>
              </w:rPr>
            </w:pPr>
            <w:r w:rsidRPr="00C3432C">
              <w:t xml:space="preserve">242 </w:t>
            </w:r>
            <w:r w:rsidRPr="00C3432C">
              <w:rPr>
                <w:vertAlign w:val="superscript"/>
              </w:rPr>
              <w:t>b</w:t>
            </w:r>
          </w:p>
        </w:tc>
        <w:tc>
          <w:tcPr>
            <w:tcW w:w="1021" w:type="pct"/>
            <w:shd w:val="clear" w:color="auto" w:fill="auto"/>
            <w:vAlign w:val="center"/>
          </w:tcPr>
          <w:p w:rsidR="00A25413" w:rsidRPr="00C3432C" w:rsidRDefault="00A25413" w:rsidP="00D61272">
            <w:pPr>
              <w:pStyle w:val="TableText0"/>
              <w:keepLines/>
              <w:jc w:val="center"/>
            </w:pPr>
            <w:r w:rsidRPr="00C3432C">
              <w:t>R, DB, MC</w:t>
            </w:r>
          </w:p>
          <w:p w:rsidR="00A25413" w:rsidRPr="00C3432C" w:rsidRDefault="00A25413" w:rsidP="00D61272">
            <w:pPr>
              <w:pStyle w:val="TableText0"/>
              <w:keepLines/>
              <w:jc w:val="center"/>
              <w:rPr>
                <w:vertAlign w:val="subscript"/>
              </w:rPr>
            </w:pPr>
            <w:r w:rsidRPr="00C3432C">
              <w:t>Treatment: 24 weeks</w:t>
            </w:r>
            <w:r w:rsidRPr="00C3432C">
              <w:rPr>
                <w:vertAlign w:val="superscript"/>
              </w:rPr>
              <w:t xml:space="preserve"> c</w:t>
            </w:r>
          </w:p>
          <w:p w:rsidR="00A25413" w:rsidRPr="00C3432C" w:rsidRDefault="00A25413" w:rsidP="00D61272">
            <w:pPr>
              <w:pStyle w:val="TableText0"/>
              <w:keepLines/>
              <w:jc w:val="center"/>
              <w:rPr>
                <w:vertAlign w:val="superscript"/>
              </w:rPr>
            </w:pPr>
            <w:r w:rsidRPr="00C3432C">
              <w:t>Follow-up: 4-8 weeks</w:t>
            </w:r>
            <w:r w:rsidRPr="00C3432C">
              <w:rPr>
                <w:vertAlign w:val="superscript"/>
              </w:rPr>
              <w:t xml:space="preserve"> d</w:t>
            </w:r>
          </w:p>
        </w:tc>
        <w:tc>
          <w:tcPr>
            <w:tcW w:w="314" w:type="pct"/>
            <w:shd w:val="clear" w:color="auto" w:fill="auto"/>
            <w:vAlign w:val="center"/>
          </w:tcPr>
          <w:p w:rsidR="00A25413" w:rsidRPr="00C3432C" w:rsidRDefault="00A25413" w:rsidP="00D61272">
            <w:pPr>
              <w:pStyle w:val="TableText0"/>
              <w:keepLines/>
              <w:jc w:val="center"/>
            </w:pPr>
            <w:r w:rsidRPr="00C3432C">
              <w:t>Low</w:t>
            </w:r>
          </w:p>
        </w:tc>
        <w:tc>
          <w:tcPr>
            <w:tcW w:w="708" w:type="pct"/>
            <w:shd w:val="clear" w:color="auto" w:fill="auto"/>
            <w:vAlign w:val="center"/>
          </w:tcPr>
          <w:p w:rsidR="00A25413" w:rsidRPr="00C3432C" w:rsidRDefault="00A25413" w:rsidP="00D61272">
            <w:pPr>
              <w:pStyle w:val="TableText0"/>
              <w:keepLines/>
              <w:jc w:val="center"/>
            </w:pPr>
            <w:r w:rsidRPr="00C3432C">
              <w:t xml:space="preserve">IGE patients with </w:t>
            </w:r>
            <w:r w:rsidR="00EC2AAC" w:rsidRPr="00C3432C">
              <w:t xml:space="preserve">uncontrolled </w:t>
            </w:r>
            <w:r w:rsidR="00A232B4" w:rsidRPr="00C3432C">
              <w:t>PGTCS</w:t>
            </w:r>
          </w:p>
        </w:tc>
        <w:tc>
          <w:tcPr>
            <w:tcW w:w="1469" w:type="pct"/>
            <w:shd w:val="clear" w:color="auto" w:fill="auto"/>
          </w:tcPr>
          <w:p w:rsidR="00A25413" w:rsidRPr="00C3432C" w:rsidRDefault="00A25413" w:rsidP="00D61272">
            <w:pPr>
              <w:pStyle w:val="TableText0"/>
              <w:keepLines/>
            </w:pPr>
            <w:r w:rsidRPr="00C3432C">
              <w:rPr>
                <w:bCs w:val="0"/>
              </w:rPr>
              <w:t>1)</w:t>
            </w:r>
            <w:r w:rsidRPr="00C3432C">
              <w:t xml:space="preserve"> Time to second </w:t>
            </w:r>
            <w:r w:rsidR="003E0F5F" w:rsidRPr="00C3432C">
              <w:t>PGTCS</w:t>
            </w:r>
            <w:r w:rsidRPr="00C3432C">
              <w:t xml:space="preserve"> during the 24-week </w:t>
            </w:r>
            <w:r w:rsidR="00065995" w:rsidRPr="00C3432C">
              <w:t>t</w:t>
            </w:r>
            <w:r w:rsidRPr="00C3432C">
              <w:t xml:space="preserve">reatment </w:t>
            </w:r>
            <w:r w:rsidR="00065995" w:rsidRPr="00C3432C">
              <w:t>p</w:t>
            </w:r>
            <w:r w:rsidRPr="00C3432C">
              <w:t xml:space="preserve">eriod </w:t>
            </w:r>
          </w:p>
          <w:p w:rsidR="00A25413" w:rsidRPr="00C3432C" w:rsidRDefault="00A25413" w:rsidP="00D61272">
            <w:pPr>
              <w:pStyle w:val="TableText0"/>
              <w:keepLines/>
            </w:pPr>
            <w:r w:rsidRPr="00C3432C">
              <w:t xml:space="preserve">2) Seizure freedom for </w:t>
            </w:r>
            <w:r w:rsidR="00A232B4" w:rsidRPr="00C3432C">
              <w:t>PGTCS</w:t>
            </w:r>
            <w:r w:rsidRPr="00C3432C">
              <w:t xml:space="preserve"> during the 24-week </w:t>
            </w:r>
            <w:r w:rsidR="00065995" w:rsidRPr="00C3432C">
              <w:t>t</w:t>
            </w:r>
            <w:r w:rsidRPr="00C3432C">
              <w:t xml:space="preserve">reatment </w:t>
            </w:r>
            <w:r w:rsidR="00065995" w:rsidRPr="00C3432C">
              <w:t>p</w:t>
            </w:r>
            <w:r w:rsidRPr="00C3432C">
              <w:t>eriod</w:t>
            </w:r>
          </w:p>
          <w:p w:rsidR="00A25413" w:rsidRPr="00C3432C" w:rsidRDefault="00A25413" w:rsidP="00D61272">
            <w:pPr>
              <w:pStyle w:val="TableText0"/>
              <w:keepLines/>
              <w:shd w:val="clear" w:color="auto" w:fill="FFFFFF" w:themeFill="background1"/>
            </w:pPr>
            <w:r w:rsidRPr="00C3432C">
              <w:t xml:space="preserve">3) </w:t>
            </w:r>
            <w:r w:rsidRPr="00C3432C">
              <w:rPr>
                <w:b/>
              </w:rPr>
              <w:t xml:space="preserve">50% and 75% </w:t>
            </w:r>
            <w:r w:rsidR="003E0F5F" w:rsidRPr="00C3432C">
              <w:rPr>
                <w:b/>
              </w:rPr>
              <w:t>PGTCS</w:t>
            </w:r>
            <w:r w:rsidRPr="00C3432C">
              <w:rPr>
                <w:b/>
              </w:rPr>
              <w:t xml:space="preserve"> responder rates</w:t>
            </w:r>
          </w:p>
          <w:p w:rsidR="00A25413" w:rsidRPr="00C3432C" w:rsidRDefault="00A25413" w:rsidP="00D61272">
            <w:pPr>
              <w:pStyle w:val="TableText0"/>
              <w:keepLines/>
              <w:shd w:val="clear" w:color="auto" w:fill="FFFFFF" w:themeFill="background1"/>
            </w:pPr>
            <w:r w:rsidRPr="00C3432C">
              <w:t xml:space="preserve">4) </w:t>
            </w:r>
            <w:r w:rsidR="00A232B4" w:rsidRPr="00C3432C">
              <w:rPr>
                <w:b/>
              </w:rPr>
              <w:t>PGTCS</w:t>
            </w:r>
            <w:r w:rsidRPr="00C3432C">
              <w:rPr>
                <w:b/>
              </w:rPr>
              <w:t xml:space="preserve"> frequency per 28 days and changes from baseline</w:t>
            </w:r>
            <w:r w:rsidRPr="00C3432C">
              <w:t xml:space="preserve"> </w:t>
            </w:r>
          </w:p>
        </w:tc>
        <w:tc>
          <w:tcPr>
            <w:tcW w:w="625" w:type="pct"/>
            <w:shd w:val="clear" w:color="auto" w:fill="auto"/>
            <w:vAlign w:val="center"/>
          </w:tcPr>
          <w:p w:rsidR="00A25413" w:rsidRPr="00C3432C" w:rsidRDefault="002415B3" w:rsidP="00D61272">
            <w:pPr>
              <w:pStyle w:val="TableText0"/>
              <w:keepLines/>
              <w:jc w:val="center"/>
            </w:pPr>
            <w:r w:rsidRPr="00C3432C">
              <w:t>NA</w:t>
            </w:r>
          </w:p>
        </w:tc>
      </w:tr>
      <w:tr w:rsidR="00A25413" w:rsidRPr="00C3432C" w:rsidTr="00D61272">
        <w:trPr>
          <w:cantSplit/>
        </w:trPr>
        <w:tc>
          <w:tcPr>
            <w:tcW w:w="5000" w:type="pct"/>
            <w:gridSpan w:val="7"/>
            <w:shd w:val="clear" w:color="auto" w:fill="auto"/>
            <w:vAlign w:val="center"/>
          </w:tcPr>
          <w:p w:rsidR="00A25413" w:rsidRPr="00C3432C" w:rsidRDefault="00A25413" w:rsidP="00D61272">
            <w:pPr>
              <w:pStyle w:val="In-tableHeading"/>
              <w:keepLines/>
              <w:rPr>
                <w:lang w:val="en-AU"/>
              </w:rPr>
            </w:pPr>
            <w:r w:rsidRPr="00C3432C">
              <w:rPr>
                <w:lang w:val="en-AU"/>
              </w:rPr>
              <w:t xml:space="preserve">Perampanel </w:t>
            </w:r>
            <w:r w:rsidRPr="00C3432C">
              <w:rPr>
                <w:i/>
                <w:lang w:val="en-AU"/>
              </w:rPr>
              <w:t xml:space="preserve">vs. </w:t>
            </w:r>
            <w:r w:rsidRPr="00C3432C">
              <w:rPr>
                <w:lang w:val="en-AU"/>
              </w:rPr>
              <w:t>placebo</w:t>
            </w:r>
          </w:p>
        </w:tc>
      </w:tr>
      <w:tr w:rsidR="00A25413" w:rsidRPr="00C3432C" w:rsidTr="001B517C">
        <w:trPr>
          <w:cantSplit/>
        </w:trPr>
        <w:tc>
          <w:tcPr>
            <w:tcW w:w="543" w:type="pct"/>
            <w:shd w:val="clear" w:color="auto" w:fill="auto"/>
            <w:vAlign w:val="center"/>
          </w:tcPr>
          <w:p w:rsidR="00A25413" w:rsidRPr="00C3432C" w:rsidRDefault="00A25413" w:rsidP="00D61272">
            <w:pPr>
              <w:pStyle w:val="TableText0"/>
              <w:keepLines/>
            </w:pPr>
            <w:r w:rsidRPr="00C3432C">
              <w:t>Study 332</w:t>
            </w:r>
          </w:p>
        </w:tc>
        <w:tc>
          <w:tcPr>
            <w:tcW w:w="319" w:type="pct"/>
            <w:shd w:val="clear" w:color="auto" w:fill="auto"/>
            <w:vAlign w:val="center"/>
          </w:tcPr>
          <w:p w:rsidR="00A25413" w:rsidRPr="00C3432C" w:rsidRDefault="00A25413" w:rsidP="00D61272">
            <w:pPr>
              <w:pStyle w:val="TableText0"/>
              <w:keepLines/>
              <w:jc w:val="center"/>
              <w:rPr>
                <w:vertAlign w:val="superscript"/>
              </w:rPr>
            </w:pPr>
            <w:r w:rsidRPr="00C3432C">
              <w:t xml:space="preserve">164 </w:t>
            </w:r>
            <w:r w:rsidRPr="00C3432C">
              <w:rPr>
                <w:vertAlign w:val="superscript"/>
              </w:rPr>
              <w:t>e</w:t>
            </w:r>
          </w:p>
        </w:tc>
        <w:tc>
          <w:tcPr>
            <w:tcW w:w="1021" w:type="pct"/>
            <w:shd w:val="clear" w:color="auto" w:fill="auto"/>
            <w:vAlign w:val="center"/>
          </w:tcPr>
          <w:p w:rsidR="00A25413" w:rsidRPr="00C3432C" w:rsidRDefault="00A25413" w:rsidP="00D61272">
            <w:pPr>
              <w:pStyle w:val="TableText0"/>
              <w:keepLines/>
              <w:jc w:val="center"/>
            </w:pPr>
            <w:r w:rsidRPr="00C3432C">
              <w:t>R, DB, MC</w:t>
            </w:r>
          </w:p>
          <w:p w:rsidR="00A25413" w:rsidRPr="00C3432C" w:rsidRDefault="00A25413" w:rsidP="00D61272">
            <w:pPr>
              <w:pStyle w:val="TableText0"/>
              <w:keepLines/>
              <w:jc w:val="center"/>
              <w:rPr>
                <w:vertAlign w:val="superscript"/>
              </w:rPr>
            </w:pPr>
            <w:r w:rsidRPr="00C3432C">
              <w:t xml:space="preserve">Treatment: 17 weeks </w:t>
            </w:r>
            <w:r w:rsidRPr="00C3432C">
              <w:rPr>
                <w:vertAlign w:val="superscript"/>
              </w:rPr>
              <w:t>f</w:t>
            </w:r>
          </w:p>
          <w:p w:rsidR="00A25413" w:rsidRPr="00C3432C" w:rsidRDefault="00A25413" w:rsidP="00D61272">
            <w:pPr>
              <w:pStyle w:val="TableText0"/>
              <w:keepLines/>
              <w:jc w:val="center"/>
              <w:rPr>
                <w:vertAlign w:val="superscript"/>
              </w:rPr>
            </w:pPr>
            <w:r w:rsidRPr="00C3432C">
              <w:t xml:space="preserve">Follow-up: 4 weeks </w:t>
            </w:r>
            <w:r w:rsidRPr="00C3432C">
              <w:rPr>
                <w:vertAlign w:val="superscript"/>
              </w:rPr>
              <w:t>g</w:t>
            </w:r>
          </w:p>
        </w:tc>
        <w:tc>
          <w:tcPr>
            <w:tcW w:w="314" w:type="pct"/>
            <w:shd w:val="clear" w:color="auto" w:fill="auto"/>
            <w:vAlign w:val="center"/>
          </w:tcPr>
          <w:p w:rsidR="00A25413" w:rsidRPr="00C3432C" w:rsidRDefault="00A25413" w:rsidP="00D61272">
            <w:pPr>
              <w:pStyle w:val="TableText0"/>
              <w:keepLines/>
              <w:jc w:val="center"/>
            </w:pPr>
            <w:r w:rsidRPr="00C3432C">
              <w:t>Low</w:t>
            </w:r>
          </w:p>
        </w:tc>
        <w:tc>
          <w:tcPr>
            <w:tcW w:w="708" w:type="pct"/>
            <w:shd w:val="clear" w:color="auto" w:fill="auto"/>
            <w:vAlign w:val="center"/>
          </w:tcPr>
          <w:p w:rsidR="00A25413" w:rsidRPr="00C3432C" w:rsidRDefault="00A25413" w:rsidP="00D61272">
            <w:pPr>
              <w:pStyle w:val="TableText0"/>
              <w:keepLines/>
              <w:jc w:val="center"/>
            </w:pPr>
            <w:r w:rsidRPr="00C3432C">
              <w:t xml:space="preserve">IGE patients with </w:t>
            </w:r>
            <w:r w:rsidR="00E64280" w:rsidRPr="00C3432C">
              <w:t>uncontrolled</w:t>
            </w:r>
            <w:r w:rsidRPr="00C3432C">
              <w:t xml:space="preserve"> </w:t>
            </w:r>
            <w:r w:rsidR="003E0F5F" w:rsidRPr="00C3432C">
              <w:t>PGTCS</w:t>
            </w:r>
          </w:p>
        </w:tc>
        <w:tc>
          <w:tcPr>
            <w:tcW w:w="1469" w:type="pct"/>
            <w:shd w:val="clear" w:color="auto" w:fill="auto"/>
          </w:tcPr>
          <w:p w:rsidR="00A25413" w:rsidRPr="00C3432C" w:rsidRDefault="00A25413" w:rsidP="00D61272">
            <w:pPr>
              <w:pStyle w:val="TableText0"/>
              <w:keepLines/>
              <w:shd w:val="clear" w:color="auto" w:fill="FFFFFF" w:themeFill="background1"/>
            </w:pPr>
            <w:r w:rsidRPr="00C3432C">
              <w:t xml:space="preserve">1) </w:t>
            </w:r>
            <w:r w:rsidRPr="00C3432C">
              <w:rPr>
                <w:b/>
              </w:rPr>
              <w:t xml:space="preserve">Percent change from baseline in </w:t>
            </w:r>
            <w:r w:rsidR="003E0F5F" w:rsidRPr="00C3432C">
              <w:rPr>
                <w:b/>
              </w:rPr>
              <w:t>PGTCS</w:t>
            </w:r>
            <w:r w:rsidRPr="00C3432C">
              <w:rPr>
                <w:b/>
              </w:rPr>
              <w:t xml:space="preserve"> frequency per 28 days during </w:t>
            </w:r>
            <w:r w:rsidR="00065995" w:rsidRPr="00C3432C">
              <w:rPr>
                <w:b/>
              </w:rPr>
              <w:t>t</w:t>
            </w:r>
            <w:r w:rsidRPr="00C3432C">
              <w:rPr>
                <w:b/>
              </w:rPr>
              <w:t xml:space="preserve">itration + </w:t>
            </w:r>
            <w:r w:rsidR="00065995" w:rsidRPr="00C3432C">
              <w:rPr>
                <w:b/>
              </w:rPr>
              <w:t>m</w:t>
            </w:r>
            <w:r w:rsidRPr="00C3432C">
              <w:rPr>
                <w:b/>
              </w:rPr>
              <w:t xml:space="preserve">aintenance </w:t>
            </w:r>
            <w:r w:rsidR="00065995" w:rsidRPr="00C3432C">
              <w:rPr>
                <w:b/>
              </w:rPr>
              <w:t>p</w:t>
            </w:r>
            <w:r w:rsidRPr="00C3432C">
              <w:rPr>
                <w:b/>
              </w:rPr>
              <w:t>hases</w:t>
            </w:r>
          </w:p>
          <w:p w:rsidR="00A25413" w:rsidRPr="00C3432C" w:rsidRDefault="00A25413" w:rsidP="00D61272">
            <w:pPr>
              <w:pStyle w:val="TableText0"/>
              <w:keepLines/>
              <w:shd w:val="clear" w:color="auto" w:fill="FFFFFF" w:themeFill="background1"/>
            </w:pPr>
            <w:r w:rsidRPr="00C3432C">
              <w:t xml:space="preserve">2) </w:t>
            </w:r>
            <w:r w:rsidRPr="00C3432C">
              <w:rPr>
                <w:b/>
              </w:rPr>
              <w:t xml:space="preserve">50% </w:t>
            </w:r>
            <w:r w:rsidR="003E0F5F" w:rsidRPr="00C3432C">
              <w:rPr>
                <w:b/>
              </w:rPr>
              <w:t>PGTCS</w:t>
            </w:r>
            <w:r w:rsidR="00065995" w:rsidRPr="00C3432C">
              <w:rPr>
                <w:b/>
              </w:rPr>
              <w:t xml:space="preserve"> </w:t>
            </w:r>
            <w:r w:rsidRPr="00C3432C">
              <w:rPr>
                <w:b/>
              </w:rPr>
              <w:t xml:space="preserve">responder rate in the </w:t>
            </w:r>
            <w:r w:rsidR="00065995" w:rsidRPr="00C3432C">
              <w:rPr>
                <w:b/>
              </w:rPr>
              <w:t>m</w:t>
            </w:r>
            <w:r w:rsidRPr="00C3432C">
              <w:rPr>
                <w:b/>
              </w:rPr>
              <w:t xml:space="preserve">aintenance </w:t>
            </w:r>
            <w:r w:rsidR="00065995" w:rsidRPr="00C3432C">
              <w:rPr>
                <w:b/>
              </w:rPr>
              <w:t>p</w:t>
            </w:r>
            <w:r w:rsidRPr="00C3432C">
              <w:rPr>
                <w:b/>
              </w:rPr>
              <w:t>eriod relative to baseline</w:t>
            </w:r>
          </w:p>
        </w:tc>
        <w:tc>
          <w:tcPr>
            <w:tcW w:w="625" w:type="pct"/>
            <w:shd w:val="clear" w:color="auto" w:fill="auto"/>
            <w:vAlign w:val="center"/>
          </w:tcPr>
          <w:p w:rsidR="00A25413" w:rsidRPr="00C3432C" w:rsidRDefault="002415B3" w:rsidP="00D61272">
            <w:pPr>
              <w:pStyle w:val="TableText0"/>
              <w:keepLines/>
              <w:jc w:val="center"/>
            </w:pPr>
            <w:r w:rsidRPr="00C3432C">
              <w:t>NA</w:t>
            </w:r>
          </w:p>
        </w:tc>
      </w:tr>
    </w:tbl>
    <w:p w:rsidR="00A25413" w:rsidRPr="00C3432C" w:rsidRDefault="00A25413" w:rsidP="00D61272">
      <w:pPr>
        <w:pStyle w:val="TableFigureFooter"/>
        <w:keepNext/>
        <w:keepLines/>
      </w:pPr>
      <w:r w:rsidRPr="00C3432C">
        <w:t xml:space="preserve">Source: </w:t>
      </w:r>
      <w:r w:rsidRPr="00C3432C">
        <w:rPr>
          <w:i/>
        </w:rPr>
        <w:t xml:space="preserve">Table compiled during the evaluation, </w:t>
      </w:r>
      <w:r w:rsidRPr="00C3432C">
        <w:t xml:space="preserve">based on information provided in Sections 2.2 to 2.4 of the submission. </w:t>
      </w:r>
    </w:p>
    <w:p w:rsidR="00A25413" w:rsidRPr="00C3432C" w:rsidRDefault="00A25413" w:rsidP="00D61272">
      <w:pPr>
        <w:pStyle w:val="TableFigureFooter"/>
        <w:keepNext/>
        <w:keepLines/>
      </w:pPr>
      <w:r w:rsidRPr="00C3432C">
        <w:t xml:space="preserve">DB = double blind; IGE = idiopathic generalised epilepsy; MC = multi-centre; </w:t>
      </w:r>
      <w:r w:rsidR="002415B3" w:rsidRPr="00C3432C">
        <w:t xml:space="preserve">NA = not applicable; </w:t>
      </w:r>
      <w:r w:rsidRPr="00C3432C">
        <w:t>OS = overall survival; PFS = progression-free survival; PGTC</w:t>
      </w:r>
      <w:r w:rsidR="00A232B4" w:rsidRPr="00C3432C">
        <w:t>S</w:t>
      </w:r>
      <w:r w:rsidRPr="00C3432C">
        <w:t xml:space="preserve"> = primary generalised tonic-clonic</w:t>
      </w:r>
      <w:r w:rsidR="00A232B4" w:rsidRPr="00C3432C">
        <w:t xml:space="preserve"> seizure</w:t>
      </w:r>
      <w:r w:rsidRPr="00C3432C">
        <w:t>; R = randomised.</w:t>
      </w:r>
    </w:p>
    <w:p w:rsidR="00A25413" w:rsidRPr="00C3432C" w:rsidRDefault="00A25413" w:rsidP="00D61272">
      <w:pPr>
        <w:pStyle w:val="TableFigureFooter"/>
        <w:keepNext/>
        <w:keepLines/>
      </w:pPr>
      <w:r w:rsidRPr="00C3432C">
        <w:rPr>
          <w:vertAlign w:val="superscript"/>
        </w:rPr>
        <w:t>a</w:t>
      </w:r>
      <w:r w:rsidRPr="00C3432C">
        <w:t xml:space="preserve"> Although the risk of bias within each trial was considered low, there was potential for bias in the indirect comparison, given issues with transitivity of the trials </w:t>
      </w:r>
    </w:p>
    <w:p w:rsidR="00A25413" w:rsidRPr="00C3432C" w:rsidRDefault="00A25413" w:rsidP="00D61272">
      <w:pPr>
        <w:pStyle w:val="TableFigureFooter"/>
        <w:keepNext/>
        <w:keepLines/>
      </w:pPr>
      <w:r w:rsidRPr="00C3432C">
        <w:rPr>
          <w:vertAlign w:val="superscript"/>
        </w:rPr>
        <w:t>b</w:t>
      </w:r>
      <w:r w:rsidRPr="00C3432C">
        <w:t xml:space="preserve"> In Study SP0982, a total of 242 patients were randomised. Two randomised patients were subsequently excluded from the Full Analysis Set because they did not ha</w:t>
      </w:r>
      <w:r w:rsidR="005421AE" w:rsidRPr="00C3432C">
        <w:t>ve</w:t>
      </w:r>
      <w:r w:rsidRPr="00C3432C">
        <w:t xml:space="preserve"> at least one seizure diary assessment during the </w:t>
      </w:r>
      <w:r w:rsidR="005421AE" w:rsidRPr="00C3432C">
        <w:t>t</w:t>
      </w:r>
      <w:r w:rsidRPr="00C3432C">
        <w:t>reatment period</w:t>
      </w:r>
    </w:p>
    <w:p w:rsidR="00A25413" w:rsidRPr="00C3432C" w:rsidRDefault="00A25413" w:rsidP="00D61272">
      <w:pPr>
        <w:pStyle w:val="TableFigureFooter"/>
        <w:keepNext/>
        <w:keepLines/>
      </w:pPr>
      <w:r w:rsidRPr="00C3432C">
        <w:rPr>
          <w:vertAlign w:val="superscript"/>
        </w:rPr>
        <w:t>c</w:t>
      </w:r>
      <w:r w:rsidRPr="00C3432C">
        <w:t xml:space="preserve"> Including 6-week </w:t>
      </w:r>
      <w:r w:rsidR="005421AE" w:rsidRPr="00C3432C">
        <w:t>t</w:t>
      </w:r>
      <w:r w:rsidRPr="00C3432C">
        <w:t xml:space="preserve">itration </w:t>
      </w:r>
      <w:r w:rsidR="005421AE" w:rsidRPr="00C3432C">
        <w:t>p</w:t>
      </w:r>
      <w:r w:rsidRPr="00C3432C">
        <w:t>hase and 18-</w:t>
      </w:r>
      <w:r w:rsidR="005421AE" w:rsidRPr="00C3432C">
        <w:t>w</w:t>
      </w:r>
      <w:r w:rsidRPr="00C3432C">
        <w:t xml:space="preserve">eek </w:t>
      </w:r>
      <w:r w:rsidR="005421AE" w:rsidRPr="00C3432C">
        <w:t>m</w:t>
      </w:r>
      <w:r w:rsidRPr="00C3432C">
        <w:t xml:space="preserve">aintenance </w:t>
      </w:r>
      <w:r w:rsidR="005421AE" w:rsidRPr="00C3432C">
        <w:t>p</w:t>
      </w:r>
      <w:r w:rsidRPr="00C3432C">
        <w:t>hase.</w:t>
      </w:r>
    </w:p>
    <w:p w:rsidR="00A25413" w:rsidRPr="00C3432C" w:rsidRDefault="00A25413" w:rsidP="00D61272">
      <w:pPr>
        <w:pStyle w:val="TableFigureFooter"/>
        <w:keepNext/>
        <w:keepLines/>
      </w:pPr>
      <w:r w:rsidRPr="00C3432C">
        <w:rPr>
          <w:vertAlign w:val="superscript"/>
        </w:rPr>
        <w:t xml:space="preserve">d </w:t>
      </w:r>
      <w:r w:rsidRPr="00C3432C">
        <w:t xml:space="preserve">Including up to 4-week </w:t>
      </w:r>
      <w:r w:rsidR="005421AE" w:rsidRPr="00C3432C">
        <w:t>b</w:t>
      </w:r>
      <w:r w:rsidRPr="00C3432C">
        <w:t xml:space="preserve">linded </w:t>
      </w:r>
      <w:r w:rsidR="005421AE" w:rsidRPr="00C3432C">
        <w:t>t</w:t>
      </w:r>
      <w:r w:rsidRPr="00C3432C">
        <w:t xml:space="preserve">aper </w:t>
      </w:r>
      <w:r w:rsidR="005421AE" w:rsidRPr="00C3432C">
        <w:t>p</w:t>
      </w:r>
      <w:r w:rsidRPr="00C3432C">
        <w:t xml:space="preserve">eriod followed by a 30-day </w:t>
      </w:r>
      <w:r w:rsidR="005421AE" w:rsidRPr="00C3432C">
        <w:t>s</w:t>
      </w:r>
      <w:r w:rsidRPr="00C3432C">
        <w:t xml:space="preserve">afety </w:t>
      </w:r>
      <w:r w:rsidR="005421AE" w:rsidRPr="00C3432C">
        <w:t>f</w:t>
      </w:r>
      <w:r w:rsidRPr="00C3432C">
        <w:t xml:space="preserve">ollow-up </w:t>
      </w:r>
      <w:r w:rsidR="005421AE" w:rsidRPr="00C3432C">
        <w:t>p</w:t>
      </w:r>
      <w:r w:rsidRPr="00C3432C">
        <w:t>eriod (required for study participants not participating the extension study EP0012)</w:t>
      </w:r>
    </w:p>
    <w:p w:rsidR="00A25413" w:rsidRPr="00C3432C" w:rsidRDefault="00A25413" w:rsidP="00D61272">
      <w:pPr>
        <w:pStyle w:val="TableFigureFooter"/>
        <w:keepNext/>
        <w:keepLines/>
        <w:rPr>
          <w:vertAlign w:val="superscript"/>
        </w:rPr>
      </w:pPr>
      <w:r w:rsidRPr="00C3432C">
        <w:rPr>
          <w:vertAlign w:val="superscript"/>
        </w:rPr>
        <w:t>e</w:t>
      </w:r>
      <w:r w:rsidRPr="00C3432C">
        <w:t xml:space="preserve"> In Study 332, a total of 164 patients were randomised. Two randomised patients </w:t>
      </w:r>
      <w:r w:rsidR="005421AE" w:rsidRPr="00C3432C">
        <w:t xml:space="preserve">were </w:t>
      </w:r>
      <w:r w:rsidRPr="00C3432C">
        <w:t>subsequently excluded from the Full Analysis Set: one patient in the perampanel arm did not receive treatment and one patient in the placebo arm did not have any post-baseline seizure data.</w:t>
      </w:r>
      <w:r w:rsidRPr="00C3432C">
        <w:rPr>
          <w:vertAlign w:val="superscript"/>
        </w:rPr>
        <w:t xml:space="preserve"> </w:t>
      </w:r>
    </w:p>
    <w:p w:rsidR="00A25413" w:rsidRPr="00C3432C" w:rsidRDefault="00A25413" w:rsidP="00D61272">
      <w:pPr>
        <w:pStyle w:val="TableFigureFooter"/>
        <w:keepNext/>
        <w:keepLines/>
      </w:pPr>
      <w:r w:rsidRPr="00C3432C">
        <w:rPr>
          <w:vertAlign w:val="superscript"/>
        </w:rPr>
        <w:t xml:space="preserve">f </w:t>
      </w:r>
      <w:r w:rsidRPr="00C3432C">
        <w:t xml:space="preserve">Including 4-week </w:t>
      </w:r>
      <w:r w:rsidR="005421AE" w:rsidRPr="00C3432C">
        <w:t>t</w:t>
      </w:r>
      <w:r w:rsidRPr="00C3432C">
        <w:t xml:space="preserve">itration </w:t>
      </w:r>
      <w:r w:rsidR="005421AE" w:rsidRPr="00C3432C">
        <w:t>p</w:t>
      </w:r>
      <w:r w:rsidRPr="00C3432C">
        <w:t>hase and 13-</w:t>
      </w:r>
      <w:r w:rsidR="005421AE" w:rsidRPr="00C3432C">
        <w:t>w</w:t>
      </w:r>
      <w:r w:rsidRPr="00C3432C">
        <w:t xml:space="preserve">eek </w:t>
      </w:r>
      <w:r w:rsidR="005421AE" w:rsidRPr="00C3432C">
        <w:t>m</w:t>
      </w:r>
      <w:r w:rsidRPr="00C3432C">
        <w:t xml:space="preserve">aintenance </w:t>
      </w:r>
      <w:r w:rsidR="005421AE" w:rsidRPr="00C3432C">
        <w:t>p</w:t>
      </w:r>
      <w:r w:rsidRPr="00C3432C">
        <w:t>hase.</w:t>
      </w:r>
    </w:p>
    <w:p w:rsidR="00A25413" w:rsidRPr="00C3432C" w:rsidRDefault="00A25413" w:rsidP="00D61272">
      <w:pPr>
        <w:pStyle w:val="TableFigureFooter"/>
        <w:keepNext/>
        <w:keepLines/>
        <w:rPr>
          <w:szCs w:val="18"/>
        </w:rPr>
      </w:pPr>
      <w:r w:rsidRPr="00C3432C">
        <w:rPr>
          <w:vertAlign w:val="superscript"/>
        </w:rPr>
        <w:t xml:space="preserve">g </w:t>
      </w:r>
      <w:r w:rsidRPr="00C3432C">
        <w:rPr>
          <w:szCs w:val="18"/>
        </w:rPr>
        <w:t xml:space="preserve">Duration of follow-up for subjects not entering into an optional extension study. </w:t>
      </w:r>
    </w:p>
    <w:p w:rsidR="009B07E5" w:rsidRPr="00C3432C" w:rsidRDefault="00DA759B" w:rsidP="00D61272">
      <w:pPr>
        <w:pStyle w:val="TableFigureFooter"/>
        <w:keepNext/>
        <w:keepLines/>
      </w:pPr>
      <w:r w:rsidRPr="00C3432C">
        <w:rPr>
          <w:szCs w:val="18"/>
        </w:rPr>
        <w:t xml:space="preserve">Note: </w:t>
      </w:r>
      <w:r w:rsidRPr="00C3432C">
        <w:rPr>
          <w:b/>
          <w:szCs w:val="18"/>
        </w:rPr>
        <w:t xml:space="preserve">Bolded </w:t>
      </w:r>
      <w:r w:rsidR="009B07E5" w:rsidRPr="00C3432C">
        <w:rPr>
          <w:b/>
          <w:szCs w:val="18"/>
        </w:rPr>
        <w:t>outcomes were compared between trials.</w:t>
      </w:r>
    </w:p>
    <w:p w:rsidR="00B95557" w:rsidRPr="003C6DEF" w:rsidRDefault="00B95557" w:rsidP="00B95557">
      <w:pPr>
        <w:pStyle w:val="3-BodyText"/>
      </w:pPr>
      <w:bookmarkStart w:id="11" w:name="_Toc22897641"/>
      <w:r w:rsidRPr="003C6DEF">
        <w:t xml:space="preserve">There are transitivity concerns between the lacosamide (Study SP0982) and perampanel (Study 332) trials involved in the indirect comparison: </w:t>
      </w:r>
    </w:p>
    <w:p w:rsidR="00B95557" w:rsidRPr="002A2062" w:rsidRDefault="00B95557" w:rsidP="00010DA6">
      <w:pPr>
        <w:pStyle w:val="ListParagraph"/>
        <w:numPr>
          <w:ilvl w:val="0"/>
          <w:numId w:val="11"/>
        </w:numPr>
        <w:ind w:left="1077" w:hanging="357"/>
      </w:pPr>
      <w:r w:rsidRPr="002A2062">
        <w:t xml:space="preserve">The lacosamide trial included patients aged between 4 years and 12 years (7%); whilst the perampanel trial only enrolled subjects aged 12 years or above.  </w:t>
      </w:r>
      <w:r w:rsidR="00627553" w:rsidRPr="002A2062">
        <w:t>The PSCR stated that the clinical benefits reported for patients aged 4-1</w:t>
      </w:r>
      <w:r w:rsidR="007E5306" w:rsidRPr="002A2062">
        <w:t>1</w:t>
      </w:r>
      <w:r w:rsidR="00627553" w:rsidRPr="002A2062">
        <w:t xml:space="preserve"> years are of a similar magnitude to those reported in adults and children aged 12-18 and that the total paediatric population efficacy is the same as that in the adult population. </w:t>
      </w:r>
      <w:r w:rsidR="0060070C">
        <w:t>The s</w:t>
      </w:r>
      <w:r w:rsidR="00777B67" w:rsidRPr="002A2062">
        <w:t>ponsor</w:t>
      </w:r>
      <w:r w:rsidR="00335078">
        <w:t xml:space="preserve"> also</w:t>
      </w:r>
      <w:r w:rsidR="00777B67" w:rsidRPr="002A2062">
        <w:t xml:space="preserve"> stated that the small sample size for 4-1</w:t>
      </w:r>
      <w:r w:rsidR="007E5306" w:rsidRPr="002A2062">
        <w:t>1</w:t>
      </w:r>
      <w:r w:rsidR="00777B67" w:rsidRPr="002A2062">
        <w:t xml:space="preserve"> year old patients is reflective of the </w:t>
      </w:r>
      <w:r w:rsidR="007E5306" w:rsidRPr="002A2062">
        <w:t>difficulty in enrolling</w:t>
      </w:r>
      <w:r w:rsidR="00777B67" w:rsidRPr="002A2062">
        <w:t xml:space="preserve"> younger patients in epilepsy trials, and emphasised the importance of the data with lacosamide in young children due to rarity of such trials.</w:t>
      </w:r>
    </w:p>
    <w:p w:rsidR="00B95557" w:rsidRPr="003C6DEF" w:rsidRDefault="00B95557" w:rsidP="00010DA6">
      <w:pPr>
        <w:pStyle w:val="ListParagraph"/>
        <w:keepNext/>
        <w:keepLines/>
        <w:widowControl w:val="0"/>
        <w:numPr>
          <w:ilvl w:val="0"/>
          <w:numId w:val="11"/>
        </w:numPr>
        <w:ind w:left="1077" w:hanging="357"/>
      </w:pPr>
      <w:r w:rsidRPr="003C6DEF">
        <w:lastRenderedPageBreak/>
        <w:t xml:space="preserve">The most commonly used background AEDs varied across </w:t>
      </w:r>
      <w:r w:rsidR="005421AE" w:rsidRPr="003C6DEF">
        <w:t xml:space="preserve">the </w:t>
      </w:r>
      <w:r w:rsidRPr="003C6DEF">
        <w:t>trials. Valproate (53% vs. 34%) and levetiracetam (43% vs. 31%) were more frequently used in the lacosamide trial</w:t>
      </w:r>
      <w:r w:rsidR="00F500C4" w:rsidRPr="003C6DEF">
        <w:t xml:space="preserve"> compared with the perampanel trial, respectively</w:t>
      </w:r>
      <w:r w:rsidRPr="003C6DEF">
        <w:t xml:space="preserve">; </w:t>
      </w:r>
      <w:r w:rsidR="002E7232" w:rsidRPr="003C6DEF">
        <w:t>whereas</w:t>
      </w:r>
      <w:r w:rsidRPr="003C6DEF">
        <w:t xml:space="preserve"> lamotrigine was more frequently used in the perampanel trial (39% vs. 30% in the lacosamide trial). </w:t>
      </w:r>
    </w:p>
    <w:p w:rsidR="00B95557" w:rsidRPr="003C6DEF" w:rsidRDefault="00B95557" w:rsidP="00010DA6">
      <w:pPr>
        <w:pStyle w:val="ListParagraph"/>
        <w:widowControl w:val="0"/>
        <w:numPr>
          <w:ilvl w:val="0"/>
          <w:numId w:val="11"/>
        </w:numPr>
        <w:ind w:left="1077" w:hanging="357"/>
      </w:pPr>
      <w:r w:rsidRPr="003C6DEF">
        <w:t xml:space="preserve">The lacosamide trial had a longer </w:t>
      </w:r>
      <w:r w:rsidR="005421AE" w:rsidRPr="003C6DEF">
        <w:t>t</w:t>
      </w:r>
      <w:r w:rsidRPr="003C6DEF">
        <w:t xml:space="preserve">itration </w:t>
      </w:r>
      <w:r w:rsidR="005421AE" w:rsidRPr="003C6DEF">
        <w:t>p</w:t>
      </w:r>
      <w:r w:rsidRPr="003C6DEF">
        <w:t xml:space="preserve">eriod (6 weeks vs. 4 weeks) and </w:t>
      </w:r>
      <w:r w:rsidR="005421AE" w:rsidRPr="003C6DEF">
        <w:t>m</w:t>
      </w:r>
      <w:r w:rsidRPr="003C6DEF">
        <w:t xml:space="preserve">aintenance </w:t>
      </w:r>
      <w:r w:rsidR="005421AE" w:rsidRPr="003C6DEF">
        <w:t>p</w:t>
      </w:r>
      <w:r w:rsidRPr="003C6DEF">
        <w:t>eriod (</w:t>
      </w:r>
      <w:r w:rsidRPr="002A2062">
        <w:t xml:space="preserve">18 weeks vs. 13 weeks) than the perampanel trial. </w:t>
      </w:r>
      <w:r w:rsidR="00777B67" w:rsidRPr="002A2062">
        <w:t xml:space="preserve">The PSCR stated that </w:t>
      </w:r>
      <w:r w:rsidR="00E338D8" w:rsidRPr="002A2062">
        <w:rPr>
          <w:iCs/>
        </w:rPr>
        <w:t>it is not possible to match the titration schedules for lacosamide and perampanel as</w:t>
      </w:r>
      <w:r w:rsidR="00EB7DB2" w:rsidRPr="002A2062">
        <w:rPr>
          <w:iCs/>
        </w:rPr>
        <w:t xml:space="preserve"> </w:t>
      </w:r>
      <w:r w:rsidR="00E338D8" w:rsidRPr="002A2062">
        <w:rPr>
          <w:iCs/>
        </w:rPr>
        <w:t>their TGA recommended dosing schedules are different.</w:t>
      </w:r>
      <w:r w:rsidR="00B731E0">
        <w:rPr>
          <w:iCs/>
        </w:rPr>
        <w:t xml:space="preserve"> The pre-PBAC response stated that the longer titration and maintenance period in the lacosamide trial biases the analysis against lacosamide, because there is a longer follow-up for a seizure to occur</w:t>
      </w:r>
      <w:r w:rsidR="00EA319E" w:rsidRPr="002F4307">
        <w:rPr>
          <w:iCs/>
        </w:rPr>
        <w:t>.</w:t>
      </w:r>
    </w:p>
    <w:p w:rsidR="00B95557" w:rsidRPr="003C6DEF" w:rsidRDefault="0016290D" w:rsidP="00B95557">
      <w:pPr>
        <w:pStyle w:val="3-BodyText"/>
      </w:pPr>
      <w:r>
        <w:t>T</w:t>
      </w:r>
      <w:r w:rsidR="00B95557" w:rsidRPr="003C6DEF">
        <w:t>he differences across the trials outlined above</w:t>
      </w:r>
      <w:r>
        <w:t xml:space="preserve"> may be reflected by</w:t>
      </w:r>
      <w:r w:rsidR="00B95557" w:rsidRPr="003C6DEF">
        <w:t xml:space="preserve"> the </w:t>
      </w:r>
      <w:r w:rsidR="00E034EE" w:rsidRPr="003C6DEF">
        <w:t>d</w:t>
      </w:r>
      <w:r w:rsidR="00B95557" w:rsidRPr="003C6DEF">
        <w:t xml:space="preserve">iscrepancies in the event rates in the common reference </w:t>
      </w:r>
      <w:r w:rsidR="00E034EE" w:rsidRPr="003C6DEF">
        <w:t>arms of</w:t>
      </w:r>
      <w:r w:rsidR="00B95557" w:rsidRPr="003C6DEF">
        <w:t xml:space="preserve"> </w:t>
      </w:r>
      <w:r w:rsidR="00E034EE" w:rsidRPr="003C6DEF">
        <w:t xml:space="preserve">the </w:t>
      </w:r>
      <w:r w:rsidR="00B95557" w:rsidRPr="003C6DEF">
        <w:t>clinical trials (</w:t>
      </w:r>
      <w:r w:rsidR="003409DC" w:rsidRPr="003C6DEF">
        <w:t xml:space="preserve">Table </w:t>
      </w:r>
      <w:r w:rsidR="003409DC" w:rsidRPr="003C6DEF">
        <w:rPr>
          <w:noProof/>
        </w:rPr>
        <w:t>6</w:t>
      </w:r>
      <w:r w:rsidR="00B95557" w:rsidRPr="003C6DEF">
        <w:t xml:space="preserve"> and </w:t>
      </w:r>
      <w:r w:rsidR="003409DC" w:rsidRPr="003C6DEF">
        <w:t xml:space="preserve">Table </w:t>
      </w:r>
      <w:r w:rsidR="003409DC" w:rsidRPr="003C6DEF">
        <w:rPr>
          <w:noProof/>
        </w:rPr>
        <w:t>7</w:t>
      </w:r>
      <w:r w:rsidR="00B95557" w:rsidRPr="003C6DEF">
        <w:t>). However, the direction and magnitude of the overall impact of the identified heterogeneities on the results of indirect comparison of lacosamide and perampanel cannot be reliably determined.</w:t>
      </w:r>
    </w:p>
    <w:p w:rsidR="00B95557" w:rsidRPr="003C6DEF" w:rsidRDefault="00B95557" w:rsidP="00B95557">
      <w:pPr>
        <w:pStyle w:val="3-BodyText"/>
      </w:pPr>
      <w:r w:rsidRPr="003C6DEF">
        <w:t xml:space="preserve">The submission </w:t>
      </w:r>
      <w:r w:rsidR="00EB7DB2">
        <w:t>stated</w:t>
      </w:r>
      <w:r w:rsidR="00000028">
        <w:t xml:space="preserve"> </w:t>
      </w:r>
      <w:r w:rsidRPr="003C6DEF">
        <w:t>that the July 2017 perampanel submission</w:t>
      </w:r>
      <w:r w:rsidR="001B549B" w:rsidRPr="003C6DEF">
        <w:t xml:space="preserve"> in IGE with PGTCS</w:t>
      </w:r>
      <w:r w:rsidRPr="003C6DEF">
        <w:t>, which was based on indirect comparisons of perampanel versus lamotrigine and perampanel versus levetiracetam, did not nominate a non-inferiority margin. The lower confidence limit for the odds ratio (OR) of 50% PGTCS responder rate was 0.37 for perampanel versus lamotrigine</w:t>
      </w:r>
      <w:r w:rsidR="00335078">
        <w:t>,</w:t>
      </w:r>
      <w:r w:rsidRPr="003C6DEF">
        <w:t xml:space="preserve"> and 0.41 for perampanel versus levetiracetam. As the PBAC made a positive recommendation on the listing of perampanel for IGE with PGTCS, the non-inferiority margin was therefore set at 0.37 for the outcome of 50% responder rate in the current submission. </w:t>
      </w:r>
      <w:r w:rsidR="006D735F">
        <w:t>However, t</w:t>
      </w:r>
      <w:r w:rsidRPr="003C6DEF">
        <w:t>he PBAC</w:t>
      </w:r>
      <w:r w:rsidR="0016290D">
        <w:t xml:space="preserve"> noted</w:t>
      </w:r>
      <w:r w:rsidRPr="003C6DEF">
        <w:t xml:space="preserve"> its </w:t>
      </w:r>
      <w:r w:rsidR="001749DF">
        <w:t xml:space="preserve">previous </w:t>
      </w:r>
      <w:r w:rsidRPr="003C6DEF">
        <w:t>decision</w:t>
      </w:r>
      <w:r w:rsidR="0016290D">
        <w:t xml:space="preserve"> was made</w:t>
      </w:r>
      <w:r w:rsidRPr="003C6DEF">
        <w:t xml:space="preserve"> </w:t>
      </w:r>
      <w:r w:rsidR="0016290D" w:rsidRPr="003C6DEF">
        <w:t>based on</w:t>
      </w:r>
      <w:r w:rsidRPr="003C6DEF">
        <w:t xml:space="preserve"> the overall consideration of the clinical evidence. </w:t>
      </w:r>
      <w:r w:rsidR="00C223DC">
        <w:t xml:space="preserve">The PBAC did not accept the reasoning </w:t>
      </w:r>
      <w:r w:rsidR="00B14F72">
        <w:t xml:space="preserve">provided in the submission </w:t>
      </w:r>
      <w:r w:rsidR="00C223DC">
        <w:t xml:space="preserve">for the nominated non-inferiority margin.  </w:t>
      </w:r>
      <w:r w:rsidRPr="003C6DEF">
        <w:t xml:space="preserve"> </w:t>
      </w:r>
    </w:p>
    <w:p w:rsidR="00A25413" w:rsidRPr="00AE3894" w:rsidRDefault="00A25413" w:rsidP="00AE3894">
      <w:pPr>
        <w:pStyle w:val="4-SubsectionHeading"/>
      </w:pPr>
      <w:bookmarkStart w:id="12" w:name="_Toc62042741"/>
      <w:r w:rsidRPr="00AE3894">
        <w:t>Comparative effectiveness</w:t>
      </w:r>
      <w:bookmarkEnd w:id="11"/>
      <w:bookmarkEnd w:id="12"/>
    </w:p>
    <w:p w:rsidR="00A25413" w:rsidRPr="003C6DEF" w:rsidRDefault="00A25413" w:rsidP="00010DA6">
      <w:pPr>
        <w:pStyle w:val="3-BodyText"/>
      </w:pPr>
      <w:r w:rsidRPr="003C6DEF">
        <w:rPr>
          <w:snapToGrid/>
        </w:rPr>
        <w:t>The results of the primary efficacy variable and the main secondary variables in the lacosamide trial are presented in</w:t>
      </w:r>
      <w:r w:rsidR="00AB6E16" w:rsidRPr="003C6DEF">
        <w:rPr>
          <w:snapToGrid/>
        </w:rPr>
        <w:t xml:space="preserve"> </w:t>
      </w:r>
      <w:r w:rsidR="00AB6E16" w:rsidRPr="00010DA6">
        <w:rPr>
          <w:snapToGrid/>
        </w:rPr>
        <w:t>Tables 4 and 5</w:t>
      </w:r>
      <w:r w:rsidRPr="003C6DEF">
        <w:t>.</w:t>
      </w:r>
      <w:r w:rsidR="00AB6E16" w:rsidRPr="003C6DEF">
        <w:t xml:space="preserve"> Figure 1 shows the Kaplan-Meier curves for time to second PGTCS</w:t>
      </w:r>
      <w:r w:rsidR="000D2797" w:rsidRPr="003C6DEF">
        <w:t xml:space="preserve"> for lacosamide or placebo</w:t>
      </w:r>
      <w:r w:rsidR="00AB6E16" w:rsidRPr="003C6DEF">
        <w:t>.</w:t>
      </w:r>
      <w:r w:rsidR="00C15676" w:rsidRPr="003C6DEF">
        <w:t xml:space="preserve"> </w:t>
      </w:r>
      <w:r w:rsidR="00956827" w:rsidRPr="003C6DEF">
        <w:t xml:space="preserve">Note that results of Study 322 (in terms of percent change of PGTCS frequency per 28 days from baseline and 50% responder rate) were presented in the previous perampanel submissions (Table 3 and Table 4, perampanel PSD, July 2016 PBAC meeting and Table 5 and Table 6, perampanel PSD, July 2017 PBAC meeting).   </w:t>
      </w:r>
    </w:p>
    <w:p w:rsidR="00A25413" w:rsidRPr="00C3432C" w:rsidRDefault="00A25413" w:rsidP="00A25413">
      <w:pPr>
        <w:pStyle w:val="TableFigureHeading"/>
      </w:pPr>
      <w:r w:rsidRPr="00C3432C">
        <w:lastRenderedPageBreak/>
        <w:t xml:space="preserve">Table </w:t>
      </w:r>
      <w:r w:rsidR="003409DC">
        <w:rPr>
          <w:noProof/>
        </w:rPr>
        <w:t>4</w:t>
      </w:r>
      <w:r w:rsidRPr="00C3432C">
        <w:t xml:space="preserve">: Analysis of time to second </w:t>
      </w:r>
      <w:r w:rsidR="00A232B4" w:rsidRPr="00C3432C">
        <w:t>PGTCS</w:t>
      </w:r>
      <w:r w:rsidRPr="00C3432C">
        <w:t xml:space="preserve"> (125 events) (FAS)</w:t>
      </w:r>
      <w:r w:rsidR="00556FDC" w:rsidRPr="00C3432C">
        <w:t xml:space="preserve"> in patients receiving lacosamide or placebo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5"/>
        <w:gridCol w:w="1417"/>
        <w:gridCol w:w="1417"/>
        <w:gridCol w:w="1417"/>
        <w:gridCol w:w="1791"/>
      </w:tblGrid>
      <w:tr w:rsidR="00A25413" w:rsidRPr="00C3432C" w:rsidTr="00B72D17">
        <w:trPr>
          <w:trHeight w:val="469"/>
        </w:trPr>
        <w:tc>
          <w:tcPr>
            <w:tcW w:w="1649" w:type="pct"/>
            <w:vAlign w:val="center"/>
          </w:tcPr>
          <w:p w:rsidR="00A25413" w:rsidRPr="00C3432C" w:rsidRDefault="00A25413" w:rsidP="00B72D17">
            <w:pPr>
              <w:pStyle w:val="In-tableHeading"/>
              <w:rPr>
                <w:lang w:val="en-AU"/>
              </w:rPr>
            </w:pPr>
            <w:r w:rsidRPr="00C3432C">
              <w:rPr>
                <w:lang w:val="en-AU"/>
              </w:rPr>
              <w:t>Study SP0982</w:t>
            </w:r>
          </w:p>
        </w:tc>
        <w:tc>
          <w:tcPr>
            <w:tcW w:w="786" w:type="pct"/>
            <w:vAlign w:val="center"/>
          </w:tcPr>
          <w:p w:rsidR="00A25413" w:rsidRPr="00C3432C" w:rsidRDefault="00A25413" w:rsidP="00B72D17">
            <w:pPr>
              <w:pStyle w:val="In-tableHeading"/>
              <w:jc w:val="center"/>
              <w:rPr>
                <w:lang w:val="en-AU"/>
              </w:rPr>
            </w:pPr>
            <w:r w:rsidRPr="00C3432C">
              <w:rPr>
                <w:lang w:val="en-AU"/>
              </w:rPr>
              <w:t>Lacosamide</w:t>
            </w:r>
          </w:p>
          <w:p w:rsidR="00A25413" w:rsidRPr="00C3432C" w:rsidRDefault="00A25413" w:rsidP="000C6947">
            <w:pPr>
              <w:pStyle w:val="In-tableHeading"/>
              <w:jc w:val="center"/>
              <w:rPr>
                <w:lang w:val="en-AU"/>
              </w:rPr>
            </w:pPr>
            <w:r w:rsidRPr="00C3432C">
              <w:rPr>
                <w:lang w:val="en-AU"/>
              </w:rPr>
              <w:t>n/N (%)</w:t>
            </w:r>
          </w:p>
        </w:tc>
        <w:tc>
          <w:tcPr>
            <w:tcW w:w="786" w:type="pct"/>
            <w:vAlign w:val="center"/>
          </w:tcPr>
          <w:p w:rsidR="00A25413" w:rsidRPr="00C3432C" w:rsidRDefault="00A25413" w:rsidP="00B72D17">
            <w:pPr>
              <w:pStyle w:val="In-tableHeading"/>
              <w:jc w:val="center"/>
              <w:rPr>
                <w:lang w:val="en-AU"/>
              </w:rPr>
            </w:pPr>
            <w:r w:rsidRPr="00C3432C">
              <w:rPr>
                <w:lang w:val="en-AU"/>
              </w:rPr>
              <w:t>Placebo</w:t>
            </w:r>
          </w:p>
          <w:p w:rsidR="00A25413" w:rsidRPr="00C3432C" w:rsidRDefault="00A25413" w:rsidP="000C6947">
            <w:pPr>
              <w:pStyle w:val="In-tableHeading"/>
              <w:jc w:val="center"/>
              <w:rPr>
                <w:lang w:val="en-AU"/>
              </w:rPr>
            </w:pPr>
            <w:r w:rsidRPr="00C3432C">
              <w:rPr>
                <w:lang w:val="en-AU"/>
              </w:rPr>
              <w:t>n/N (%)</w:t>
            </w:r>
          </w:p>
        </w:tc>
        <w:tc>
          <w:tcPr>
            <w:tcW w:w="786" w:type="pct"/>
            <w:vAlign w:val="center"/>
          </w:tcPr>
          <w:p w:rsidR="00A25413" w:rsidRPr="0030525E" w:rsidRDefault="00A25413" w:rsidP="00B72D17">
            <w:pPr>
              <w:pStyle w:val="In-tableHeading"/>
              <w:jc w:val="center"/>
              <w:rPr>
                <w:lang w:val="en-AU"/>
              </w:rPr>
            </w:pPr>
            <w:r w:rsidRPr="0030525E">
              <w:rPr>
                <w:lang w:val="en-AU"/>
              </w:rPr>
              <w:t>Absolute difference</w:t>
            </w:r>
          </w:p>
        </w:tc>
        <w:tc>
          <w:tcPr>
            <w:tcW w:w="994" w:type="pct"/>
            <w:vAlign w:val="center"/>
          </w:tcPr>
          <w:p w:rsidR="00A25413" w:rsidRPr="00C3432C" w:rsidRDefault="00A25413" w:rsidP="00B72D17">
            <w:pPr>
              <w:pStyle w:val="In-tableHeading"/>
              <w:jc w:val="center"/>
              <w:rPr>
                <w:lang w:val="en-AU"/>
              </w:rPr>
            </w:pPr>
            <w:r w:rsidRPr="00C3432C">
              <w:rPr>
                <w:lang w:val="en-AU"/>
              </w:rPr>
              <w:t xml:space="preserve">Hazard ratio </w:t>
            </w:r>
          </w:p>
          <w:p w:rsidR="00A25413" w:rsidRPr="00C3432C" w:rsidRDefault="00A25413" w:rsidP="00B72D17">
            <w:pPr>
              <w:pStyle w:val="In-tableHeading"/>
              <w:jc w:val="center"/>
              <w:rPr>
                <w:lang w:val="en-AU"/>
              </w:rPr>
            </w:pPr>
            <w:r w:rsidRPr="00C3432C">
              <w:rPr>
                <w:lang w:val="en-AU"/>
              </w:rPr>
              <w:t>(95% CI)</w:t>
            </w:r>
          </w:p>
        </w:tc>
      </w:tr>
      <w:tr w:rsidR="00A25413" w:rsidRPr="00C3432C" w:rsidTr="00B72D17">
        <w:tc>
          <w:tcPr>
            <w:tcW w:w="1649" w:type="pct"/>
            <w:vAlign w:val="center"/>
          </w:tcPr>
          <w:p w:rsidR="00A25413" w:rsidRPr="00C3432C" w:rsidRDefault="00A25413" w:rsidP="00B72D17">
            <w:pPr>
              <w:pStyle w:val="TableText0"/>
            </w:pPr>
            <w:r w:rsidRPr="00C3432C">
              <w:t xml:space="preserve">Events </w:t>
            </w:r>
          </w:p>
        </w:tc>
        <w:tc>
          <w:tcPr>
            <w:tcW w:w="786" w:type="pct"/>
            <w:vAlign w:val="center"/>
          </w:tcPr>
          <w:p w:rsidR="00A25413" w:rsidRPr="00C3432C" w:rsidRDefault="00A25413" w:rsidP="00B72D17">
            <w:pPr>
              <w:pStyle w:val="TableText0"/>
              <w:jc w:val="center"/>
            </w:pPr>
            <w:r w:rsidRPr="00C3432C">
              <w:t>49/118 (41.5%)</w:t>
            </w:r>
          </w:p>
        </w:tc>
        <w:tc>
          <w:tcPr>
            <w:tcW w:w="786" w:type="pct"/>
            <w:vAlign w:val="center"/>
          </w:tcPr>
          <w:p w:rsidR="00A25413" w:rsidRPr="00C3432C" w:rsidRDefault="00A25413" w:rsidP="00B72D17">
            <w:pPr>
              <w:pStyle w:val="TableText0"/>
              <w:jc w:val="center"/>
            </w:pPr>
            <w:r w:rsidRPr="00C3432C">
              <w:t>76/121 (62.8%)</w:t>
            </w:r>
          </w:p>
        </w:tc>
        <w:tc>
          <w:tcPr>
            <w:tcW w:w="786" w:type="pct"/>
            <w:vAlign w:val="center"/>
          </w:tcPr>
          <w:p w:rsidR="00A25413" w:rsidRPr="003C6DEF" w:rsidRDefault="00A25413" w:rsidP="00B72D17">
            <w:pPr>
              <w:pStyle w:val="TableText0"/>
              <w:jc w:val="center"/>
            </w:pPr>
            <w:r w:rsidRPr="003C6DEF">
              <w:t>21.3%</w:t>
            </w:r>
          </w:p>
        </w:tc>
        <w:tc>
          <w:tcPr>
            <w:tcW w:w="994" w:type="pct"/>
            <w:vAlign w:val="center"/>
          </w:tcPr>
          <w:p w:rsidR="00A25413" w:rsidRPr="00C3432C" w:rsidRDefault="00A25413" w:rsidP="00B72D17">
            <w:pPr>
              <w:pStyle w:val="TableText0"/>
              <w:jc w:val="center"/>
            </w:pPr>
            <w:r w:rsidRPr="00C3432C">
              <w:t>----</w:t>
            </w:r>
          </w:p>
        </w:tc>
      </w:tr>
      <w:tr w:rsidR="00A25413" w:rsidRPr="00C3432C" w:rsidTr="00B72D17">
        <w:tc>
          <w:tcPr>
            <w:tcW w:w="1649" w:type="pct"/>
            <w:vAlign w:val="center"/>
          </w:tcPr>
          <w:p w:rsidR="00A25413" w:rsidRPr="00C3432C" w:rsidRDefault="00A25413" w:rsidP="00B72D17">
            <w:pPr>
              <w:pStyle w:val="TableText0"/>
            </w:pPr>
            <w:r w:rsidRPr="00C3432C">
              <w:t>Median time to event (days) (95% CI)</w:t>
            </w:r>
          </w:p>
        </w:tc>
        <w:tc>
          <w:tcPr>
            <w:tcW w:w="786" w:type="pct"/>
            <w:vAlign w:val="center"/>
          </w:tcPr>
          <w:p w:rsidR="00A25413" w:rsidRPr="00C3432C" w:rsidRDefault="00A25413" w:rsidP="00B72D17">
            <w:pPr>
              <w:pStyle w:val="TableText0"/>
              <w:jc w:val="center"/>
            </w:pPr>
            <w:r w:rsidRPr="00C3432C">
              <w:t>NR (144, NR)</w:t>
            </w:r>
          </w:p>
        </w:tc>
        <w:tc>
          <w:tcPr>
            <w:tcW w:w="786" w:type="pct"/>
            <w:vAlign w:val="center"/>
          </w:tcPr>
          <w:p w:rsidR="00A25413" w:rsidRPr="00C3432C" w:rsidRDefault="00A25413" w:rsidP="00B72D17">
            <w:pPr>
              <w:pStyle w:val="TableText0"/>
              <w:jc w:val="center"/>
            </w:pPr>
            <w:r w:rsidRPr="00C3432C">
              <w:t>77 (49, 128)</w:t>
            </w:r>
          </w:p>
        </w:tc>
        <w:tc>
          <w:tcPr>
            <w:tcW w:w="786" w:type="pct"/>
            <w:vAlign w:val="center"/>
          </w:tcPr>
          <w:p w:rsidR="00A25413" w:rsidRPr="00C3432C" w:rsidRDefault="00A25413" w:rsidP="00B72D17">
            <w:pPr>
              <w:pStyle w:val="TableText0"/>
              <w:jc w:val="center"/>
            </w:pPr>
            <w:r w:rsidRPr="00C3432C">
              <w:t>NA</w:t>
            </w:r>
          </w:p>
        </w:tc>
        <w:tc>
          <w:tcPr>
            <w:tcW w:w="994" w:type="pct"/>
            <w:vAlign w:val="center"/>
          </w:tcPr>
          <w:p w:rsidR="00A25413" w:rsidRPr="00C3432C" w:rsidRDefault="00A25413" w:rsidP="00B72D17">
            <w:pPr>
              <w:pStyle w:val="TableText0"/>
              <w:jc w:val="center"/>
            </w:pPr>
            <w:r w:rsidRPr="00C3432C">
              <w:t>0.54  (0.3</w:t>
            </w:r>
            <w:r w:rsidR="006A5BB1" w:rsidRPr="00C3432C">
              <w:t>8</w:t>
            </w:r>
            <w:r w:rsidRPr="00C3432C">
              <w:t>, 0.77)</w:t>
            </w:r>
          </w:p>
        </w:tc>
      </w:tr>
      <w:tr w:rsidR="00A25413" w:rsidRPr="00C3432C" w:rsidTr="00B72D17">
        <w:tc>
          <w:tcPr>
            <w:tcW w:w="5000" w:type="pct"/>
            <w:gridSpan w:val="5"/>
            <w:vAlign w:val="center"/>
          </w:tcPr>
          <w:p w:rsidR="00A25413" w:rsidRPr="00C3432C" w:rsidRDefault="00ED3CD2" w:rsidP="00B72D17">
            <w:pPr>
              <w:pStyle w:val="TableText0"/>
              <w:rPr>
                <w:b/>
              </w:rPr>
            </w:pPr>
            <w:r w:rsidRPr="00C3432C">
              <w:rPr>
                <w:b/>
              </w:rPr>
              <w:t>KM t</w:t>
            </w:r>
            <w:r w:rsidR="00A04323" w:rsidRPr="00C3432C">
              <w:rPr>
                <w:b/>
              </w:rPr>
              <w:t>ime to event estimates</w:t>
            </w:r>
          </w:p>
        </w:tc>
      </w:tr>
      <w:tr w:rsidR="00A25413" w:rsidRPr="00C3432C" w:rsidTr="00B72D17">
        <w:tc>
          <w:tcPr>
            <w:tcW w:w="1649" w:type="pct"/>
            <w:vAlign w:val="center"/>
          </w:tcPr>
          <w:p w:rsidR="00A25413" w:rsidRPr="00C3432C" w:rsidRDefault="00A25413" w:rsidP="00B72D17">
            <w:pPr>
              <w:pStyle w:val="TableText0"/>
            </w:pPr>
            <w:r w:rsidRPr="00C3432C">
              <w:t>At day 42  (1st 6 weeks)</w:t>
            </w:r>
          </w:p>
        </w:tc>
        <w:tc>
          <w:tcPr>
            <w:tcW w:w="786" w:type="pct"/>
            <w:vAlign w:val="center"/>
          </w:tcPr>
          <w:p w:rsidR="00A25413" w:rsidRPr="00C3432C" w:rsidRDefault="00A25413" w:rsidP="00B72D17">
            <w:pPr>
              <w:pStyle w:val="TableText0"/>
              <w:jc w:val="center"/>
            </w:pPr>
            <w:r w:rsidRPr="00C3432C">
              <w:t>74.9%</w:t>
            </w:r>
          </w:p>
        </w:tc>
        <w:tc>
          <w:tcPr>
            <w:tcW w:w="786" w:type="pct"/>
            <w:vAlign w:val="center"/>
          </w:tcPr>
          <w:p w:rsidR="00A25413" w:rsidRPr="00C3432C" w:rsidRDefault="00A25413" w:rsidP="00B72D17">
            <w:pPr>
              <w:pStyle w:val="TableText0"/>
              <w:jc w:val="center"/>
            </w:pPr>
            <w:r w:rsidRPr="00C3432C">
              <w:t>61.9%</w:t>
            </w:r>
          </w:p>
        </w:tc>
        <w:tc>
          <w:tcPr>
            <w:tcW w:w="786" w:type="pct"/>
            <w:vAlign w:val="center"/>
          </w:tcPr>
          <w:p w:rsidR="00A25413" w:rsidRPr="003C6DEF" w:rsidRDefault="00A25413" w:rsidP="00B72D17">
            <w:pPr>
              <w:pStyle w:val="TableText0"/>
              <w:jc w:val="center"/>
            </w:pPr>
            <w:r w:rsidRPr="003C6DEF">
              <w:t>13%</w:t>
            </w:r>
          </w:p>
        </w:tc>
        <w:tc>
          <w:tcPr>
            <w:tcW w:w="994" w:type="pct"/>
            <w:vAlign w:val="center"/>
          </w:tcPr>
          <w:p w:rsidR="00A25413" w:rsidRPr="00C3432C" w:rsidRDefault="00A25413" w:rsidP="00B72D17">
            <w:pPr>
              <w:pStyle w:val="TableText0"/>
              <w:jc w:val="center"/>
            </w:pPr>
            <w:r w:rsidRPr="00C3432C">
              <w:t>----</w:t>
            </w:r>
          </w:p>
        </w:tc>
      </w:tr>
      <w:tr w:rsidR="00A25413" w:rsidRPr="00C3432C" w:rsidTr="001B517C">
        <w:tc>
          <w:tcPr>
            <w:tcW w:w="1649" w:type="pct"/>
            <w:tcBorders>
              <w:bottom w:val="single" w:sz="4" w:space="0" w:color="auto"/>
            </w:tcBorders>
            <w:vAlign w:val="center"/>
          </w:tcPr>
          <w:p w:rsidR="00A25413" w:rsidRPr="00C3432C" w:rsidRDefault="00A25413" w:rsidP="00B72D17">
            <w:pPr>
              <w:pStyle w:val="TableText0"/>
            </w:pPr>
            <w:r w:rsidRPr="00C3432C">
              <w:t>At day 84  (1st 12 weeks)</w:t>
            </w:r>
          </w:p>
        </w:tc>
        <w:tc>
          <w:tcPr>
            <w:tcW w:w="786" w:type="pct"/>
            <w:tcBorders>
              <w:bottom w:val="single" w:sz="4" w:space="0" w:color="auto"/>
            </w:tcBorders>
            <w:vAlign w:val="center"/>
          </w:tcPr>
          <w:p w:rsidR="00A25413" w:rsidRPr="00C3432C" w:rsidRDefault="00A25413" w:rsidP="00B72D17">
            <w:pPr>
              <w:pStyle w:val="TableText0"/>
              <w:jc w:val="center"/>
            </w:pPr>
            <w:r w:rsidRPr="00C3432C">
              <w:t>66.5%</w:t>
            </w:r>
          </w:p>
        </w:tc>
        <w:tc>
          <w:tcPr>
            <w:tcW w:w="786" w:type="pct"/>
            <w:tcBorders>
              <w:bottom w:val="single" w:sz="4" w:space="0" w:color="auto"/>
            </w:tcBorders>
            <w:vAlign w:val="center"/>
          </w:tcPr>
          <w:p w:rsidR="00A25413" w:rsidRPr="00C3432C" w:rsidRDefault="00A25413" w:rsidP="00B72D17">
            <w:pPr>
              <w:pStyle w:val="TableText0"/>
              <w:jc w:val="center"/>
            </w:pPr>
            <w:r w:rsidRPr="00C3432C">
              <w:t>47.7%</w:t>
            </w:r>
          </w:p>
        </w:tc>
        <w:tc>
          <w:tcPr>
            <w:tcW w:w="786" w:type="pct"/>
            <w:tcBorders>
              <w:bottom w:val="single" w:sz="4" w:space="0" w:color="auto"/>
            </w:tcBorders>
            <w:vAlign w:val="center"/>
          </w:tcPr>
          <w:p w:rsidR="00A25413" w:rsidRPr="003C6DEF" w:rsidRDefault="00A25413" w:rsidP="00B72D17">
            <w:pPr>
              <w:pStyle w:val="TableText0"/>
              <w:jc w:val="center"/>
            </w:pPr>
            <w:r w:rsidRPr="003C6DEF">
              <w:t>18.8%</w:t>
            </w:r>
          </w:p>
        </w:tc>
        <w:tc>
          <w:tcPr>
            <w:tcW w:w="994" w:type="pct"/>
            <w:tcBorders>
              <w:bottom w:val="single" w:sz="4" w:space="0" w:color="auto"/>
            </w:tcBorders>
            <w:vAlign w:val="center"/>
          </w:tcPr>
          <w:p w:rsidR="00A25413" w:rsidRPr="00C3432C" w:rsidRDefault="00A25413" w:rsidP="00B72D17">
            <w:pPr>
              <w:pStyle w:val="TableText0"/>
              <w:jc w:val="center"/>
            </w:pPr>
            <w:r w:rsidRPr="00C3432C">
              <w:t>----</w:t>
            </w:r>
          </w:p>
        </w:tc>
      </w:tr>
      <w:tr w:rsidR="00A25413" w:rsidRPr="00C3432C" w:rsidTr="001B517C">
        <w:tc>
          <w:tcPr>
            <w:tcW w:w="1649" w:type="pct"/>
            <w:tcBorders>
              <w:bottom w:val="single" w:sz="4" w:space="0" w:color="auto"/>
            </w:tcBorders>
            <w:vAlign w:val="center"/>
          </w:tcPr>
          <w:p w:rsidR="00A25413" w:rsidRPr="00C3432C" w:rsidRDefault="00A25413" w:rsidP="00B72D17">
            <w:pPr>
              <w:pStyle w:val="TableText0"/>
            </w:pPr>
            <w:r w:rsidRPr="00C3432C">
              <w:t>At day 166 (</w:t>
            </w:r>
            <w:r w:rsidR="004B3FB0" w:rsidRPr="00C3432C">
              <w:t>treatment period</w:t>
            </w:r>
            <w:r w:rsidRPr="00C3432C">
              <w:t>)</w:t>
            </w:r>
          </w:p>
        </w:tc>
        <w:tc>
          <w:tcPr>
            <w:tcW w:w="786" w:type="pct"/>
            <w:tcBorders>
              <w:bottom w:val="single" w:sz="4" w:space="0" w:color="auto"/>
            </w:tcBorders>
            <w:vAlign w:val="center"/>
          </w:tcPr>
          <w:p w:rsidR="00A25413" w:rsidRPr="00C3432C" w:rsidRDefault="00A25413" w:rsidP="00B72D17">
            <w:pPr>
              <w:pStyle w:val="TableText0"/>
              <w:jc w:val="center"/>
            </w:pPr>
            <w:r w:rsidRPr="00C3432C">
              <w:t>55.3%</w:t>
            </w:r>
          </w:p>
        </w:tc>
        <w:tc>
          <w:tcPr>
            <w:tcW w:w="786" w:type="pct"/>
            <w:tcBorders>
              <w:bottom w:val="single" w:sz="4" w:space="0" w:color="auto"/>
            </w:tcBorders>
            <w:vAlign w:val="center"/>
          </w:tcPr>
          <w:p w:rsidR="00A25413" w:rsidRPr="00C3432C" w:rsidRDefault="00A25413" w:rsidP="00B72D17">
            <w:pPr>
              <w:pStyle w:val="TableText0"/>
              <w:jc w:val="center"/>
            </w:pPr>
            <w:r w:rsidRPr="00C3432C">
              <w:t>33.4%</w:t>
            </w:r>
          </w:p>
        </w:tc>
        <w:tc>
          <w:tcPr>
            <w:tcW w:w="786" w:type="pct"/>
            <w:tcBorders>
              <w:bottom w:val="single" w:sz="4" w:space="0" w:color="auto"/>
            </w:tcBorders>
            <w:vAlign w:val="center"/>
          </w:tcPr>
          <w:p w:rsidR="00A25413" w:rsidRPr="003C6DEF" w:rsidRDefault="00A25413" w:rsidP="00B72D17">
            <w:pPr>
              <w:pStyle w:val="TableText0"/>
              <w:jc w:val="center"/>
            </w:pPr>
            <w:r w:rsidRPr="003C6DEF">
              <w:t>21.9%</w:t>
            </w:r>
          </w:p>
        </w:tc>
        <w:tc>
          <w:tcPr>
            <w:tcW w:w="994" w:type="pct"/>
            <w:tcBorders>
              <w:bottom w:val="single" w:sz="4" w:space="0" w:color="auto"/>
            </w:tcBorders>
            <w:vAlign w:val="center"/>
          </w:tcPr>
          <w:p w:rsidR="00A25413" w:rsidRPr="00C3432C" w:rsidRDefault="00A25413" w:rsidP="00B72D17">
            <w:pPr>
              <w:pStyle w:val="TableText0"/>
              <w:jc w:val="center"/>
            </w:pPr>
            <w:r w:rsidRPr="00C3432C">
              <w:t>----</w:t>
            </w:r>
          </w:p>
        </w:tc>
      </w:tr>
    </w:tbl>
    <w:p w:rsidR="00A25413" w:rsidRPr="00C3432C" w:rsidRDefault="00A25413" w:rsidP="00A25413">
      <w:pPr>
        <w:pStyle w:val="TableFigureFooter"/>
        <w:rPr>
          <w:snapToGrid/>
        </w:rPr>
      </w:pPr>
      <w:r w:rsidRPr="00C3432C">
        <w:rPr>
          <w:snapToGrid/>
        </w:rPr>
        <w:t>Source: Table 2.23, p77 of the submission and Table 8.1.1 Study SP0982 CSR-Additional tables, p304</w:t>
      </w:r>
    </w:p>
    <w:p w:rsidR="00A25413" w:rsidRPr="00C3432C" w:rsidRDefault="00A25413" w:rsidP="00010DA6">
      <w:pPr>
        <w:pStyle w:val="TableFigureFooter"/>
      </w:pPr>
      <w:r w:rsidRPr="00C3432C">
        <w:t>CI=confidence interval; FAS=Full Analysis Set; HR=hazard ratio; KM=Kaplan-Meier;</w:t>
      </w:r>
      <w:r w:rsidR="007D38D9" w:rsidRPr="00C3432C">
        <w:t xml:space="preserve"> NA= not applicable; NR= not </w:t>
      </w:r>
      <w:r w:rsidR="00996134" w:rsidRPr="00C3432C">
        <w:t>reached</w:t>
      </w:r>
      <w:r w:rsidR="007D38D9" w:rsidRPr="00C3432C">
        <w:t xml:space="preserve">; </w:t>
      </w:r>
      <w:r w:rsidRPr="00C3432C">
        <w:t>PGTC</w:t>
      </w:r>
      <w:r w:rsidR="00A232B4" w:rsidRPr="00C3432C">
        <w:t>S=primary generalis</w:t>
      </w:r>
      <w:r w:rsidRPr="00C3432C">
        <w:t>ed tonic-clonic seizure</w:t>
      </w:r>
    </w:p>
    <w:p w:rsidR="00A25413" w:rsidRPr="00C3432C" w:rsidRDefault="00A25413" w:rsidP="00010DA6">
      <w:pPr>
        <w:pStyle w:val="TableFigureHeading"/>
        <w:spacing w:before="240"/>
      </w:pPr>
      <w:r w:rsidRPr="00C3432C">
        <w:t xml:space="preserve">Figure </w:t>
      </w:r>
      <w:r w:rsidR="003409DC">
        <w:rPr>
          <w:noProof/>
        </w:rPr>
        <w:t>1</w:t>
      </w:r>
      <w:r w:rsidRPr="00C3432C">
        <w:t>: Kaplan-Meier estimates for time to second PGTC</w:t>
      </w:r>
      <w:r w:rsidR="00A232B4" w:rsidRPr="00C3432C">
        <w:t>S</w:t>
      </w:r>
      <w:r w:rsidRPr="00C3432C">
        <w:t xml:space="preserve"> (FAS)</w:t>
      </w:r>
      <w:r w:rsidR="00556FDC" w:rsidRPr="00C3432C">
        <w:t xml:space="preserve"> in patients receiving lacosamide or placebo</w:t>
      </w:r>
    </w:p>
    <w:p w:rsidR="00A25413" w:rsidRPr="00C3432C" w:rsidRDefault="00A25413" w:rsidP="00A25413">
      <w:pPr>
        <w:pStyle w:val="Caption"/>
        <w:keepNext/>
        <w:rPr>
          <w:color w:val="auto"/>
        </w:rPr>
      </w:pPr>
    </w:p>
    <w:p w:rsidR="00A25413" w:rsidRPr="001F395E" w:rsidRDefault="00A25413" w:rsidP="00A25413">
      <w:pPr>
        <w:pStyle w:val="3-BodyText"/>
        <w:numPr>
          <w:ilvl w:val="0"/>
          <w:numId w:val="0"/>
        </w:numPr>
        <w:jc w:val="center"/>
      </w:pPr>
      <w:r w:rsidRPr="00C3432C">
        <w:rPr>
          <w:noProof/>
          <w:color w:val="0066FF"/>
        </w:rPr>
        <w:drawing>
          <wp:inline distT="0" distB="0" distL="0" distR="0" wp14:anchorId="12BD24EC" wp14:editId="7D3E311F">
            <wp:extent cx="5200650" cy="2158365"/>
            <wp:effectExtent l="0" t="0" r="0" b="0"/>
            <wp:docPr id="3" name="Picture 3" title="Figure 1: Kaplan-Meier estimates for time to second PGTCS (FAS) in patients receiving lacosamide or place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2158365"/>
                    </a:xfrm>
                    <a:prstGeom prst="rect">
                      <a:avLst/>
                    </a:prstGeom>
                    <a:noFill/>
                  </pic:spPr>
                </pic:pic>
              </a:graphicData>
            </a:graphic>
          </wp:inline>
        </w:drawing>
      </w:r>
    </w:p>
    <w:p w:rsidR="00A25413" w:rsidRPr="00C3432C" w:rsidRDefault="00A25413" w:rsidP="00A25413">
      <w:pPr>
        <w:pStyle w:val="TableFigureFooter"/>
      </w:pPr>
      <w:r w:rsidRPr="00C3432C">
        <w:t>Source: Figure 2.9 of the submission, p78</w:t>
      </w:r>
    </w:p>
    <w:p w:rsidR="00A25413" w:rsidRPr="00C3432C" w:rsidRDefault="00917EEA" w:rsidP="00A25413">
      <w:pPr>
        <w:pStyle w:val="TableFigureFooter"/>
      </w:pPr>
      <w:r w:rsidRPr="00C3432C">
        <w:t>FAS=Full Analysis Set;</w:t>
      </w:r>
      <w:r w:rsidR="00A25413" w:rsidRPr="00C3432C">
        <w:t xml:space="preserve"> </w:t>
      </w:r>
      <w:r w:rsidR="00A232B4" w:rsidRPr="00C3432C">
        <w:t>PGTCS</w:t>
      </w:r>
      <w:r w:rsidR="00A25413" w:rsidRPr="00C3432C">
        <w:t>=primary generali</w:t>
      </w:r>
      <w:r w:rsidR="00556FDC" w:rsidRPr="00C3432C">
        <w:t>s</w:t>
      </w:r>
      <w:r w:rsidR="00A25413" w:rsidRPr="00C3432C">
        <w:t>ed tonic-clonic seizure.</w:t>
      </w:r>
    </w:p>
    <w:p w:rsidR="00A25413" w:rsidRPr="00C3432C" w:rsidRDefault="00A25413" w:rsidP="00A25413">
      <w:pPr>
        <w:pStyle w:val="TableFigureFooter"/>
      </w:pPr>
      <w:r w:rsidRPr="00C3432C">
        <w:t xml:space="preserve">Kaplan-Meier estimates for time to second </w:t>
      </w:r>
      <w:r w:rsidR="00A232B4" w:rsidRPr="00C3432C">
        <w:t>PGTCS</w:t>
      </w:r>
      <w:r w:rsidRPr="00C3432C">
        <w:t xml:space="preserve"> (125 events) (FAS). One patient in the Lacosamide group was randomised after the 125th event and does not appear in this analysis. Symbols represent censored patients (patients who completed the </w:t>
      </w:r>
      <w:r w:rsidR="004B3FB0" w:rsidRPr="00C3432C">
        <w:t>treatment period</w:t>
      </w:r>
      <w:r w:rsidRPr="00C3432C">
        <w:t xml:space="preserve"> without having a second </w:t>
      </w:r>
      <w:r w:rsidR="00A232B4" w:rsidRPr="00C3432C">
        <w:t>PGTCS</w:t>
      </w:r>
      <w:r w:rsidRPr="00C3432C">
        <w:t xml:space="preserve">). FAS, full analysis set; </w:t>
      </w:r>
      <w:r w:rsidR="00A232B4" w:rsidRPr="00C3432C">
        <w:t>PGTCS</w:t>
      </w:r>
      <w:r w:rsidRPr="00C3432C">
        <w:t>, primary generalised tonic-clonic seizure.</w:t>
      </w:r>
    </w:p>
    <w:p w:rsidR="00A25413" w:rsidRPr="00C3432C" w:rsidRDefault="00A25413" w:rsidP="00A25413">
      <w:pPr>
        <w:pStyle w:val="TableFigureFooter"/>
      </w:pPr>
      <w:r w:rsidRPr="00C3432C">
        <w:t>Note: The numbers represent the number of study participants at risk at the start of the final day of each 3-week period.</w:t>
      </w:r>
    </w:p>
    <w:p w:rsidR="00A25413" w:rsidRPr="00C3432C" w:rsidRDefault="00A25413" w:rsidP="00A25413">
      <w:pPr>
        <w:pStyle w:val="TableFigureFooter"/>
      </w:pPr>
      <w:r w:rsidRPr="00C3432C">
        <w:t>Note: The symbols represent censored study participants.</w:t>
      </w:r>
    </w:p>
    <w:p w:rsidR="00A25413" w:rsidRPr="00C3432C" w:rsidRDefault="00A25413" w:rsidP="00A25413">
      <w:pPr>
        <w:pStyle w:val="TableFigureFooter"/>
      </w:pPr>
      <w:r w:rsidRPr="00C3432C">
        <w:t>Note: Study Participant SP0982-402-09600 (</w:t>
      </w:r>
      <w:r w:rsidR="00E30F43" w:rsidRPr="00C3432C">
        <w:t>lacosamide</w:t>
      </w:r>
      <w:r w:rsidRPr="00C3432C">
        <w:t>) was randomised after the 125th event and does not appear in this graph.</w:t>
      </w:r>
    </w:p>
    <w:p w:rsidR="00A25413" w:rsidRPr="00C3432C" w:rsidRDefault="00A25413" w:rsidP="00A25413">
      <w:pPr>
        <w:pStyle w:val="TableFigureFooter"/>
        <w:rPr>
          <w:snapToGrid/>
        </w:rPr>
      </w:pPr>
    </w:p>
    <w:p w:rsidR="008E7D78" w:rsidRDefault="008E7D78">
      <w:pPr>
        <w:jc w:val="left"/>
        <w:rPr>
          <w:rFonts w:ascii="Arial Narrow" w:eastAsiaTheme="majorEastAsia" w:hAnsi="Arial Narrow" w:cstheme="majorBidi"/>
          <w:b/>
          <w:bCs/>
          <w:sz w:val="20"/>
        </w:rPr>
      </w:pPr>
      <w:r>
        <w:br w:type="page"/>
      </w:r>
    </w:p>
    <w:p w:rsidR="00A25413" w:rsidRPr="00C3432C" w:rsidRDefault="00A25413" w:rsidP="00A25413">
      <w:pPr>
        <w:pStyle w:val="TableFigureHeading"/>
      </w:pPr>
      <w:r w:rsidRPr="00C3432C">
        <w:lastRenderedPageBreak/>
        <w:t xml:space="preserve">Table </w:t>
      </w:r>
      <w:r w:rsidR="003409DC">
        <w:rPr>
          <w:noProof/>
        </w:rPr>
        <w:t>5</w:t>
      </w:r>
      <w:r w:rsidRPr="00C3432C">
        <w:t xml:space="preserve">: Responder status for reduction in </w:t>
      </w:r>
      <w:r w:rsidR="00A232B4" w:rsidRPr="00C3432C">
        <w:t>PGTCS</w:t>
      </w:r>
      <w:r w:rsidRPr="00C3432C">
        <w:t xml:space="preserve"> frequency (FAS)</w:t>
      </w:r>
      <w:r w:rsidR="00556FDC" w:rsidRPr="00C3432C">
        <w:t xml:space="preserve"> in patients receiving lacosamide or placebo</w:t>
      </w: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559"/>
        <w:gridCol w:w="1706"/>
        <w:gridCol w:w="1838"/>
        <w:gridCol w:w="2027"/>
      </w:tblGrid>
      <w:tr w:rsidR="00A25413" w:rsidRPr="00C3432C" w:rsidTr="00B72D17">
        <w:trPr>
          <w:tblHeader/>
        </w:trPr>
        <w:tc>
          <w:tcPr>
            <w:tcW w:w="1025" w:type="pct"/>
            <w:vAlign w:val="center"/>
          </w:tcPr>
          <w:p w:rsidR="00A25413" w:rsidRPr="00C3432C" w:rsidRDefault="00A25413" w:rsidP="00B72D17">
            <w:pPr>
              <w:pStyle w:val="In-tableHeading"/>
              <w:jc w:val="center"/>
              <w:rPr>
                <w:lang w:val="en-AU"/>
              </w:rPr>
            </w:pPr>
            <w:r w:rsidRPr="00C3432C">
              <w:rPr>
                <w:lang w:val="en-AU"/>
              </w:rPr>
              <w:t>SP0982</w:t>
            </w:r>
          </w:p>
        </w:tc>
        <w:tc>
          <w:tcPr>
            <w:tcW w:w="869" w:type="pct"/>
            <w:vAlign w:val="center"/>
          </w:tcPr>
          <w:p w:rsidR="00A25413" w:rsidRPr="00C3432C" w:rsidRDefault="00A25413" w:rsidP="00B72D17">
            <w:pPr>
              <w:pStyle w:val="In-tableHeading"/>
              <w:jc w:val="center"/>
              <w:rPr>
                <w:lang w:val="en-AU"/>
              </w:rPr>
            </w:pPr>
            <w:r w:rsidRPr="00C3432C">
              <w:rPr>
                <w:lang w:val="en-AU"/>
              </w:rPr>
              <w:t>Lacosamide</w:t>
            </w:r>
          </w:p>
          <w:p w:rsidR="00A25413" w:rsidRPr="00C3432C" w:rsidRDefault="00A25413" w:rsidP="00B72D17">
            <w:pPr>
              <w:pStyle w:val="In-tableHeading"/>
              <w:jc w:val="center"/>
              <w:rPr>
                <w:lang w:val="en-AU"/>
              </w:rPr>
            </w:pPr>
            <w:r w:rsidRPr="00C3432C">
              <w:rPr>
                <w:lang w:val="en-AU"/>
              </w:rPr>
              <w:t>N=119</w:t>
            </w:r>
          </w:p>
        </w:tc>
        <w:tc>
          <w:tcPr>
            <w:tcW w:w="951" w:type="pct"/>
            <w:vAlign w:val="center"/>
          </w:tcPr>
          <w:p w:rsidR="00A25413" w:rsidRPr="00C3432C" w:rsidRDefault="00A25413" w:rsidP="00B72D17">
            <w:pPr>
              <w:pStyle w:val="In-tableHeading"/>
              <w:jc w:val="center"/>
              <w:rPr>
                <w:lang w:val="en-AU"/>
              </w:rPr>
            </w:pPr>
            <w:r w:rsidRPr="00C3432C">
              <w:rPr>
                <w:lang w:val="en-AU"/>
              </w:rPr>
              <w:t>Placebo</w:t>
            </w:r>
          </w:p>
          <w:p w:rsidR="00A25413" w:rsidRPr="00C3432C" w:rsidRDefault="00A25413" w:rsidP="00B72D17">
            <w:pPr>
              <w:pStyle w:val="In-tableHeading"/>
              <w:jc w:val="center"/>
              <w:rPr>
                <w:lang w:val="en-AU"/>
              </w:rPr>
            </w:pPr>
            <w:r w:rsidRPr="00C3432C">
              <w:rPr>
                <w:lang w:val="en-AU"/>
              </w:rPr>
              <w:t>N= 121</w:t>
            </w:r>
          </w:p>
        </w:tc>
        <w:tc>
          <w:tcPr>
            <w:tcW w:w="1025" w:type="pct"/>
            <w:vAlign w:val="center"/>
          </w:tcPr>
          <w:p w:rsidR="00A25413" w:rsidRPr="000C6947" w:rsidRDefault="00A25413" w:rsidP="005B250A">
            <w:pPr>
              <w:pStyle w:val="In-tableHeading"/>
              <w:jc w:val="center"/>
              <w:rPr>
                <w:lang w:val="en-AU"/>
              </w:rPr>
            </w:pPr>
            <w:r w:rsidRPr="009A2E2A">
              <w:rPr>
                <w:lang w:val="en-AU"/>
              </w:rPr>
              <w:t>Relative risk (95% CI</w:t>
            </w:r>
            <w:r w:rsidR="000C6947">
              <w:rPr>
                <w:lang w:val="en-AU"/>
              </w:rPr>
              <w:t>)</w:t>
            </w:r>
            <w:r w:rsidR="005B250A" w:rsidRPr="009A2E2A">
              <w:rPr>
                <w:vertAlign w:val="superscript"/>
                <w:lang w:val="en-AU"/>
              </w:rPr>
              <w:t>a</w:t>
            </w:r>
          </w:p>
        </w:tc>
        <w:tc>
          <w:tcPr>
            <w:tcW w:w="1130" w:type="pct"/>
            <w:vAlign w:val="center"/>
          </w:tcPr>
          <w:p w:rsidR="00A25413" w:rsidRPr="009A2E2A" w:rsidRDefault="00A25413" w:rsidP="00B72D17">
            <w:pPr>
              <w:pStyle w:val="In-tableHeading"/>
              <w:jc w:val="center"/>
              <w:rPr>
                <w:lang w:val="en-AU"/>
              </w:rPr>
            </w:pPr>
            <w:r w:rsidRPr="009A2E2A">
              <w:rPr>
                <w:lang w:val="en-AU"/>
              </w:rPr>
              <w:t>Risk difference (95% CI)</w:t>
            </w:r>
            <w:r w:rsidR="005B250A" w:rsidRPr="009A2E2A">
              <w:rPr>
                <w:vertAlign w:val="superscript"/>
                <w:lang w:val="en-AU"/>
              </w:rPr>
              <w:t>a</w:t>
            </w:r>
          </w:p>
        </w:tc>
      </w:tr>
      <w:tr w:rsidR="00A25413" w:rsidRPr="00C3432C" w:rsidTr="00B72D17">
        <w:tc>
          <w:tcPr>
            <w:tcW w:w="5000" w:type="pct"/>
            <w:gridSpan w:val="5"/>
            <w:vAlign w:val="center"/>
          </w:tcPr>
          <w:p w:rsidR="00A25413" w:rsidRPr="00C3432C" w:rsidRDefault="004B3FB0" w:rsidP="000C6947">
            <w:pPr>
              <w:pStyle w:val="TableText0"/>
              <w:rPr>
                <w:b/>
              </w:rPr>
            </w:pPr>
            <w:r w:rsidRPr="00C3432C">
              <w:rPr>
                <w:b/>
              </w:rPr>
              <w:t>Titration p</w:t>
            </w:r>
            <w:r w:rsidR="00F14EA2" w:rsidRPr="00C3432C">
              <w:rPr>
                <w:b/>
              </w:rPr>
              <w:t>eriod</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50%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65 (54.6)</w:t>
            </w:r>
          </w:p>
        </w:tc>
        <w:tc>
          <w:tcPr>
            <w:tcW w:w="951" w:type="pct"/>
            <w:vAlign w:val="center"/>
          </w:tcPr>
          <w:p w:rsidR="00A25413" w:rsidRPr="00C3432C" w:rsidRDefault="00A25413" w:rsidP="00B72D17">
            <w:pPr>
              <w:pStyle w:val="TableText0"/>
              <w:jc w:val="center"/>
              <w:rPr>
                <w:szCs w:val="20"/>
              </w:rPr>
            </w:pPr>
            <w:r w:rsidRPr="00C3432C">
              <w:rPr>
                <w:szCs w:val="20"/>
                <w:lang w:eastAsia="ja-JP"/>
              </w:rPr>
              <w:t>53 (43.8)</w:t>
            </w:r>
          </w:p>
        </w:tc>
        <w:tc>
          <w:tcPr>
            <w:tcW w:w="1025" w:type="pct"/>
            <w:vAlign w:val="center"/>
          </w:tcPr>
          <w:p w:rsidR="00A25413" w:rsidRPr="003C6DEF" w:rsidRDefault="00A25413" w:rsidP="00B72D17">
            <w:pPr>
              <w:pStyle w:val="TableText0"/>
              <w:jc w:val="center"/>
            </w:pPr>
            <w:r w:rsidRPr="003C6DEF">
              <w:t>1.25 (0.96, 1.62)</w:t>
            </w:r>
          </w:p>
        </w:tc>
        <w:tc>
          <w:tcPr>
            <w:tcW w:w="1130" w:type="pct"/>
            <w:vAlign w:val="center"/>
          </w:tcPr>
          <w:p w:rsidR="00A25413" w:rsidRPr="003C6DEF" w:rsidRDefault="00A25413" w:rsidP="00B72D17">
            <w:pPr>
              <w:pStyle w:val="TableText0"/>
              <w:jc w:val="center"/>
            </w:pPr>
            <w:r w:rsidRPr="003C6DEF">
              <w:t>10.8% (-1.</w:t>
            </w:r>
            <w:r w:rsidR="00F14EA2" w:rsidRPr="003C6DEF">
              <w:t>8</w:t>
            </w:r>
            <w:r w:rsidRPr="003C6DEF">
              <w:t>%, 23.4%)</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75%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56 (47.1)</w:t>
            </w:r>
          </w:p>
        </w:tc>
        <w:tc>
          <w:tcPr>
            <w:tcW w:w="951" w:type="pct"/>
            <w:vAlign w:val="center"/>
          </w:tcPr>
          <w:p w:rsidR="00A25413" w:rsidRPr="00C3432C" w:rsidRDefault="00A25413" w:rsidP="00B72D17">
            <w:pPr>
              <w:pStyle w:val="TableText0"/>
              <w:jc w:val="center"/>
              <w:rPr>
                <w:szCs w:val="20"/>
              </w:rPr>
            </w:pPr>
            <w:r w:rsidRPr="00C3432C">
              <w:rPr>
                <w:szCs w:val="20"/>
                <w:lang w:eastAsia="ja-JP"/>
              </w:rPr>
              <w:t>44 (36.4)</w:t>
            </w:r>
          </w:p>
        </w:tc>
        <w:tc>
          <w:tcPr>
            <w:tcW w:w="1025" w:type="pct"/>
            <w:vAlign w:val="center"/>
          </w:tcPr>
          <w:p w:rsidR="00A25413" w:rsidRPr="003C6DEF" w:rsidRDefault="00A25413" w:rsidP="00B72D17">
            <w:pPr>
              <w:pStyle w:val="TableText0"/>
              <w:jc w:val="center"/>
            </w:pPr>
            <w:r w:rsidRPr="003C6DEF">
              <w:t>1.29 (0.96, 1.75)</w:t>
            </w:r>
          </w:p>
        </w:tc>
        <w:tc>
          <w:tcPr>
            <w:tcW w:w="1130" w:type="pct"/>
            <w:vAlign w:val="center"/>
          </w:tcPr>
          <w:p w:rsidR="00A25413" w:rsidRPr="003C6DEF" w:rsidRDefault="00A25413" w:rsidP="00B72D17">
            <w:pPr>
              <w:pStyle w:val="TableText0"/>
              <w:jc w:val="center"/>
            </w:pPr>
            <w:r w:rsidRPr="003C6DEF">
              <w:t>10.7% (-1.7%, 23.1%)</w:t>
            </w:r>
          </w:p>
        </w:tc>
      </w:tr>
      <w:tr w:rsidR="00A25413" w:rsidRPr="00C3432C" w:rsidTr="00B72D17">
        <w:tc>
          <w:tcPr>
            <w:tcW w:w="5000" w:type="pct"/>
            <w:gridSpan w:val="5"/>
            <w:vAlign w:val="center"/>
          </w:tcPr>
          <w:p w:rsidR="00A25413" w:rsidRPr="003C6DEF" w:rsidRDefault="00A25413" w:rsidP="000C6947">
            <w:pPr>
              <w:pStyle w:val="TableText0"/>
              <w:rPr>
                <w:b/>
                <w:szCs w:val="20"/>
              </w:rPr>
            </w:pPr>
            <w:r w:rsidRPr="003C6DEF">
              <w:rPr>
                <w:b/>
                <w:szCs w:val="20"/>
              </w:rPr>
              <w:t xml:space="preserve">First 12 weeks of the </w:t>
            </w:r>
            <w:r w:rsidR="004B3FB0" w:rsidRPr="003C6DEF">
              <w:rPr>
                <w:b/>
                <w:szCs w:val="20"/>
              </w:rPr>
              <w:t>treatment period</w:t>
            </w:r>
            <w:r w:rsidR="005B250A" w:rsidRPr="003C6DEF">
              <w:rPr>
                <w:b/>
                <w:szCs w:val="20"/>
                <w:vertAlign w:val="superscript"/>
              </w:rPr>
              <w:t>b</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50%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82 (68.9)</w:t>
            </w:r>
          </w:p>
        </w:tc>
        <w:tc>
          <w:tcPr>
            <w:tcW w:w="951" w:type="pct"/>
            <w:vAlign w:val="center"/>
          </w:tcPr>
          <w:p w:rsidR="00A25413" w:rsidRPr="00C3432C" w:rsidRDefault="00A25413" w:rsidP="00B72D17">
            <w:pPr>
              <w:pStyle w:val="TableText0"/>
              <w:jc w:val="center"/>
              <w:rPr>
                <w:szCs w:val="20"/>
              </w:rPr>
            </w:pPr>
            <w:r w:rsidRPr="00C3432C">
              <w:rPr>
                <w:szCs w:val="20"/>
                <w:lang w:eastAsia="ja-JP"/>
              </w:rPr>
              <w:t>63 (52.1)</w:t>
            </w:r>
          </w:p>
        </w:tc>
        <w:tc>
          <w:tcPr>
            <w:tcW w:w="1025" w:type="pct"/>
            <w:vAlign w:val="center"/>
          </w:tcPr>
          <w:p w:rsidR="00A25413" w:rsidRPr="003C6DEF" w:rsidRDefault="00A25413" w:rsidP="00B72D17">
            <w:pPr>
              <w:pStyle w:val="TableText0"/>
              <w:jc w:val="center"/>
              <w:rPr>
                <w:b/>
              </w:rPr>
            </w:pPr>
            <w:r w:rsidRPr="003C6DEF">
              <w:rPr>
                <w:b/>
              </w:rPr>
              <w:t>1.32 (1.07, 1.63)</w:t>
            </w:r>
          </w:p>
        </w:tc>
        <w:tc>
          <w:tcPr>
            <w:tcW w:w="1130" w:type="pct"/>
            <w:vAlign w:val="center"/>
          </w:tcPr>
          <w:p w:rsidR="00A25413" w:rsidRPr="003C6DEF" w:rsidRDefault="00A25413" w:rsidP="00B72D17">
            <w:pPr>
              <w:pStyle w:val="TableText0"/>
              <w:jc w:val="center"/>
              <w:rPr>
                <w:b/>
              </w:rPr>
            </w:pPr>
            <w:r w:rsidRPr="003C6DEF">
              <w:rPr>
                <w:b/>
              </w:rPr>
              <w:t>16.8% (4.7%, 29.0%)</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75%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56 (47.1)</w:t>
            </w:r>
          </w:p>
        </w:tc>
        <w:tc>
          <w:tcPr>
            <w:tcW w:w="951" w:type="pct"/>
            <w:vAlign w:val="center"/>
          </w:tcPr>
          <w:p w:rsidR="00A25413" w:rsidRPr="00C3432C" w:rsidRDefault="00A25413" w:rsidP="00B72D17">
            <w:pPr>
              <w:pStyle w:val="TableText0"/>
              <w:jc w:val="center"/>
              <w:rPr>
                <w:szCs w:val="20"/>
              </w:rPr>
            </w:pPr>
            <w:r w:rsidRPr="00C3432C">
              <w:rPr>
                <w:szCs w:val="20"/>
                <w:lang w:eastAsia="ja-JP"/>
              </w:rPr>
              <w:t>37 (30.6)</w:t>
            </w:r>
          </w:p>
        </w:tc>
        <w:tc>
          <w:tcPr>
            <w:tcW w:w="1025" w:type="pct"/>
            <w:vAlign w:val="center"/>
          </w:tcPr>
          <w:p w:rsidR="00A25413" w:rsidRPr="003C6DEF" w:rsidRDefault="00A25413" w:rsidP="00B72D17">
            <w:pPr>
              <w:pStyle w:val="TableText0"/>
              <w:jc w:val="center"/>
              <w:rPr>
                <w:b/>
              </w:rPr>
            </w:pPr>
            <w:r w:rsidRPr="003C6DEF">
              <w:rPr>
                <w:b/>
              </w:rPr>
              <w:t>1.54 (1.11, 2.14)</w:t>
            </w:r>
          </w:p>
        </w:tc>
        <w:tc>
          <w:tcPr>
            <w:tcW w:w="1130" w:type="pct"/>
            <w:vAlign w:val="center"/>
          </w:tcPr>
          <w:p w:rsidR="00A25413" w:rsidRPr="003C6DEF" w:rsidRDefault="00A25413" w:rsidP="00B72D17">
            <w:pPr>
              <w:pStyle w:val="TableText0"/>
              <w:jc w:val="center"/>
              <w:rPr>
                <w:b/>
              </w:rPr>
            </w:pPr>
            <w:r w:rsidRPr="003C6DEF">
              <w:rPr>
                <w:b/>
              </w:rPr>
              <w:t>16.5% (4.3%, 28.6%)</w:t>
            </w:r>
          </w:p>
        </w:tc>
      </w:tr>
      <w:tr w:rsidR="00A25413" w:rsidRPr="00C3432C" w:rsidTr="00B72D17">
        <w:tc>
          <w:tcPr>
            <w:tcW w:w="5000" w:type="pct"/>
            <w:gridSpan w:val="5"/>
            <w:vAlign w:val="center"/>
          </w:tcPr>
          <w:p w:rsidR="00A25413" w:rsidRPr="003C6DEF" w:rsidRDefault="00A25413" w:rsidP="000C6947">
            <w:pPr>
              <w:pStyle w:val="TableText0"/>
              <w:rPr>
                <w:b/>
                <w:szCs w:val="20"/>
              </w:rPr>
            </w:pPr>
            <w:r w:rsidRPr="003C6DEF">
              <w:rPr>
                <w:b/>
                <w:szCs w:val="20"/>
              </w:rPr>
              <w:t xml:space="preserve">24-weeks </w:t>
            </w:r>
            <w:r w:rsidR="004B3FB0" w:rsidRPr="003C6DEF">
              <w:rPr>
                <w:b/>
                <w:szCs w:val="20"/>
              </w:rPr>
              <w:t>treatment period</w:t>
            </w:r>
            <w:r w:rsidR="005B250A" w:rsidRPr="003C6DEF">
              <w:rPr>
                <w:b/>
                <w:szCs w:val="20"/>
                <w:vertAlign w:val="superscript"/>
              </w:rPr>
              <w:t>b</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50%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81 (68.1)</w:t>
            </w:r>
          </w:p>
        </w:tc>
        <w:tc>
          <w:tcPr>
            <w:tcW w:w="951" w:type="pct"/>
            <w:vAlign w:val="center"/>
          </w:tcPr>
          <w:p w:rsidR="00A25413" w:rsidRPr="00C3432C" w:rsidRDefault="00A25413" w:rsidP="00B72D17">
            <w:pPr>
              <w:pStyle w:val="TableText0"/>
              <w:jc w:val="center"/>
              <w:rPr>
                <w:szCs w:val="20"/>
              </w:rPr>
            </w:pPr>
            <w:r w:rsidRPr="00C3432C">
              <w:rPr>
                <w:szCs w:val="20"/>
                <w:lang w:eastAsia="ja-JP"/>
              </w:rPr>
              <w:t>56 (46.3)</w:t>
            </w:r>
          </w:p>
        </w:tc>
        <w:tc>
          <w:tcPr>
            <w:tcW w:w="1025" w:type="pct"/>
            <w:vAlign w:val="center"/>
          </w:tcPr>
          <w:p w:rsidR="00A25413" w:rsidRPr="003C6DEF" w:rsidRDefault="00A25413" w:rsidP="00B72D17">
            <w:pPr>
              <w:pStyle w:val="TableText0"/>
              <w:jc w:val="center"/>
              <w:rPr>
                <w:b/>
              </w:rPr>
            </w:pPr>
            <w:r w:rsidRPr="003C6DEF">
              <w:rPr>
                <w:b/>
              </w:rPr>
              <w:t>1.47 (1.17, 1.85)</w:t>
            </w:r>
          </w:p>
        </w:tc>
        <w:tc>
          <w:tcPr>
            <w:tcW w:w="1130" w:type="pct"/>
            <w:vAlign w:val="center"/>
          </w:tcPr>
          <w:p w:rsidR="00A25413" w:rsidRPr="003C6DEF" w:rsidRDefault="00A25413" w:rsidP="00B72D17">
            <w:pPr>
              <w:pStyle w:val="TableText0"/>
              <w:jc w:val="center"/>
              <w:rPr>
                <w:b/>
              </w:rPr>
            </w:pPr>
            <w:r w:rsidRPr="003C6DEF">
              <w:rPr>
                <w:b/>
              </w:rPr>
              <w:t>21.8% (9.6%, 34.0%)</w:t>
            </w:r>
          </w:p>
        </w:tc>
      </w:tr>
      <w:tr w:rsidR="00A25413" w:rsidRPr="00C3432C" w:rsidTr="00B72D17">
        <w:tc>
          <w:tcPr>
            <w:tcW w:w="1025" w:type="pct"/>
            <w:vAlign w:val="center"/>
          </w:tcPr>
          <w:p w:rsidR="00A25413" w:rsidRPr="00C3432C" w:rsidRDefault="00A25413" w:rsidP="00B72D17">
            <w:pPr>
              <w:pStyle w:val="TableText0"/>
              <w:jc w:val="center"/>
              <w:rPr>
                <w:szCs w:val="20"/>
              </w:rPr>
            </w:pPr>
            <w:r w:rsidRPr="00C3432C">
              <w:rPr>
                <w:szCs w:val="20"/>
              </w:rPr>
              <w:t>75% responder n (%)</w:t>
            </w:r>
          </w:p>
        </w:tc>
        <w:tc>
          <w:tcPr>
            <w:tcW w:w="869" w:type="pct"/>
            <w:vAlign w:val="center"/>
          </w:tcPr>
          <w:p w:rsidR="00A25413" w:rsidRPr="00C3432C" w:rsidRDefault="00A25413" w:rsidP="00B72D17">
            <w:pPr>
              <w:pStyle w:val="TableText0"/>
              <w:jc w:val="center"/>
              <w:rPr>
                <w:szCs w:val="20"/>
              </w:rPr>
            </w:pPr>
            <w:r w:rsidRPr="00C3432C">
              <w:rPr>
                <w:szCs w:val="20"/>
                <w:lang w:eastAsia="ja-JP"/>
              </w:rPr>
              <w:t>68 (57.1)</w:t>
            </w:r>
          </w:p>
        </w:tc>
        <w:tc>
          <w:tcPr>
            <w:tcW w:w="951" w:type="pct"/>
            <w:vAlign w:val="center"/>
          </w:tcPr>
          <w:p w:rsidR="00A25413" w:rsidRPr="00C3432C" w:rsidRDefault="00A25413" w:rsidP="00B72D17">
            <w:pPr>
              <w:pStyle w:val="TableText0"/>
              <w:jc w:val="center"/>
              <w:rPr>
                <w:szCs w:val="20"/>
              </w:rPr>
            </w:pPr>
            <w:r w:rsidRPr="00C3432C">
              <w:rPr>
                <w:szCs w:val="20"/>
                <w:lang w:eastAsia="ja-JP"/>
              </w:rPr>
              <w:t>44 (36.4)</w:t>
            </w:r>
          </w:p>
        </w:tc>
        <w:tc>
          <w:tcPr>
            <w:tcW w:w="1025" w:type="pct"/>
            <w:vAlign w:val="center"/>
          </w:tcPr>
          <w:p w:rsidR="00A25413" w:rsidRPr="003C6DEF" w:rsidRDefault="00A25413" w:rsidP="00B72D17">
            <w:pPr>
              <w:pStyle w:val="TableText0"/>
              <w:jc w:val="center"/>
              <w:rPr>
                <w:b/>
              </w:rPr>
            </w:pPr>
            <w:r w:rsidRPr="003C6DEF">
              <w:rPr>
                <w:b/>
              </w:rPr>
              <w:t>1.57 (1.19, 2.08)</w:t>
            </w:r>
          </w:p>
        </w:tc>
        <w:tc>
          <w:tcPr>
            <w:tcW w:w="1130" w:type="pct"/>
            <w:vAlign w:val="center"/>
          </w:tcPr>
          <w:p w:rsidR="00A25413" w:rsidRPr="003C6DEF" w:rsidRDefault="00A25413" w:rsidP="00B72D17">
            <w:pPr>
              <w:pStyle w:val="TableText0"/>
              <w:jc w:val="center"/>
              <w:rPr>
                <w:b/>
              </w:rPr>
            </w:pPr>
            <w:r w:rsidRPr="003C6DEF">
              <w:rPr>
                <w:b/>
              </w:rPr>
              <w:t>20.8% (8.4%, 33.1%)</w:t>
            </w:r>
          </w:p>
        </w:tc>
      </w:tr>
    </w:tbl>
    <w:p w:rsidR="00A25413" w:rsidRPr="00C3432C" w:rsidRDefault="00A25413" w:rsidP="00A25413">
      <w:pPr>
        <w:pStyle w:val="TableFigureFooter"/>
      </w:pPr>
      <w:r w:rsidRPr="00C3432C">
        <w:t>Source: Table 2.27 of the submission, p83</w:t>
      </w:r>
    </w:p>
    <w:p w:rsidR="00A25413" w:rsidRPr="00C3432C" w:rsidRDefault="00A25413" w:rsidP="00A25413">
      <w:pPr>
        <w:pStyle w:val="TableFigureFooter"/>
      </w:pPr>
      <w:r w:rsidRPr="00C3432C">
        <w:t xml:space="preserve">FAS=Full Analysis Set; </w:t>
      </w:r>
      <w:r w:rsidR="00A232B4" w:rsidRPr="00C3432C">
        <w:t>PGTCS</w:t>
      </w:r>
      <w:r w:rsidRPr="00C3432C">
        <w:t xml:space="preserve">=primary </w:t>
      </w:r>
      <w:r w:rsidR="0047011E" w:rsidRPr="00C3432C">
        <w:t>generalised tonic</w:t>
      </w:r>
      <w:r w:rsidRPr="00C3432C">
        <w:t>-clonic seizure</w:t>
      </w:r>
    </w:p>
    <w:p w:rsidR="00A25413" w:rsidRPr="00C3432C" w:rsidRDefault="00A25413" w:rsidP="00A25413">
      <w:pPr>
        <w:pStyle w:val="TableFigureFooter"/>
      </w:pPr>
      <w:r w:rsidRPr="00C3432C">
        <w:t>Note: Percentages were based on the number of study participants in the FAS.</w:t>
      </w:r>
    </w:p>
    <w:p w:rsidR="00A25413" w:rsidRPr="00C3432C" w:rsidRDefault="00A25413" w:rsidP="00A25413">
      <w:pPr>
        <w:pStyle w:val="TableFigureFooter"/>
      </w:pPr>
      <w:r w:rsidRPr="00C3432C">
        <w:t xml:space="preserve">Note: A 50% or 75% responder was a study participant experiencing ≥50% or ≥75%, respectively, reduction in </w:t>
      </w:r>
      <w:r w:rsidR="00A232B4" w:rsidRPr="00C3432C">
        <w:t>PGTCS</w:t>
      </w:r>
      <w:r w:rsidRPr="00C3432C">
        <w:t xml:space="preserve"> frequency per 28 days from the </w:t>
      </w:r>
      <w:r w:rsidR="004B3FB0" w:rsidRPr="00C3432C">
        <w:t>combined baseline</w:t>
      </w:r>
      <w:r w:rsidRPr="00C3432C">
        <w:t xml:space="preserve"> to the period of interest.</w:t>
      </w:r>
    </w:p>
    <w:p w:rsidR="00A04323" w:rsidRPr="009A2E2A" w:rsidRDefault="005B250A" w:rsidP="00A25413">
      <w:pPr>
        <w:pStyle w:val="TableFigureFooter"/>
      </w:pPr>
      <w:r w:rsidRPr="009A2E2A">
        <w:rPr>
          <w:vertAlign w:val="superscript"/>
        </w:rPr>
        <w:t>a</w:t>
      </w:r>
      <w:r w:rsidR="008B5261" w:rsidRPr="009A2E2A">
        <w:rPr>
          <w:vertAlign w:val="superscript"/>
        </w:rPr>
        <w:t xml:space="preserve"> </w:t>
      </w:r>
      <w:r w:rsidR="00A25413" w:rsidRPr="009A2E2A">
        <w:t>Relative risk and risk difference were calculated during the evaluation using R software.</w:t>
      </w:r>
    </w:p>
    <w:p w:rsidR="00ED5FF9" w:rsidRDefault="005B250A" w:rsidP="00A25413">
      <w:pPr>
        <w:pStyle w:val="TableFigureFooter"/>
      </w:pPr>
      <w:r>
        <w:rPr>
          <w:vertAlign w:val="superscript"/>
        </w:rPr>
        <w:t>b</w:t>
      </w:r>
      <w:r w:rsidR="008B5261">
        <w:rPr>
          <w:vertAlign w:val="superscript"/>
        </w:rPr>
        <w:t xml:space="preserve"> </w:t>
      </w:r>
      <w:r w:rsidR="00A04323" w:rsidRPr="00C3432C">
        <w:t xml:space="preserve">Including </w:t>
      </w:r>
      <w:r w:rsidR="004B3FB0" w:rsidRPr="00C3432C">
        <w:t>titration period</w:t>
      </w:r>
    </w:p>
    <w:p w:rsidR="00A04323" w:rsidRPr="00C3432C" w:rsidRDefault="00365879" w:rsidP="00A25413">
      <w:pPr>
        <w:pStyle w:val="TableFigureFooter"/>
      </w:pPr>
      <w:r>
        <w:t xml:space="preserve">Statistical significance is indicated by </w:t>
      </w:r>
      <w:r w:rsidR="00ED5FF9" w:rsidRPr="00ED5FF9">
        <w:rPr>
          <w:b/>
        </w:rPr>
        <w:t>bold</w:t>
      </w:r>
      <w:r>
        <w:t xml:space="preserve"> type</w:t>
      </w:r>
      <w:r w:rsidR="00ED5FF9">
        <w:t>.</w:t>
      </w:r>
      <w:r w:rsidR="00A04323" w:rsidRPr="00C3432C">
        <w:t xml:space="preserve">  </w:t>
      </w:r>
    </w:p>
    <w:p w:rsidR="00ED3CD2" w:rsidRPr="00C3432C" w:rsidRDefault="00ED3CD2" w:rsidP="00ED3CD2">
      <w:pPr>
        <w:pStyle w:val="3-BodyText"/>
        <w:rPr>
          <w:snapToGrid/>
        </w:rPr>
      </w:pPr>
      <w:r w:rsidRPr="00C3432C">
        <w:rPr>
          <w:snapToGrid/>
        </w:rPr>
        <w:t xml:space="preserve">Overall, </w:t>
      </w:r>
      <w:r w:rsidRPr="00C3432C">
        <w:t xml:space="preserve">the risk of developing a second PGTCS during the 24-week </w:t>
      </w:r>
      <w:r w:rsidR="004B3FB0" w:rsidRPr="00C3432C">
        <w:t>treatment period</w:t>
      </w:r>
      <w:r w:rsidRPr="00C3432C">
        <w:t xml:space="preserve"> was significantly lower in the lacosamide arm compared with the placebo arm. The risk of developing a second PGTCS in the lacosamide treatment arm </w:t>
      </w:r>
      <w:r w:rsidR="00D64615" w:rsidRPr="00C3432C">
        <w:t>decreased over</w:t>
      </w:r>
      <w:r w:rsidRPr="00C3432C">
        <w:t xml:space="preserve"> Days 42, 84, and 166 of the SP0982 study period</w:t>
      </w:r>
      <w:r w:rsidR="00E80FC7">
        <w:t xml:space="preserve"> (Table 4)</w:t>
      </w:r>
      <w:r w:rsidRPr="00C3432C">
        <w:t xml:space="preserve">. For the first 12 weeks of treatment, and by the end of the whole </w:t>
      </w:r>
      <w:r w:rsidR="004B3FB0" w:rsidRPr="00C3432C">
        <w:t>treatment period</w:t>
      </w:r>
      <w:r w:rsidRPr="00C3432C">
        <w:t>, there were higher rates of patients in the lacosamide treatment arm who experienced ≥50% and ≥75% reductions in PGTCS frequency, compared to placebo</w:t>
      </w:r>
      <w:r w:rsidR="00840D2A">
        <w:t xml:space="preserve"> (Table 5)</w:t>
      </w:r>
      <w:r w:rsidRPr="00C3432C">
        <w:t xml:space="preserve">. Regarding the other secondary efficacy variables, </w:t>
      </w:r>
      <w:r w:rsidR="000E1514" w:rsidRPr="00C3432C">
        <w:t xml:space="preserve">for </w:t>
      </w:r>
      <w:r w:rsidRPr="00C3432C">
        <w:t xml:space="preserve">the 24-week </w:t>
      </w:r>
      <w:r w:rsidR="004B3FB0" w:rsidRPr="00C3432C">
        <w:t>treatment period</w:t>
      </w:r>
      <w:r w:rsidRPr="00C3432C">
        <w:t xml:space="preserve">, there was a </w:t>
      </w:r>
      <w:r w:rsidR="000E1514" w:rsidRPr="00C3432C">
        <w:t xml:space="preserve">higher median percent change from baseline in the </w:t>
      </w:r>
      <w:r w:rsidR="00996134" w:rsidRPr="00C3432C">
        <w:t>“</w:t>
      </w:r>
      <w:r w:rsidRPr="00C3432C">
        <w:t>PGTCS frequency per 28 days</w:t>
      </w:r>
      <w:r w:rsidR="00996134" w:rsidRPr="00C3432C">
        <w:t>”</w:t>
      </w:r>
      <w:r w:rsidRPr="00C3432C">
        <w:t xml:space="preserve"> in the lacosamide arm compared to the placebo arm (-77.92% and -43.24%, respectively).</w:t>
      </w:r>
    </w:p>
    <w:p w:rsidR="003C593F" w:rsidRPr="003C6DEF" w:rsidRDefault="00DC7838" w:rsidP="003C593F">
      <w:pPr>
        <w:pStyle w:val="3-BodyText"/>
        <w:rPr>
          <w:snapToGrid/>
        </w:rPr>
      </w:pPr>
      <w:r w:rsidRPr="003C6DEF">
        <w:rPr>
          <w:snapToGrid/>
        </w:rPr>
        <w:t>Although</w:t>
      </w:r>
      <w:r w:rsidR="003C593F" w:rsidRPr="003C6DEF">
        <w:rPr>
          <w:snapToGrid/>
        </w:rPr>
        <w:t xml:space="preserve"> all the age </w:t>
      </w:r>
      <w:r w:rsidR="00CF7312" w:rsidRPr="003C6DEF">
        <w:rPr>
          <w:snapToGrid/>
        </w:rPr>
        <w:t>sub-</w:t>
      </w:r>
      <w:r w:rsidR="003C593F" w:rsidRPr="003C6DEF">
        <w:rPr>
          <w:snapToGrid/>
        </w:rPr>
        <w:t xml:space="preserve">groups seem to benefit from lacosamide compared to placebo in terms of the primary efficacy variable, the confidence intervals in </w:t>
      </w:r>
      <w:r w:rsidR="00BB6A35" w:rsidRPr="003C6DEF">
        <w:rPr>
          <w:snapToGrid/>
        </w:rPr>
        <w:t xml:space="preserve">the </w:t>
      </w:r>
      <w:r w:rsidR="003C593F" w:rsidRPr="003C6DEF">
        <w:rPr>
          <w:snapToGrid/>
        </w:rPr>
        <w:t>paediatric age groups were very wide because of the small number of study participants</w:t>
      </w:r>
      <w:r w:rsidR="00D64615" w:rsidRPr="003C6DEF">
        <w:rPr>
          <w:snapToGrid/>
        </w:rPr>
        <w:t xml:space="preserve"> of these age groups</w:t>
      </w:r>
      <w:r w:rsidR="003C593F" w:rsidRPr="003C6DEF">
        <w:rPr>
          <w:snapToGrid/>
        </w:rPr>
        <w:t xml:space="preserve">. </w:t>
      </w:r>
      <w:r w:rsidR="00365695" w:rsidRPr="003C6DEF">
        <w:rPr>
          <w:snapToGrid/>
        </w:rPr>
        <w:t>A similar</w:t>
      </w:r>
      <w:r w:rsidR="003C593F" w:rsidRPr="003C6DEF">
        <w:rPr>
          <w:snapToGrid/>
        </w:rPr>
        <w:t xml:space="preserve"> trend was observed for the secondary efficacy variable (50% responder status). Overall, </w:t>
      </w:r>
      <w:r w:rsidR="001749DF">
        <w:rPr>
          <w:snapToGrid/>
        </w:rPr>
        <w:t xml:space="preserve">the evaluation considered </w:t>
      </w:r>
      <w:r w:rsidR="003C593F" w:rsidRPr="003C6DEF">
        <w:t xml:space="preserve">the data in the paediatric group, especially </w:t>
      </w:r>
      <w:r w:rsidR="000430A3" w:rsidRPr="003C6DEF">
        <w:t xml:space="preserve">for </w:t>
      </w:r>
      <w:r w:rsidR="003C593F" w:rsidRPr="003C6DEF">
        <w:t xml:space="preserve">those </w:t>
      </w:r>
      <w:r w:rsidR="000430A3" w:rsidRPr="003C6DEF">
        <w:t>children</w:t>
      </w:r>
      <w:r w:rsidR="003C593F" w:rsidRPr="003C6DEF">
        <w:t xml:space="preserve"> age</w:t>
      </w:r>
      <w:r w:rsidR="000430A3" w:rsidRPr="003C6DEF">
        <w:t>d</w:t>
      </w:r>
      <w:r w:rsidR="003C593F" w:rsidRPr="003C6DEF">
        <w:t xml:space="preserve"> less than 12 years</w:t>
      </w:r>
      <w:r w:rsidR="000430A3" w:rsidRPr="003C6DEF">
        <w:t>,</w:t>
      </w:r>
      <w:r w:rsidR="003C593F" w:rsidRPr="003C6DEF">
        <w:t xml:space="preserve"> should be interpreted with caution. </w:t>
      </w:r>
    </w:p>
    <w:p w:rsidR="00B95557" w:rsidRPr="00C3432C" w:rsidRDefault="00B95557" w:rsidP="000E2B04">
      <w:pPr>
        <w:pStyle w:val="3-BodyText"/>
      </w:pPr>
      <w:bookmarkStart w:id="13" w:name="_Toc22897642"/>
      <w:r w:rsidRPr="00C3432C">
        <w:t>The results of the indirect comparison of lacosamide with perampanel in terms of 50% PGTCS responder rate</w:t>
      </w:r>
      <w:r w:rsidR="000E2B04" w:rsidRPr="00C3432C">
        <w:t xml:space="preserve"> are </w:t>
      </w:r>
      <w:r w:rsidR="00675FCB">
        <w:t>presented in Table 6</w:t>
      </w:r>
      <w:r w:rsidR="000E2B04" w:rsidRPr="00C3432C">
        <w:t xml:space="preserve">. </w:t>
      </w:r>
    </w:p>
    <w:p w:rsidR="008E7D78" w:rsidRDefault="008E7D78">
      <w:pPr>
        <w:jc w:val="left"/>
        <w:rPr>
          <w:rFonts w:ascii="Arial Narrow" w:eastAsiaTheme="majorEastAsia" w:hAnsi="Arial Narrow" w:cstheme="majorBidi"/>
          <w:b/>
          <w:bCs/>
          <w:sz w:val="20"/>
        </w:rPr>
      </w:pPr>
      <w:bookmarkStart w:id="14" w:name="_Ref60842618"/>
      <w:r>
        <w:br w:type="page"/>
      </w:r>
    </w:p>
    <w:p w:rsidR="00B95557" w:rsidRPr="00C3432C" w:rsidRDefault="00B95557" w:rsidP="00B95557">
      <w:pPr>
        <w:pStyle w:val="TableFigureHeading"/>
        <w:rPr>
          <w:rFonts w:asciiTheme="minorHAnsi" w:hAnsiTheme="minorHAnsi"/>
        </w:rPr>
      </w:pPr>
      <w:r w:rsidRPr="00C3432C">
        <w:lastRenderedPageBreak/>
        <w:t xml:space="preserve">Table </w:t>
      </w:r>
      <w:r w:rsidR="003409DC">
        <w:rPr>
          <w:noProof/>
        </w:rPr>
        <w:t>6</w:t>
      </w:r>
      <w:bookmarkEnd w:id="14"/>
      <w:r w:rsidRPr="00C3432C">
        <w:t xml:space="preserve">: Indirect comparison results for 50% PGTCS responder rate </w:t>
      </w:r>
    </w:p>
    <w:tbl>
      <w:tblPr>
        <w:tblStyle w:val="Submissionstandard"/>
        <w:tblW w:w="0" w:type="auto"/>
        <w:shd w:val="clear" w:color="auto" w:fill="FFFFFF" w:themeFill="background1"/>
        <w:tblLook w:val="04A0" w:firstRow="1" w:lastRow="0" w:firstColumn="1" w:lastColumn="0" w:noHBand="0" w:noVBand="1"/>
        <w:tblCaption w:val="Table 6: Indirect comparison results for 50% PGTCS responder rate "/>
      </w:tblPr>
      <w:tblGrid>
        <w:gridCol w:w="1228"/>
        <w:gridCol w:w="1103"/>
        <w:gridCol w:w="939"/>
        <w:gridCol w:w="1054"/>
        <w:gridCol w:w="1543"/>
        <w:gridCol w:w="1543"/>
        <w:gridCol w:w="1607"/>
      </w:tblGrid>
      <w:tr w:rsidR="00B95557" w:rsidRPr="00C3432C" w:rsidTr="0078619B">
        <w:trPr>
          <w:cnfStyle w:val="100000000000" w:firstRow="1" w:lastRow="0" w:firstColumn="0" w:lastColumn="0" w:oddVBand="0" w:evenVBand="0" w:oddHBand="0" w:evenHBand="0" w:firstRowFirstColumn="0" w:firstRowLastColumn="0" w:lastRowFirstColumn="0" w:lastRowLastColumn="0"/>
          <w:cantSplit/>
          <w:trHeight w:val="57"/>
          <w:tblHeader/>
        </w:trPr>
        <w:tc>
          <w:tcPr>
            <w:tcW w:w="1228" w:type="dxa"/>
            <w:shd w:val="clear" w:color="auto" w:fill="FFFFFF" w:themeFill="background1"/>
          </w:tcPr>
          <w:p w:rsidR="00B95557" w:rsidRPr="00C3432C" w:rsidRDefault="00B95557" w:rsidP="00803348">
            <w:pPr>
              <w:pStyle w:val="TableText0"/>
              <w:keepNext w:val="0"/>
              <w:rPr>
                <w:lang w:val="en-AU"/>
              </w:rPr>
            </w:pPr>
          </w:p>
        </w:tc>
        <w:tc>
          <w:tcPr>
            <w:tcW w:w="1103" w:type="dxa"/>
            <w:shd w:val="clear" w:color="auto" w:fill="FFFFFF" w:themeFill="background1"/>
          </w:tcPr>
          <w:p w:rsidR="00B95557" w:rsidRPr="00C3432C" w:rsidRDefault="00B95557" w:rsidP="00803348">
            <w:pPr>
              <w:pStyle w:val="TableText0"/>
              <w:keepNext w:val="0"/>
              <w:rPr>
                <w:lang w:val="en-AU"/>
              </w:rPr>
            </w:pPr>
            <w:r w:rsidRPr="00C3432C">
              <w:rPr>
                <w:lang w:val="en-AU"/>
              </w:rPr>
              <w:t>Trial ID</w:t>
            </w:r>
          </w:p>
        </w:tc>
        <w:tc>
          <w:tcPr>
            <w:tcW w:w="939" w:type="dxa"/>
            <w:shd w:val="clear" w:color="auto" w:fill="FFFFFF" w:themeFill="background1"/>
          </w:tcPr>
          <w:p w:rsidR="00B95557" w:rsidRPr="00C3432C" w:rsidRDefault="00B95557" w:rsidP="00803348">
            <w:pPr>
              <w:pStyle w:val="TableText0"/>
              <w:keepNext w:val="0"/>
              <w:jc w:val="center"/>
              <w:rPr>
                <w:lang w:val="en-AU"/>
              </w:rPr>
            </w:pPr>
            <w:r w:rsidRPr="00C3432C">
              <w:rPr>
                <w:lang w:val="en-AU"/>
              </w:rPr>
              <w:t xml:space="preserve">Active </w:t>
            </w:r>
            <w:r w:rsidRPr="00C3432C">
              <w:rPr>
                <w:lang w:val="en-AU"/>
              </w:rPr>
              <w:br/>
              <w:t>n/N (%)</w:t>
            </w:r>
          </w:p>
        </w:tc>
        <w:tc>
          <w:tcPr>
            <w:tcW w:w="1054" w:type="dxa"/>
            <w:shd w:val="clear" w:color="auto" w:fill="FFFFFF" w:themeFill="background1"/>
          </w:tcPr>
          <w:p w:rsidR="00B95557" w:rsidRPr="00C3432C" w:rsidRDefault="00B95557" w:rsidP="00803348">
            <w:pPr>
              <w:pStyle w:val="TableText0"/>
              <w:keepNext w:val="0"/>
              <w:jc w:val="center"/>
              <w:rPr>
                <w:lang w:val="en-AU"/>
              </w:rPr>
            </w:pPr>
            <w:r w:rsidRPr="00C3432C">
              <w:rPr>
                <w:lang w:val="en-AU"/>
              </w:rPr>
              <w:t>Placebo</w:t>
            </w:r>
            <w:r w:rsidRPr="00C3432C">
              <w:rPr>
                <w:lang w:val="en-AU"/>
              </w:rPr>
              <w:br/>
              <w:t>n/N (%)</w:t>
            </w:r>
          </w:p>
        </w:tc>
        <w:tc>
          <w:tcPr>
            <w:tcW w:w="1543" w:type="dxa"/>
            <w:shd w:val="clear" w:color="auto" w:fill="FFFFFF" w:themeFill="background1"/>
          </w:tcPr>
          <w:p w:rsidR="00B95557" w:rsidRPr="00C3432C" w:rsidRDefault="00B95557" w:rsidP="00803348">
            <w:pPr>
              <w:pStyle w:val="TableText0"/>
              <w:keepNext w:val="0"/>
              <w:jc w:val="center"/>
              <w:rPr>
                <w:lang w:val="en-AU"/>
              </w:rPr>
            </w:pPr>
            <w:r w:rsidRPr="00C3432C">
              <w:rPr>
                <w:lang w:val="en-AU"/>
              </w:rPr>
              <w:t>Odds ratio</w:t>
            </w:r>
            <w:r w:rsidRPr="00C3432C">
              <w:rPr>
                <w:lang w:val="en-AU"/>
              </w:rPr>
              <w:br/>
              <w:t>(95% CI)</w:t>
            </w:r>
          </w:p>
        </w:tc>
        <w:tc>
          <w:tcPr>
            <w:tcW w:w="1543" w:type="dxa"/>
            <w:shd w:val="clear" w:color="auto" w:fill="FFFFFF" w:themeFill="background1"/>
          </w:tcPr>
          <w:p w:rsidR="00B95557" w:rsidRPr="00C3432C" w:rsidRDefault="00B95557" w:rsidP="00803348">
            <w:pPr>
              <w:pStyle w:val="TableText0"/>
              <w:keepNext w:val="0"/>
              <w:jc w:val="center"/>
              <w:rPr>
                <w:lang w:val="en-AU"/>
              </w:rPr>
            </w:pPr>
            <w:r w:rsidRPr="00C3432C">
              <w:rPr>
                <w:lang w:val="en-AU"/>
              </w:rPr>
              <w:t>Relative risk</w:t>
            </w:r>
            <w:r w:rsidRPr="00C3432C">
              <w:rPr>
                <w:lang w:val="en-AU"/>
              </w:rPr>
              <w:br/>
              <w:t>(95% CI)</w:t>
            </w:r>
          </w:p>
        </w:tc>
        <w:tc>
          <w:tcPr>
            <w:tcW w:w="1607" w:type="dxa"/>
            <w:shd w:val="clear" w:color="auto" w:fill="FFFFFF" w:themeFill="background1"/>
          </w:tcPr>
          <w:p w:rsidR="00B95557" w:rsidRPr="00C3432C" w:rsidRDefault="00B95557" w:rsidP="00803348">
            <w:pPr>
              <w:pStyle w:val="TableText0"/>
              <w:keepNext w:val="0"/>
              <w:jc w:val="center"/>
              <w:rPr>
                <w:lang w:val="en-AU"/>
              </w:rPr>
            </w:pPr>
            <w:r w:rsidRPr="00C3432C">
              <w:rPr>
                <w:lang w:val="en-AU"/>
              </w:rPr>
              <w:t>Risk difference</w:t>
            </w:r>
            <w:r w:rsidRPr="00C3432C">
              <w:rPr>
                <w:lang w:val="en-AU"/>
              </w:rPr>
              <w:br/>
              <w:t>(95% CI)</w:t>
            </w:r>
          </w:p>
        </w:tc>
      </w:tr>
      <w:tr w:rsidR="00B95557" w:rsidRPr="00C3432C" w:rsidTr="001B517C">
        <w:trPr>
          <w:cantSplit/>
          <w:trHeight w:val="57"/>
        </w:trPr>
        <w:tc>
          <w:tcPr>
            <w:tcW w:w="1228" w:type="dxa"/>
          </w:tcPr>
          <w:p w:rsidR="00B95557" w:rsidRPr="00C3432C" w:rsidRDefault="00B95557" w:rsidP="00803348">
            <w:pPr>
              <w:pStyle w:val="TableText0"/>
              <w:keepNext w:val="0"/>
              <w:rPr>
                <w:lang w:val="en-AU"/>
              </w:rPr>
            </w:pPr>
            <w:r w:rsidRPr="00C3432C">
              <w:rPr>
                <w:lang w:val="en-AU"/>
              </w:rPr>
              <w:t xml:space="preserve">Lacosamide </w:t>
            </w:r>
            <w:r w:rsidRPr="00C3432C">
              <w:rPr>
                <w:i/>
                <w:lang w:val="en-AU"/>
              </w:rPr>
              <w:t>vs</w:t>
            </w:r>
            <w:r w:rsidRPr="00C3432C">
              <w:rPr>
                <w:lang w:val="en-AU"/>
              </w:rPr>
              <w:t xml:space="preserve">. placebo </w:t>
            </w:r>
          </w:p>
        </w:tc>
        <w:tc>
          <w:tcPr>
            <w:tcW w:w="1103" w:type="dxa"/>
          </w:tcPr>
          <w:p w:rsidR="00B95557" w:rsidRPr="00C3432C" w:rsidRDefault="00B95557" w:rsidP="00803348">
            <w:pPr>
              <w:pStyle w:val="TableText0"/>
              <w:keepNext w:val="0"/>
              <w:rPr>
                <w:lang w:val="en-AU"/>
              </w:rPr>
            </w:pPr>
            <w:r w:rsidRPr="00C3432C">
              <w:rPr>
                <w:color w:val="000000"/>
                <w:lang w:val="en-AU"/>
              </w:rPr>
              <w:t>Study SP0982</w:t>
            </w:r>
            <w:r w:rsidRPr="00C3432C">
              <w:rPr>
                <w:color w:val="000000"/>
                <w:vertAlign w:val="superscript"/>
                <w:lang w:val="en-AU"/>
              </w:rPr>
              <w:t>a</w:t>
            </w:r>
          </w:p>
        </w:tc>
        <w:tc>
          <w:tcPr>
            <w:tcW w:w="939" w:type="dxa"/>
          </w:tcPr>
          <w:p w:rsidR="00B95557" w:rsidRPr="00C3432C" w:rsidRDefault="00B95557" w:rsidP="00803348">
            <w:pPr>
              <w:pStyle w:val="TableText0"/>
              <w:keepNext w:val="0"/>
              <w:jc w:val="center"/>
              <w:rPr>
                <w:lang w:val="en-AU"/>
              </w:rPr>
            </w:pPr>
            <w:r w:rsidRPr="00C3432C">
              <w:rPr>
                <w:lang w:val="en-AU"/>
              </w:rPr>
              <w:t>81/119 (68.1%)</w:t>
            </w:r>
          </w:p>
        </w:tc>
        <w:tc>
          <w:tcPr>
            <w:tcW w:w="1054" w:type="dxa"/>
          </w:tcPr>
          <w:p w:rsidR="00B95557" w:rsidRPr="00C3432C" w:rsidRDefault="00B95557" w:rsidP="00803348">
            <w:pPr>
              <w:pStyle w:val="TableText0"/>
              <w:keepNext w:val="0"/>
              <w:jc w:val="center"/>
              <w:rPr>
                <w:lang w:val="en-AU"/>
              </w:rPr>
            </w:pPr>
            <w:r w:rsidRPr="00C3432C">
              <w:rPr>
                <w:lang w:val="en-AU"/>
              </w:rPr>
              <w:t>56/121 (46.3%)</w:t>
            </w:r>
          </w:p>
        </w:tc>
        <w:tc>
          <w:tcPr>
            <w:tcW w:w="1543" w:type="dxa"/>
            <w:vAlign w:val="center"/>
          </w:tcPr>
          <w:p w:rsidR="00B95557" w:rsidRPr="00C3432C" w:rsidRDefault="00B95557" w:rsidP="001B517C">
            <w:pPr>
              <w:pStyle w:val="TableText0"/>
              <w:keepNext w:val="0"/>
              <w:jc w:val="center"/>
              <w:rPr>
                <w:lang w:val="en-AU"/>
              </w:rPr>
            </w:pPr>
            <w:r w:rsidRPr="00C3432C">
              <w:rPr>
                <w:lang w:val="en-AU"/>
              </w:rPr>
              <w:t>2.47 (1.46, 4.18)</w:t>
            </w:r>
          </w:p>
        </w:tc>
        <w:tc>
          <w:tcPr>
            <w:tcW w:w="1543" w:type="dxa"/>
            <w:vAlign w:val="center"/>
          </w:tcPr>
          <w:p w:rsidR="00B95557" w:rsidRPr="00C3432C" w:rsidRDefault="00B95557" w:rsidP="001B517C">
            <w:pPr>
              <w:pStyle w:val="TableText0"/>
              <w:keepNext w:val="0"/>
              <w:jc w:val="center"/>
              <w:rPr>
                <w:lang w:val="en-AU"/>
              </w:rPr>
            </w:pPr>
            <w:r w:rsidRPr="00C3432C">
              <w:rPr>
                <w:lang w:val="en-AU"/>
              </w:rPr>
              <w:t>1.47 (1.17, 1.85)</w:t>
            </w:r>
          </w:p>
        </w:tc>
        <w:tc>
          <w:tcPr>
            <w:tcW w:w="1607" w:type="dxa"/>
            <w:vAlign w:val="center"/>
          </w:tcPr>
          <w:p w:rsidR="00B95557" w:rsidRPr="00C3432C" w:rsidRDefault="00B95557" w:rsidP="001B517C">
            <w:pPr>
              <w:pStyle w:val="TableText0"/>
              <w:keepNext w:val="0"/>
              <w:jc w:val="center"/>
              <w:rPr>
                <w:lang w:val="en-AU"/>
              </w:rPr>
            </w:pPr>
            <w:r w:rsidRPr="00C3432C">
              <w:rPr>
                <w:lang w:val="en-AU"/>
              </w:rPr>
              <w:t>0.22 (0.10, 0.34)</w:t>
            </w:r>
          </w:p>
        </w:tc>
      </w:tr>
      <w:tr w:rsidR="00B95557" w:rsidRPr="00C3432C" w:rsidTr="001B517C">
        <w:trPr>
          <w:cantSplit/>
          <w:trHeight w:val="57"/>
        </w:trPr>
        <w:tc>
          <w:tcPr>
            <w:tcW w:w="1228" w:type="dxa"/>
          </w:tcPr>
          <w:p w:rsidR="00B95557" w:rsidRPr="00C3432C" w:rsidRDefault="00B95557" w:rsidP="00803348">
            <w:pPr>
              <w:pStyle w:val="TableText0"/>
              <w:keepNext w:val="0"/>
              <w:rPr>
                <w:lang w:val="en-AU"/>
              </w:rPr>
            </w:pPr>
            <w:r w:rsidRPr="00C3432C">
              <w:rPr>
                <w:lang w:val="en-AU"/>
              </w:rPr>
              <w:t xml:space="preserve">Perampanel </w:t>
            </w:r>
            <w:r w:rsidRPr="00C3432C">
              <w:rPr>
                <w:i/>
                <w:lang w:val="en-AU"/>
              </w:rPr>
              <w:t>vs</w:t>
            </w:r>
            <w:r w:rsidRPr="00C3432C">
              <w:rPr>
                <w:lang w:val="en-AU"/>
              </w:rPr>
              <w:t xml:space="preserve">. placebo </w:t>
            </w:r>
          </w:p>
        </w:tc>
        <w:tc>
          <w:tcPr>
            <w:tcW w:w="1103" w:type="dxa"/>
            <w:vAlign w:val="center"/>
          </w:tcPr>
          <w:p w:rsidR="00B95557" w:rsidRPr="00C3432C" w:rsidRDefault="00B95557" w:rsidP="001B517C">
            <w:pPr>
              <w:pStyle w:val="TableText0"/>
              <w:keepNext w:val="0"/>
              <w:rPr>
                <w:lang w:val="en-AU"/>
              </w:rPr>
            </w:pPr>
            <w:r w:rsidRPr="00C3432C">
              <w:rPr>
                <w:color w:val="000000"/>
                <w:lang w:val="en-AU"/>
              </w:rPr>
              <w:t>Study 332</w:t>
            </w:r>
            <w:r w:rsidRPr="00C3432C">
              <w:rPr>
                <w:color w:val="000000"/>
                <w:vertAlign w:val="superscript"/>
                <w:lang w:val="en-AU"/>
              </w:rPr>
              <w:t>b</w:t>
            </w:r>
          </w:p>
        </w:tc>
        <w:tc>
          <w:tcPr>
            <w:tcW w:w="939" w:type="dxa"/>
          </w:tcPr>
          <w:p w:rsidR="00B95557" w:rsidRPr="00C3432C" w:rsidRDefault="00B95557" w:rsidP="00803348">
            <w:pPr>
              <w:pStyle w:val="TableText0"/>
              <w:keepNext w:val="0"/>
              <w:jc w:val="center"/>
              <w:rPr>
                <w:lang w:val="en-AU"/>
              </w:rPr>
            </w:pPr>
            <w:r w:rsidRPr="00C3432C">
              <w:rPr>
                <w:lang w:val="en-AU"/>
              </w:rPr>
              <w:t>52/81</w:t>
            </w:r>
            <w:r w:rsidRPr="00C3432C">
              <w:rPr>
                <w:lang w:val="en-AU"/>
              </w:rPr>
              <w:br/>
              <w:t>(64.2%)</w:t>
            </w:r>
          </w:p>
        </w:tc>
        <w:tc>
          <w:tcPr>
            <w:tcW w:w="1054" w:type="dxa"/>
          </w:tcPr>
          <w:p w:rsidR="00B95557" w:rsidRPr="00C3432C" w:rsidRDefault="00B95557" w:rsidP="00803348">
            <w:pPr>
              <w:pStyle w:val="TableText0"/>
              <w:keepNext w:val="0"/>
              <w:jc w:val="center"/>
              <w:rPr>
                <w:lang w:val="en-AU"/>
              </w:rPr>
            </w:pPr>
            <w:r w:rsidRPr="00C3432C">
              <w:rPr>
                <w:lang w:val="en-AU"/>
              </w:rPr>
              <w:t>32/81</w:t>
            </w:r>
            <w:r w:rsidRPr="00C3432C">
              <w:rPr>
                <w:lang w:val="en-AU"/>
              </w:rPr>
              <w:br/>
              <w:t>(39.5%)</w:t>
            </w:r>
          </w:p>
        </w:tc>
        <w:tc>
          <w:tcPr>
            <w:tcW w:w="1543" w:type="dxa"/>
            <w:vAlign w:val="center"/>
          </w:tcPr>
          <w:p w:rsidR="00B95557" w:rsidRPr="00C3432C" w:rsidRDefault="00B95557" w:rsidP="001B517C">
            <w:pPr>
              <w:pStyle w:val="TableText0"/>
              <w:keepNext w:val="0"/>
              <w:jc w:val="center"/>
              <w:rPr>
                <w:lang w:val="en-AU"/>
              </w:rPr>
            </w:pPr>
            <w:r w:rsidRPr="00C3432C">
              <w:rPr>
                <w:lang w:val="en-AU"/>
              </w:rPr>
              <w:t>2.75 (1.45, 5.19)</w:t>
            </w:r>
          </w:p>
        </w:tc>
        <w:tc>
          <w:tcPr>
            <w:tcW w:w="1543" w:type="dxa"/>
            <w:vAlign w:val="center"/>
          </w:tcPr>
          <w:p w:rsidR="00B95557" w:rsidRPr="00C3432C" w:rsidRDefault="00B95557" w:rsidP="001B517C">
            <w:pPr>
              <w:pStyle w:val="TableText0"/>
              <w:keepNext w:val="0"/>
              <w:jc w:val="center"/>
              <w:rPr>
                <w:lang w:val="en-AU"/>
              </w:rPr>
            </w:pPr>
            <w:r w:rsidRPr="00C3432C">
              <w:rPr>
                <w:lang w:val="en-AU"/>
              </w:rPr>
              <w:t>1.63 (1.19, 2.23)</w:t>
            </w:r>
          </w:p>
        </w:tc>
        <w:tc>
          <w:tcPr>
            <w:tcW w:w="1607" w:type="dxa"/>
            <w:vAlign w:val="center"/>
          </w:tcPr>
          <w:p w:rsidR="00B95557" w:rsidRPr="00C3432C" w:rsidRDefault="00B95557" w:rsidP="001B517C">
            <w:pPr>
              <w:pStyle w:val="TableText0"/>
              <w:keepNext w:val="0"/>
              <w:jc w:val="center"/>
              <w:rPr>
                <w:lang w:val="en-AU"/>
              </w:rPr>
            </w:pPr>
            <w:r w:rsidRPr="00C3432C">
              <w:rPr>
                <w:lang w:val="en-AU"/>
              </w:rPr>
              <w:t>0.25 (0.10, 0.40)</w:t>
            </w:r>
          </w:p>
        </w:tc>
      </w:tr>
      <w:tr w:rsidR="00B95557" w:rsidRPr="00C3432C" w:rsidTr="00B95557">
        <w:trPr>
          <w:cantSplit/>
          <w:trHeight w:val="57"/>
        </w:trPr>
        <w:tc>
          <w:tcPr>
            <w:tcW w:w="4324" w:type="dxa"/>
            <w:gridSpan w:val="4"/>
          </w:tcPr>
          <w:p w:rsidR="00B95557" w:rsidRPr="00C3432C" w:rsidRDefault="00B95557" w:rsidP="00803348">
            <w:pPr>
              <w:pStyle w:val="TableText0"/>
              <w:keepNext w:val="0"/>
              <w:rPr>
                <w:b/>
                <w:vertAlign w:val="superscript"/>
                <w:lang w:val="en-AU"/>
              </w:rPr>
            </w:pPr>
            <w:r w:rsidRPr="00C3432C">
              <w:rPr>
                <w:b/>
                <w:lang w:val="en-AU"/>
              </w:rPr>
              <w:t xml:space="preserve">Indirect estimate of effect adjusted for the common reference (lacosamide </w:t>
            </w:r>
            <w:r w:rsidRPr="00C3432C">
              <w:rPr>
                <w:b/>
                <w:i/>
                <w:lang w:val="en-AU"/>
              </w:rPr>
              <w:t xml:space="preserve">vs. </w:t>
            </w:r>
            <w:r w:rsidRPr="00C3432C">
              <w:rPr>
                <w:b/>
                <w:lang w:val="en-AU"/>
              </w:rPr>
              <w:t>perampanel)</w:t>
            </w:r>
          </w:p>
        </w:tc>
        <w:tc>
          <w:tcPr>
            <w:tcW w:w="1543" w:type="dxa"/>
          </w:tcPr>
          <w:p w:rsidR="00B95557" w:rsidRPr="002B3A5E" w:rsidRDefault="00B95557" w:rsidP="00803348">
            <w:pPr>
              <w:pStyle w:val="TableText0"/>
              <w:keepNext w:val="0"/>
              <w:jc w:val="center"/>
              <w:rPr>
                <w:lang w:val="en-AU"/>
              </w:rPr>
            </w:pPr>
            <w:r w:rsidRPr="002B3A5E">
              <w:rPr>
                <w:lang w:val="en-AU"/>
              </w:rPr>
              <w:t>0.90 (0.39, 2.06)</w:t>
            </w:r>
          </w:p>
          <w:p w:rsidR="00B95557" w:rsidRPr="002B3A5E" w:rsidRDefault="00B95557" w:rsidP="00803348">
            <w:pPr>
              <w:pStyle w:val="TableText0"/>
              <w:keepNext w:val="0"/>
              <w:jc w:val="center"/>
              <w:rPr>
                <w:lang w:val="en-AU"/>
              </w:rPr>
            </w:pPr>
            <w:r w:rsidRPr="002B3A5E">
              <w:rPr>
                <w:lang w:val="en-AU"/>
              </w:rPr>
              <w:t>p=0.805</w:t>
            </w:r>
          </w:p>
        </w:tc>
        <w:tc>
          <w:tcPr>
            <w:tcW w:w="1543" w:type="dxa"/>
          </w:tcPr>
          <w:p w:rsidR="00B95557" w:rsidRPr="002B3A5E" w:rsidRDefault="00B95557" w:rsidP="00803348">
            <w:pPr>
              <w:pStyle w:val="TableText0"/>
              <w:keepNext w:val="0"/>
              <w:jc w:val="center"/>
              <w:rPr>
                <w:lang w:val="en-AU"/>
              </w:rPr>
            </w:pPr>
            <w:r w:rsidRPr="002B3A5E">
              <w:rPr>
                <w:lang w:val="en-AU"/>
              </w:rPr>
              <w:t>0.91 (0.61, 1.34)</w:t>
            </w:r>
          </w:p>
          <w:p w:rsidR="00B95557" w:rsidRPr="002B3A5E" w:rsidRDefault="00B95557" w:rsidP="00803348">
            <w:pPr>
              <w:pStyle w:val="TableText0"/>
              <w:keepNext w:val="0"/>
              <w:jc w:val="center"/>
              <w:rPr>
                <w:lang w:val="en-AU"/>
              </w:rPr>
            </w:pPr>
            <w:r w:rsidRPr="002B3A5E">
              <w:rPr>
                <w:lang w:val="en-AU"/>
              </w:rPr>
              <w:t>p=0.615</w:t>
            </w:r>
          </w:p>
        </w:tc>
        <w:tc>
          <w:tcPr>
            <w:tcW w:w="1607" w:type="dxa"/>
          </w:tcPr>
          <w:p w:rsidR="00B95557" w:rsidRPr="002B3A5E" w:rsidRDefault="00B95557" w:rsidP="00803348">
            <w:pPr>
              <w:pStyle w:val="TableText0"/>
              <w:keepNext w:val="0"/>
              <w:jc w:val="center"/>
              <w:rPr>
                <w:lang w:val="en-AU"/>
              </w:rPr>
            </w:pPr>
            <w:r w:rsidRPr="002B3A5E">
              <w:rPr>
                <w:lang w:val="en-AU"/>
              </w:rPr>
              <w:noBreakHyphen/>
              <w:t>0.03 (</w:t>
            </w:r>
            <w:r w:rsidRPr="002B3A5E">
              <w:rPr>
                <w:lang w:val="en-AU"/>
              </w:rPr>
              <w:noBreakHyphen/>
              <w:t>0.22, 0.16)</w:t>
            </w:r>
          </w:p>
          <w:p w:rsidR="00B95557" w:rsidRPr="002B3A5E" w:rsidRDefault="00B95557" w:rsidP="00803348">
            <w:pPr>
              <w:pStyle w:val="TableText0"/>
              <w:keepNext w:val="0"/>
              <w:jc w:val="center"/>
              <w:rPr>
                <w:lang w:val="en-AU"/>
              </w:rPr>
            </w:pPr>
            <w:r w:rsidRPr="002B3A5E">
              <w:rPr>
                <w:lang w:val="en-AU"/>
              </w:rPr>
              <w:t>p=0.768</w:t>
            </w:r>
          </w:p>
        </w:tc>
      </w:tr>
    </w:tbl>
    <w:p w:rsidR="00B95557" w:rsidRPr="00C3432C" w:rsidRDefault="00715352" w:rsidP="00B95557">
      <w:pPr>
        <w:pStyle w:val="TableFigureFooter"/>
      </w:pPr>
      <w:r w:rsidRPr="00C3432C">
        <w:t>Source: Table 2.</w:t>
      </w:r>
      <w:r w:rsidR="00B95557" w:rsidRPr="00C3432C">
        <w:t>63, p121 of the submission</w:t>
      </w:r>
    </w:p>
    <w:p w:rsidR="00B95557" w:rsidRPr="00C3432C" w:rsidRDefault="00B95557" w:rsidP="00B95557">
      <w:pPr>
        <w:pStyle w:val="TableFigureFooter"/>
      </w:pPr>
      <w:r w:rsidRPr="00C3432C">
        <w:t>CI = confidence interval; PGTCS = primary generalised tonic-clonic seizure</w:t>
      </w:r>
    </w:p>
    <w:p w:rsidR="00B95557" w:rsidRPr="00C3432C" w:rsidRDefault="00B95557" w:rsidP="00B95557">
      <w:pPr>
        <w:pStyle w:val="TableFigureFooter"/>
      </w:pPr>
      <w:r w:rsidRPr="00C3432C">
        <w:t xml:space="preserve">Note: Within individual trials, an odds ratio &gt;1, a relative risk &gt; 1 and a risk difference &gt;0 favoured active treatment (for comparison of lacosamide or perampanel </w:t>
      </w:r>
      <w:r w:rsidRPr="00C3432C">
        <w:rPr>
          <w:i/>
        </w:rPr>
        <w:t xml:space="preserve">vs. </w:t>
      </w:r>
      <w:r w:rsidRPr="00C3432C">
        <w:t xml:space="preserve">placebo). For indirect comparison, an odds ratio &lt;1, a relative risk &lt;1 and a risk difference &lt;0 favoured perampanel (for indirect comparison of lacosamide </w:t>
      </w:r>
      <w:r w:rsidRPr="00C3432C">
        <w:rPr>
          <w:i/>
        </w:rPr>
        <w:t xml:space="preserve">vs. </w:t>
      </w:r>
      <w:r w:rsidRPr="00C3432C">
        <w:t>perampanel).</w:t>
      </w:r>
    </w:p>
    <w:p w:rsidR="00B95557" w:rsidRPr="00C3432C" w:rsidRDefault="00B95557" w:rsidP="00B95557">
      <w:pPr>
        <w:pStyle w:val="TableFigureFooter"/>
      </w:pPr>
      <w:r w:rsidRPr="00C3432C">
        <w:rPr>
          <w:vertAlign w:val="superscript"/>
        </w:rPr>
        <w:t xml:space="preserve">a </w:t>
      </w:r>
      <w:r w:rsidRPr="00C3432C">
        <w:t xml:space="preserve">SP0982: ≥50% reduction in PGTCS frequency/28 days during </w:t>
      </w:r>
      <w:r w:rsidR="004B3FB0" w:rsidRPr="00C3432C">
        <w:t>titration + maintenance phases</w:t>
      </w:r>
      <w:r w:rsidRPr="00C3432C">
        <w:t xml:space="preserve"> (Weeks 1-24) </w:t>
      </w:r>
      <w:r w:rsidRPr="00C3432C">
        <w:rPr>
          <w:i/>
        </w:rPr>
        <w:t>vs</w:t>
      </w:r>
      <w:r w:rsidRPr="00C3432C">
        <w:t>. baseline</w:t>
      </w:r>
    </w:p>
    <w:p w:rsidR="00B95557" w:rsidRPr="00C3432C" w:rsidRDefault="00B95557" w:rsidP="00B95557">
      <w:pPr>
        <w:pStyle w:val="TableFigureFooter"/>
        <w:rPr>
          <w:color w:val="000000"/>
        </w:rPr>
      </w:pPr>
      <w:r w:rsidRPr="00C3432C">
        <w:rPr>
          <w:vertAlign w:val="superscript"/>
        </w:rPr>
        <w:t xml:space="preserve">b </w:t>
      </w:r>
      <w:r w:rsidRPr="00C3432C">
        <w:rPr>
          <w:color w:val="000000"/>
        </w:rPr>
        <w:t xml:space="preserve">Study 332: </w:t>
      </w:r>
      <w:r w:rsidRPr="00C3432C">
        <w:t>≥</w:t>
      </w:r>
      <w:r w:rsidRPr="00C3432C">
        <w:rPr>
          <w:color w:val="000000"/>
        </w:rPr>
        <w:t xml:space="preserve">50% reduction in PGTCS frequency/28 days during </w:t>
      </w:r>
      <w:r w:rsidR="004B3FB0" w:rsidRPr="00C3432C">
        <w:rPr>
          <w:color w:val="000000"/>
        </w:rPr>
        <w:t>maintenance phase</w:t>
      </w:r>
      <w:r w:rsidRPr="00C3432C">
        <w:rPr>
          <w:color w:val="000000"/>
        </w:rPr>
        <w:t xml:space="preserve"> (Weeks 5</w:t>
      </w:r>
      <w:r w:rsidRPr="00C3432C">
        <w:rPr>
          <w:color w:val="000000"/>
        </w:rPr>
        <w:noBreakHyphen/>
        <w:t xml:space="preserve">17) </w:t>
      </w:r>
      <w:r w:rsidRPr="00C3432C">
        <w:rPr>
          <w:i/>
          <w:color w:val="000000"/>
        </w:rPr>
        <w:t>vs</w:t>
      </w:r>
      <w:r w:rsidRPr="00C3432C">
        <w:rPr>
          <w:color w:val="000000"/>
        </w:rPr>
        <w:t xml:space="preserve">. baseline. </w:t>
      </w:r>
    </w:p>
    <w:p w:rsidR="00B95557" w:rsidRPr="00C3432C" w:rsidRDefault="00B95557" w:rsidP="00B95557">
      <w:pPr>
        <w:pStyle w:val="TableFigureFooter"/>
        <w:rPr>
          <w:color w:val="000000"/>
        </w:rPr>
      </w:pPr>
    </w:p>
    <w:p w:rsidR="00DE55B5" w:rsidRPr="003C6DEF" w:rsidRDefault="00221546" w:rsidP="00840D2A">
      <w:pPr>
        <w:pStyle w:val="3-BodyText"/>
      </w:pPr>
      <w:r>
        <w:t>T</w:t>
      </w:r>
      <w:r w:rsidR="00B95557" w:rsidRPr="003C6DEF">
        <w:t xml:space="preserve">he 50% PGTCS responder rate was reported during the </w:t>
      </w:r>
      <w:r w:rsidR="000E2B04" w:rsidRPr="003C6DEF">
        <w:t>titration + m</w:t>
      </w:r>
      <w:r w:rsidR="00B95557" w:rsidRPr="003C6DEF">
        <w:t xml:space="preserve">aintenance </w:t>
      </w:r>
      <w:r w:rsidR="000E2B04" w:rsidRPr="003C6DEF">
        <w:t>p</w:t>
      </w:r>
      <w:r w:rsidR="00B95557" w:rsidRPr="003C6DEF">
        <w:t>hases in Study SP0982</w:t>
      </w:r>
      <w:r w:rsidR="00DA7018" w:rsidRPr="003C6DEF">
        <w:t xml:space="preserve"> (6 + 18 weeks) and during the m</w:t>
      </w:r>
      <w:r w:rsidR="00B95557" w:rsidRPr="003C6DEF">
        <w:t xml:space="preserve">aintenance </w:t>
      </w:r>
      <w:r w:rsidR="00DA7018" w:rsidRPr="003C6DEF">
        <w:t>p</w:t>
      </w:r>
      <w:r w:rsidR="00B95557" w:rsidRPr="003C6DEF">
        <w:t xml:space="preserve">hase in Study 332 (13 weeks). </w:t>
      </w:r>
      <w:r w:rsidR="00CC4F28">
        <w:t>No statistically</w:t>
      </w:r>
      <w:r>
        <w:t xml:space="preserve"> significant difference was observed between lacosamide and perampanel on the 50% PGTCS responder rate </w:t>
      </w:r>
      <w:r w:rsidR="00840D2A">
        <w:t>(Table 6)</w:t>
      </w:r>
      <w:r w:rsidR="00B95557" w:rsidRPr="003C6DEF">
        <w:t>.</w:t>
      </w:r>
      <w:r>
        <w:t xml:space="preserve"> </w:t>
      </w:r>
      <w:r w:rsidR="00DE55B5" w:rsidRPr="003C6DEF">
        <w:t xml:space="preserve">The submission also presented </w:t>
      </w:r>
      <w:r w:rsidR="001D7D5C">
        <w:t xml:space="preserve">an </w:t>
      </w:r>
      <w:r w:rsidR="00DE55B5" w:rsidRPr="003C6DEF">
        <w:t>indirect comparison</w:t>
      </w:r>
      <w:r w:rsidR="00C712F5" w:rsidRPr="003C6DEF">
        <w:t xml:space="preserve"> for the</w:t>
      </w:r>
      <w:r w:rsidR="00DE55B5" w:rsidRPr="003C6DEF">
        <w:t xml:space="preserve"> median percent reduction in PGTCS frequency per 28 days from baseline.</w:t>
      </w:r>
      <w:r w:rsidR="0062601C" w:rsidRPr="003C6DEF">
        <w:t xml:space="preserve"> The indirect comparison </w:t>
      </w:r>
      <w:r w:rsidR="00CC4F28">
        <w:t>showed no statistically significant difference between lacosamide and perampanel</w:t>
      </w:r>
      <w:r w:rsidR="0062601C" w:rsidRPr="003C6DEF">
        <w:t xml:space="preserve"> (-3.4% </w:t>
      </w:r>
      <w:r w:rsidR="0084080D" w:rsidRPr="003C6DEF">
        <w:t>(</w:t>
      </w:r>
      <w:r w:rsidR="00335078">
        <w:noBreakHyphen/>
      </w:r>
      <w:r w:rsidR="0062601C" w:rsidRPr="003C6DEF">
        <w:t>21.6%, 14.8</w:t>
      </w:r>
      <w:r w:rsidR="0084080D" w:rsidRPr="003C6DEF">
        <w:t xml:space="preserve">)). </w:t>
      </w:r>
    </w:p>
    <w:p w:rsidR="00A25413" w:rsidRPr="00AE3894" w:rsidRDefault="00A25413" w:rsidP="00AE3894">
      <w:pPr>
        <w:pStyle w:val="4-SubsectionHeading"/>
      </w:pPr>
      <w:bookmarkStart w:id="15" w:name="_Toc62042742"/>
      <w:r w:rsidRPr="00AE3894">
        <w:t>Comparative harms</w:t>
      </w:r>
      <w:bookmarkEnd w:id="13"/>
      <w:bookmarkEnd w:id="15"/>
    </w:p>
    <w:p w:rsidR="009E0ED7" w:rsidRPr="003C6DEF" w:rsidRDefault="001D7D5C" w:rsidP="009871BC">
      <w:pPr>
        <w:pStyle w:val="3-BodyText"/>
      </w:pPr>
      <w:r>
        <w:t>T</w:t>
      </w:r>
      <w:r w:rsidR="00FB7D5D" w:rsidRPr="003C6DEF">
        <w:t xml:space="preserve">here were </w:t>
      </w:r>
      <w:r w:rsidR="00C038D9" w:rsidRPr="003C6DEF">
        <w:t xml:space="preserve">numerically </w:t>
      </w:r>
      <w:r w:rsidR="00FB7D5D" w:rsidRPr="003C6DEF">
        <w:t xml:space="preserve">more treatment-emergent adverse events (TEAEs), serious TEAEs, severe TEAEs, discontinuation due to TEAEs </w:t>
      </w:r>
      <w:r w:rsidR="00997F63" w:rsidRPr="003C6DEF">
        <w:t xml:space="preserve">and </w:t>
      </w:r>
      <w:r w:rsidR="00FB7D5D" w:rsidRPr="003C6DEF">
        <w:t xml:space="preserve">drug-related TEAEs in the lacosamide arm </w:t>
      </w:r>
      <w:r>
        <w:t xml:space="preserve">of Study SP0982 </w:t>
      </w:r>
      <w:r w:rsidR="00FB7D5D" w:rsidRPr="003C6DEF">
        <w:t>compared to the placebo arm. However, the risk difference was statistically significant for “any TEAEs” only</w:t>
      </w:r>
      <w:r w:rsidR="00C038D9" w:rsidRPr="003C6DEF">
        <w:t xml:space="preserve"> (</w:t>
      </w:r>
      <w:r w:rsidR="0046232E" w:rsidRPr="003C6DEF">
        <w:t>r</w:t>
      </w:r>
      <w:r w:rsidR="00956827" w:rsidRPr="003C6DEF">
        <w:t>isk difference (95% CI): 14.0% (2.9%, 25%)</w:t>
      </w:r>
      <w:r w:rsidR="00C038D9" w:rsidRPr="003C6DEF">
        <w:t>)</w:t>
      </w:r>
      <w:r w:rsidR="00FB7D5D" w:rsidRPr="003C6DEF">
        <w:t>. No deaths due to TEAEs were reported. The most common TEAEs reported in the lacosamide arm (compared to the placebo arm) were nervous system disorders (48% versus 30%), nausea (10% versus 6%), vomiting (6% versus 1%), ear and labyrinth disorders (7% versus 2%). The overall incidence of TEAEs leading to discontinuation was low (6.6%), including 9.1% in the lacosamide arm and 4.1% in the placebo arm. The most common TEAEs leading to lacosamide discontinuation were nervous system disorders (3.3%), psychiatric disorders (1.7%) and investigations abnormalities (1.7%). There was a lower number of study participants with an increase in days with absence seizures (3 and 8</w:t>
      </w:r>
      <w:r w:rsidR="00362E02" w:rsidRPr="003C6DEF">
        <w:t xml:space="preserve"> patients</w:t>
      </w:r>
      <w:r w:rsidR="00FB7D5D" w:rsidRPr="003C6DEF">
        <w:t>) but a higher number with increase in days with myoclonic seizures (6 and 3</w:t>
      </w:r>
      <w:r w:rsidR="00362E02" w:rsidRPr="003C6DEF">
        <w:t xml:space="preserve"> patients</w:t>
      </w:r>
      <w:r w:rsidR="00FB7D5D" w:rsidRPr="003C6DEF">
        <w:t>) in the lacosamide and placebo arms</w:t>
      </w:r>
      <w:r w:rsidR="00362E02" w:rsidRPr="003C6DEF">
        <w:t>,</w:t>
      </w:r>
      <w:r w:rsidR="00FB7D5D" w:rsidRPr="003C6DEF">
        <w:t xml:space="preserve"> respectively. A similar trend was observed regarding seizure worsening for days with absence</w:t>
      </w:r>
      <w:r w:rsidR="009871BC">
        <w:t xml:space="preserve"> and myoclonic seizures.</w:t>
      </w:r>
    </w:p>
    <w:p w:rsidR="00B95557" w:rsidRPr="003C6DEF" w:rsidRDefault="00B95557" w:rsidP="00B95557">
      <w:pPr>
        <w:pStyle w:val="3-BodyText"/>
      </w:pPr>
      <w:bookmarkStart w:id="16" w:name="_Toc22897644"/>
      <w:r w:rsidRPr="003C6DEF">
        <w:t xml:space="preserve">Results of indirect comparison for TEAEs are summarised in </w:t>
      </w:r>
      <w:r w:rsidR="00675FCB" w:rsidRPr="003C6DEF">
        <w:t>Table 7</w:t>
      </w:r>
      <w:r w:rsidRPr="003C6DEF">
        <w:t xml:space="preserve">. </w:t>
      </w:r>
    </w:p>
    <w:p w:rsidR="00B95557" w:rsidRPr="00C3432C" w:rsidRDefault="00B95557" w:rsidP="003409DC">
      <w:pPr>
        <w:pStyle w:val="TableFigureHeading"/>
        <w:keepLines/>
      </w:pPr>
      <w:bookmarkStart w:id="17" w:name="_Ref60842624"/>
      <w:r w:rsidRPr="00C3432C">
        <w:lastRenderedPageBreak/>
        <w:t xml:space="preserve">Table </w:t>
      </w:r>
      <w:r w:rsidR="003409DC">
        <w:rPr>
          <w:noProof/>
        </w:rPr>
        <w:t>7</w:t>
      </w:r>
      <w:bookmarkEnd w:id="17"/>
      <w:r w:rsidRPr="00C3432C">
        <w:t>: Indirect comparison of TEAEs</w:t>
      </w:r>
    </w:p>
    <w:tbl>
      <w:tblPr>
        <w:tblStyle w:val="Submissionstandard"/>
        <w:tblW w:w="0" w:type="auto"/>
        <w:shd w:val="clear" w:color="auto" w:fill="FFFFFF" w:themeFill="background1"/>
        <w:tblLook w:val="04A0" w:firstRow="1" w:lastRow="0" w:firstColumn="1" w:lastColumn="0" w:noHBand="0" w:noVBand="1"/>
        <w:tblCaption w:val="Table 7: Indirect comparison of TEAEs"/>
      </w:tblPr>
      <w:tblGrid>
        <w:gridCol w:w="1419"/>
        <w:gridCol w:w="857"/>
        <w:gridCol w:w="941"/>
        <w:gridCol w:w="956"/>
        <w:gridCol w:w="1594"/>
        <w:gridCol w:w="1594"/>
        <w:gridCol w:w="1656"/>
      </w:tblGrid>
      <w:tr w:rsidR="00B95557" w:rsidRPr="003C6DEF" w:rsidTr="00B95557">
        <w:trPr>
          <w:cnfStyle w:val="100000000000" w:firstRow="1" w:lastRow="0" w:firstColumn="0" w:lastColumn="0" w:oddVBand="0" w:evenVBand="0" w:oddHBand="0" w:evenHBand="0" w:firstRowFirstColumn="0" w:firstRowLastColumn="0" w:lastRowFirstColumn="0" w:lastRowLastColumn="0"/>
          <w:cantSplit/>
          <w:trHeight w:val="57"/>
          <w:tblHeader/>
        </w:trPr>
        <w:tc>
          <w:tcPr>
            <w:tcW w:w="1419" w:type="dxa"/>
            <w:tcBorders>
              <w:bottom w:val="single" w:sz="4" w:space="0" w:color="auto"/>
            </w:tcBorders>
            <w:shd w:val="clear" w:color="auto" w:fill="FFFFFF" w:themeFill="background1"/>
          </w:tcPr>
          <w:p w:rsidR="00B95557" w:rsidRPr="003C6DEF" w:rsidRDefault="00B95557" w:rsidP="003409DC">
            <w:pPr>
              <w:pStyle w:val="TableText0"/>
              <w:keepLines/>
              <w:rPr>
                <w:lang w:val="en-AU"/>
              </w:rPr>
            </w:pPr>
          </w:p>
        </w:tc>
        <w:tc>
          <w:tcPr>
            <w:tcW w:w="857"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Trial ID</w:t>
            </w:r>
          </w:p>
        </w:tc>
        <w:tc>
          <w:tcPr>
            <w:tcW w:w="941"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 xml:space="preserve">Active </w:t>
            </w:r>
            <w:r w:rsidRPr="003C6DEF">
              <w:rPr>
                <w:lang w:val="en-AU"/>
              </w:rPr>
              <w:br/>
              <w:t>n/N (%)</w:t>
            </w:r>
          </w:p>
        </w:tc>
        <w:tc>
          <w:tcPr>
            <w:tcW w:w="956"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Placebo</w:t>
            </w:r>
            <w:r w:rsidRPr="003C6DEF">
              <w:rPr>
                <w:lang w:val="en-AU"/>
              </w:rPr>
              <w:br/>
              <w:t>n/N (%)</w:t>
            </w:r>
          </w:p>
        </w:tc>
        <w:tc>
          <w:tcPr>
            <w:tcW w:w="1594"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Odds ratio</w:t>
            </w:r>
            <w:r w:rsidRPr="003C6DEF">
              <w:rPr>
                <w:lang w:val="en-AU"/>
              </w:rPr>
              <w:br/>
              <w:t>(95% CI)</w:t>
            </w:r>
          </w:p>
        </w:tc>
        <w:tc>
          <w:tcPr>
            <w:tcW w:w="1594"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Relative Risk</w:t>
            </w:r>
            <w:r w:rsidRPr="003C6DEF">
              <w:rPr>
                <w:lang w:val="en-AU"/>
              </w:rPr>
              <w:br/>
              <w:t>(95% CI)</w:t>
            </w:r>
          </w:p>
        </w:tc>
        <w:tc>
          <w:tcPr>
            <w:tcW w:w="1656" w:type="dxa"/>
            <w:tcBorders>
              <w:bottom w:val="single" w:sz="4" w:space="0" w:color="auto"/>
            </w:tcBorders>
            <w:shd w:val="clear" w:color="auto" w:fill="FFFFFF" w:themeFill="background1"/>
          </w:tcPr>
          <w:p w:rsidR="00B95557" w:rsidRPr="003C6DEF" w:rsidRDefault="00B95557" w:rsidP="003409DC">
            <w:pPr>
              <w:pStyle w:val="TableText0"/>
              <w:keepLines/>
              <w:jc w:val="center"/>
              <w:rPr>
                <w:lang w:val="en-AU"/>
              </w:rPr>
            </w:pPr>
            <w:r w:rsidRPr="003C6DEF">
              <w:rPr>
                <w:lang w:val="en-AU"/>
              </w:rPr>
              <w:t>Risk difference</w:t>
            </w:r>
            <w:r w:rsidRPr="003C6DEF">
              <w:rPr>
                <w:lang w:val="en-AU"/>
              </w:rPr>
              <w:br/>
              <w:t>(95% CI)</w:t>
            </w:r>
          </w:p>
        </w:tc>
      </w:tr>
      <w:tr w:rsidR="00B95557" w:rsidRPr="003C6DEF" w:rsidTr="00B95557">
        <w:trPr>
          <w:cantSplit/>
          <w:trHeight w:val="57"/>
        </w:trPr>
        <w:tc>
          <w:tcPr>
            <w:tcW w:w="1419" w:type="dxa"/>
            <w:tcBorders>
              <w:top w:val="single" w:sz="4" w:space="0" w:color="auto"/>
              <w:left w:val="single" w:sz="4" w:space="0" w:color="auto"/>
              <w:bottom w:val="single" w:sz="4" w:space="0" w:color="auto"/>
              <w:right w:val="nil"/>
            </w:tcBorders>
          </w:tcPr>
          <w:p w:rsidR="00B95557" w:rsidRPr="003C6DEF" w:rsidRDefault="00B95557" w:rsidP="003409DC">
            <w:pPr>
              <w:pStyle w:val="TableText0"/>
              <w:keepLines/>
              <w:rPr>
                <w:b/>
                <w:iCs/>
                <w:lang w:val="en-AU"/>
              </w:rPr>
            </w:pPr>
            <w:r w:rsidRPr="003C6DEF">
              <w:rPr>
                <w:b/>
                <w:iCs/>
                <w:lang w:val="en-AU"/>
              </w:rPr>
              <w:t>Any TEAE</w:t>
            </w:r>
          </w:p>
        </w:tc>
        <w:tc>
          <w:tcPr>
            <w:tcW w:w="857" w:type="dxa"/>
            <w:tcBorders>
              <w:top w:val="single" w:sz="4" w:space="0" w:color="auto"/>
              <w:left w:val="nil"/>
              <w:bottom w:val="single" w:sz="4" w:space="0" w:color="auto"/>
              <w:right w:val="nil"/>
            </w:tcBorders>
          </w:tcPr>
          <w:p w:rsidR="00B95557" w:rsidRPr="003C6DEF" w:rsidRDefault="00B95557" w:rsidP="003409DC">
            <w:pPr>
              <w:pStyle w:val="TableText0"/>
              <w:keepLines/>
              <w:rPr>
                <w:b/>
                <w:color w:val="000000"/>
                <w:lang w:val="en-AU"/>
              </w:rPr>
            </w:pPr>
          </w:p>
        </w:tc>
        <w:tc>
          <w:tcPr>
            <w:tcW w:w="941" w:type="dxa"/>
            <w:tcBorders>
              <w:top w:val="single" w:sz="4" w:space="0" w:color="auto"/>
              <w:left w:val="nil"/>
              <w:bottom w:val="single" w:sz="4" w:space="0" w:color="auto"/>
              <w:right w:val="nil"/>
            </w:tcBorders>
          </w:tcPr>
          <w:p w:rsidR="00B95557" w:rsidRPr="003C6DEF" w:rsidRDefault="00B95557" w:rsidP="003409DC">
            <w:pPr>
              <w:pStyle w:val="TableText0"/>
              <w:keepLines/>
              <w:rPr>
                <w:b/>
                <w:lang w:val="en-AU"/>
              </w:rPr>
            </w:pPr>
          </w:p>
        </w:tc>
        <w:tc>
          <w:tcPr>
            <w:tcW w:w="956" w:type="dxa"/>
            <w:tcBorders>
              <w:top w:val="single" w:sz="4" w:space="0" w:color="auto"/>
              <w:left w:val="nil"/>
              <w:bottom w:val="single" w:sz="4" w:space="0" w:color="auto"/>
              <w:right w:val="nil"/>
            </w:tcBorders>
          </w:tcPr>
          <w:p w:rsidR="00B95557" w:rsidRPr="003C6DEF" w:rsidRDefault="00B95557" w:rsidP="003409DC">
            <w:pPr>
              <w:pStyle w:val="TableText0"/>
              <w:keepLines/>
              <w:rPr>
                <w:b/>
                <w:lang w:val="en-AU"/>
              </w:rPr>
            </w:pPr>
          </w:p>
        </w:tc>
        <w:tc>
          <w:tcPr>
            <w:tcW w:w="1594" w:type="dxa"/>
            <w:tcBorders>
              <w:top w:val="single" w:sz="4" w:space="0" w:color="auto"/>
              <w:left w:val="nil"/>
              <w:bottom w:val="single" w:sz="4" w:space="0" w:color="auto"/>
              <w:right w:val="nil"/>
            </w:tcBorders>
          </w:tcPr>
          <w:p w:rsidR="00B95557" w:rsidRPr="003C6DEF" w:rsidRDefault="00B95557" w:rsidP="003409DC">
            <w:pPr>
              <w:pStyle w:val="TableText0"/>
              <w:keepLines/>
              <w:rPr>
                <w:b/>
                <w:lang w:val="en-AU"/>
              </w:rPr>
            </w:pPr>
          </w:p>
        </w:tc>
        <w:tc>
          <w:tcPr>
            <w:tcW w:w="1594" w:type="dxa"/>
            <w:tcBorders>
              <w:top w:val="single" w:sz="4" w:space="0" w:color="auto"/>
              <w:left w:val="nil"/>
              <w:bottom w:val="single" w:sz="4" w:space="0" w:color="auto"/>
              <w:right w:val="nil"/>
            </w:tcBorders>
          </w:tcPr>
          <w:p w:rsidR="00B95557" w:rsidRPr="003C6DEF" w:rsidRDefault="00B95557" w:rsidP="003409DC">
            <w:pPr>
              <w:pStyle w:val="TableText0"/>
              <w:keepLines/>
              <w:rPr>
                <w:b/>
                <w:lang w:val="en-AU"/>
              </w:rPr>
            </w:pPr>
          </w:p>
        </w:tc>
        <w:tc>
          <w:tcPr>
            <w:tcW w:w="1656" w:type="dxa"/>
            <w:tcBorders>
              <w:top w:val="single" w:sz="4" w:space="0" w:color="auto"/>
              <w:left w:val="nil"/>
              <w:bottom w:val="single" w:sz="4" w:space="0" w:color="auto"/>
              <w:right w:val="single" w:sz="4" w:space="0" w:color="auto"/>
            </w:tcBorders>
          </w:tcPr>
          <w:p w:rsidR="00B95557" w:rsidRPr="003C6DEF" w:rsidRDefault="00B95557" w:rsidP="003409DC">
            <w:pPr>
              <w:pStyle w:val="TableText0"/>
              <w:keepLines/>
              <w:rPr>
                <w:b/>
                <w:lang w:val="en-AU"/>
              </w:rPr>
            </w:pPr>
          </w:p>
        </w:tc>
      </w:tr>
      <w:tr w:rsidR="00B95557" w:rsidRPr="003C6DEF" w:rsidTr="001B517C">
        <w:trPr>
          <w:cantSplit/>
          <w:trHeight w:val="57"/>
        </w:trPr>
        <w:tc>
          <w:tcPr>
            <w:tcW w:w="1419" w:type="dxa"/>
            <w:tcBorders>
              <w:top w:val="single" w:sz="4" w:space="0" w:color="auto"/>
            </w:tcBorders>
          </w:tcPr>
          <w:p w:rsidR="00B95557" w:rsidRPr="003C6DEF" w:rsidRDefault="00B95557" w:rsidP="003409DC">
            <w:pPr>
              <w:pStyle w:val="TableText0"/>
              <w:keepLines/>
              <w:rPr>
                <w:lang w:val="en-AU"/>
              </w:rPr>
            </w:pPr>
            <w:r w:rsidRPr="003C6DEF">
              <w:rPr>
                <w:lang w:val="en-AU"/>
              </w:rPr>
              <w:t xml:space="preserve">Lacosamide vs. placebo </w:t>
            </w:r>
          </w:p>
        </w:tc>
        <w:tc>
          <w:tcPr>
            <w:tcW w:w="857" w:type="dxa"/>
            <w:tcBorders>
              <w:top w:val="single" w:sz="4" w:space="0" w:color="auto"/>
            </w:tcBorders>
          </w:tcPr>
          <w:p w:rsidR="00B95557" w:rsidRPr="003C6DEF" w:rsidRDefault="00B95557" w:rsidP="003409DC">
            <w:pPr>
              <w:pStyle w:val="TableText0"/>
              <w:keepLines/>
              <w:rPr>
                <w:lang w:val="en-AU"/>
              </w:rPr>
            </w:pPr>
            <w:r w:rsidRPr="003C6DEF">
              <w:rPr>
                <w:color w:val="000000"/>
                <w:lang w:val="en-AU"/>
              </w:rPr>
              <w:t>Study SP0982</w:t>
            </w:r>
          </w:p>
        </w:tc>
        <w:tc>
          <w:tcPr>
            <w:tcW w:w="941"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96/121 (79.3%)</w:t>
            </w:r>
          </w:p>
        </w:tc>
        <w:tc>
          <w:tcPr>
            <w:tcW w:w="956"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79/121 (65.3%)</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2.04 (1.15, 3.64)</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1.22 (1.04, 1.42</w:t>
            </w:r>
          </w:p>
        </w:tc>
        <w:tc>
          <w:tcPr>
            <w:tcW w:w="1656"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0.14 (0.03, 0.25)</w:t>
            </w:r>
          </w:p>
        </w:tc>
      </w:tr>
      <w:tr w:rsidR="00B95557" w:rsidRPr="003C6DEF" w:rsidTr="001B517C">
        <w:trPr>
          <w:cantSplit/>
          <w:trHeight w:val="57"/>
        </w:trPr>
        <w:tc>
          <w:tcPr>
            <w:tcW w:w="1419" w:type="dxa"/>
          </w:tcPr>
          <w:p w:rsidR="00B95557" w:rsidRPr="003C6DEF" w:rsidRDefault="00B95557" w:rsidP="003409DC">
            <w:pPr>
              <w:pStyle w:val="TableText0"/>
              <w:keepLines/>
              <w:rPr>
                <w:lang w:val="en-AU"/>
              </w:rPr>
            </w:pPr>
            <w:r w:rsidRPr="003C6DEF">
              <w:rPr>
                <w:lang w:val="en-AU"/>
              </w:rPr>
              <w:t>Perampanel vs. placebo</w:t>
            </w:r>
          </w:p>
        </w:tc>
        <w:tc>
          <w:tcPr>
            <w:tcW w:w="857" w:type="dxa"/>
          </w:tcPr>
          <w:p w:rsidR="00B95557" w:rsidRPr="003C6DEF" w:rsidRDefault="00B95557" w:rsidP="003409DC">
            <w:pPr>
              <w:pStyle w:val="TableText0"/>
              <w:keepLines/>
              <w:rPr>
                <w:lang w:val="en-AU"/>
              </w:rPr>
            </w:pPr>
            <w:r w:rsidRPr="003C6DEF">
              <w:rPr>
                <w:color w:val="000000"/>
                <w:lang w:val="en-AU"/>
              </w:rPr>
              <w:t>Study 332</w:t>
            </w:r>
          </w:p>
        </w:tc>
        <w:tc>
          <w:tcPr>
            <w:tcW w:w="941" w:type="dxa"/>
          </w:tcPr>
          <w:p w:rsidR="00B95557" w:rsidRPr="003C6DEF" w:rsidRDefault="00B95557" w:rsidP="003409DC">
            <w:pPr>
              <w:pStyle w:val="TableText0"/>
              <w:keepLines/>
              <w:jc w:val="center"/>
              <w:rPr>
                <w:lang w:val="en-AU"/>
              </w:rPr>
            </w:pPr>
            <w:r w:rsidRPr="003C6DEF">
              <w:rPr>
                <w:lang w:val="en-AU"/>
              </w:rPr>
              <w:t>67/81 (82.7%)</w:t>
            </w:r>
          </w:p>
        </w:tc>
        <w:tc>
          <w:tcPr>
            <w:tcW w:w="956" w:type="dxa"/>
          </w:tcPr>
          <w:p w:rsidR="00B95557" w:rsidRPr="003C6DEF" w:rsidRDefault="00B95557" w:rsidP="003409DC">
            <w:pPr>
              <w:pStyle w:val="TableText0"/>
              <w:keepLines/>
              <w:jc w:val="center"/>
              <w:rPr>
                <w:lang w:val="en-AU"/>
              </w:rPr>
            </w:pPr>
            <w:r w:rsidRPr="003C6DEF">
              <w:rPr>
                <w:lang w:val="en-AU"/>
              </w:rPr>
              <w:t>59/82 (72.0%)</w:t>
            </w:r>
          </w:p>
        </w:tc>
        <w:tc>
          <w:tcPr>
            <w:tcW w:w="1594" w:type="dxa"/>
            <w:vAlign w:val="center"/>
          </w:tcPr>
          <w:p w:rsidR="00B95557" w:rsidRPr="003C6DEF" w:rsidRDefault="00B95557" w:rsidP="001B517C">
            <w:pPr>
              <w:pStyle w:val="TableText0"/>
              <w:keepLines/>
              <w:jc w:val="center"/>
              <w:rPr>
                <w:lang w:val="en-AU"/>
              </w:rPr>
            </w:pPr>
            <w:r w:rsidRPr="003C6DEF">
              <w:rPr>
                <w:lang w:val="en-AU"/>
              </w:rPr>
              <w:t>1.87 (0.88, 3.95)</w:t>
            </w:r>
          </w:p>
        </w:tc>
        <w:tc>
          <w:tcPr>
            <w:tcW w:w="1594" w:type="dxa"/>
            <w:vAlign w:val="center"/>
          </w:tcPr>
          <w:p w:rsidR="00B95557" w:rsidRPr="003C6DEF" w:rsidRDefault="00B95557" w:rsidP="001B517C">
            <w:pPr>
              <w:pStyle w:val="TableText0"/>
              <w:keepLines/>
              <w:jc w:val="center"/>
              <w:rPr>
                <w:lang w:val="en-AU"/>
              </w:rPr>
            </w:pPr>
            <w:r w:rsidRPr="003C6DEF">
              <w:rPr>
                <w:lang w:val="en-AU"/>
              </w:rPr>
              <w:t>1.15 (0.97, 1.36)</w:t>
            </w:r>
          </w:p>
        </w:tc>
        <w:tc>
          <w:tcPr>
            <w:tcW w:w="1656" w:type="dxa"/>
            <w:vAlign w:val="center"/>
          </w:tcPr>
          <w:p w:rsidR="00B95557" w:rsidRPr="003C6DEF" w:rsidRDefault="00B95557" w:rsidP="001B517C">
            <w:pPr>
              <w:pStyle w:val="TableText0"/>
              <w:keepLines/>
              <w:jc w:val="center"/>
              <w:rPr>
                <w:lang w:val="en-AU"/>
              </w:rPr>
            </w:pPr>
            <w:r w:rsidRPr="003C6DEF">
              <w:rPr>
                <w:lang w:val="en-AU"/>
              </w:rPr>
              <w:t>0.11 (</w:t>
            </w:r>
            <w:r w:rsidRPr="003C6DEF">
              <w:rPr>
                <w:lang w:val="en-AU"/>
              </w:rPr>
              <w:noBreakHyphen/>
              <w:t>0.02, 0.24)</w:t>
            </w:r>
          </w:p>
        </w:tc>
      </w:tr>
      <w:tr w:rsidR="00B95557" w:rsidRPr="003C6DEF" w:rsidTr="00B95557">
        <w:trPr>
          <w:cantSplit/>
          <w:trHeight w:val="57"/>
        </w:trPr>
        <w:tc>
          <w:tcPr>
            <w:tcW w:w="4173" w:type="dxa"/>
            <w:gridSpan w:val="4"/>
          </w:tcPr>
          <w:p w:rsidR="00B95557" w:rsidRPr="003C6DEF" w:rsidRDefault="00B95557" w:rsidP="003409DC">
            <w:pPr>
              <w:pStyle w:val="TableText0"/>
              <w:keepLines/>
              <w:rPr>
                <w:b/>
                <w:lang w:val="en-AU"/>
              </w:rPr>
            </w:pPr>
            <w:r w:rsidRPr="003C6DEF">
              <w:rPr>
                <w:b/>
                <w:lang w:val="en-AU"/>
              </w:rPr>
              <w:t>Indirect estimate of effect adjusted for the common reference (lacosamide vs. perampanel)</w:t>
            </w:r>
          </w:p>
        </w:tc>
        <w:tc>
          <w:tcPr>
            <w:tcW w:w="1594" w:type="dxa"/>
          </w:tcPr>
          <w:p w:rsidR="00B95557" w:rsidRPr="002B3A5E" w:rsidRDefault="00B95557" w:rsidP="003409DC">
            <w:pPr>
              <w:pStyle w:val="TableText0"/>
              <w:keepLines/>
              <w:jc w:val="center"/>
              <w:rPr>
                <w:lang w:val="en-AU"/>
              </w:rPr>
            </w:pPr>
            <w:r w:rsidRPr="002B3A5E">
              <w:rPr>
                <w:lang w:val="en-AU"/>
              </w:rPr>
              <w:t>1.09 (0.42, 2.82)</w:t>
            </w:r>
          </w:p>
          <w:p w:rsidR="00B95557" w:rsidRPr="002B3A5E" w:rsidRDefault="00B95557" w:rsidP="003409DC">
            <w:pPr>
              <w:pStyle w:val="TableText0"/>
              <w:keepLines/>
              <w:jc w:val="center"/>
              <w:rPr>
                <w:lang w:val="en-AU"/>
              </w:rPr>
            </w:pPr>
            <w:r w:rsidRPr="002B3A5E">
              <w:rPr>
                <w:lang w:val="en-AU"/>
              </w:rPr>
              <w:t>p=0.852</w:t>
            </w:r>
          </w:p>
        </w:tc>
        <w:tc>
          <w:tcPr>
            <w:tcW w:w="1594" w:type="dxa"/>
          </w:tcPr>
          <w:p w:rsidR="00B95557" w:rsidRPr="002B3A5E" w:rsidRDefault="00B95557" w:rsidP="003409DC">
            <w:pPr>
              <w:pStyle w:val="TableText0"/>
              <w:keepLines/>
              <w:jc w:val="center"/>
              <w:rPr>
                <w:lang w:val="en-AU"/>
              </w:rPr>
            </w:pPr>
            <w:r w:rsidRPr="002B3A5E">
              <w:rPr>
                <w:lang w:val="en-AU"/>
              </w:rPr>
              <w:t>1.06 (0.84, 1.33)</w:t>
            </w:r>
          </w:p>
          <w:p w:rsidR="00B95557" w:rsidRPr="002B3A5E" w:rsidRDefault="00B95557" w:rsidP="003409DC">
            <w:pPr>
              <w:pStyle w:val="TableText0"/>
              <w:keepLines/>
              <w:jc w:val="center"/>
              <w:rPr>
                <w:lang w:val="en-AU"/>
              </w:rPr>
            </w:pPr>
            <w:r w:rsidRPr="002B3A5E">
              <w:rPr>
                <w:lang w:val="en-AU"/>
              </w:rPr>
              <w:t>p=0.638</w:t>
            </w:r>
          </w:p>
        </w:tc>
        <w:tc>
          <w:tcPr>
            <w:tcW w:w="1656" w:type="dxa"/>
          </w:tcPr>
          <w:p w:rsidR="00B95557" w:rsidRPr="002B3A5E" w:rsidRDefault="00B95557" w:rsidP="003409DC">
            <w:pPr>
              <w:pStyle w:val="TableText0"/>
              <w:keepLines/>
              <w:jc w:val="center"/>
              <w:rPr>
                <w:lang w:val="en-AU"/>
              </w:rPr>
            </w:pPr>
            <w:r w:rsidRPr="002B3A5E">
              <w:rPr>
                <w:lang w:val="en-AU"/>
              </w:rPr>
              <w:t>0.03 (-0.14, 0.20)</w:t>
            </w:r>
          </w:p>
          <w:p w:rsidR="00B95557" w:rsidRPr="002B3A5E" w:rsidRDefault="00B95557" w:rsidP="003409DC">
            <w:pPr>
              <w:pStyle w:val="TableText0"/>
              <w:keepLines/>
              <w:jc w:val="center"/>
              <w:rPr>
                <w:lang w:val="en-AU"/>
              </w:rPr>
            </w:pPr>
            <w:r w:rsidRPr="002B3A5E">
              <w:rPr>
                <w:lang w:val="en-AU"/>
              </w:rPr>
              <w:t>p=0.704</w:t>
            </w:r>
          </w:p>
        </w:tc>
      </w:tr>
      <w:tr w:rsidR="00B95557" w:rsidRPr="003C6DEF" w:rsidTr="00B95557">
        <w:trPr>
          <w:cantSplit/>
          <w:trHeight w:val="57"/>
        </w:trPr>
        <w:tc>
          <w:tcPr>
            <w:tcW w:w="9017" w:type="dxa"/>
            <w:gridSpan w:val="7"/>
            <w:tcBorders>
              <w:top w:val="single" w:sz="4" w:space="0" w:color="auto"/>
              <w:left w:val="single" w:sz="4" w:space="0" w:color="auto"/>
              <w:bottom w:val="single" w:sz="4" w:space="0" w:color="auto"/>
              <w:right w:val="single" w:sz="4" w:space="0" w:color="auto"/>
            </w:tcBorders>
          </w:tcPr>
          <w:p w:rsidR="00B95557" w:rsidRPr="003C6DEF" w:rsidRDefault="00B95557" w:rsidP="003409DC">
            <w:pPr>
              <w:pStyle w:val="TableText0"/>
              <w:keepLines/>
              <w:rPr>
                <w:b/>
                <w:lang w:val="en-AU"/>
              </w:rPr>
            </w:pPr>
            <w:r w:rsidRPr="003C6DEF">
              <w:rPr>
                <w:b/>
                <w:iCs/>
                <w:lang w:val="en-AU"/>
              </w:rPr>
              <w:t>Discontinuation due to a TEAE</w:t>
            </w:r>
          </w:p>
        </w:tc>
      </w:tr>
      <w:tr w:rsidR="00B95557" w:rsidRPr="003C6DEF" w:rsidTr="001B517C">
        <w:trPr>
          <w:cantSplit/>
          <w:trHeight w:val="57"/>
        </w:trPr>
        <w:tc>
          <w:tcPr>
            <w:tcW w:w="1419" w:type="dxa"/>
            <w:tcBorders>
              <w:top w:val="single" w:sz="4" w:space="0" w:color="auto"/>
            </w:tcBorders>
          </w:tcPr>
          <w:p w:rsidR="00B95557" w:rsidRPr="003C6DEF" w:rsidRDefault="00B95557" w:rsidP="003409DC">
            <w:pPr>
              <w:pStyle w:val="TableText0"/>
              <w:keepLines/>
              <w:rPr>
                <w:lang w:val="en-AU"/>
              </w:rPr>
            </w:pPr>
            <w:r w:rsidRPr="003C6DEF">
              <w:rPr>
                <w:lang w:val="en-AU"/>
              </w:rPr>
              <w:t xml:space="preserve">Lacosamide vs. placebo </w:t>
            </w:r>
          </w:p>
        </w:tc>
        <w:tc>
          <w:tcPr>
            <w:tcW w:w="857" w:type="dxa"/>
            <w:tcBorders>
              <w:top w:val="single" w:sz="4" w:space="0" w:color="auto"/>
            </w:tcBorders>
          </w:tcPr>
          <w:p w:rsidR="00B95557" w:rsidRPr="003C6DEF" w:rsidRDefault="00B95557" w:rsidP="003409DC">
            <w:pPr>
              <w:pStyle w:val="TableText0"/>
              <w:keepLines/>
              <w:rPr>
                <w:lang w:val="en-AU"/>
              </w:rPr>
            </w:pPr>
            <w:r w:rsidRPr="003C6DEF">
              <w:rPr>
                <w:color w:val="000000"/>
                <w:lang w:val="en-AU"/>
              </w:rPr>
              <w:t>Study SP0982</w:t>
            </w:r>
          </w:p>
        </w:tc>
        <w:tc>
          <w:tcPr>
            <w:tcW w:w="941"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11/121</w:t>
            </w:r>
            <w:r w:rsidRPr="003C6DEF">
              <w:rPr>
                <w:lang w:val="en-AU"/>
              </w:rPr>
              <w:br/>
              <w:t>(9.1%)</w:t>
            </w:r>
          </w:p>
        </w:tc>
        <w:tc>
          <w:tcPr>
            <w:tcW w:w="956"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5/121</w:t>
            </w:r>
            <w:r w:rsidRPr="003C6DEF">
              <w:rPr>
                <w:lang w:val="en-AU"/>
              </w:rPr>
              <w:br/>
              <w:t>(4.1%)</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2.32 (0.78, 6.89)</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2.20 (0.79, 6.14)</w:t>
            </w:r>
          </w:p>
        </w:tc>
        <w:tc>
          <w:tcPr>
            <w:tcW w:w="1656"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0.05 (-0.01, 0.11)</w:t>
            </w:r>
          </w:p>
        </w:tc>
      </w:tr>
      <w:tr w:rsidR="00B95557" w:rsidRPr="003C6DEF" w:rsidTr="001B517C">
        <w:trPr>
          <w:cantSplit/>
          <w:trHeight w:val="57"/>
        </w:trPr>
        <w:tc>
          <w:tcPr>
            <w:tcW w:w="1419" w:type="dxa"/>
          </w:tcPr>
          <w:p w:rsidR="00B95557" w:rsidRPr="003C6DEF" w:rsidRDefault="00B95557" w:rsidP="003409DC">
            <w:pPr>
              <w:pStyle w:val="TableText0"/>
              <w:keepLines/>
              <w:rPr>
                <w:lang w:val="en-AU"/>
              </w:rPr>
            </w:pPr>
            <w:r w:rsidRPr="003C6DEF">
              <w:rPr>
                <w:lang w:val="en-AU"/>
              </w:rPr>
              <w:t>Perampanel vs. placebo</w:t>
            </w:r>
          </w:p>
        </w:tc>
        <w:tc>
          <w:tcPr>
            <w:tcW w:w="857" w:type="dxa"/>
          </w:tcPr>
          <w:p w:rsidR="00B95557" w:rsidRPr="003C6DEF" w:rsidRDefault="00B95557" w:rsidP="003409DC">
            <w:pPr>
              <w:pStyle w:val="TableText0"/>
              <w:keepLines/>
              <w:rPr>
                <w:lang w:val="en-AU"/>
              </w:rPr>
            </w:pPr>
            <w:r w:rsidRPr="003C6DEF">
              <w:rPr>
                <w:color w:val="000000"/>
                <w:lang w:val="en-AU"/>
              </w:rPr>
              <w:t>Study 332</w:t>
            </w:r>
          </w:p>
        </w:tc>
        <w:tc>
          <w:tcPr>
            <w:tcW w:w="941" w:type="dxa"/>
          </w:tcPr>
          <w:p w:rsidR="00B95557" w:rsidRPr="003C6DEF" w:rsidRDefault="00B95557" w:rsidP="003409DC">
            <w:pPr>
              <w:pStyle w:val="TableText0"/>
              <w:keepLines/>
              <w:jc w:val="center"/>
              <w:rPr>
                <w:lang w:val="en-AU"/>
              </w:rPr>
            </w:pPr>
            <w:r w:rsidRPr="003C6DEF">
              <w:rPr>
                <w:lang w:val="en-AU"/>
              </w:rPr>
              <w:t>9/81</w:t>
            </w:r>
            <w:r w:rsidRPr="003C6DEF">
              <w:rPr>
                <w:lang w:val="en-AU"/>
              </w:rPr>
              <w:br/>
              <w:t>(11.1%)</w:t>
            </w:r>
          </w:p>
        </w:tc>
        <w:tc>
          <w:tcPr>
            <w:tcW w:w="956" w:type="dxa"/>
          </w:tcPr>
          <w:p w:rsidR="00B95557" w:rsidRPr="003C6DEF" w:rsidRDefault="00B95557" w:rsidP="003409DC">
            <w:pPr>
              <w:pStyle w:val="TableText0"/>
              <w:keepLines/>
              <w:jc w:val="center"/>
              <w:rPr>
                <w:lang w:val="en-AU"/>
              </w:rPr>
            </w:pPr>
            <w:r w:rsidRPr="003C6DEF">
              <w:rPr>
                <w:lang w:val="en-AU"/>
              </w:rPr>
              <w:t>5/82</w:t>
            </w:r>
            <w:r w:rsidRPr="003C6DEF">
              <w:rPr>
                <w:lang w:val="en-AU"/>
              </w:rPr>
              <w:br/>
              <w:t>(6.1%)</w:t>
            </w:r>
          </w:p>
        </w:tc>
        <w:tc>
          <w:tcPr>
            <w:tcW w:w="1594" w:type="dxa"/>
            <w:vAlign w:val="center"/>
          </w:tcPr>
          <w:p w:rsidR="00B95557" w:rsidRPr="003C6DEF" w:rsidRDefault="00B95557" w:rsidP="001B517C">
            <w:pPr>
              <w:pStyle w:val="TableText0"/>
              <w:keepLines/>
              <w:jc w:val="center"/>
              <w:rPr>
                <w:lang w:val="en-AU"/>
              </w:rPr>
            </w:pPr>
            <w:r w:rsidRPr="003C6DEF">
              <w:rPr>
                <w:lang w:val="en-AU"/>
              </w:rPr>
              <w:t>1.93 (0.62, 6.02)</w:t>
            </w:r>
          </w:p>
        </w:tc>
        <w:tc>
          <w:tcPr>
            <w:tcW w:w="1594" w:type="dxa"/>
            <w:vAlign w:val="center"/>
          </w:tcPr>
          <w:p w:rsidR="00B95557" w:rsidRPr="003C6DEF" w:rsidRDefault="00B95557" w:rsidP="001B517C">
            <w:pPr>
              <w:pStyle w:val="TableText0"/>
              <w:keepLines/>
              <w:jc w:val="center"/>
              <w:rPr>
                <w:lang w:val="en-AU"/>
              </w:rPr>
            </w:pPr>
            <w:r w:rsidRPr="003C6DEF">
              <w:rPr>
                <w:lang w:val="en-AU"/>
              </w:rPr>
              <w:t>1.82 (0.64, 5.20)</w:t>
            </w:r>
          </w:p>
        </w:tc>
        <w:tc>
          <w:tcPr>
            <w:tcW w:w="1656" w:type="dxa"/>
            <w:vAlign w:val="center"/>
          </w:tcPr>
          <w:p w:rsidR="00B95557" w:rsidRPr="003C6DEF" w:rsidRDefault="00B95557" w:rsidP="001B517C">
            <w:pPr>
              <w:pStyle w:val="TableText0"/>
              <w:keepLines/>
              <w:jc w:val="center"/>
              <w:rPr>
                <w:lang w:val="en-AU"/>
              </w:rPr>
            </w:pPr>
            <w:r w:rsidRPr="003C6DEF">
              <w:rPr>
                <w:lang w:val="en-AU"/>
              </w:rPr>
              <w:t>0.05 (-0.04, 0.14)</w:t>
            </w:r>
          </w:p>
        </w:tc>
      </w:tr>
      <w:tr w:rsidR="00B95557" w:rsidRPr="003C6DEF" w:rsidTr="00B95557">
        <w:trPr>
          <w:cantSplit/>
          <w:trHeight w:val="57"/>
        </w:trPr>
        <w:tc>
          <w:tcPr>
            <w:tcW w:w="4173" w:type="dxa"/>
            <w:gridSpan w:val="4"/>
          </w:tcPr>
          <w:p w:rsidR="00B95557" w:rsidRPr="003C6DEF" w:rsidRDefault="00B95557" w:rsidP="003409DC">
            <w:pPr>
              <w:pStyle w:val="TableText0"/>
              <w:keepLines/>
              <w:rPr>
                <w:lang w:val="en-AU"/>
              </w:rPr>
            </w:pPr>
            <w:r w:rsidRPr="003C6DEF">
              <w:rPr>
                <w:b/>
                <w:lang w:val="en-AU"/>
              </w:rPr>
              <w:t>Indirect estimate of effect adjusted for the common reference (lacosamide vs. perampanel)</w:t>
            </w:r>
          </w:p>
        </w:tc>
        <w:tc>
          <w:tcPr>
            <w:tcW w:w="1594" w:type="dxa"/>
          </w:tcPr>
          <w:p w:rsidR="00B95557" w:rsidRPr="002B3A5E" w:rsidRDefault="00B95557" w:rsidP="003409DC">
            <w:pPr>
              <w:pStyle w:val="TableText0"/>
              <w:keepLines/>
              <w:jc w:val="center"/>
              <w:rPr>
                <w:lang w:val="en-AU"/>
              </w:rPr>
            </w:pPr>
            <w:r w:rsidRPr="002B3A5E">
              <w:rPr>
                <w:lang w:val="en-AU"/>
              </w:rPr>
              <w:t>1.21 (0.25, 5.83)</w:t>
            </w:r>
          </w:p>
          <w:p w:rsidR="00B95557" w:rsidRPr="002B3A5E" w:rsidRDefault="00B95557" w:rsidP="003409DC">
            <w:pPr>
              <w:pStyle w:val="TableText0"/>
              <w:keepLines/>
              <w:jc w:val="center"/>
              <w:rPr>
                <w:lang w:val="en-AU"/>
              </w:rPr>
            </w:pPr>
            <w:r w:rsidRPr="002B3A5E">
              <w:rPr>
                <w:lang w:val="en-AU"/>
              </w:rPr>
              <w:t>p=0.816</w:t>
            </w:r>
          </w:p>
        </w:tc>
        <w:tc>
          <w:tcPr>
            <w:tcW w:w="1594" w:type="dxa"/>
          </w:tcPr>
          <w:p w:rsidR="00B95557" w:rsidRPr="002B3A5E" w:rsidRDefault="00B95557" w:rsidP="003409DC">
            <w:pPr>
              <w:pStyle w:val="TableText0"/>
              <w:keepLines/>
              <w:jc w:val="center"/>
              <w:rPr>
                <w:lang w:val="en-AU"/>
              </w:rPr>
            </w:pPr>
            <w:r w:rsidRPr="002B3A5E">
              <w:rPr>
                <w:lang w:val="en-AU"/>
              </w:rPr>
              <w:t>1.21 (0.28, 5.24)</w:t>
            </w:r>
          </w:p>
          <w:p w:rsidR="00B95557" w:rsidRPr="002B3A5E" w:rsidRDefault="00B95557" w:rsidP="003409DC">
            <w:pPr>
              <w:pStyle w:val="TableText0"/>
              <w:keepLines/>
              <w:jc w:val="center"/>
              <w:rPr>
                <w:lang w:val="en-AU"/>
              </w:rPr>
            </w:pPr>
            <w:r w:rsidRPr="002B3A5E">
              <w:rPr>
                <w:lang w:val="en-AU"/>
              </w:rPr>
              <w:t>p=0.801</w:t>
            </w:r>
          </w:p>
        </w:tc>
        <w:tc>
          <w:tcPr>
            <w:tcW w:w="1656" w:type="dxa"/>
          </w:tcPr>
          <w:p w:rsidR="00B95557" w:rsidRPr="002B3A5E" w:rsidRDefault="00B95557" w:rsidP="003409DC">
            <w:pPr>
              <w:pStyle w:val="TableText0"/>
              <w:keepLines/>
              <w:jc w:val="center"/>
              <w:rPr>
                <w:lang w:val="en-AU"/>
              </w:rPr>
            </w:pPr>
            <w:r w:rsidRPr="002B3A5E">
              <w:rPr>
                <w:lang w:val="en-AU"/>
              </w:rPr>
              <w:t>0.00 (-0.11, 0.11)</w:t>
            </w:r>
          </w:p>
          <w:p w:rsidR="00B95557" w:rsidRPr="002B3A5E" w:rsidRDefault="00B95557" w:rsidP="003409DC">
            <w:pPr>
              <w:pStyle w:val="TableText0"/>
              <w:keepLines/>
              <w:jc w:val="center"/>
              <w:rPr>
                <w:lang w:val="en-AU"/>
              </w:rPr>
            </w:pPr>
            <w:r w:rsidRPr="002B3A5E">
              <w:rPr>
                <w:lang w:val="en-AU"/>
              </w:rPr>
              <w:t>p=0.992</w:t>
            </w:r>
          </w:p>
        </w:tc>
      </w:tr>
      <w:tr w:rsidR="00B95557" w:rsidRPr="003C6DEF" w:rsidTr="00B95557">
        <w:trPr>
          <w:cantSplit/>
          <w:trHeight w:val="57"/>
        </w:trPr>
        <w:tc>
          <w:tcPr>
            <w:tcW w:w="9017" w:type="dxa"/>
            <w:gridSpan w:val="7"/>
            <w:tcBorders>
              <w:top w:val="single" w:sz="4" w:space="0" w:color="auto"/>
              <w:left w:val="single" w:sz="4" w:space="0" w:color="auto"/>
              <w:bottom w:val="single" w:sz="4" w:space="0" w:color="auto"/>
              <w:right w:val="single" w:sz="4" w:space="0" w:color="auto"/>
            </w:tcBorders>
          </w:tcPr>
          <w:p w:rsidR="00B95557" w:rsidRPr="003C6DEF" w:rsidRDefault="00B95557" w:rsidP="003409DC">
            <w:pPr>
              <w:pStyle w:val="TableText0"/>
              <w:keepLines/>
              <w:rPr>
                <w:b/>
                <w:lang w:val="en-AU"/>
              </w:rPr>
            </w:pPr>
            <w:r w:rsidRPr="003C6DEF">
              <w:rPr>
                <w:b/>
                <w:iCs/>
                <w:lang w:val="en-AU"/>
              </w:rPr>
              <w:t>Discontinuation due to a psychiatric TEAE</w:t>
            </w:r>
          </w:p>
        </w:tc>
      </w:tr>
      <w:tr w:rsidR="00B95557" w:rsidRPr="003C6DEF" w:rsidTr="001B517C">
        <w:trPr>
          <w:cantSplit/>
          <w:trHeight w:val="57"/>
        </w:trPr>
        <w:tc>
          <w:tcPr>
            <w:tcW w:w="1419" w:type="dxa"/>
            <w:tcBorders>
              <w:top w:val="single" w:sz="4" w:space="0" w:color="auto"/>
            </w:tcBorders>
          </w:tcPr>
          <w:p w:rsidR="00B95557" w:rsidRPr="003C6DEF" w:rsidRDefault="00B95557" w:rsidP="003409DC">
            <w:pPr>
              <w:pStyle w:val="TableText0"/>
              <w:keepLines/>
              <w:rPr>
                <w:lang w:val="en-AU"/>
              </w:rPr>
            </w:pPr>
            <w:r w:rsidRPr="003C6DEF">
              <w:rPr>
                <w:lang w:val="en-AU"/>
              </w:rPr>
              <w:t xml:space="preserve">Lacosamide vs. placebo </w:t>
            </w:r>
          </w:p>
        </w:tc>
        <w:tc>
          <w:tcPr>
            <w:tcW w:w="857" w:type="dxa"/>
            <w:tcBorders>
              <w:top w:val="single" w:sz="4" w:space="0" w:color="auto"/>
            </w:tcBorders>
          </w:tcPr>
          <w:p w:rsidR="00B95557" w:rsidRPr="003C6DEF" w:rsidRDefault="00B95557" w:rsidP="003409DC">
            <w:pPr>
              <w:pStyle w:val="TableText0"/>
              <w:keepLines/>
              <w:rPr>
                <w:lang w:val="en-AU"/>
              </w:rPr>
            </w:pPr>
            <w:r w:rsidRPr="003C6DEF">
              <w:rPr>
                <w:color w:val="000000"/>
                <w:lang w:val="en-AU"/>
              </w:rPr>
              <w:t>Study SP0982</w:t>
            </w:r>
          </w:p>
        </w:tc>
        <w:tc>
          <w:tcPr>
            <w:tcW w:w="941"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2/121</w:t>
            </w:r>
            <w:r w:rsidRPr="003C6DEF">
              <w:rPr>
                <w:lang w:val="en-AU"/>
              </w:rPr>
              <w:br/>
              <w:t>(1.7%)</w:t>
            </w:r>
          </w:p>
        </w:tc>
        <w:tc>
          <w:tcPr>
            <w:tcW w:w="956"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1/121</w:t>
            </w:r>
            <w:r w:rsidRPr="003C6DEF">
              <w:rPr>
                <w:lang w:val="en-AU"/>
              </w:rPr>
              <w:br/>
              <w:t>(0.8%)</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2.02 (0.18, 22.54)</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2.00 (0.18, 21.77)</w:t>
            </w:r>
          </w:p>
        </w:tc>
        <w:tc>
          <w:tcPr>
            <w:tcW w:w="1656"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0.01 (-0.02, 0.04)</w:t>
            </w:r>
          </w:p>
        </w:tc>
      </w:tr>
      <w:tr w:rsidR="00B95557" w:rsidRPr="003C6DEF" w:rsidTr="001B517C">
        <w:trPr>
          <w:cantSplit/>
          <w:trHeight w:val="57"/>
        </w:trPr>
        <w:tc>
          <w:tcPr>
            <w:tcW w:w="1419" w:type="dxa"/>
          </w:tcPr>
          <w:p w:rsidR="00B95557" w:rsidRPr="003C6DEF" w:rsidRDefault="00B95557" w:rsidP="003409DC">
            <w:pPr>
              <w:pStyle w:val="TableText0"/>
              <w:keepLines/>
              <w:rPr>
                <w:lang w:val="en-AU"/>
              </w:rPr>
            </w:pPr>
            <w:r w:rsidRPr="003C6DEF">
              <w:rPr>
                <w:lang w:val="en-AU"/>
              </w:rPr>
              <w:t>Perampanel vs. placebo</w:t>
            </w:r>
          </w:p>
        </w:tc>
        <w:tc>
          <w:tcPr>
            <w:tcW w:w="857" w:type="dxa"/>
          </w:tcPr>
          <w:p w:rsidR="00B95557" w:rsidRPr="003C6DEF" w:rsidRDefault="00B95557" w:rsidP="003409DC">
            <w:pPr>
              <w:pStyle w:val="TableText0"/>
              <w:keepLines/>
              <w:rPr>
                <w:lang w:val="en-AU"/>
              </w:rPr>
            </w:pPr>
            <w:r w:rsidRPr="003C6DEF">
              <w:rPr>
                <w:color w:val="000000"/>
                <w:lang w:val="en-AU"/>
              </w:rPr>
              <w:t>Study 332</w:t>
            </w:r>
          </w:p>
        </w:tc>
        <w:tc>
          <w:tcPr>
            <w:tcW w:w="941" w:type="dxa"/>
          </w:tcPr>
          <w:p w:rsidR="00B95557" w:rsidRPr="003C6DEF" w:rsidRDefault="00B95557" w:rsidP="003409DC">
            <w:pPr>
              <w:pStyle w:val="TableText0"/>
              <w:keepLines/>
              <w:jc w:val="center"/>
              <w:rPr>
                <w:lang w:val="en-AU"/>
              </w:rPr>
            </w:pPr>
            <w:r w:rsidRPr="003C6DEF">
              <w:rPr>
                <w:lang w:val="en-AU"/>
              </w:rPr>
              <w:t>5/81</w:t>
            </w:r>
            <w:r w:rsidRPr="003C6DEF">
              <w:rPr>
                <w:lang w:val="en-AU"/>
              </w:rPr>
              <w:br/>
              <w:t>(6.2%)</w:t>
            </w:r>
          </w:p>
        </w:tc>
        <w:tc>
          <w:tcPr>
            <w:tcW w:w="956" w:type="dxa"/>
          </w:tcPr>
          <w:p w:rsidR="00B95557" w:rsidRPr="003C6DEF" w:rsidRDefault="00B95557" w:rsidP="003409DC">
            <w:pPr>
              <w:pStyle w:val="TableText0"/>
              <w:keepLines/>
              <w:jc w:val="center"/>
              <w:rPr>
                <w:lang w:val="en-AU"/>
              </w:rPr>
            </w:pPr>
            <w:r w:rsidRPr="003C6DEF">
              <w:rPr>
                <w:lang w:val="en-AU"/>
              </w:rPr>
              <w:t>3/82</w:t>
            </w:r>
            <w:r w:rsidRPr="003C6DEF">
              <w:rPr>
                <w:lang w:val="en-AU"/>
              </w:rPr>
              <w:br/>
              <w:t>(3.7%)</w:t>
            </w:r>
          </w:p>
        </w:tc>
        <w:tc>
          <w:tcPr>
            <w:tcW w:w="1594" w:type="dxa"/>
            <w:vAlign w:val="center"/>
          </w:tcPr>
          <w:p w:rsidR="00B95557" w:rsidRPr="003C6DEF" w:rsidRDefault="00B95557" w:rsidP="001B517C">
            <w:pPr>
              <w:pStyle w:val="TableText0"/>
              <w:keepLines/>
              <w:jc w:val="center"/>
              <w:rPr>
                <w:lang w:val="en-AU"/>
              </w:rPr>
            </w:pPr>
            <w:r w:rsidRPr="003C6DEF">
              <w:rPr>
                <w:lang w:val="en-AU"/>
              </w:rPr>
              <w:t>1.73 (0.40, 7.50)</w:t>
            </w:r>
          </w:p>
        </w:tc>
        <w:tc>
          <w:tcPr>
            <w:tcW w:w="1594" w:type="dxa"/>
            <w:vAlign w:val="center"/>
          </w:tcPr>
          <w:p w:rsidR="00B95557" w:rsidRPr="003C6DEF" w:rsidRDefault="00B95557" w:rsidP="001B517C">
            <w:pPr>
              <w:pStyle w:val="TableText0"/>
              <w:keepLines/>
              <w:jc w:val="center"/>
              <w:rPr>
                <w:lang w:val="en-AU"/>
              </w:rPr>
            </w:pPr>
            <w:r w:rsidRPr="003C6DEF">
              <w:rPr>
                <w:lang w:val="en-AU"/>
              </w:rPr>
              <w:t>1.69 (0.42, 6.83)</w:t>
            </w:r>
          </w:p>
        </w:tc>
        <w:tc>
          <w:tcPr>
            <w:tcW w:w="1656" w:type="dxa"/>
            <w:vAlign w:val="center"/>
          </w:tcPr>
          <w:p w:rsidR="00B95557" w:rsidRPr="003C6DEF" w:rsidRDefault="00B95557" w:rsidP="001B517C">
            <w:pPr>
              <w:pStyle w:val="TableText0"/>
              <w:keepLines/>
              <w:jc w:val="center"/>
              <w:rPr>
                <w:lang w:val="en-AU"/>
              </w:rPr>
            </w:pPr>
            <w:r w:rsidRPr="003C6DEF">
              <w:rPr>
                <w:lang w:val="en-AU"/>
              </w:rPr>
              <w:t>0.03 (-0.04, 0.09)</w:t>
            </w:r>
          </w:p>
        </w:tc>
      </w:tr>
      <w:tr w:rsidR="00B95557" w:rsidRPr="003C6DEF" w:rsidTr="00B95557">
        <w:trPr>
          <w:cantSplit/>
          <w:trHeight w:val="57"/>
        </w:trPr>
        <w:tc>
          <w:tcPr>
            <w:tcW w:w="4173" w:type="dxa"/>
            <w:gridSpan w:val="4"/>
          </w:tcPr>
          <w:p w:rsidR="00B95557" w:rsidRPr="003C6DEF" w:rsidRDefault="00B95557" w:rsidP="003409DC">
            <w:pPr>
              <w:pStyle w:val="TableText0"/>
              <w:keepLines/>
              <w:rPr>
                <w:lang w:val="en-AU"/>
              </w:rPr>
            </w:pPr>
            <w:r w:rsidRPr="003C6DEF">
              <w:rPr>
                <w:b/>
                <w:lang w:val="en-AU"/>
              </w:rPr>
              <w:t>Indirect estimate of effect adjusted for the common reference (lacosamide vs. perampanel)</w:t>
            </w:r>
          </w:p>
        </w:tc>
        <w:tc>
          <w:tcPr>
            <w:tcW w:w="1594" w:type="dxa"/>
          </w:tcPr>
          <w:p w:rsidR="00B95557" w:rsidRPr="002B3A5E" w:rsidRDefault="00B95557" w:rsidP="003409DC">
            <w:pPr>
              <w:pStyle w:val="TableText0"/>
              <w:keepLines/>
              <w:jc w:val="center"/>
              <w:rPr>
                <w:lang w:val="en-AU"/>
              </w:rPr>
            </w:pPr>
            <w:r w:rsidRPr="002B3A5E">
              <w:rPr>
                <w:lang w:val="en-AU"/>
              </w:rPr>
              <w:t>1.16 (0.07, 19.61)</w:t>
            </w:r>
          </w:p>
          <w:p w:rsidR="00B95557" w:rsidRPr="002B3A5E" w:rsidRDefault="00B95557" w:rsidP="003409DC">
            <w:pPr>
              <w:pStyle w:val="TableText0"/>
              <w:keepLines/>
              <w:jc w:val="center"/>
              <w:rPr>
                <w:lang w:val="en-AU"/>
              </w:rPr>
            </w:pPr>
            <w:r w:rsidRPr="002B3A5E">
              <w:rPr>
                <w:lang w:val="en-AU"/>
              </w:rPr>
              <w:t>p=0.916</w:t>
            </w:r>
          </w:p>
        </w:tc>
        <w:tc>
          <w:tcPr>
            <w:tcW w:w="1594" w:type="dxa"/>
          </w:tcPr>
          <w:p w:rsidR="00B95557" w:rsidRPr="002B3A5E" w:rsidRDefault="00B95557" w:rsidP="003409DC">
            <w:pPr>
              <w:pStyle w:val="TableText0"/>
              <w:keepLines/>
              <w:jc w:val="center"/>
              <w:rPr>
                <w:lang w:val="en-AU"/>
              </w:rPr>
            </w:pPr>
            <w:r w:rsidRPr="002B3A5E">
              <w:rPr>
                <w:lang w:val="en-AU"/>
              </w:rPr>
              <w:t>1.19 (0.07, 18.85)</w:t>
            </w:r>
          </w:p>
          <w:p w:rsidR="00B95557" w:rsidRPr="002B3A5E" w:rsidRDefault="00B95557" w:rsidP="003409DC">
            <w:pPr>
              <w:pStyle w:val="TableText0"/>
              <w:keepLines/>
              <w:jc w:val="center"/>
              <w:rPr>
                <w:lang w:val="en-AU"/>
              </w:rPr>
            </w:pPr>
            <w:r w:rsidRPr="002B3A5E">
              <w:rPr>
                <w:lang w:val="en-AU"/>
              </w:rPr>
              <w:t>p=0.904</w:t>
            </w:r>
          </w:p>
        </w:tc>
        <w:tc>
          <w:tcPr>
            <w:tcW w:w="1656" w:type="dxa"/>
          </w:tcPr>
          <w:p w:rsidR="00B95557" w:rsidRPr="002B3A5E" w:rsidRDefault="00B95557" w:rsidP="003409DC">
            <w:pPr>
              <w:pStyle w:val="TableText0"/>
              <w:keepLines/>
              <w:jc w:val="center"/>
              <w:rPr>
                <w:lang w:val="en-AU"/>
              </w:rPr>
            </w:pPr>
            <w:r w:rsidRPr="002B3A5E">
              <w:rPr>
                <w:lang w:val="en-AU"/>
              </w:rPr>
              <w:t>0.02 (-0.09, 0.06)</w:t>
            </w:r>
          </w:p>
          <w:p w:rsidR="00B95557" w:rsidRPr="002B3A5E" w:rsidRDefault="00B95557" w:rsidP="003409DC">
            <w:pPr>
              <w:pStyle w:val="TableText0"/>
              <w:keepLines/>
              <w:jc w:val="center"/>
              <w:rPr>
                <w:lang w:val="en-AU"/>
              </w:rPr>
            </w:pPr>
            <w:r w:rsidRPr="002B3A5E">
              <w:rPr>
                <w:lang w:val="en-AU"/>
              </w:rPr>
              <w:t>p=0.646</w:t>
            </w:r>
          </w:p>
        </w:tc>
      </w:tr>
      <w:tr w:rsidR="00B95557" w:rsidRPr="003C6DEF" w:rsidTr="00B95557">
        <w:trPr>
          <w:cantSplit/>
          <w:trHeight w:val="57"/>
        </w:trPr>
        <w:tc>
          <w:tcPr>
            <w:tcW w:w="9017" w:type="dxa"/>
            <w:gridSpan w:val="7"/>
            <w:tcBorders>
              <w:top w:val="single" w:sz="4" w:space="0" w:color="auto"/>
              <w:left w:val="single" w:sz="4" w:space="0" w:color="auto"/>
              <w:bottom w:val="single" w:sz="4" w:space="0" w:color="auto"/>
              <w:right w:val="single" w:sz="4" w:space="0" w:color="auto"/>
            </w:tcBorders>
          </w:tcPr>
          <w:p w:rsidR="00B95557" w:rsidRPr="003C6DEF" w:rsidRDefault="00B95557" w:rsidP="003409DC">
            <w:pPr>
              <w:pStyle w:val="TableText0"/>
              <w:keepLines/>
              <w:rPr>
                <w:b/>
                <w:vertAlign w:val="superscript"/>
                <w:lang w:val="en-AU"/>
              </w:rPr>
            </w:pPr>
            <w:r w:rsidRPr="003C6DEF">
              <w:rPr>
                <w:b/>
                <w:iCs/>
                <w:lang w:val="en-AU"/>
              </w:rPr>
              <w:t xml:space="preserve">Serious TEAE </w:t>
            </w:r>
            <w:r w:rsidRPr="003C6DEF">
              <w:rPr>
                <w:b/>
                <w:iCs/>
                <w:vertAlign w:val="superscript"/>
                <w:lang w:val="en-AU"/>
              </w:rPr>
              <w:t>a</w:t>
            </w:r>
          </w:p>
        </w:tc>
      </w:tr>
      <w:tr w:rsidR="00B95557" w:rsidRPr="003C6DEF" w:rsidTr="001B517C">
        <w:trPr>
          <w:cantSplit/>
          <w:trHeight w:val="57"/>
        </w:trPr>
        <w:tc>
          <w:tcPr>
            <w:tcW w:w="1419" w:type="dxa"/>
            <w:tcBorders>
              <w:top w:val="single" w:sz="4" w:space="0" w:color="auto"/>
            </w:tcBorders>
          </w:tcPr>
          <w:p w:rsidR="00B95557" w:rsidRPr="003C6DEF" w:rsidRDefault="00B95557" w:rsidP="003409DC">
            <w:pPr>
              <w:pStyle w:val="TableText0"/>
              <w:keepLines/>
              <w:rPr>
                <w:lang w:val="en-AU"/>
              </w:rPr>
            </w:pPr>
            <w:r w:rsidRPr="003C6DEF">
              <w:rPr>
                <w:lang w:val="en-AU"/>
              </w:rPr>
              <w:t xml:space="preserve">Lacosamide vs. placebo </w:t>
            </w:r>
          </w:p>
        </w:tc>
        <w:tc>
          <w:tcPr>
            <w:tcW w:w="857" w:type="dxa"/>
            <w:tcBorders>
              <w:top w:val="single" w:sz="4" w:space="0" w:color="auto"/>
            </w:tcBorders>
          </w:tcPr>
          <w:p w:rsidR="00B95557" w:rsidRPr="003C6DEF" w:rsidRDefault="00B95557" w:rsidP="003409DC">
            <w:pPr>
              <w:pStyle w:val="TableText0"/>
              <w:keepLines/>
              <w:rPr>
                <w:lang w:val="en-AU"/>
              </w:rPr>
            </w:pPr>
            <w:r w:rsidRPr="003C6DEF">
              <w:rPr>
                <w:color w:val="000000"/>
                <w:lang w:val="en-AU"/>
              </w:rPr>
              <w:t>Study SP0982</w:t>
            </w:r>
          </w:p>
        </w:tc>
        <w:tc>
          <w:tcPr>
            <w:tcW w:w="941"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8/121</w:t>
            </w:r>
            <w:r w:rsidRPr="003C6DEF">
              <w:rPr>
                <w:lang w:val="en-AU"/>
              </w:rPr>
              <w:br/>
              <w:t>(6.6%)</w:t>
            </w:r>
          </w:p>
        </w:tc>
        <w:tc>
          <w:tcPr>
            <w:tcW w:w="956" w:type="dxa"/>
            <w:tcBorders>
              <w:top w:val="single" w:sz="4" w:space="0" w:color="auto"/>
            </w:tcBorders>
          </w:tcPr>
          <w:p w:rsidR="00B95557" w:rsidRPr="003C6DEF" w:rsidRDefault="00B95557" w:rsidP="003409DC">
            <w:pPr>
              <w:pStyle w:val="TableText0"/>
              <w:keepLines/>
              <w:jc w:val="center"/>
              <w:rPr>
                <w:lang w:val="en-AU"/>
              </w:rPr>
            </w:pPr>
            <w:r w:rsidRPr="003C6DEF">
              <w:rPr>
                <w:lang w:val="en-AU"/>
              </w:rPr>
              <w:t>4/121</w:t>
            </w:r>
            <w:r w:rsidRPr="003C6DEF">
              <w:rPr>
                <w:lang w:val="en-AU"/>
              </w:rPr>
              <w:br/>
              <w:t>(3.3%)</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2.07 (0.61, 7.07)</w:t>
            </w:r>
          </w:p>
        </w:tc>
        <w:tc>
          <w:tcPr>
            <w:tcW w:w="1594"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2.00 (0.62, 6.47)</w:t>
            </w:r>
          </w:p>
        </w:tc>
        <w:tc>
          <w:tcPr>
            <w:tcW w:w="1656" w:type="dxa"/>
            <w:tcBorders>
              <w:top w:val="single" w:sz="4" w:space="0" w:color="auto"/>
            </w:tcBorders>
            <w:vAlign w:val="center"/>
          </w:tcPr>
          <w:p w:rsidR="00B95557" w:rsidRPr="003C6DEF" w:rsidRDefault="00B95557" w:rsidP="001B517C">
            <w:pPr>
              <w:pStyle w:val="TableText0"/>
              <w:keepLines/>
              <w:jc w:val="center"/>
              <w:rPr>
                <w:lang w:val="en-AU"/>
              </w:rPr>
            </w:pPr>
            <w:r w:rsidRPr="003C6DEF">
              <w:rPr>
                <w:lang w:val="en-AU"/>
              </w:rPr>
              <w:t>0.03 (-0.02, 0.09)</w:t>
            </w:r>
          </w:p>
        </w:tc>
      </w:tr>
      <w:tr w:rsidR="00B95557" w:rsidRPr="003C6DEF" w:rsidTr="001B517C">
        <w:trPr>
          <w:cantSplit/>
          <w:trHeight w:val="57"/>
        </w:trPr>
        <w:tc>
          <w:tcPr>
            <w:tcW w:w="1419" w:type="dxa"/>
          </w:tcPr>
          <w:p w:rsidR="00B95557" w:rsidRPr="003C6DEF" w:rsidRDefault="00B95557" w:rsidP="003409DC">
            <w:pPr>
              <w:pStyle w:val="TableText0"/>
              <w:keepLines/>
              <w:rPr>
                <w:lang w:val="en-AU"/>
              </w:rPr>
            </w:pPr>
            <w:r w:rsidRPr="003C6DEF">
              <w:rPr>
                <w:lang w:val="en-AU"/>
              </w:rPr>
              <w:t>Perampanel vs. placebo</w:t>
            </w:r>
          </w:p>
        </w:tc>
        <w:tc>
          <w:tcPr>
            <w:tcW w:w="857" w:type="dxa"/>
          </w:tcPr>
          <w:p w:rsidR="00B95557" w:rsidRPr="003C6DEF" w:rsidRDefault="00B95557" w:rsidP="003409DC">
            <w:pPr>
              <w:pStyle w:val="TableText0"/>
              <w:keepLines/>
              <w:rPr>
                <w:lang w:val="en-AU"/>
              </w:rPr>
            </w:pPr>
            <w:r w:rsidRPr="003C6DEF">
              <w:rPr>
                <w:color w:val="000000"/>
                <w:lang w:val="en-AU"/>
              </w:rPr>
              <w:t>Study 332</w:t>
            </w:r>
          </w:p>
        </w:tc>
        <w:tc>
          <w:tcPr>
            <w:tcW w:w="941" w:type="dxa"/>
          </w:tcPr>
          <w:p w:rsidR="00B95557" w:rsidRPr="003C6DEF" w:rsidRDefault="00B95557" w:rsidP="003409DC">
            <w:pPr>
              <w:pStyle w:val="TableText0"/>
              <w:keepLines/>
              <w:jc w:val="center"/>
              <w:rPr>
                <w:lang w:val="en-AU"/>
              </w:rPr>
            </w:pPr>
            <w:r w:rsidRPr="003C6DEF">
              <w:rPr>
                <w:lang w:val="en-AU"/>
              </w:rPr>
              <w:t>6/81</w:t>
            </w:r>
            <w:r w:rsidRPr="003C6DEF">
              <w:rPr>
                <w:lang w:val="en-AU"/>
              </w:rPr>
              <w:br/>
              <w:t>(7.4%)</w:t>
            </w:r>
          </w:p>
        </w:tc>
        <w:tc>
          <w:tcPr>
            <w:tcW w:w="956" w:type="dxa"/>
          </w:tcPr>
          <w:p w:rsidR="00B95557" w:rsidRPr="003C6DEF" w:rsidRDefault="00B95557" w:rsidP="003409DC">
            <w:pPr>
              <w:pStyle w:val="TableText0"/>
              <w:keepLines/>
              <w:jc w:val="center"/>
              <w:rPr>
                <w:lang w:val="en-AU"/>
              </w:rPr>
            </w:pPr>
            <w:r w:rsidRPr="003C6DEF">
              <w:rPr>
                <w:lang w:val="en-AU"/>
              </w:rPr>
              <w:t>7/82</w:t>
            </w:r>
          </w:p>
          <w:p w:rsidR="00B95557" w:rsidRPr="003C6DEF" w:rsidRDefault="00B95557" w:rsidP="003409DC">
            <w:pPr>
              <w:pStyle w:val="TableText0"/>
              <w:keepLines/>
              <w:jc w:val="center"/>
              <w:rPr>
                <w:lang w:val="en-AU"/>
              </w:rPr>
            </w:pPr>
            <w:r w:rsidRPr="003C6DEF">
              <w:rPr>
                <w:lang w:val="en-AU"/>
              </w:rPr>
              <w:t>(8.5%)</w:t>
            </w:r>
          </w:p>
        </w:tc>
        <w:tc>
          <w:tcPr>
            <w:tcW w:w="1594" w:type="dxa"/>
            <w:vAlign w:val="center"/>
          </w:tcPr>
          <w:p w:rsidR="00B95557" w:rsidRPr="003C6DEF" w:rsidRDefault="00B95557" w:rsidP="001B517C">
            <w:pPr>
              <w:pStyle w:val="TableText0"/>
              <w:keepLines/>
              <w:jc w:val="center"/>
              <w:rPr>
                <w:lang w:val="en-AU"/>
              </w:rPr>
            </w:pPr>
            <w:r w:rsidRPr="003C6DEF">
              <w:rPr>
                <w:lang w:val="en-AU"/>
              </w:rPr>
              <w:t>0.86 (0.28, 2.67)</w:t>
            </w:r>
          </w:p>
        </w:tc>
        <w:tc>
          <w:tcPr>
            <w:tcW w:w="1594" w:type="dxa"/>
            <w:vAlign w:val="center"/>
          </w:tcPr>
          <w:p w:rsidR="00B95557" w:rsidRPr="003C6DEF" w:rsidRDefault="00B95557" w:rsidP="001B517C">
            <w:pPr>
              <w:pStyle w:val="TableText0"/>
              <w:keepLines/>
              <w:jc w:val="center"/>
              <w:rPr>
                <w:lang w:val="en-AU"/>
              </w:rPr>
            </w:pPr>
            <w:r w:rsidRPr="003C6DEF">
              <w:rPr>
                <w:lang w:val="en-AU"/>
              </w:rPr>
              <w:t>0.87 (0.30, 2.47)</w:t>
            </w:r>
          </w:p>
        </w:tc>
        <w:tc>
          <w:tcPr>
            <w:tcW w:w="1656" w:type="dxa"/>
            <w:vAlign w:val="center"/>
          </w:tcPr>
          <w:p w:rsidR="00B95557" w:rsidRPr="003C6DEF" w:rsidRDefault="00B95557" w:rsidP="001B517C">
            <w:pPr>
              <w:pStyle w:val="TableText0"/>
              <w:keepLines/>
              <w:jc w:val="center"/>
              <w:rPr>
                <w:lang w:val="en-AU"/>
              </w:rPr>
            </w:pPr>
            <w:r w:rsidRPr="003C6DEF">
              <w:rPr>
                <w:lang w:val="en-AU"/>
              </w:rPr>
              <w:t>-0.01 (-0.09, 0.07)</w:t>
            </w:r>
          </w:p>
        </w:tc>
      </w:tr>
      <w:tr w:rsidR="00B95557" w:rsidRPr="003C6DEF" w:rsidTr="001B517C">
        <w:trPr>
          <w:cantSplit/>
          <w:trHeight w:val="57"/>
        </w:trPr>
        <w:tc>
          <w:tcPr>
            <w:tcW w:w="4173" w:type="dxa"/>
            <w:gridSpan w:val="4"/>
          </w:tcPr>
          <w:p w:rsidR="00B95557" w:rsidRPr="003C6DEF" w:rsidRDefault="00B95557" w:rsidP="003409DC">
            <w:pPr>
              <w:pStyle w:val="TableText0"/>
              <w:keepLines/>
              <w:rPr>
                <w:lang w:val="en-AU"/>
              </w:rPr>
            </w:pPr>
            <w:r w:rsidRPr="003C6DEF">
              <w:rPr>
                <w:b/>
                <w:lang w:val="en-AU"/>
              </w:rPr>
              <w:t>Indirect estimate of effect adjusted for the common reference (lacosamide vs. perampanel)</w:t>
            </w:r>
          </w:p>
        </w:tc>
        <w:tc>
          <w:tcPr>
            <w:tcW w:w="1594" w:type="dxa"/>
            <w:vAlign w:val="center"/>
          </w:tcPr>
          <w:p w:rsidR="00B95557" w:rsidRPr="002B3A5E" w:rsidRDefault="00B95557" w:rsidP="001B517C">
            <w:pPr>
              <w:pStyle w:val="TableText0"/>
              <w:keepLines/>
              <w:jc w:val="center"/>
              <w:rPr>
                <w:lang w:val="en-AU"/>
              </w:rPr>
            </w:pPr>
            <w:r w:rsidRPr="002B3A5E">
              <w:rPr>
                <w:lang w:val="en-AU"/>
              </w:rPr>
              <w:t>2.42 (0.45, 12.87)</w:t>
            </w:r>
          </w:p>
        </w:tc>
        <w:tc>
          <w:tcPr>
            <w:tcW w:w="1594" w:type="dxa"/>
            <w:vAlign w:val="center"/>
          </w:tcPr>
          <w:p w:rsidR="00B95557" w:rsidRPr="002B3A5E" w:rsidRDefault="00B95557" w:rsidP="001B517C">
            <w:pPr>
              <w:pStyle w:val="TableText0"/>
              <w:keepLines/>
              <w:jc w:val="center"/>
              <w:rPr>
                <w:lang w:val="en-AU"/>
              </w:rPr>
            </w:pPr>
            <w:r w:rsidRPr="002B3A5E">
              <w:rPr>
                <w:lang w:val="en-AU"/>
              </w:rPr>
              <w:t>2.30 (0.48, 11.10)</w:t>
            </w:r>
          </w:p>
        </w:tc>
        <w:tc>
          <w:tcPr>
            <w:tcW w:w="1656" w:type="dxa"/>
            <w:vAlign w:val="center"/>
          </w:tcPr>
          <w:p w:rsidR="00B95557" w:rsidRPr="002B3A5E" w:rsidRDefault="00B95557" w:rsidP="001B517C">
            <w:pPr>
              <w:pStyle w:val="TableText0"/>
              <w:keepLines/>
              <w:jc w:val="center"/>
              <w:rPr>
                <w:lang w:val="en-AU"/>
              </w:rPr>
            </w:pPr>
            <w:r w:rsidRPr="002B3A5E">
              <w:rPr>
                <w:lang w:val="en-AU"/>
              </w:rPr>
              <w:t>0.04 (-0.06 ,0.14)</w:t>
            </w:r>
          </w:p>
        </w:tc>
      </w:tr>
    </w:tbl>
    <w:p w:rsidR="00B95557" w:rsidRPr="00C3432C" w:rsidRDefault="00715352" w:rsidP="003409DC">
      <w:pPr>
        <w:pStyle w:val="TableFigureFooter"/>
        <w:keepNext/>
        <w:keepLines/>
      </w:pPr>
      <w:r w:rsidRPr="00C3432C">
        <w:t>Source: Table 2.65, p122 and Table 2.</w:t>
      </w:r>
      <w:r w:rsidR="00B95557" w:rsidRPr="00C3432C">
        <w:t>43, p99 of the submission; Table 5, p7 of the Perampanel Public Summary Document, July 2016 PBAC meeting.</w:t>
      </w:r>
    </w:p>
    <w:p w:rsidR="00B95557" w:rsidRPr="00C3432C" w:rsidRDefault="00B95557" w:rsidP="003409DC">
      <w:pPr>
        <w:pStyle w:val="TableFigureFooter"/>
        <w:keepNext/>
        <w:keepLines/>
      </w:pPr>
      <w:r w:rsidRPr="00C3432C">
        <w:t>CI = confidence interval; TEAEs = treatment-emergent adverse events</w:t>
      </w:r>
    </w:p>
    <w:p w:rsidR="00B95557" w:rsidRPr="00C3432C" w:rsidRDefault="00B95557" w:rsidP="003409DC">
      <w:pPr>
        <w:pStyle w:val="TableFigureFooter"/>
        <w:keepNext/>
        <w:keepLines/>
      </w:pPr>
      <w:r w:rsidRPr="00C3432C">
        <w:t>Note: Within individual trials, an odds ratio &gt;1, a relative risk &gt; 1 and a risk difference &gt;0 favoured placebo (for comparison of lacosamide or lacosamide vs. placebo). For indirect comparison, an odds ratio &gt;1, a relative risk &gt; 1 and a risk difference &gt;0 favoured perampanel (for indirect comparison of lacosamide vs. perampanel).</w:t>
      </w:r>
    </w:p>
    <w:p w:rsidR="00B95557" w:rsidRPr="002B3A5E" w:rsidRDefault="00B95557" w:rsidP="003409DC">
      <w:pPr>
        <w:pStyle w:val="TableFigureFooter"/>
        <w:keepNext/>
        <w:keepLines/>
      </w:pPr>
      <w:r w:rsidRPr="002B3A5E">
        <w:rPr>
          <w:vertAlign w:val="superscript"/>
        </w:rPr>
        <w:t xml:space="preserve">a </w:t>
      </w:r>
      <w:r w:rsidR="001F395E" w:rsidRPr="002B3A5E">
        <w:t>I</w:t>
      </w:r>
      <w:r w:rsidRPr="002B3A5E">
        <w:t>ndirect comparisons performed during the evaluation.</w:t>
      </w:r>
    </w:p>
    <w:p w:rsidR="00B95557" w:rsidRDefault="00B95557" w:rsidP="00B95557">
      <w:pPr>
        <w:pStyle w:val="3-BodyText"/>
      </w:pPr>
      <w:r w:rsidRPr="003C6DEF">
        <w:t xml:space="preserve">The point estimates of indirect ORs for any TEAEs, serious TEAEs, discontinuation due to TEAEs, and discontinuation due to psychiatric TEAEs </w:t>
      </w:r>
      <w:r w:rsidR="00637924" w:rsidRPr="003C6DEF">
        <w:t>all consistently</w:t>
      </w:r>
      <w:r w:rsidRPr="003C6DEF">
        <w:t xml:space="preserve"> favour</w:t>
      </w:r>
      <w:r w:rsidR="00637924" w:rsidRPr="003C6DEF">
        <w:t>ed</w:t>
      </w:r>
      <w:r w:rsidRPr="003C6DEF">
        <w:t xml:space="preserve"> perampanel. The wide confidence intervals for most of the indirect estimates of safety outcomes, which contained clinically meaningful differences, indicated that the indirect comparisons were statistically underpowered. </w:t>
      </w:r>
    </w:p>
    <w:p w:rsidR="004B54E8" w:rsidRDefault="004B54E8" w:rsidP="004B54E8">
      <w:pPr>
        <w:pStyle w:val="4-SubsectionHeading"/>
      </w:pPr>
      <w:bookmarkStart w:id="18" w:name="_Toc62042743"/>
      <w:r w:rsidRPr="00C3432C">
        <w:t>Clinical claim</w:t>
      </w:r>
      <w:bookmarkEnd w:id="18"/>
    </w:p>
    <w:bookmarkEnd w:id="16"/>
    <w:p w:rsidR="00A25413" w:rsidRDefault="00A25413" w:rsidP="004B54E8">
      <w:pPr>
        <w:pStyle w:val="3-BodyText"/>
      </w:pPr>
      <w:r w:rsidRPr="003C6DEF">
        <w:t xml:space="preserve">The submission presented the clinical evidence of lacosamide efficacy and safety (in patients with uncontrolled </w:t>
      </w:r>
      <w:r w:rsidR="00637924" w:rsidRPr="003C6DEF">
        <w:t>i</w:t>
      </w:r>
      <w:r w:rsidRPr="003C6DEF">
        <w:t xml:space="preserve">diopathic generalised epilepsy with primary generalised tonic-clonic </w:t>
      </w:r>
      <w:r w:rsidRPr="001459D6">
        <w:t xml:space="preserve">seizures, ≥4 years of age) based on data from Study SP0982. </w:t>
      </w:r>
    </w:p>
    <w:p w:rsidR="00B95557" w:rsidRPr="004B54E8" w:rsidRDefault="00B95557" w:rsidP="004B54E8">
      <w:pPr>
        <w:pStyle w:val="3-BodyText"/>
      </w:pPr>
      <w:bookmarkStart w:id="19" w:name="_Toc22897645"/>
      <w:r w:rsidRPr="004B54E8">
        <w:rPr>
          <w:rFonts w:eastAsia="Calibri"/>
        </w:rPr>
        <w:t xml:space="preserve">The submission described lacosamide as non-inferior to perampanel in terms of both effectiveness and safety. The key issues were: </w:t>
      </w:r>
    </w:p>
    <w:p w:rsidR="004B54E8" w:rsidRPr="00D9442F" w:rsidRDefault="004B54E8" w:rsidP="00010DA6">
      <w:pPr>
        <w:pStyle w:val="3-BodyText"/>
        <w:numPr>
          <w:ilvl w:val="0"/>
          <w:numId w:val="32"/>
        </w:numPr>
        <w:ind w:left="1077" w:hanging="357"/>
        <w:rPr>
          <w:i/>
        </w:rPr>
      </w:pPr>
      <w:r w:rsidRPr="003C6DEF">
        <w:lastRenderedPageBreak/>
        <w:t xml:space="preserve">The non-inferiority claim relied upon a common reference-adjusted indirect comparison of the lacosamide and perampanel trials where there were differences in the baseline risks of the patients, in the background AEDs in the common reference groups, in the outcome measure and analysis, and in the trial duration. </w:t>
      </w:r>
      <w:r w:rsidR="00C557B8">
        <w:t>While t</w:t>
      </w:r>
      <w:r w:rsidRPr="003C6DEF">
        <w:t>hese</w:t>
      </w:r>
      <w:r w:rsidR="00C557B8">
        <w:t xml:space="preserve"> differences</w:t>
      </w:r>
      <w:r w:rsidRPr="003C6DEF">
        <w:t xml:space="preserve"> </w:t>
      </w:r>
      <w:r w:rsidRPr="003401E2">
        <w:t>may</w:t>
      </w:r>
      <w:r w:rsidR="00C557B8">
        <w:t xml:space="preserve"> be reflected by</w:t>
      </w:r>
      <w:r w:rsidRPr="003C6DEF">
        <w:t xml:space="preserve"> the observed difference in the number of events in the common reference (placebo) arms</w:t>
      </w:r>
      <w:r w:rsidR="00C557B8">
        <w:t>, the direction and magnitude of their impact on the indirect comparison cannot be reliably determined (</w:t>
      </w:r>
      <w:r w:rsidR="00C557B8" w:rsidRPr="00776219">
        <w:t>paragraph 6.7</w:t>
      </w:r>
      <w:r w:rsidR="00C557B8">
        <w:t>)</w:t>
      </w:r>
      <w:r w:rsidRPr="003C6DEF">
        <w:t>.</w:t>
      </w:r>
      <w:r>
        <w:t xml:space="preserve"> </w:t>
      </w:r>
    </w:p>
    <w:p w:rsidR="004B54E8" w:rsidRDefault="004B54E8" w:rsidP="00010DA6">
      <w:pPr>
        <w:pStyle w:val="3-BodyText"/>
        <w:numPr>
          <w:ilvl w:val="0"/>
          <w:numId w:val="32"/>
        </w:numPr>
        <w:ind w:left="1077" w:hanging="357"/>
      </w:pPr>
      <w:r w:rsidRPr="003C6DEF">
        <w:t xml:space="preserve">The submission did not provide any clinical justification for the non-inferiority margin nominated in the submission (0.37), based on the lower CI for the OR of 50% PGTCS responder rate for perampanel versus lamotrigine in IGE with PGTCS </w:t>
      </w:r>
      <w:r w:rsidRPr="00776219">
        <w:t>(paragraph 6.</w:t>
      </w:r>
      <w:r w:rsidR="00903499" w:rsidRPr="00776219">
        <w:t>8</w:t>
      </w:r>
      <w:r w:rsidRPr="003C6DEF">
        <w:t>).</w:t>
      </w:r>
      <w:r w:rsidR="00903499">
        <w:t xml:space="preserve"> A non-inferiority margin was also not nominated for perampanel in IGE with PGTCS (July 2017).</w:t>
      </w:r>
      <w:r w:rsidRPr="003C6DEF">
        <w:t xml:space="preserve"> </w:t>
      </w:r>
    </w:p>
    <w:p w:rsidR="004B54E8" w:rsidRPr="00DF384C" w:rsidRDefault="004B54E8" w:rsidP="008277DE">
      <w:pPr>
        <w:pStyle w:val="3-BodyText"/>
      </w:pPr>
      <w:r w:rsidRPr="004B54E8">
        <w:rPr>
          <w:rFonts w:eastAsia="Calibri"/>
        </w:rPr>
        <w:t>The</w:t>
      </w:r>
      <w:r w:rsidR="004F302F">
        <w:rPr>
          <w:rFonts w:eastAsia="Calibri"/>
        </w:rPr>
        <w:t xml:space="preserve"> PBAC and the</w:t>
      </w:r>
      <w:r w:rsidRPr="004B54E8">
        <w:rPr>
          <w:rFonts w:eastAsia="Calibri"/>
        </w:rPr>
        <w:t xml:space="preserve"> ESC noted the transitivity concerns raised by the evaluation but acknowledged the challenges in conducting indirect comparisons in this population. </w:t>
      </w:r>
      <w:r w:rsidRPr="00836F75">
        <w:rPr>
          <w:lang w:eastAsia="en-US"/>
        </w:rPr>
        <w:t>The PBAC considered that the claim of non-inferior comparative effectiveness</w:t>
      </w:r>
      <w:r w:rsidR="00E41503">
        <w:rPr>
          <w:lang w:eastAsia="en-US"/>
        </w:rPr>
        <w:t xml:space="preserve"> of lacosamide compared to perampanel</w:t>
      </w:r>
      <w:r w:rsidRPr="00836F75">
        <w:rPr>
          <w:lang w:eastAsia="en-US"/>
        </w:rPr>
        <w:t xml:space="preserve"> was reasonable.</w:t>
      </w:r>
    </w:p>
    <w:p w:rsidR="00DF384C" w:rsidRPr="002A2062" w:rsidRDefault="004B54E8" w:rsidP="004B54E8">
      <w:pPr>
        <w:pStyle w:val="3-BodyText"/>
      </w:pPr>
      <w:r w:rsidRPr="00836F75">
        <w:rPr>
          <w:lang w:eastAsia="en-US"/>
        </w:rPr>
        <w:t>The PBAC considered that the claim of non-inferior comparative safety was reasonable.</w:t>
      </w:r>
    </w:p>
    <w:p w:rsidR="00A25413" w:rsidRPr="00C3432C" w:rsidRDefault="00A25413" w:rsidP="00A25413">
      <w:pPr>
        <w:pStyle w:val="4-SubsectionHeading"/>
      </w:pPr>
      <w:bookmarkStart w:id="20" w:name="_Toc62042744"/>
      <w:r w:rsidRPr="00C3432C">
        <w:t>Economic analysis</w:t>
      </w:r>
      <w:bookmarkEnd w:id="19"/>
      <w:bookmarkEnd w:id="20"/>
      <w:r w:rsidRPr="00C3432C">
        <w:t xml:space="preserve"> </w:t>
      </w:r>
    </w:p>
    <w:p w:rsidR="005C050A" w:rsidRPr="003C6DEF" w:rsidRDefault="005C050A" w:rsidP="005C050A">
      <w:pPr>
        <w:pStyle w:val="3-BodyText"/>
      </w:pPr>
      <w:r w:rsidRPr="003C6DEF">
        <w:t xml:space="preserve">The submission presented a cost-minimisation analysis based on a claim of non-inferiority of lacosamide compared to perampanel. </w:t>
      </w:r>
    </w:p>
    <w:p w:rsidR="005C050A" w:rsidRPr="003C6DEF" w:rsidRDefault="005C050A" w:rsidP="00776219">
      <w:pPr>
        <w:pStyle w:val="3-BodyText"/>
      </w:pPr>
      <w:r w:rsidRPr="003C6DEF">
        <w:t>The equi-effective doses were estimated as a daily dose relativity of lacosamide to perampanel of 50:1. The submission claimed that equi-effective doses were derived from respective Australian PI’s, data from clinical trials, and PBS usage statistics. Twice-a-day dosing of lacosamide 50 mg, 100 mg, 150 mg and 200 mg is equal to once daily dosing of perampanel 2 mg, 4 mg, 6 mg and 8</w:t>
      </w:r>
      <w:r w:rsidR="004E2436" w:rsidRPr="003C6DEF">
        <w:t>,</w:t>
      </w:r>
      <w:r w:rsidRPr="003C6DEF">
        <w:t xml:space="preserve"> 10</w:t>
      </w:r>
      <w:r w:rsidR="004E2436" w:rsidRPr="003C6DEF">
        <w:t>,</w:t>
      </w:r>
      <w:r w:rsidRPr="003C6DEF">
        <w:t xml:space="preserve"> 12 mg</w:t>
      </w:r>
      <w:r w:rsidR="002762D9" w:rsidRPr="003C6DEF">
        <w:t>,</w:t>
      </w:r>
      <w:r w:rsidRPr="003C6DEF">
        <w:t xml:space="preserve"> respectively. </w:t>
      </w:r>
      <w:r w:rsidR="00F8553E" w:rsidRPr="003C6DEF">
        <w:t>T</w:t>
      </w:r>
      <w:r w:rsidRPr="003C6DEF">
        <w:t>he proposed equi-effective doses in the submission are</w:t>
      </w:r>
      <w:r w:rsidR="00F8553E" w:rsidRPr="003C6DEF">
        <w:t xml:space="preserve"> primarily </w:t>
      </w:r>
      <w:r w:rsidRPr="003C6DEF">
        <w:t>based on the Therapeutic Relativity Sheet equi-effective doses for lacosamide and perampanel in</w:t>
      </w:r>
      <w:r w:rsidR="000176B6">
        <w:t xml:space="preserve"> partial onset seizures</w:t>
      </w:r>
      <w:r w:rsidRPr="003C6DEF">
        <w:t xml:space="preserve"> POS</w:t>
      </w:r>
      <w:r w:rsidR="000176B6">
        <w:t>.</w:t>
      </w:r>
      <w:r w:rsidR="000176B6">
        <w:rPr>
          <w:rStyle w:val="FootnoteReference"/>
        </w:rPr>
        <w:footnoteReference w:id="4"/>
      </w:r>
      <w:r w:rsidRPr="003C6DEF">
        <w:t xml:space="preserve"> </w:t>
      </w:r>
    </w:p>
    <w:p w:rsidR="00A25413" w:rsidRPr="003C6DEF" w:rsidRDefault="005C050A" w:rsidP="005C050A">
      <w:pPr>
        <w:pStyle w:val="3-BodyText"/>
      </w:pPr>
      <w:r w:rsidRPr="003C6DEF">
        <w:rPr>
          <w:iCs/>
        </w:rPr>
        <w:t>The cost-minimisation analysis, based on the published approved</w:t>
      </w:r>
      <w:r w:rsidR="00AE17C2">
        <w:rPr>
          <w:iCs/>
        </w:rPr>
        <w:t xml:space="preserve"> ex-manufacturer price</w:t>
      </w:r>
      <w:r w:rsidRPr="003C6DEF">
        <w:rPr>
          <w:iCs/>
        </w:rPr>
        <w:t xml:space="preserve"> (AEMP) for perampanel, is presented in </w:t>
      </w:r>
      <w:r w:rsidR="003409DC" w:rsidRPr="003C6DEF">
        <w:t xml:space="preserve">Table </w:t>
      </w:r>
      <w:r w:rsidR="003409DC" w:rsidRPr="003C6DEF">
        <w:rPr>
          <w:noProof/>
        </w:rPr>
        <w:t>8</w:t>
      </w:r>
      <w:r w:rsidRPr="003C6DEF">
        <w:rPr>
          <w:iCs/>
        </w:rPr>
        <w:t>.</w:t>
      </w:r>
      <w:r w:rsidR="00FD7F96">
        <w:t xml:space="preserve"> T</w:t>
      </w:r>
      <w:r w:rsidR="00FD7F96" w:rsidRPr="003C6DEF">
        <w:t xml:space="preserve">he proposed listing the oral solution </w:t>
      </w:r>
      <w:r w:rsidR="00FD7F96">
        <w:t>was</w:t>
      </w:r>
      <w:r w:rsidR="00FD7F96" w:rsidRPr="003C6DEF">
        <w:t xml:space="preserve"> requested at the same price as the current PBS listing of lacosamide oral solution for POS</w:t>
      </w:r>
      <w:r w:rsidR="00FD7F96">
        <w:t>, and is therefore not included in the table</w:t>
      </w:r>
      <w:r w:rsidR="00FD7F96" w:rsidRPr="003C6DEF">
        <w:t>.</w:t>
      </w:r>
    </w:p>
    <w:p w:rsidR="005C050A" w:rsidRPr="00C3432C" w:rsidRDefault="00080886" w:rsidP="00A224B5">
      <w:pPr>
        <w:pStyle w:val="TableFigureHeading"/>
        <w:keepLines/>
      </w:pPr>
      <w:bookmarkStart w:id="21" w:name="_Ref61259881"/>
      <w:bookmarkStart w:id="22" w:name="_GoBack"/>
      <w:r w:rsidRPr="00C3432C">
        <w:lastRenderedPageBreak/>
        <w:t xml:space="preserve">Table </w:t>
      </w:r>
      <w:r w:rsidR="003409DC">
        <w:rPr>
          <w:noProof/>
        </w:rPr>
        <w:t>8</w:t>
      </w:r>
      <w:bookmarkEnd w:id="21"/>
      <w:r w:rsidR="005C050A" w:rsidRPr="00C3432C">
        <w:t>: Proposed cost-minimised prices (published ex-manufacturer)</w:t>
      </w:r>
    </w:p>
    <w:tbl>
      <w:tblPr>
        <w:tblStyle w:val="TableGrid"/>
        <w:tblW w:w="5000" w:type="pct"/>
        <w:tblCellMar>
          <w:left w:w="28" w:type="dxa"/>
          <w:right w:w="28" w:type="dxa"/>
        </w:tblCellMar>
        <w:tblLook w:val="04A0" w:firstRow="1" w:lastRow="0" w:firstColumn="1" w:lastColumn="0" w:noHBand="0" w:noVBand="1"/>
        <w:tblCaption w:val="Table 8: Proposed cost-minimised prices (published ex-manufacturer)"/>
      </w:tblPr>
      <w:tblGrid>
        <w:gridCol w:w="1853"/>
        <w:gridCol w:w="860"/>
        <w:gridCol w:w="1145"/>
        <w:gridCol w:w="862"/>
        <w:gridCol w:w="1432"/>
        <w:gridCol w:w="858"/>
        <w:gridCol w:w="1145"/>
        <w:gridCol w:w="862"/>
      </w:tblGrid>
      <w:tr w:rsidR="005C050A" w:rsidRPr="00C3432C" w:rsidTr="0078619B">
        <w:trPr>
          <w:trHeight w:val="70"/>
          <w:tblHeader/>
        </w:trPr>
        <w:tc>
          <w:tcPr>
            <w:tcW w:w="2617" w:type="pct"/>
            <w:gridSpan w:val="4"/>
          </w:tcPr>
          <w:bookmarkEnd w:id="22"/>
          <w:p w:rsidR="005C050A" w:rsidRPr="00C3432C" w:rsidRDefault="005C050A" w:rsidP="00A224B5">
            <w:pPr>
              <w:pStyle w:val="TableFigureHeading"/>
              <w:keepLines/>
              <w:jc w:val="center"/>
            </w:pPr>
            <w:r w:rsidRPr="00C3432C">
              <w:t>Lacosamide</w:t>
            </w:r>
          </w:p>
        </w:tc>
        <w:tc>
          <w:tcPr>
            <w:tcW w:w="2383" w:type="pct"/>
            <w:gridSpan w:val="4"/>
          </w:tcPr>
          <w:p w:rsidR="005C050A" w:rsidRPr="00C3432C" w:rsidRDefault="005C050A" w:rsidP="00A224B5">
            <w:pPr>
              <w:pStyle w:val="TableFigureHeading"/>
              <w:keepLines/>
              <w:jc w:val="center"/>
            </w:pPr>
            <w:r w:rsidRPr="00C3432C">
              <w:t>Perampanel</w:t>
            </w:r>
          </w:p>
        </w:tc>
      </w:tr>
      <w:tr w:rsidR="005C050A" w:rsidRPr="00C3432C" w:rsidTr="00675FCB">
        <w:trPr>
          <w:trHeight w:val="70"/>
        </w:trPr>
        <w:tc>
          <w:tcPr>
            <w:tcW w:w="1027" w:type="pct"/>
          </w:tcPr>
          <w:p w:rsidR="005C050A" w:rsidRPr="00C3432C" w:rsidRDefault="005C050A" w:rsidP="00A224B5">
            <w:pPr>
              <w:pStyle w:val="TableFigureHeading"/>
              <w:keepLines/>
            </w:pPr>
            <w:r w:rsidRPr="00C3432C">
              <w:t>Strength</w:t>
            </w:r>
          </w:p>
        </w:tc>
        <w:tc>
          <w:tcPr>
            <w:tcW w:w="477" w:type="pct"/>
          </w:tcPr>
          <w:p w:rsidR="005C050A" w:rsidRPr="00C3432C" w:rsidRDefault="005C050A" w:rsidP="00A224B5">
            <w:pPr>
              <w:pStyle w:val="TableFigureHeading"/>
              <w:keepLines/>
            </w:pPr>
            <w:r w:rsidRPr="00C3432C">
              <w:t>Pricing Quantity</w:t>
            </w:r>
          </w:p>
        </w:tc>
        <w:tc>
          <w:tcPr>
            <w:tcW w:w="635" w:type="pct"/>
          </w:tcPr>
          <w:p w:rsidR="005C050A" w:rsidRPr="00C3432C" w:rsidRDefault="005C050A" w:rsidP="00A224B5">
            <w:pPr>
              <w:pStyle w:val="TableFigureHeading"/>
              <w:keepLines/>
            </w:pPr>
            <w:r w:rsidRPr="00C3432C">
              <w:t>Cost minimised EMP</w:t>
            </w:r>
          </w:p>
        </w:tc>
        <w:tc>
          <w:tcPr>
            <w:tcW w:w="477" w:type="pct"/>
          </w:tcPr>
          <w:p w:rsidR="005C050A" w:rsidRPr="00C3432C" w:rsidRDefault="00513D6C" w:rsidP="00A224B5">
            <w:pPr>
              <w:pStyle w:val="TableFigureHeading"/>
              <w:keepLines/>
            </w:pPr>
            <w:r w:rsidRPr="00C3432C">
              <w:t>Daily cost</w:t>
            </w:r>
            <w:r w:rsidR="005C050A" w:rsidRPr="00C3432C">
              <w:t xml:space="preserve"> </w:t>
            </w:r>
            <w:r w:rsidRPr="00C3432C">
              <w:t xml:space="preserve">of </w:t>
            </w:r>
            <w:r w:rsidR="005C050A" w:rsidRPr="00C3432C">
              <w:t xml:space="preserve">treatment </w:t>
            </w:r>
          </w:p>
        </w:tc>
        <w:tc>
          <w:tcPr>
            <w:tcW w:w="794" w:type="pct"/>
          </w:tcPr>
          <w:p w:rsidR="005C050A" w:rsidRPr="00C3432C" w:rsidRDefault="005C050A" w:rsidP="00A224B5">
            <w:pPr>
              <w:pStyle w:val="TableFigureHeading"/>
              <w:keepLines/>
            </w:pPr>
            <w:r w:rsidRPr="00C3432C">
              <w:t>Strength</w:t>
            </w:r>
          </w:p>
        </w:tc>
        <w:tc>
          <w:tcPr>
            <w:tcW w:w="476" w:type="pct"/>
          </w:tcPr>
          <w:p w:rsidR="005C050A" w:rsidRPr="00C3432C" w:rsidRDefault="005C050A" w:rsidP="00A224B5">
            <w:pPr>
              <w:pStyle w:val="TableFigureHeading"/>
              <w:keepLines/>
            </w:pPr>
            <w:r w:rsidRPr="00C3432C">
              <w:t>Pricing Quantity</w:t>
            </w:r>
          </w:p>
        </w:tc>
        <w:tc>
          <w:tcPr>
            <w:tcW w:w="635" w:type="pct"/>
          </w:tcPr>
          <w:p w:rsidR="005C050A" w:rsidRPr="00C3432C" w:rsidRDefault="005C050A" w:rsidP="00A224B5">
            <w:pPr>
              <w:pStyle w:val="TableFigureHeading"/>
              <w:keepLines/>
            </w:pPr>
            <w:r w:rsidRPr="00C3432C">
              <w:t>Published AEMP</w:t>
            </w:r>
          </w:p>
          <w:p w:rsidR="005C050A" w:rsidRPr="00C3432C" w:rsidRDefault="005C050A" w:rsidP="00A224B5">
            <w:pPr>
              <w:pStyle w:val="TableFigureHeading"/>
              <w:keepLines/>
            </w:pPr>
          </w:p>
        </w:tc>
        <w:tc>
          <w:tcPr>
            <w:tcW w:w="478" w:type="pct"/>
          </w:tcPr>
          <w:p w:rsidR="005C050A" w:rsidRPr="00C3432C" w:rsidRDefault="00513D6C" w:rsidP="00A224B5">
            <w:pPr>
              <w:pStyle w:val="TableFigureHeading"/>
              <w:keepLines/>
            </w:pPr>
            <w:r w:rsidRPr="00C3432C">
              <w:t>D</w:t>
            </w:r>
            <w:r w:rsidR="005C050A" w:rsidRPr="00C3432C">
              <w:t xml:space="preserve">aily </w:t>
            </w:r>
            <w:r w:rsidRPr="00C3432C">
              <w:t xml:space="preserve">cost of </w:t>
            </w:r>
            <w:r w:rsidR="005C050A" w:rsidRPr="00C3432C">
              <w:t xml:space="preserve">treatment </w:t>
            </w:r>
          </w:p>
        </w:tc>
      </w:tr>
      <w:tr w:rsidR="005C050A" w:rsidRPr="00C3432C" w:rsidTr="00675FCB">
        <w:trPr>
          <w:trHeight w:val="70"/>
        </w:trPr>
        <w:tc>
          <w:tcPr>
            <w:tcW w:w="1027" w:type="pct"/>
          </w:tcPr>
          <w:p w:rsidR="005C050A" w:rsidRPr="00C3432C" w:rsidRDefault="005C050A" w:rsidP="00A224B5">
            <w:pPr>
              <w:pStyle w:val="TableText0"/>
              <w:keepLines/>
            </w:pPr>
            <w:r w:rsidRPr="00C3432C">
              <w:t>50 mg (14 or 56 units)</w:t>
            </w:r>
          </w:p>
        </w:tc>
        <w:tc>
          <w:tcPr>
            <w:tcW w:w="477" w:type="pct"/>
          </w:tcPr>
          <w:p w:rsidR="005C050A" w:rsidRPr="00C3432C" w:rsidRDefault="005C050A" w:rsidP="00A224B5">
            <w:pPr>
              <w:pStyle w:val="TableText0"/>
              <w:keepLines/>
              <w:jc w:val="center"/>
            </w:pPr>
            <w:r w:rsidRPr="00C3432C">
              <w:t>14</w:t>
            </w:r>
          </w:p>
        </w:tc>
        <w:tc>
          <w:tcPr>
            <w:tcW w:w="635" w:type="pct"/>
          </w:tcPr>
          <w:p w:rsidR="005C050A" w:rsidRPr="00C3432C" w:rsidRDefault="005C050A" w:rsidP="00A224B5">
            <w:pPr>
              <w:pStyle w:val="TableText0"/>
              <w:keepLines/>
              <w:jc w:val="right"/>
            </w:pPr>
            <w:r w:rsidRPr="00C3432C">
              <w:t>$18.28</w:t>
            </w:r>
          </w:p>
        </w:tc>
        <w:tc>
          <w:tcPr>
            <w:tcW w:w="477" w:type="pct"/>
          </w:tcPr>
          <w:p w:rsidR="005C050A" w:rsidRPr="00C3432C" w:rsidRDefault="005C050A" w:rsidP="00A224B5">
            <w:pPr>
              <w:pStyle w:val="TableText0"/>
              <w:keepLines/>
              <w:jc w:val="right"/>
            </w:pPr>
            <w:r w:rsidRPr="00C3432C">
              <w:t>$2.61</w:t>
            </w:r>
          </w:p>
        </w:tc>
        <w:tc>
          <w:tcPr>
            <w:tcW w:w="794" w:type="pct"/>
          </w:tcPr>
          <w:p w:rsidR="005C050A" w:rsidRPr="00C3432C" w:rsidRDefault="005C050A" w:rsidP="00A224B5">
            <w:pPr>
              <w:pStyle w:val="TableText0"/>
              <w:keepLines/>
            </w:pPr>
            <w:r w:rsidRPr="00C3432C">
              <w:t>2 mg (14 units)</w:t>
            </w:r>
          </w:p>
        </w:tc>
        <w:tc>
          <w:tcPr>
            <w:tcW w:w="476" w:type="pct"/>
          </w:tcPr>
          <w:p w:rsidR="005C050A" w:rsidRPr="00C3432C" w:rsidRDefault="005C050A" w:rsidP="00A224B5">
            <w:pPr>
              <w:pStyle w:val="TableText0"/>
              <w:keepLines/>
              <w:jc w:val="center"/>
            </w:pPr>
            <w:r w:rsidRPr="00C3432C">
              <w:t>7</w:t>
            </w:r>
          </w:p>
        </w:tc>
        <w:tc>
          <w:tcPr>
            <w:tcW w:w="635" w:type="pct"/>
          </w:tcPr>
          <w:p w:rsidR="005C050A" w:rsidRPr="00C3432C" w:rsidRDefault="005C050A" w:rsidP="00A224B5">
            <w:pPr>
              <w:pStyle w:val="TableText0"/>
              <w:keepLines/>
              <w:jc w:val="right"/>
            </w:pPr>
            <w:r w:rsidRPr="00C3432C">
              <w:t>$18.28</w:t>
            </w:r>
          </w:p>
        </w:tc>
        <w:tc>
          <w:tcPr>
            <w:tcW w:w="478" w:type="pct"/>
          </w:tcPr>
          <w:p w:rsidR="005C050A" w:rsidRPr="00C3432C" w:rsidRDefault="005C050A" w:rsidP="00A224B5">
            <w:pPr>
              <w:pStyle w:val="TableText0"/>
              <w:keepLines/>
              <w:jc w:val="right"/>
            </w:pPr>
            <w:r w:rsidRPr="00C3432C">
              <w:t>$2.61</w:t>
            </w:r>
          </w:p>
        </w:tc>
      </w:tr>
      <w:tr w:rsidR="005C050A" w:rsidRPr="00C3432C" w:rsidTr="00675FCB">
        <w:trPr>
          <w:trHeight w:val="70"/>
        </w:trPr>
        <w:tc>
          <w:tcPr>
            <w:tcW w:w="1027" w:type="pct"/>
          </w:tcPr>
          <w:p w:rsidR="005C050A" w:rsidRPr="00C3432C" w:rsidRDefault="005C050A" w:rsidP="00A224B5">
            <w:pPr>
              <w:pStyle w:val="TableText0"/>
              <w:keepLines/>
            </w:pPr>
            <w:r w:rsidRPr="00C3432C">
              <w:t>100 mg (14 or 56 units)</w:t>
            </w:r>
          </w:p>
        </w:tc>
        <w:tc>
          <w:tcPr>
            <w:tcW w:w="477" w:type="pct"/>
          </w:tcPr>
          <w:p w:rsidR="005C050A" w:rsidRPr="00C3432C" w:rsidRDefault="005C050A" w:rsidP="00A224B5">
            <w:pPr>
              <w:pStyle w:val="TableText0"/>
              <w:keepLines/>
              <w:jc w:val="center"/>
            </w:pPr>
            <w:r w:rsidRPr="00C3432C">
              <w:t>14</w:t>
            </w:r>
          </w:p>
        </w:tc>
        <w:tc>
          <w:tcPr>
            <w:tcW w:w="635" w:type="pct"/>
          </w:tcPr>
          <w:p w:rsidR="005C050A" w:rsidRPr="00C3432C" w:rsidRDefault="005C050A" w:rsidP="00A224B5">
            <w:pPr>
              <w:pStyle w:val="TableText0"/>
              <w:keepLines/>
              <w:jc w:val="right"/>
            </w:pPr>
            <w:r w:rsidRPr="00C3432C">
              <w:t>$36.56</w:t>
            </w:r>
          </w:p>
        </w:tc>
        <w:tc>
          <w:tcPr>
            <w:tcW w:w="477" w:type="pct"/>
          </w:tcPr>
          <w:p w:rsidR="005C050A" w:rsidRPr="00C3432C" w:rsidRDefault="005C050A" w:rsidP="00A224B5">
            <w:pPr>
              <w:pStyle w:val="TableText0"/>
              <w:keepLines/>
              <w:jc w:val="right"/>
            </w:pPr>
            <w:r w:rsidRPr="00C3432C">
              <w:t>$5.22</w:t>
            </w:r>
          </w:p>
        </w:tc>
        <w:tc>
          <w:tcPr>
            <w:tcW w:w="794" w:type="pct"/>
          </w:tcPr>
          <w:p w:rsidR="005C050A" w:rsidRPr="00C3432C" w:rsidRDefault="005C050A" w:rsidP="00A224B5">
            <w:pPr>
              <w:pStyle w:val="TableText0"/>
              <w:keepLines/>
            </w:pPr>
            <w:r w:rsidRPr="00C3432C">
              <w:t>4 mg (28 units)</w:t>
            </w:r>
          </w:p>
        </w:tc>
        <w:tc>
          <w:tcPr>
            <w:tcW w:w="476" w:type="pct"/>
          </w:tcPr>
          <w:p w:rsidR="005C050A" w:rsidRPr="00C3432C" w:rsidRDefault="005C050A" w:rsidP="00A224B5">
            <w:pPr>
              <w:pStyle w:val="TableText0"/>
              <w:keepLines/>
              <w:jc w:val="center"/>
            </w:pPr>
            <w:r w:rsidRPr="00C3432C">
              <w:t>28</w:t>
            </w:r>
          </w:p>
        </w:tc>
        <w:tc>
          <w:tcPr>
            <w:tcW w:w="635" w:type="pct"/>
          </w:tcPr>
          <w:p w:rsidR="005C050A" w:rsidRPr="00C3432C" w:rsidRDefault="005C050A" w:rsidP="00A224B5">
            <w:pPr>
              <w:pStyle w:val="TableText0"/>
              <w:keepLines/>
              <w:jc w:val="right"/>
            </w:pPr>
            <w:r w:rsidRPr="00C3432C">
              <w:t>$146.22</w:t>
            </w:r>
            <w:r w:rsidRPr="00C3432C">
              <w:rPr>
                <w:vertAlign w:val="superscript"/>
              </w:rPr>
              <w:t>a</w:t>
            </w:r>
          </w:p>
        </w:tc>
        <w:tc>
          <w:tcPr>
            <w:tcW w:w="478" w:type="pct"/>
          </w:tcPr>
          <w:p w:rsidR="005C050A" w:rsidRPr="00C3432C" w:rsidRDefault="005C050A" w:rsidP="00A224B5">
            <w:pPr>
              <w:pStyle w:val="TableText0"/>
              <w:keepLines/>
              <w:jc w:val="right"/>
            </w:pPr>
            <w:r w:rsidRPr="00C3432C">
              <w:t>$5.22</w:t>
            </w:r>
          </w:p>
        </w:tc>
      </w:tr>
      <w:tr w:rsidR="005C050A" w:rsidRPr="00C3432C" w:rsidTr="00675FCB">
        <w:tc>
          <w:tcPr>
            <w:tcW w:w="1027" w:type="pct"/>
          </w:tcPr>
          <w:p w:rsidR="005C050A" w:rsidRPr="00C3432C" w:rsidRDefault="005C050A" w:rsidP="00A224B5">
            <w:pPr>
              <w:pStyle w:val="TableText0"/>
              <w:keepLines/>
            </w:pPr>
            <w:r w:rsidRPr="00C3432C">
              <w:t>150 mg (14 or 56 units)</w:t>
            </w:r>
          </w:p>
        </w:tc>
        <w:tc>
          <w:tcPr>
            <w:tcW w:w="477" w:type="pct"/>
          </w:tcPr>
          <w:p w:rsidR="005C050A" w:rsidRPr="00C3432C" w:rsidRDefault="005C050A" w:rsidP="00A224B5">
            <w:pPr>
              <w:pStyle w:val="TableText0"/>
              <w:keepLines/>
              <w:jc w:val="center"/>
            </w:pPr>
            <w:r w:rsidRPr="00C3432C">
              <w:t>14</w:t>
            </w:r>
          </w:p>
        </w:tc>
        <w:tc>
          <w:tcPr>
            <w:tcW w:w="635" w:type="pct"/>
          </w:tcPr>
          <w:p w:rsidR="005C050A" w:rsidRPr="00C3432C" w:rsidRDefault="005C050A" w:rsidP="00A224B5">
            <w:pPr>
              <w:pStyle w:val="TableText0"/>
              <w:keepLines/>
              <w:jc w:val="right"/>
            </w:pPr>
            <w:r w:rsidRPr="00C3432C">
              <w:t>$54.83</w:t>
            </w:r>
          </w:p>
        </w:tc>
        <w:tc>
          <w:tcPr>
            <w:tcW w:w="477" w:type="pct"/>
          </w:tcPr>
          <w:p w:rsidR="005C050A" w:rsidRPr="00C3432C" w:rsidRDefault="005C050A" w:rsidP="00A224B5">
            <w:pPr>
              <w:pStyle w:val="TableText0"/>
              <w:keepLines/>
              <w:jc w:val="right"/>
            </w:pPr>
            <w:r w:rsidRPr="00C3432C">
              <w:t>$7.83</w:t>
            </w:r>
          </w:p>
        </w:tc>
        <w:tc>
          <w:tcPr>
            <w:tcW w:w="794" w:type="pct"/>
          </w:tcPr>
          <w:p w:rsidR="005C050A" w:rsidRPr="00C3432C" w:rsidRDefault="005C050A" w:rsidP="00A224B5">
            <w:pPr>
              <w:pStyle w:val="TableText0"/>
              <w:keepLines/>
            </w:pPr>
            <w:r w:rsidRPr="00C3432C">
              <w:t>6 mg (28 units)</w:t>
            </w:r>
          </w:p>
        </w:tc>
        <w:tc>
          <w:tcPr>
            <w:tcW w:w="476" w:type="pct"/>
          </w:tcPr>
          <w:p w:rsidR="005C050A" w:rsidRPr="00C3432C" w:rsidRDefault="005C050A" w:rsidP="00A224B5">
            <w:pPr>
              <w:pStyle w:val="TableText0"/>
              <w:keepLines/>
              <w:jc w:val="center"/>
            </w:pPr>
            <w:r w:rsidRPr="00C3432C">
              <w:t>28</w:t>
            </w:r>
          </w:p>
        </w:tc>
        <w:tc>
          <w:tcPr>
            <w:tcW w:w="635" w:type="pct"/>
          </w:tcPr>
          <w:p w:rsidR="005C050A" w:rsidRPr="00C3432C" w:rsidRDefault="005C050A" w:rsidP="00A224B5">
            <w:pPr>
              <w:pStyle w:val="TableText0"/>
              <w:keepLines/>
              <w:jc w:val="right"/>
            </w:pPr>
            <w:r w:rsidRPr="00C3432C">
              <w:t>$219.34</w:t>
            </w:r>
            <w:r w:rsidRPr="00C3432C">
              <w:rPr>
                <w:vertAlign w:val="superscript"/>
              </w:rPr>
              <w:t xml:space="preserve"> a</w:t>
            </w:r>
          </w:p>
        </w:tc>
        <w:tc>
          <w:tcPr>
            <w:tcW w:w="478" w:type="pct"/>
          </w:tcPr>
          <w:p w:rsidR="005C050A" w:rsidRPr="00C3432C" w:rsidRDefault="005C050A" w:rsidP="00A224B5">
            <w:pPr>
              <w:pStyle w:val="TableText0"/>
              <w:keepLines/>
              <w:jc w:val="right"/>
            </w:pPr>
            <w:r w:rsidRPr="00C3432C">
              <w:t>$7.83</w:t>
            </w:r>
          </w:p>
        </w:tc>
      </w:tr>
      <w:tr w:rsidR="005C050A" w:rsidRPr="00C3432C" w:rsidTr="00675FCB">
        <w:tc>
          <w:tcPr>
            <w:tcW w:w="1027" w:type="pct"/>
          </w:tcPr>
          <w:p w:rsidR="005C050A" w:rsidRPr="00C3432C" w:rsidRDefault="005C050A" w:rsidP="00A224B5">
            <w:pPr>
              <w:pStyle w:val="TableText0"/>
              <w:keepLines/>
            </w:pPr>
            <w:r w:rsidRPr="00C3432C">
              <w:t>200 mg (56 units)</w:t>
            </w:r>
          </w:p>
        </w:tc>
        <w:tc>
          <w:tcPr>
            <w:tcW w:w="477" w:type="pct"/>
          </w:tcPr>
          <w:p w:rsidR="005C050A" w:rsidRPr="00C3432C" w:rsidRDefault="005C050A" w:rsidP="00A224B5">
            <w:pPr>
              <w:pStyle w:val="TableText0"/>
              <w:keepLines/>
              <w:jc w:val="center"/>
            </w:pPr>
            <w:r w:rsidRPr="00C3432C">
              <w:t>56</w:t>
            </w:r>
          </w:p>
        </w:tc>
        <w:tc>
          <w:tcPr>
            <w:tcW w:w="635" w:type="pct"/>
          </w:tcPr>
          <w:p w:rsidR="005C050A" w:rsidRPr="00C3432C" w:rsidRDefault="005C050A" w:rsidP="00A224B5">
            <w:pPr>
              <w:pStyle w:val="TableText0"/>
              <w:keepLines/>
              <w:jc w:val="right"/>
            </w:pPr>
            <w:r w:rsidRPr="00C3432C">
              <w:t>$292.42</w:t>
            </w:r>
          </w:p>
        </w:tc>
        <w:tc>
          <w:tcPr>
            <w:tcW w:w="477" w:type="pct"/>
          </w:tcPr>
          <w:p w:rsidR="005C050A" w:rsidRPr="00C3432C" w:rsidRDefault="005C050A" w:rsidP="00A224B5">
            <w:pPr>
              <w:pStyle w:val="TableText0"/>
              <w:keepLines/>
              <w:jc w:val="right"/>
            </w:pPr>
            <w:r w:rsidRPr="00C3432C">
              <w:t>$10.44</w:t>
            </w:r>
          </w:p>
        </w:tc>
        <w:tc>
          <w:tcPr>
            <w:tcW w:w="794" w:type="pct"/>
          </w:tcPr>
          <w:p w:rsidR="005C050A" w:rsidRPr="00C3432C" w:rsidRDefault="005C050A" w:rsidP="00A224B5">
            <w:pPr>
              <w:pStyle w:val="TableText0"/>
              <w:keepLines/>
            </w:pPr>
            <w:r w:rsidRPr="00C3432C">
              <w:t xml:space="preserve">8 mg (28 units) </w:t>
            </w:r>
          </w:p>
        </w:tc>
        <w:tc>
          <w:tcPr>
            <w:tcW w:w="476" w:type="pct"/>
          </w:tcPr>
          <w:p w:rsidR="005C050A" w:rsidRPr="00C3432C" w:rsidRDefault="005C050A" w:rsidP="00A224B5">
            <w:pPr>
              <w:pStyle w:val="TableText0"/>
              <w:keepLines/>
              <w:jc w:val="center"/>
            </w:pPr>
            <w:r w:rsidRPr="00C3432C">
              <w:t>28</w:t>
            </w:r>
          </w:p>
        </w:tc>
        <w:tc>
          <w:tcPr>
            <w:tcW w:w="635" w:type="pct"/>
          </w:tcPr>
          <w:p w:rsidR="005C050A" w:rsidRPr="00C3432C" w:rsidRDefault="005C050A" w:rsidP="00A224B5">
            <w:pPr>
              <w:pStyle w:val="TableText0"/>
              <w:keepLines/>
              <w:jc w:val="right"/>
            </w:pPr>
            <w:r w:rsidRPr="00C3432C">
              <w:t>$292.42</w:t>
            </w:r>
            <w:r w:rsidRPr="00C3432C">
              <w:rPr>
                <w:vertAlign w:val="superscript"/>
              </w:rPr>
              <w:t>b</w:t>
            </w:r>
          </w:p>
        </w:tc>
        <w:tc>
          <w:tcPr>
            <w:tcW w:w="478" w:type="pct"/>
          </w:tcPr>
          <w:p w:rsidR="005C050A" w:rsidRPr="00C3432C" w:rsidRDefault="005C050A" w:rsidP="00A224B5">
            <w:pPr>
              <w:pStyle w:val="TableText0"/>
              <w:keepLines/>
              <w:jc w:val="right"/>
            </w:pPr>
            <w:r w:rsidRPr="00C3432C">
              <w:t>$10.44</w:t>
            </w:r>
          </w:p>
        </w:tc>
      </w:tr>
      <w:tr w:rsidR="005C050A" w:rsidRPr="00C3432C" w:rsidTr="00675FCB">
        <w:trPr>
          <w:trHeight w:val="70"/>
        </w:trPr>
        <w:tc>
          <w:tcPr>
            <w:tcW w:w="1027" w:type="pct"/>
          </w:tcPr>
          <w:p w:rsidR="005C050A" w:rsidRPr="00C3432C" w:rsidRDefault="005C050A" w:rsidP="00A224B5">
            <w:pPr>
              <w:pStyle w:val="TableText0"/>
              <w:keepLines/>
            </w:pPr>
            <w:r w:rsidRPr="00C3432C">
              <w:t>200 mg (56 units)</w:t>
            </w:r>
          </w:p>
        </w:tc>
        <w:tc>
          <w:tcPr>
            <w:tcW w:w="477" w:type="pct"/>
          </w:tcPr>
          <w:p w:rsidR="005C050A" w:rsidRPr="00C3432C" w:rsidRDefault="005C050A" w:rsidP="00A224B5">
            <w:pPr>
              <w:pStyle w:val="TableText0"/>
              <w:keepLines/>
              <w:jc w:val="center"/>
            </w:pPr>
            <w:r w:rsidRPr="00C3432C">
              <w:t>56</w:t>
            </w:r>
          </w:p>
        </w:tc>
        <w:tc>
          <w:tcPr>
            <w:tcW w:w="635" w:type="pct"/>
          </w:tcPr>
          <w:p w:rsidR="005C050A" w:rsidRPr="00C3432C" w:rsidRDefault="005C050A" w:rsidP="00A224B5">
            <w:pPr>
              <w:pStyle w:val="TableText0"/>
              <w:keepLines/>
              <w:jc w:val="right"/>
            </w:pPr>
            <w:r w:rsidRPr="00C3432C">
              <w:t>$292.42</w:t>
            </w:r>
          </w:p>
        </w:tc>
        <w:tc>
          <w:tcPr>
            <w:tcW w:w="477" w:type="pct"/>
          </w:tcPr>
          <w:p w:rsidR="005C050A" w:rsidRPr="00C3432C" w:rsidRDefault="005C050A" w:rsidP="00A224B5">
            <w:pPr>
              <w:pStyle w:val="TableText0"/>
              <w:keepLines/>
              <w:jc w:val="right"/>
            </w:pPr>
            <w:r w:rsidRPr="00C3432C">
              <w:t>$10.44</w:t>
            </w:r>
          </w:p>
        </w:tc>
        <w:tc>
          <w:tcPr>
            <w:tcW w:w="794" w:type="pct"/>
          </w:tcPr>
          <w:p w:rsidR="005C050A" w:rsidRPr="00C3432C" w:rsidRDefault="005C050A" w:rsidP="00A224B5">
            <w:pPr>
              <w:pStyle w:val="TableText0"/>
              <w:keepLines/>
            </w:pPr>
            <w:r w:rsidRPr="00C3432C">
              <w:t xml:space="preserve">10 mg (28 units) </w:t>
            </w:r>
          </w:p>
        </w:tc>
        <w:tc>
          <w:tcPr>
            <w:tcW w:w="476" w:type="pct"/>
          </w:tcPr>
          <w:p w:rsidR="005C050A" w:rsidRPr="00C3432C" w:rsidRDefault="005C050A" w:rsidP="00A224B5">
            <w:pPr>
              <w:pStyle w:val="TableText0"/>
              <w:keepLines/>
              <w:jc w:val="center"/>
            </w:pPr>
            <w:r w:rsidRPr="00C3432C">
              <w:t>28</w:t>
            </w:r>
          </w:p>
        </w:tc>
        <w:tc>
          <w:tcPr>
            <w:tcW w:w="635" w:type="pct"/>
          </w:tcPr>
          <w:p w:rsidR="005C050A" w:rsidRPr="00C3432C" w:rsidRDefault="005C050A" w:rsidP="00A224B5">
            <w:pPr>
              <w:pStyle w:val="TableText0"/>
              <w:keepLines/>
              <w:jc w:val="right"/>
            </w:pPr>
            <w:r w:rsidRPr="00C3432C">
              <w:t>$292.42</w:t>
            </w:r>
            <w:r w:rsidRPr="00C3432C">
              <w:rPr>
                <w:vertAlign w:val="superscript"/>
              </w:rPr>
              <w:t>b</w:t>
            </w:r>
          </w:p>
        </w:tc>
        <w:tc>
          <w:tcPr>
            <w:tcW w:w="478" w:type="pct"/>
          </w:tcPr>
          <w:p w:rsidR="005C050A" w:rsidRPr="00C3432C" w:rsidRDefault="005C050A" w:rsidP="00A224B5">
            <w:pPr>
              <w:pStyle w:val="TableText0"/>
              <w:keepLines/>
              <w:jc w:val="right"/>
            </w:pPr>
            <w:r w:rsidRPr="00C3432C">
              <w:t>$10.44</w:t>
            </w:r>
          </w:p>
        </w:tc>
      </w:tr>
      <w:tr w:rsidR="005C050A" w:rsidRPr="00C3432C" w:rsidTr="00675FCB">
        <w:trPr>
          <w:trHeight w:val="70"/>
        </w:trPr>
        <w:tc>
          <w:tcPr>
            <w:tcW w:w="1027" w:type="pct"/>
          </w:tcPr>
          <w:p w:rsidR="005C050A" w:rsidRPr="00C3432C" w:rsidRDefault="005C050A" w:rsidP="00A224B5">
            <w:pPr>
              <w:pStyle w:val="TableText0"/>
              <w:keepLines/>
            </w:pPr>
            <w:r w:rsidRPr="00C3432C">
              <w:t>200 mg (56 units)</w:t>
            </w:r>
          </w:p>
        </w:tc>
        <w:tc>
          <w:tcPr>
            <w:tcW w:w="477" w:type="pct"/>
          </w:tcPr>
          <w:p w:rsidR="005C050A" w:rsidRPr="00C3432C" w:rsidRDefault="005C050A" w:rsidP="00A224B5">
            <w:pPr>
              <w:pStyle w:val="TableText0"/>
              <w:keepLines/>
              <w:jc w:val="center"/>
            </w:pPr>
            <w:r w:rsidRPr="00C3432C">
              <w:t>56</w:t>
            </w:r>
          </w:p>
        </w:tc>
        <w:tc>
          <w:tcPr>
            <w:tcW w:w="635" w:type="pct"/>
          </w:tcPr>
          <w:p w:rsidR="005C050A" w:rsidRPr="00C3432C" w:rsidRDefault="005C050A" w:rsidP="00A224B5">
            <w:pPr>
              <w:pStyle w:val="TableText0"/>
              <w:keepLines/>
              <w:jc w:val="right"/>
            </w:pPr>
            <w:r w:rsidRPr="00C3432C">
              <w:t>$292.42</w:t>
            </w:r>
          </w:p>
        </w:tc>
        <w:tc>
          <w:tcPr>
            <w:tcW w:w="477" w:type="pct"/>
          </w:tcPr>
          <w:p w:rsidR="005C050A" w:rsidRPr="00C3432C" w:rsidRDefault="005C050A" w:rsidP="00A224B5">
            <w:pPr>
              <w:pStyle w:val="TableText0"/>
              <w:keepLines/>
              <w:jc w:val="right"/>
            </w:pPr>
            <w:r w:rsidRPr="00C3432C">
              <w:t>$10.44</w:t>
            </w:r>
          </w:p>
        </w:tc>
        <w:tc>
          <w:tcPr>
            <w:tcW w:w="794" w:type="pct"/>
          </w:tcPr>
          <w:p w:rsidR="005C050A" w:rsidRPr="00C3432C" w:rsidRDefault="005C050A" w:rsidP="00A224B5">
            <w:pPr>
              <w:pStyle w:val="TableText0"/>
              <w:keepLines/>
            </w:pPr>
            <w:r w:rsidRPr="00C3432C">
              <w:t xml:space="preserve">12 mg (28 units) </w:t>
            </w:r>
          </w:p>
        </w:tc>
        <w:tc>
          <w:tcPr>
            <w:tcW w:w="476" w:type="pct"/>
          </w:tcPr>
          <w:p w:rsidR="005C050A" w:rsidRPr="00C3432C" w:rsidRDefault="005C050A" w:rsidP="00A224B5">
            <w:pPr>
              <w:pStyle w:val="TableText0"/>
              <w:keepLines/>
              <w:jc w:val="center"/>
            </w:pPr>
            <w:r w:rsidRPr="00C3432C">
              <w:t>28</w:t>
            </w:r>
          </w:p>
        </w:tc>
        <w:tc>
          <w:tcPr>
            <w:tcW w:w="635" w:type="pct"/>
          </w:tcPr>
          <w:p w:rsidR="005C050A" w:rsidRPr="00C3432C" w:rsidRDefault="005C050A" w:rsidP="00A224B5">
            <w:pPr>
              <w:pStyle w:val="TableText0"/>
              <w:keepLines/>
              <w:jc w:val="right"/>
            </w:pPr>
            <w:r w:rsidRPr="00C3432C">
              <w:t>$292.42</w:t>
            </w:r>
            <w:r w:rsidRPr="00C3432C">
              <w:rPr>
                <w:vertAlign w:val="superscript"/>
              </w:rPr>
              <w:t>b</w:t>
            </w:r>
          </w:p>
        </w:tc>
        <w:tc>
          <w:tcPr>
            <w:tcW w:w="478" w:type="pct"/>
          </w:tcPr>
          <w:p w:rsidR="005C050A" w:rsidRPr="00C3432C" w:rsidRDefault="005C050A" w:rsidP="00A224B5">
            <w:pPr>
              <w:pStyle w:val="TableText0"/>
              <w:keepLines/>
              <w:jc w:val="right"/>
            </w:pPr>
            <w:r w:rsidRPr="00C3432C">
              <w:t>$10.44</w:t>
            </w:r>
          </w:p>
        </w:tc>
      </w:tr>
    </w:tbl>
    <w:p w:rsidR="005C050A" w:rsidRPr="00C3432C" w:rsidRDefault="00715352" w:rsidP="00A224B5">
      <w:pPr>
        <w:pStyle w:val="TableFigureFooter"/>
        <w:keepNext/>
        <w:keepLines/>
      </w:pPr>
      <w:r w:rsidRPr="00C3432C">
        <w:t>Source: Table 3.</w:t>
      </w:r>
      <w:r w:rsidR="005C050A" w:rsidRPr="00C3432C">
        <w:t>3, p141 of the submission</w:t>
      </w:r>
    </w:p>
    <w:p w:rsidR="005C050A" w:rsidRPr="00C3432C" w:rsidRDefault="005C050A" w:rsidP="00A224B5">
      <w:pPr>
        <w:pStyle w:val="TableFigureFooter"/>
        <w:keepNext/>
        <w:keepLines/>
      </w:pPr>
      <w:r w:rsidRPr="00C3432C">
        <w:t>AEMP = approved ex-manufacturer price; EMP = ex-manufacturer price</w:t>
      </w:r>
    </w:p>
    <w:p w:rsidR="005C050A" w:rsidRPr="00C3432C" w:rsidRDefault="005C050A" w:rsidP="00A224B5">
      <w:pPr>
        <w:pStyle w:val="TableFigureFooter"/>
        <w:keepNext/>
        <w:keepLines/>
      </w:pPr>
      <w:r w:rsidRPr="00C3432C">
        <w:rPr>
          <w:vertAlign w:val="superscript"/>
        </w:rPr>
        <w:t>a</w:t>
      </w:r>
      <w:r w:rsidRPr="00C3432C">
        <w:t xml:space="preserve"> Special Pricing Arrangement applies, which was not acknowledged by the submission.</w:t>
      </w:r>
    </w:p>
    <w:p w:rsidR="005C050A" w:rsidRPr="00C3432C" w:rsidRDefault="005C050A" w:rsidP="00A224B5">
      <w:pPr>
        <w:pStyle w:val="TableFigureFooter"/>
        <w:keepNext/>
        <w:keepLines/>
      </w:pPr>
      <w:r w:rsidRPr="00C3432C">
        <w:rPr>
          <w:vertAlign w:val="superscript"/>
        </w:rPr>
        <w:t>b</w:t>
      </w:r>
      <w:r w:rsidRPr="00C3432C">
        <w:t xml:space="preserve"> Special Pricing Arrangement applies.</w:t>
      </w:r>
    </w:p>
    <w:p w:rsidR="005C050A" w:rsidRPr="003C6DEF" w:rsidRDefault="005C050A" w:rsidP="005C050A">
      <w:pPr>
        <w:pStyle w:val="3-BodyText"/>
      </w:pPr>
      <w:r w:rsidRPr="003C6DEF">
        <w:t>The sponsor acknowledged the special pricing arra</w:t>
      </w:r>
      <w:r w:rsidR="008C3D95">
        <w:t>ngements (SPA) for perampanel 8 </w:t>
      </w:r>
      <w:r w:rsidRPr="003C6DEF">
        <w:t xml:space="preserve">mg, 10 mg and 12 mg only. However, </w:t>
      </w:r>
      <w:r w:rsidR="00C46700">
        <w:t xml:space="preserve">the </w:t>
      </w:r>
      <w:r w:rsidRPr="003C6DEF">
        <w:t xml:space="preserve">SPA applies to all perampanel strengths for continuing treatment, including 4 mg and 6 mg. There is no SPA for the treatment initiation dosage, perampanel 2 mg. </w:t>
      </w:r>
      <w:r w:rsidR="00EB2BB1">
        <w:t>The sponsor requested a SPA for lacosamide for initial and continuing treatment.</w:t>
      </w:r>
    </w:p>
    <w:p w:rsidR="00A25413" w:rsidRDefault="008C3D95" w:rsidP="005C050A">
      <w:pPr>
        <w:pStyle w:val="3-BodyText"/>
      </w:pPr>
      <w:r>
        <w:t>T</w:t>
      </w:r>
      <w:r w:rsidR="005C050A" w:rsidRPr="003C6DEF">
        <w:t>he cost-minimisation approach establish</w:t>
      </w:r>
      <w:r>
        <w:t>ed</w:t>
      </w:r>
      <w:r w:rsidR="005C050A" w:rsidRPr="003C6DEF">
        <w:t xml:space="preserve"> that the cost per patient for treatment with lacosamide would be no more than the cost per patient of perampanel</w:t>
      </w:r>
      <w:r w:rsidR="00846890">
        <w:t xml:space="preserve"> (see Drug cost/per patient/per year)</w:t>
      </w:r>
      <w:r w:rsidR="005C050A" w:rsidRPr="003C6DEF">
        <w:t>. The cost per patient takes into account the equi-effective doses of lacosamide and perampanel based on dose relativity of 50:1. Where these cost per patient calculations are uncertain, the guiding principle is that the Australian Government should not bear the financial risk of this uncertainty because the Australian population already has access to therapy that is at least as effective and safe</w:t>
      </w:r>
      <w:r w:rsidR="004C40F4" w:rsidRPr="003C6DEF">
        <w:t>.</w:t>
      </w:r>
    </w:p>
    <w:p w:rsidR="00D52110" w:rsidRPr="002A2062" w:rsidRDefault="00AE17C2" w:rsidP="009871BC">
      <w:pPr>
        <w:pStyle w:val="3-BodyText"/>
      </w:pPr>
      <w:r w:rsidRPr="003C6DEF">
        <w:t xml:space="preserve">A different economic analysis </w:t>
      </w:r>
      <w:r w:rsidR="00846890">
        <w:t>could be performed</w:t>
      </w:r>
      <w:r w:rsidRPr="003C6DEF">
        <w:t xml:space="preserve"> for children aged 4-11 years. This population is not </w:t>
      </w:r>
      <w:r w:rsidRPr="002A2062">
        <w:t>eligible for perampanel therefore, perampanel is not a comparator to lacosamide in this population, and the cost-minimisatio</w:t>
      </w:r>
      <w:r w:rsidR="0060070C">
        <w:t>n is not applicable. The s</w:t>
      </w:r>
      <w:r w:rsidRPr="002A2062">
        <w:t>ponsor stated in the PSCR that the requested listing is for patients who are refractory to other treatment options evidenced as continued seizures, and the clinical evidence demonstrates that lacosamide is as effective in seizure control for this younger age gr</w:t>
      </w:r>
      <w:r w:rsidR="0060070C">
        <w:t>oup as the older patients. The s</w:t>
      </w:r>
      <w:r w:rsidRPr="002A2062">
        <w:t>ponsor stated that the submission proposed the same DPMQ for lacosamide tablets regardless of age, and it is reasonable to accept the cost-effectiveness of lacosamide in this slightly expanded paediatric population in whom there remains a high clinical need. The ESC considered that a cost utility analysis in this population</w:t>
      </w:r>
      <w:r w:rsidR="009871BC">
        <w:t xml:space="preserve"> is unlikely to be informative.</w:t>
      </w:r>
    </w:p>
    <w:p w:rsidR="00A25413" w:rsidRPr="00010DA6" w:rsidRDefault="004C40F4" w:rsidP="00A25413">
      <w:pPr>
        <w:pStyle w:val="4-SubsectionHeading"/>
      </w:pPr>
      <w:bookmarkStart w:id="23" w:name="_Toc22898858"/>
      <w:bookmarkStart w:id="24" w:name="_Toc62042745"/>
      <w:bookmarkStart w:id="25" w:name="_Toc22897646"/>
      <w:r w:rsidRPr="00010DA6">
        <w:t>Drug cost/patient/year</w:t>
      </w:r>
      <w:bookmarkEnd w:id="23"/>
      <w:r w:rsidRPr="00010DA6">
        <w:t xml:space="preserve"> $4,398 (200</w:t>
      </w:r>
      <w:r w:rsidR="007E0EA0" w:rsidRPr="00010DA6">
        <w:t xml:space="preserve"> </w:t>
      </w:r>
      <w:r w:rsidRPr="00010DA6">
        <w:t>mg tablets)</w:t>
      </w:r>
      <w:bookmarkEnd w:id="24"/>
      <w:r w:rsidRPr="00010DA6">
        <w:t xml:space="preserve"> </w:t>
      </w:r>
      <w:bookmarkEnd w:id="25"/>
    </w:p>
    <w:p w:rsidR="004C40F4" w:rsidRPr="003C6DEF" w:rsidRDefault="00DC374F" w:rsidP="004C40F4">
      <w:pPr>
        <w:pStyle w:val="3-BodyText"/>
      </w:pPr>
      <w:r w:rsidRPr="00C3432C">
        <w:t>Lacosamide would cost $4,398</w:t>
      </w:r>
      <w:r w:rsidR="005C050A" w:rsidRPr="00C3432C">
        <w:t xml:space="preserve"> per year for a patient receiving a daily dose of 400 mg per day with 100% adherence (same cost as for perampanel 8 mg once daily). </w:t>
      </w:r>
    </w:p>
    <w:p w:rsidR="00A25413" w:rsidRPr="00C3432C" w:rsidRDefault="00A25413" w:rsidP="00A25413">
      <w:pPr>
        <w:pStyle w:val="4-SubsectionHeading"/>
      </w:pPr>
      <w:bookmarkStart w:id="26" w:name="_Toc22897647"/>
      <w:bookmarkStart w:id="27" w:name="_Toc62042746"/>
      <w:r w:rsidRPr="00C3432C">
        <w:lastRenderedPageBreak/>
        <w:t>Estimated PBS usage &amp; financial implications</w:t>
      </w:r>
      <w:bookmarkEnd w:id="26"/>
      <w:bookmarkEnd w:id="27"/>
    </w:p>
    <w:p w:rsidR="005C050A" w:rsidRPr="00C3432C" w:rsidRDefault="005C050A" w:rsidP="005C050A">
      <w:pPr>
        <w:pStyle w:val="3-BodyText"/>
      </w:pPr>
      <w:r w:rsidRPr="00C3432C">
        <w:t xml:space="preserve">This submission </w:t>
      </w:r>
      <w:r w:rsidR="00C66D30">
        <w:t>was not</w:t>
      </w:r>
      <w:r w:rsidRPr="00C3432C">
        <w:t xml:space="preserve"> considered by DUSC. </w:t>
      </w:r>
    </w:p>
    <w:p w:rsidR="005C050A" w:rsidRPr="003C6DEF" w:rsidRDefault="005C050A" w:rsidP="005C050A">
      <w:pPr>
        <w:pStyle w:val="3-BodyText"/>
      </w:pPr>
      <w:r w:rsidRPr="00C3432C">
        <w:t xml:space="preserve">The submission presented a mixed epidemiological and market share approach to estimate the financial impact of extending the current PBS listing of lacosamide to include patients aged from 4 years old with IGE and PGTCS who have failed </w:t>
      </w:r>
      <w:r w:rsidRPr="003C6DEF">
        <w:t xml:space="preserve">treatment with at least two AEDs. An epidemiological approach was used to estimate the number of patients aged between 4 and 11 years and a market share approach was used to determine the number of scripts for patients aged 12 years and above. In addition, the submission used an epidemiological approach to estimate the current number of eligible patients to compare with the currently treated patients and forecast uptake for patients aged between 4 and 11 years. The use of </w:t>
      </w:r>
      <w:r w:rsidR="004D1556">
        <w:t xml:space="preserve">a </w:t>
      </w:r>
      <w:r w:rsidRPr="003C6DEF">
        <w:t xml:space="preserve">mixed approach is reasonable in this circumstance. </w:t>
      </w:r>
    </w:p>
    <w:p w:rsidR="005C050A" w:rsidRPr="003C6DEF" w:rsidRDefault="005C050A" w:rsidP="005C050A">
      <w:pPr>
        <w:pStyle w:val="3-BodyText"/>
      </w:pPr>
      <w:r w:rsidRPr="003C6DEF">
        <w:t xml:space="preserve">The submission estimated the net impact to the PBS/RPBS to be low </w:t>
      </w:r>
      <w:r w:rsidR="00594B95" w:rsidRPr="003C6DEF">
        <w:t>(</w:t>
      </w:r>
      <w:r w:rsidR="00C951A1" w:rsidRPr="003C6DEF">
        <w:t>T</w:t>
      </w:r>
      <w:r w:rsidR="00594B95" w:rsidRPr="003C6DEF">
        <w:t>able</w:t>
      </w:r>
      <w:r w:rsidR="00C951A1" w:rsidRPr="003C6DEF">
        <w:t xml:space="preserve"> 9</w:t>
      </w:r>
      <w:r w:rsidR="00594B95" w:rsidRPr="003C6DEF">
        <w:t xml:space="preserve">) </w:t>
      </w:r>
      <w:r w:rsidRPr="003C6DEF">
        <w:t>and expected</w:t>
      </w:r>
      <w:r w:rsidR="00F202C0" w:rsidRPr="003C6DEF">
        <w:t xml:space="preserve"> it</w:t>
      </w:r>
      <w:r w:rsidRPr="003C6DEF">
        <w:t xml:space="preserve"> to be reduced with further price reductions of lacosamide. A large proportion of this increase would be due to the paediatric patients who would be expected to use the lacosamide oral liquid, which would incur a proportionally larger cost. </w:t>
      </w:r>
    </w:p>
    <w:p w:rsidR="003916DE" w:rsidRDefault="00594B95" w:rsidP="00594B95">
      <w:pPr>
        <w:pStyle w:val="TableFigureHeading"/>
      </w:pPr>
      <w:r w:rsidRPr="00C3432C">
        <w:t xml:space="preserve">Table </w:t>
      </w:r>
      <w:r w:rsidR="003409DC">
        <w:rPr>
          <w:noProof/>
        </w:rPr>
        <w:t>9</w:t>
      </w:r>
      <w:r w:rsidRPr="00C3432C">
        <w:t>:</w:t>
      </w:r>
      <w:r>
        <w:t xml:space="preserve"> </w:t>
      </w:r>
      <w:r w:rsidRPr="00606FBA">
        <w:rPr>
          <w:rStyle w:val="CommentReference"/>
          <w:b/>
          <w:szCs w:val="24"/>
        </w:rPr>
        <w:t>Estimated use and financial implications</w:t>
      </w:r>
      <w:r w:rsidR="0033031E">
        <w:rPr>
          <w:rStyle w:val="CommentReference"/>
          <w:b/>
          <w:szCs w:val="24"/>
        </w:rPr>
        <w:t xml:space="preserve"> using published prices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47"/>
        <w:gridCol w:w="992"/>
        <w:gridCol w:w="1134"/>
        <w:gridCol w:w="1134"/>
        <w:gridCol w:w="1134"/>
        <w:gridCol w:w="992"/>
        <w:gridCol w:w="1084"/>
      </w:tblGrid>
      <w:tr w:rsidR="00594B95" w:rsidRPr="00D1078F" w:rsidTr="000C6947">
        <w:trPr>
          <w:tblHeader/>
        </w:trPr>
        <w:tc>
          <w:tcPr>
            <w:tcW w:w="1412" w:type="pct"/>
            <w:shd w:val="clear" w:color="auto" w:fill="auto"/>
            <w:vAlign w:val="center"/>
          </w:tcPr>
          <w:p w:rsidR="00594B95" w:rsidRPr="003639A6" w:rsidRDefault="00594B95" w:rsidP="00563371">
            <w:pPr>
              <w:pStyle w:val="In-tableHeading"/>
              <w:jc w:val="center"/>
            </w:pPr>
          </w:p>
        </w:tc>
        <w:tc>
          <w:tcPr>
            <w:tcW w:w="550" w:type="pct"/>
            <w:shd w:val="clear" w:color="auto" w:fill="auto"/>
            <w:vAlign w:val="center"/>
          </w:tcPr>
          <w:p w:rsidR="00594B95" w:rsidRPr="00D1078F" w:rsidRDefault="004E433B" w:rsidP="00563371">
            <w:pPr>
              <w:pStyle w:val="In-tableHeading"/>
              <w:jc w:val="center"/>
            </w:pPr>
            <w:r>
              <w:t>2021</w:t>
            </w:r>
          </w:p>
        </w:tc>
        <w:tc>
          <w:tcPr>
            <w:tcW w:w="629" w:type="pct"/>
            <w:shd w:val="clear" w:color="auto" w:fill="auto"/>
            <w:vAlign w:val="center"/>
          </w:tcPr>
          <w:p w:rsidR="00594B95" w:rsidRPr="00D1078F" w:rsidRDefault="004E433B" w:rsidP="00563371">
            <w:pPr>
              <w:pStyle w:val="In-tableHeading"/>
              <w:jc w:val="center"/>
            </w:pPr>
            <w:r>
              <w:t>2022</w:t>
            </w:r>
          </w:p>
        </w:tc>
        <w:tc>
          <w:tcPr>
            <w:tcW w:w="629" w:type="pct"/>
            <w:shd w:val="clear" w:color="auto" w:fill="auto"/>
            <w:vAlign w:val="center"/>
          </w:tcPr>
          <w:p w:rsidR="00594B95" w:rsidRPr="00D1078F" w:rsidRDefault="004E433B" w:rsidP="00563371">
            <w:pPr>
              <w:pStyle w:val="In-tableHeading"/>
              <w:jc w:val="center"/>
            </w:pPr>
            <w:r>
              <w:t>2023</w:t>
            </w:r>
          </w:p>
        </w:tc>
        <w:tc>
          <w:tcPr>
            <w:tcW w:w="629" w:type="pct"/>
            <w:shd w:val="clear" w:color="auto" w:fill="auto"/>
            <w:vAlign w:val="center"/>
          </w:tcPr>
          <w:p w:rsidR="00594B95" w:rsidRPr="00D1078F" w:rsidRDefault="004E433B" w:rsidP="00563371">
            <w:pPr>
              <w:pStyle w:val="In-tableHeading"/>
              <w:jc w:val="center"/>
            </w:pPr>
            <w:r>
              <w:t>2024</w:t>
            </w:r>
          </w:p>
        </w:tc>
        <w:tc>
          <w:tcPr>
            <w:tcW w:w="550" w:type="pct"/>
            <w:shd w:val="clear" w:color="auto" w:fill="auto"/>
            <w:vAlign w:val="center"/>
          </w:tcPr>
          <w:p w:rsidR="00594B95" w:rsidRPr="00D1078F" w:rsidRDefault="004E433B" w:rsidP="00563371">
            <w:pPr>
              <w:pStyle w:val="In-tableHeading"/>
              <w:jc w:val="center"/>
            </w:pPr>
            <w:r>
              <w:t>2025</w:t>
            </w:r>
          </w:p>
        </w:tc>
        <w:tc>
          <w:tcPr>
            <w:tcW w:w="601" w:type="pct"/>
          </w:tcPr>
          <w:p w:rsidR="00594B95" w:rsidRPr="00D1078F" w:rsidRDefault="004E433B" w:rsidP="00563371">
            <w:pPr>
              <w:pStyle w:val="In-tableHeading"/>
              <w:jc w:val="center"/>
            </w:pPr>
            <w:r>
              <w:t>2026</w:t>
            </w:r>
          </w:p>
        </w:tc>
      </w:tr>
      <w:tr w:rsidR="00594B95" w:rsidRPr="00D1078F" w:rsidTr="00563371">
        <w:tc>
          <w:tcPr>
            <w:tcW w:w="5000" w:type="pct"/>
            <w:gridSpan w:val="7"/>
            <w:shd w:val="clear" w:color="auto" w:fill="auto"/>
            <w:vAlign w:val="center"/>
          </w:tcPr>
          <w:p w:rsidR="00594B95" w:rsidRPr="00D1078F" w:rsidRDefault="00594B95" w:rsidP="00563371">
            <w:pPr>
              <w:pStyle w:val="In-tableHeading"/>
              <w:rPr>
                <w:bCs/>
                <w:color w:val="000000"/>
              </w:rPr>
            </w:pPr>
            <w:r w:rsidRPr="00D1078F">
              <w:rPr>
                <w:bCs/>
                <w:color w:val="000000"/>
              </w:rPr>
              <w:t>Estimated extent of use</w:t>
            </w:r>
          </w:p>
        </w:tc>
      </w:tr>
      <w:tr w:rsidR="00594B95" w:rsidRPr="003639A6" w:rsidTr="000C6947">
        <w:tc>
          <w:tcPr>
            <w:tcW w:w="1412" w:type="pct"/>
            <w:shd w:val="clear" w:color="auto" w:fill="auto"/>
            <w:vAlign w:val="center"/>
          </w:tcPr>
          <w:p w:rsidR="00594B95" w:rsidRPr="003C6DEF" w:rsidRDefault="00BF5A20" w:rsidP="00BF5A20">
            <w:pPr>
              <w:pStyle w:val="TableText0"/>
              <w:rPr>
                <w:rFonts w:ascii="Times" w:hAnsi="Times"/>
              </w:rPr>
            </w:pPr>
            <w:r w:rsidRPr="003C6DEF">
              <w:t>Total n</w:t>
            </w:r>
            <w:r w:rsidR="00594B95" w:rsidRPr="003C6DEF">
              <w:t>umber of patients treated</w:t>
            </w:r>
            <w:r w:rsidR="00594B95" w:rsidRPr="003C6DEF">
              <w:rPr>
                <w:vertAlign w:val="superscript"/>
              </w:rPr>
              <w:t>a</w:t>
            </w:r>
          </w:p>
        </w:tc>
        <w:tc>
          <w:tcPr>
            <w:tcW w:w="550" w:type="pct"/>
            <w:shd w:val="clear" w:color="auto" w:fill="auto"/>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c>
          <w:tcPr>
            <w:tcW w:w="629" w:type="pct"/>
            <w:shd w:val="clear" w:color="auto" w:fill="auto"/>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c>
          <w:tcPr>
            <w:tcW w:w="629" w:type="pct"/>
            <w:shd w:val="clear" w:color="auto" w:fill="auto"/>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c>
          <w:tcPr>
            <w:tcW w:w="629" w:type="pct"/>
            <w:shd w:val="clear" w:color="auto" w:fill="auto"/>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c>
          <w:tcPr>
            <w:tcW w:w="550" w:type="pct"/>
            <w:shd w:val="clear" w:color="auto" w:fill="auto"/>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c>
          <w:tcPr>
            <w:tcW w:w="601"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1</w:t>
            </w:r>
          </w:p>
        </w:tc>
      </w:tr>
      <w:tr w:rsidR="00594B95" w:rsidRPr="003639A6" w:rsidTr="000C6947">
        <w:tc>
          <w:tcPr>
            <w:tcW w:w="1412" w:type="pct"/>
            <w:shd w:val="clear" w:color="auto" w:fill="auto"/>
            <w:vAlign w:val="center"/>
          </w:tcPr>
          <w:p w:rsidR="00594B95" w:rsidRPr="003639A6" w:rsidRDefault="00594B95" w:rsidP="00563371">
            <w:pPr>
              <w:pStyle w:val="TableText0"/>
              <w:rPr>
                <w:rFonts w:ascii="Times" w:hAnsi="Times"/>
              </w:rPr>
            </w:pPr>
            <w:r w:rsidRPr="003639A6">
              <w:t xml:space="preserve">Number of </w:t>
            </w:r>
            <w:r>
              <w:t>scripts</w:t>
            </w:r>
            <w:r w:rsidRPr="003639A6">
              <w:t xml:space="preserve"> dispensed</w:t>
            </w:r>
            <w:r w:rsidRPr="003639A6">
              <w:rPr>
                <w:vertAlign w:val="superscript"/>
              </w:rPr>
              <w:t>a</w:t>
            </w:r>
          </w:p>
        </w:tc>
        <w:tc>
          <w:tcPr>
            <w:tcW w:w="550"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c>
          <w:tcPr>
            <w:tcW w:w="629"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c>
          <w:tcPr>
            <w:tcW w:w="629"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c>
          <w:tcPr>
            <w:tcW w:w="629"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c>
          <w:tcPr>
            <w:tcW w:w="550"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c>
          <w:tcPr>
            <w:tcW w:w="601" w:type="pct"/>
            <w:vAlign w:val="center"/>
          </w:tcPr>
          <w:p w:rsidR="00594B95" w:rsidRPr="00B74237" w:rsidRDefault="00B74237" w:rsidP="00563371">
            <w:pPr>
              <w:pStyle w:val="TableText0"/>
              <w:jc w:val="center"/>
              <w:rPr>
                <w:color w:val="000000"/>
              </w:rPr>
            </w:pPr>
            <w:r>
              <w:rPr>
                <w:noProof/>
                <w:color w:val="000000"/>
                <w:highlight w:val="black"/>
              </w:rPr>
              <w:t>''''''''''''''</w:t>
            </w:r>
            <w:r w:rsidR="00BC6C7F">
              <w:rPr>
                <w:sz w:val="19"/>
                <w:szCs w:val="19"/>
                <w:vertAlign w:val="superscript"/>
              </w:rPr>
              <w:t>2</w:t>
            </w:r>
          </w:p>
        </w:tc>
      </w:tr>
      <w:tr w:rsidR="00594B95" w:rsidRPr="00D1078F" w:rsidTr="00563371">
        <w:tc>
          <w:tcPr>
            <w:tcW w:w="5000" w:type="pct"/>
            <w:gridSpan w:val="7"/>
            <w:shd w:val="clear" w:color="auto" w:fill="auto"/>
            <w:vAlign w:val="center"/>
          </w:tcPr>
          <w:p w:rsidR="00594B95" w:rsidRPr="00D1078F" w:rsidRDefault="00594B95" w:rsidP="00563371">
            <w:pPr>
              <w:pStyle w:val="In-tableHeading"/>
            </w:pPr>
            <w:r w:rsidRPr="00D1078F">
              <w:t xml:space="preserve">Estimated </w:t>
            </w:r>
            <w:r>
              <w:t>financial implications of lacosamide</w:t>
            </w:r>
          </w:p>
        </w:tc>
      </w:tr>
      <w:tr w:rsidR="00594B95" w:rsidRPr="003639A6" w:rsidTr="000C6947">
        <w:tc>
          <w:tcPr>
            <w:tcW w:w="1412" w:type="pct"/>
            <w:shd w:val="clear" w:color="auto" w:fill="auto"/>
            <w:vAlign w:val="center"/>
          </w:tcPr>
          <w:p w:rsidR="00594B95" w:rsidRDefault="00594B95">
            <w:pPr>
              <w:pStyle w:val="TableText0"/>
              <w:rPr>
                <w:sz w:val="19"/>
                <w:szCs w:val="19"/>
              </w:rPr>
            </w:pPr>
            <w:r>
              <w:rPr>
                <w:sz w:val="19"/>
                <w:szCs w:val="19"/>
              </w:rPr>
              <w:t>Cost to PBS/RPBS less copayments</w:t>
            </w:r>
          </w:p>
        </w:tc>
        <w:tc>
          <w:tcPr>
            <w:tcW w:w="550"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550"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01"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r>
      <w:tr w:rsidR="00594B95" w:rsidRPr="003639A6" w:rsidTr="00563371">
        <w:tc>
          <w:tcPr>
            <w:tcW w:w="5000" w:type="pct"/>
            <w:gridSpan w:val="7"/>
            <w:shd w:val="clear" w:color="auto" w:fill="auto"/>
            <w:vAlign w:val="center"/>
          </w:tcPr>
          <w:p w:rsidR="00594B95" w:rsidRPr="0005643A" w:rsidRDefault="00594B95" w:rsidP="00563371">
            <w:pPr>
              <w:pStyle w:val="TableText0"/>
              <w:rPr>
                <w:b/>
              </w:rPr>
            </w:pPr>
            <w:r w:rsidRPr="0005643A">
              <w:rPr>
                <w:b/>
              </w:rPr>
              <w:t xml:space="preserve">Estimated financial implications for </w:t>
            </w:r>
            <w:r>
              <w:rPr>
                <w:b/>
              </w:rPr>
              <w:t>perampanel</w:t>
            </w:r>
          </w:p>
        </w:tc>
      </w:tr>
      <w:tr w:rsidR="00594B95" w:rsidRPr="003639A6" w:rsidTr="000C6947">
        <w:tc>
          <w:tcPr>
            <w:tcW w:w="1412" w:type="pct"/>
            <w:shd w:val="clear" w:color="auto" w:fill="auto"/>
            <w:vAlign w:val="center"/>
          </w:tcPr>
          <w:p w:rsidR="00594B95" w:rsidRDefault="00594B95" w:rsidP="00563371">
            <w:pPr>
              <w:pStyle w:val="TableText0"/>
              <w:rPr>
                <w:sz w:val="19"/>
                <w:szCs w:val="19"/>
              </w:rPr>
            </w:pPr>
            <w:r>
              <w:rPr>
                <w:sz w:val="19"/>
                <w:szCs w:val="19"/>
              </w:rPr>
              <w:t>Cost to PBS/RPBS less copayments</w:t>
            </w:r>
          </w:p>
        </w:tc>
        <w:tc>
          <w:tcPr>
            <w:tcW w:w="550" w:type="pct"/>
            <w:vAlign w:val="center"/>
          </w:tcPr>
          <w:p w:rsidR="00594B95" w:rsidRPr="00600F96"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550"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01"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r>
      <w:tr w:rsidR="00594B95" w:rsidRPr="00FC22AB" w:rsidTr="00563371">
        <w:tc>
          <w:tcPr>
            <w:tcW w:w="5000" w:type="pct"/>
            <w:gridSpan w:val="7"/>
            <w:shd w:val="clear" w:color="auto" w:fill="auto"/>
            <w:vAlign w:val="center"/>
          </w:tcPr>
          <w:p w:rsidR="00594B95" w:rsidRPr="00FC22AB" w:rsidRDefault="00594B95" w:rsidP="00563371">
            <w:pPr>
              <w:pStyle w:val="In-tableHeading"/>
            </w:pPr>
            <w:r w:rsidRPr="00FC22AB">
              <w:t>Net financial implications</w:t>
            </w:r>
            <w:r w:rsidRPr="00FC22AB">
              <w:rPr>
                <w:color w:val="4BACC6" w:themeColor="accent5"/>
              </w:rPr>
              <w:t xml:space="preserve"> </w:t>
            </w:r>
          </w:p>
        </w:tc>
      </w:tr>
      <w:tr w:rsidR="00594B95" w:rsidRPr="003639A6" w:rsidTr="000C6947">
        <w:tc>
          <w:tcPr>
            <w:tcW w:w="1412" w:type="pct"/>
            <w:shd w:val="clear" w:color="auto" w:fill="auto"/>
            <w:vAlign w:val="center"/>
          </w:tcPr>
          <w:p w:rsidR="00594B95" w:rsidRDefault="00594B95" w:rsidP="00563371">
            <w:pPr>
              <w:pStyle w:val="TableText0"/>
              <w:rPr>
                <w:sz w:val="19"/>
                <w:szCs w:val="19"/>
              </w:rPr>
            </w:pPr>
            <w:r>
              <w:rPr>
                <w:sz w:val="19"/>
                <w:szCs w:val="19"/>
              </w:rPr>
              <w:t>Net cost to PBS/RPBS</w:t>
            </w:r>
          </w:p>
        </w:tc>
        <w:tc>
          <w:tcPr>
            <w:tcW w:w="550"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29"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550"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c>
          <w:tcPr>
            <w:tcW w:w="601" w:type="pct"/>
            <w:vAlign w:val="center"/>
          </w:tcPr>
          <w:p w:rsidR="00594B95" w:rsidRPr="00B74237" w:rsidRDefault="00594B95" w:rsidP="00563371">
            <w:pPr>
              <w:pStyle w:val="TableText0"/>
              <w:jc w:val="center"/>
            </w:pPr>
            <w:r w:rsidRPr="00600F96">
              <w:t>$</w:t>
            </w:r>
            <w:r w:rsidR="00B74237">
              <w:rPr>
                <w:noProof/>
                <w:color w:val="000000"/>
                <w:highlight w:val="black"/>
              </w:rPr>
              <w:t>''''''''''''''''''</w:t>
            </w:r>
            <w:r w:rsidR="00BC6C7F">
              <w:rPr>
                <w:sz w:val="19"/>
                <w:szCs w:val="19"/>
                <w:vertAlign w:val="superscript"/>
              </w:rPr>
              <w:t>3</w:t>
            </w:r>
          </w:p>
        </w:tc>
      </w:tr>
    </w:tbl>
    <w:p w:rsidR="00594B95" w:rsidRPr="003C6DEF" w:rsidRDefault="00594B95" w:rsidP="00594B95">
      <w:pPr>
        <w:pStyle w:val="TableFigureFooter"/>
      </w:pPr>
      <w:r w:rsidRPr="003C6DEF">
        <w:t xml:space="preserve">Source: Compiled during evaluation using Tables 4.2.4 p85, Table 4.2.6, p86 and Table 4.4.1, p90 of the submission </w:t>
      </w:r>
    </w:p>
    <w:p w:rsidR="00BC6C7F" w:rsidRDefault="00594B95" w:rsidP="00594B95">
      <w:pPr>
        <w:pStyle w:val="TableFigureFooter"/>
      </w:pPr>
      <w:r w:rsidRPr="003C6DEF">
        <w:rPr>
          <w:vertAlign w:val="superscript"/>
        </w:rPr>
        <w:t xml:space="preserve">a </w:t>
      </w:r>
      <w:r w:rsidRPr="003C6DEF">
        <w:t>The total number of the patients is calculated during the evaluation by adding the approximate number of patients ≥12 years (which is calculated by dividing estimated annual scripts in Table 4.8, p149 of the submission by 13), and the number estimated paediatric patients aged 4-11 years (Table 4.4, p147).</w:t>
      </w:r>
    </w:p>
    <w:p w:rsidR="00BC6C7F" w:rsidRDefault="00BC6C7F" w:rsidP="00BC6C7F">
      <w:pPr>
        <w:pStyle w:val="TableFigureFooter"/>
        <w:spacing w:after="0"/>
        <w:contextualSpacing w:val="0"/>
        <w:rPr>
          <w:i/>
        </w:rPr>
      </w:pPr>
      <w:r w:rsidRPr="009868C4">
        <w:rPr>
          <w:i/>
        </w:rPr>
        <w:t>The redacted values correspond to the following ranges</w:t>
      </w:r>
      <w:r>
        <w:rPr>
          <w:i/>
        </w:rPr>
        <w:t xml:space="preserve">: </w:t>
      </w:r>
    </w:p>
    <w:p w:rsidR="00BC6C7F" w:rsidRPr="00B74237" w:rsidRDefault="00BC6C7F" w:rsidP="00BC6C7F">
      <w:pPr>
        <w:pStyle w:val="TableFigureFooter"/>
        <w:rPr>
          <w:i/>
        </w:rPr>
      </w:pPr>
      <w:r>
        <w:rPr>
          <w:i/>
          <w:vertAlign w:val="superscript"/>
        </w:rPr>
        <w:t xml:space="preserve">1 </w:t>
      </w:r>
      <w:r w:rsidRPr="00B74237">
        <w:rPr>
          <w:i/>
        </w:rPr>
        <w:t>&lt; 500</w:t>
      </w:r>
    </w:p>
    <w:p w:rsidR="00BC6C7F" w:rsidRDefault="00BC6C7F" w:rsidP="00BC6C7F">
      <w:pPr>
        <w:pStyle w:val="TableFigureFooter"/>
        <w:spacing w:after="0"/>
        <w:contextualSpacing w:val="0"/>
        <w:rPr>
          <w:i/>
        </w:rPr>
      </w:pPr>
      <w:r>
        <w:rPr>
          <w:i/>
          <w:vertAlign w:val="superscript"/>
        </w:rPr>
        <w:t xml:space="preserve">2 </w:t>
      </w:r>
      <w:r w:rsidRPr="00B74237">
        <w:rPr>
          <w:i/>
        </w:rPr>
        <w:t>500 to &lt; 5,000</w:t>
      </w:r>
    </w:p>
    <w:p w:rsidR="00594B95" w:rsidRPr="00B74237" w:rsidRDefault="00BC6C7F" w:rsidP="00B74237">
      <w:pPr>
        <w:pStyle w:val="TableFigureFooter"/>
        <w:spacing w:after="0"/>
        <w:contextualSpacing w:val="0"/>
        <w:rPr>
          <w:i/>
        </w:rPr>
      </w:pPr>
      <w:r>
        <w:rPr>
          <w:i/>
          <w:vertAlign w:val="superscript"/>
        </w:rPr>
        <w:t xml:space="preserve">3 </w:t>
      </w:r>
      <w:r w:rsidRPr="00BC6C7F">
        <w:rPr>
          <w:i/>
        </w:rPr>
        <w:t>$0 to &lt; $10 million</w:t>
      </w:r>
    </w:p>
    <w:p w:rsidR="003916DE" w:rsidRPr="003C6DEF" w:rsidRDefault="003916DE" w:rsidP="003916DE"/>
    <w:p w:rsidR="005C050A" w:rsidRPr="002A2062" w:rsidRDefault="003B16BF" w:rsidP="005C050A">
      <w:pPr>
        <w:pStyle w:val="3-BodyText"/>
      </w:pPr>
      <w:r>
        <w:t>A</w:t>
      </w:r>
      <w:r w:rsidR="00075E3F" w:rsidRPr="00AB53FB">
        <w:t xml:space="preserve"> proportion </w:t>
      </w:r>
      <w:r w:rsidR="005C050A" w:rsidRPr="00AB53FB">
        <w:t>of lacosamide</w:t>
      </w:r>
      <w:r w:rsidR="005C050A" w:rsidRPr="003C6DEF">
        <w:t xml:space="preserve"> use </w:t>
      </w:r>
      <w:r>
        <w:t>will</w:t>
      </w:r>
      <w:r w:rsidR="005C050A" w:rsidRPr="003C6DEF">
        <w:t xml:space="preserve"> be in patients aged 4-11 years</w:t>
      </w:r>
      <w:r>
        <w:t>;</w:t>
      </w:r>
      <w:r w:rsidR="0086041D">
        <w:t xml:space="preserve"> </w:t>
      </w:r>
      <w:r w:rsidR="005C050A" w:rsidRPr="003C6DEF">
        <w:t xml:space="preserve">perampanel is not listed </w:t>
      </w:r>
      <w:r w:rsidR="001C40C9">
        <w:t xml:space="preserve">for this </w:t>
      </w:r>
      <w:r w:rsidR="001C40C9" w:rsidRPr="002A2062">
        <w:t xml:space="preserve">population </w:t>
      </w:r>
      <w:r w:rsidR="005C050A" w:rsidRPr="002A2062">
        <w:t>and will not be substituted</w:t>
      </w:r>
      <w:r>
        <w:t>, resulting in a net financial cost</w:t>
      </w:r>
      <w:r w:rsidRPr="003C6DEF">
        <w:t xml:space="preserve"> to the PBS/RPBS</w:t>
      </w:r>
      <w:r w:rsidR="005C050A" w:rsidRPr="002A2062">
        <w:t xml:space="preserve">. </w:t>
      </w:r>
      <w:r w:rsidR="0060070C">
        <w:t>The s</w:t>
      </w:r>
      <w:r w:rsidR="00D1351A" w:rsidRPr="002A2062">
        <w:t xml:space="preserve">ponsor stated in the PSCR that </w:t>
      </w:r>
      <w:r w:rsidR="00075E3F" w:rsidRPr="002A2062">
        <w:t xml:space="preserve">a small net cost can be expected for this population of </w:t>
      </w:r>
      <w:r w:rsidR="00600F96">
        <w:t>&lt; 500</w:t>
      </w:r>
      <w:r w:rsidR="00075E3F" w:rsidRPr="002A2062">
        <w:t xml:space="preserve"> to </w:t>
      </w:r>
      <w:r w:rsidR="00600F96">
        <w:t>&lt; 500</w:t>
      </w:r>
      <w:r w:rsidR="00075E3F" w:rsidRPr="002A2062">
        <w:t xml:space="preserve"> patients per year (Years 1 to 6, respectively), totalling one third (33%) of all </w:t>
      </w:r>
      <w:r>
        <w:t>lacosamide</w:t>
      </w:r>
      <w:r w:rsidRPr="002A2062">
        <w:t xml:space="preserve"> </w:t>
      </w:r>
      <w:r w:rsidR="00075E3F" w:rsidRPr="002A2062">
        <w:t>scripts.</w:t>
      </w:r>
    </w:p>
    <w:p w:rsidR="00D52110" w:rsidRPr="001159D8" w:rsidRDefault="005C050A" w:rsidP="001159D8">
      <w:pPr>
        <w:pStyle w:val="3-BodyText"/>
      </w:pPr>
      <w:r w:rsidRPr="003C6DEF">
        <w:t>The submission estimated that 0.40% of the population aged 4 – 11 years had epilepsy, of which 18% had IGE, 66.7% with PGTCS and 12.1% would be eligible for drug-</w:t>
      </w:r>
      <w:r w:rsidRPr="003C6DEF">
        <w:lastRenderedPageBreak/>
        <w:t>refractory adjunctive treatment. The submission assumed 15% of patients would use the oral solution (which was 65.5% for lacosamide POS) and remaining patients would use tablets. There were uncertainties in the estimation of prevalence of epilepsy, proportion of patients with IGE, IGE with PGTCS, and refractory patients, which the submission addressed by sensitivity analysis. However, the uptake rate is the major source of uncertainty, since this assumption is based on perampanel PGTCS upt</w:t>
      </w:r>
      <w:r w:rsidR="0069713D">
        <w:t>ake rate in 2 full years (24%).</w:t>
      </w:r>
    </w:p>
    <w:p w:rsidR="00A25413" w:rsidRPr="00C3432C" w:rsidRDefault="00A25413" w:rsidP="00A25413">
      <w:pPr>
        <w:pStyle w:val="4-SubsectionHeading"/>
      </w:pPr>
      <w:bookmarkStart w:id="28" w:name="_Toc22897649"/>
      <w:bookmarkStart w:id="29" w:name="_Toc62042748"/>
      <w:r w:rsidRPr="00C3432C">
        <w:t>Financial Management – Risk Sharing Arrangements</w:t>
      </w:r>
      <w:bookmarkEnd w:id="28"/>
      <w:bookmarkEnd w:id="29"/>
    </w:p>
    <w:p w:rsidR="00AF5C16" w:rsidRPr="003C6DEF" w:rsidRDefault="005C050A" w:rsidP="00D24674">
      <w:pPr>
        <w:pStyle w:val="3-BodyText"/>
      </w:pPr>
      <w:r w:rsidRPr="003C6DEF">
        <w:t>The submission did not propose any</w:t>
      </w:r>
      <w:r w:rsidR="0033031E" w:rsidRPr="003C6DEF">
        <w:t xml:space="preserve"> RSA</w:t>
      </w:r>
      <w:r w:rsidRPr="003C6DEF">
        <w:t>. The RSA in place for the nominated comparator, perampanel, for the treatment of IGE with PGTCS (paragraph 6.63, perampanel PSD</w:t>
      </w:r>
      <w:r w:rsidR="00530674">
        <w:t>,</w:t>
      </w:r>
      <w:r w:rsidRPr="003C6DEF">
        <w:t xml:space="preserve"> July 2017) was not acknowledged in the submission. </w:t>
      </w:r>
    </w:p>
    <w:p w:rsidR="00DA7018" w:rsidRDefault="00F024E5" w:rsidP="00DA7018">
      <w:pPr>
        <w:pStyle w:val="3-BodyText"/>
      </w:pPr>
      <w:r w:rsidRPr="003C6DEF">
        <w:t>Lacosamide is already listed for the treatment of intractable partial epileptic seizures and there is a price-volume based RSA in place for lacosamide, in conjunction with brivaracetam and perampanel</w:t>
      </w:r>
      <w:r w:rsidR="00034A69" w:rsidRPr="003C6DEF">
        <w:t>,</w:t>
      </w:r>
      <w:r w:rsidRPr="003C6DEF">
        <w:t xml:space="preserve"> for this indication.</w:t>
      </w:r>
    </w:p>
    <w:p w:rsidR="002A7D1A" w:rsidRPr="00C3432C" w:rsidRDefault="002A7D1A" w:rsidP="002A7D1A">
      <w:pPr>
        <w:pStyle w:val="3-BodyText"/>
        <w:numPr>
          <w:ilvl w:val="0"/>
          <w:numId w:val="0"/>
        </w:numPr>
        <w:ind w:left="720"/>
      </w:pPr>
      <w:r w:rsidRPr="00525B39">
        <w:rPr>
          <w:i/>
        </w:rPr>
        <w:t>For more detail on PBAC’s view, see section 7 PBAC outcome.</w:t>
      </w:r>
    </w:p>
    <w:p w:rsidR="00AB2D25" w:rsidRPr="00D52702" w:rsidRDefault="00AB2D25" w:rsidP="00AB2D25">
      <w:pPr>
        <w:pStyle w:val="2-SectionHeading"/>
      </w:pPr>
      <w:r w:rsidRPr="00D52702">
        <w:t>PBAC Outcome</w:t>
      </w:r>
    </w:p>
    <w:p w:rsidR="00AB2D25" w:rsidRPr="00525B39" w:rsidRDefault="00D30B2F" w:rsidP="00AB2D25">
      <w:pPr>
        <w:widowControl w:val="0"/>
        <w:numPr>
          <w:ilvl w:val="1"/>
          <w:numId w:val="1"/>
        </w:numPr>
        <w:spacing w:after="120"/>
        <w:rPr>
          <w:rFonts w:asciiTheme="minorHAnsi" w:hAnsiTheme="minorHAnsi"/>
          <w:bCs/>
          <w:snapToGrid w:val="0"/>
          <w:lang w:val="en-GB"/>
        </w:rPr>
      </w:pPr>
      <w:r w:rsidRPr="00525B39">
        <w:rPr>
          <w:rFonts w:asciiTheme="minorHAnsi" w:hAnsiTheme="minorHAnsi"/>
          <w:bCs/>
          <w:lang w:val="en-GB"/>
        </w:rPr>
        <w:t xml:space="preserve">The PBAC recommended the </w:t>
      </w:r>
      <w:r w:rsidR="00A5195E">
        <w:rPr>
          <w:rFonts w:asciiTheme="minorHAnsi" w:hAnsiTheme="minorHAnsi"/>
          <w:bCs/>
          <w:lang w:val="en-GB"/>
        </w:rPr>
        <w:t xml:space="preserve">Authority Required (STREAMLINED) </w:t>
      </w:r>
      <w:r w:rsidRPr="00525B39">
        <w:rPr>
          <w:rFonts w:asciiTheme="minorHAnsi" w:hAnsiTheme="minorHAnsi"/>
          <w:bCs/>
          <w:lang w:val="en-GB"/>
        </w:rPr>
        <w:t xml:space="preserve">listing of </w:t>
      </w:r>
      <w:r w:rsidR="00010DA6">
        <w:rPr>
          <w:rFonts w:asciiTheme="minorHAnsi" w:hAnsiTheme="minorHAnsi"/>
          <w:bCs/>
          <w:lang w:val="en-GB"/>
        </w:rPr>
        <w:t xml:space="preserve">lacosamide </w:t>
      </w:r>
      <w:r w:rsidR="00010DA6" w:rsidDel="00A5195E">
        <w:rPr>
          <w:rFonts w:asciiTheme="minorHAnsi" w:hAnsiTheme="minorHAnsi"/>
          <w:bCs/>
          <w:lang w:val="en-GB"/>
        </w:rPr>
        <w:t>for</w:t>
      </w:r>
      <w:r>
        <w:rPr>
          <w:rFonts w:asciiTheme="minorHAnsi" w:hAnsiTheme="minorHAnsi"/>
          <w:bCs/>
          <w:lang w:val="en-GB"/>
        </w:rPr>
        <w:t xml:space="preserve"> the treatment of </w:t>
      </w:r>
      <w:r w:rsidRPr="004417FF">
        <w:t>patients with idiopathic generalised epilepsy (IGE) with primary generalised tonic-clonic seizures (PGTCS)</w:t>
      </w:r>
      <w:r>
        <w:t xml:space="preserve">. </w:t>
      </w:r>
      <w:r>
        <w:rPr>
          <w:rFonts w:asciiTheme="minorHAnsi" w:hAnsiTheme="minorHAnsi"/>
          <w:bCs/>
          <w:lang w:val="en-GB"/>
        </w:rPr>
        <w:t>The PBAC’s recommendation for listing was based on, among other matters, its assessment that</w:t>
      </w:r>
      <w:r w:rsidR="00A5195E">
        <w:rPr>
          <w:rFonts w:asciiTheme="minorHAnsi" w:hAnsiTheme="minorHAnsi"/>
          <w:bCs/>
          <w:lang w:val="en-GB"/>
        </w:rPr>
        <w:t xml:space="preserve"> the cost-effectiveness of lacosamide would be acceptable if it were cos</w:t>
      </w:r>
      <w:r w:rsidR="00023B11">
        <w:rPr>
          <w:rFonts w:asciiTheme="minorHAnsi" w:hAnsiTheme="minorHAnsi"/>
          <w:bCs/>
          <w:lang w:val="en-GB"/>
        </w:rPr>
        <w:t>t-minimised against perampanel.</w:t>
      </w:r>
    </w:p>
    <w:p w:rsidR="00AB2D25" w:rsidRPr="00F64D74" w:rsidRDefault="00C73EF4" w:rsidP="00F64D74">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considered that there is a</w:t>
      </w:r>
      <w:r w:rsidR="008F7327">
        <w:rPr>
          <w:rFonts w:asciiTheme="minorHAnsi" w:hAnsiTheme="minorHAnsi"/>
          <w:bCs/>
          <w:snapToGrid w:val="0"/>
          <w:lang w:val="en-GB"/>
        </w:rPr>
        <w:t>n</w:t>
      </w:r>
      <w:r w:rsidRPr="00C73EF4">
        <w:rPr>
          <w:rFonts w:asciiTheme="minorHAnsi" w:hAnsiTheme="minorHAnsi"/>
          <w:bCs/>
          <w:snapToGrid w:val="0"/>
        </w:rPr>
        <w:t xml:space="preserve"> unmet</w:t>
      </w:r>
      <w:r w:rsidR="008F7327">
        <w:rPr>
          <w:rFonts w:asciiTheme="minorHAnsi" w:hAnsiTheme="minorHAnsi"/>
          <w:bCs/>
          <w:snapToGrid w:val="0"/>
        </w:rPr>
        <w:t xml:space="preserve"> clinical</w:t>
      </w:r>
      <w:r w:rsidRPr="00C73EF4">
        <w:rPr>
          <w:rFonts w:asciiTheme="minorHAnsi" w:hAnsiTheme="minorHAnsi"/>
          <w:bCs/>
          <w:snapToGrid w:val="0"/>
        </w:rPr>
        <w:t xml:space="preserve"> need </w:t>
      </w:r>
      <w:r w:rsidR="00F64D74">
        <w:rPr>
          <w:rFonts w:asciiTheme="minorHAnsi" w:hAnsiTheme="minorHAnsi"/>
          <w:bCs/>
          <w:snapToGrid w:val="0"/>
        </w:rPr>
        <w:t>in</w:t>
      </w:r>
      <w:r w:rsidRPr="00C73EF4">
        <w:rPr>
          <w:rFonts w:asciiTheme="minorHAnsi" w:hAnsiTheme="minorHAnsi"/>
          <w:bCs/>
          <w:snapToGrid w:val="0"/>
        </w:rPr>
        <w:t xml:space="preserve"> this patient population</w:t>
      </w:r>
      <w:r>
        <w:rPr>
          <w:rFonts w:asciiTheme="minorHAnsi" w:hAnsiTheme="minorHAnsi"/>
          <w:bCs/>
          <w:snapToGrid w:val="0"/>
        </w:rPr>
        <w:t>, and noted that up to 30% of patients who are treated with currently available AEDs have insufficient seizure control or unacceptable drug tolerability.</w:t>
      </w:r>
      <w:r w:rsidR="00156640">
        <w:rPr>
          <w:rFonts w:asciiTheme="minorHAnsi" w:hAnsiTheme="minorHAnsi"/>
          <w:bCs/>
          <w:snapToGrid w:val="0"/>
        </w:rPr>
        <w:t xml:space="preserve"> The PBAC acknowledged the Consumer Comment from the National Paediatric Medicines Forum, that the PBS listing of lacosamide would </w:t>
      </w:r>
      <w:r w:rsidR="00095654">
        <w:rPr>
          <w:rFonts w:asciiTheme="minorHAnsi" w:hAnsiTheme="minorHAnsi"/>
          <w:bCs/>
          <w:snapToGrid w:val="0"/>
        </w:rPr>
        <w:t xml:space="preserve">particularly </w:t>
      </w:r>
      <w:r w:rsidR="00156640">
        <w:rPr>
          <w:rFonts w:asciiTheme="minorHAnsi" w:hAnsiTheme="minorHAnsi"/>
          <w:bCs/>
          <w:snapToGrid w:val="0"/>
        </w:rPr>
        <w:t>benefit paediatric patients</w:t>
      </w:r>
      <w:r w:rsidR="00095654">
        <w:rPr>
          <w:rFonts w:asciiTheme="minorHAnsi" w:hAnsiTheme="minorHAnsi"/>
          <w:bCs/>
          <w:snapToGrid w:val="0"/>
        </w:rPr>
        <w:t xml:space="preserve"> by allowing easy dosing administration in children due to the number of strengths available.</w:t>
      </w:r>
    </w:p>
    <w:p w:rsidR="00AB2D25" w:rsidRPr="005B0D31" w:rsidRDefault="00092DA9" w:rsidP="005B0D31">
      <w:pPr>
        <w:widowControl w:val="0"/>
        <w:numPr>
          <w:ilvl w:val="1"/>
          <w:numId w:val="1"/>
        </w:numPr>
        <w:spacing w:after="120"/>
        <w:rPr>
          <w:bCs/>
          <w:lang w:val="en-GB"/>
        </w:rPr>
      </w:pPr>
      <w:r>
        <w:rPr>
          <w:rFonts w:asciiTheme="minorHAnsi" w:hAnsiTheme="minorHAnsi"/>
          <w:bCs/>
          <w:snapToGrid w:val="0"/>
          <w:lang w:val="en-GB"/>
        </w:rPr>
        <w:t xml:space="preserve">The PBAC noted the accepted framework for diagnosing and classifying epilepsy has evolved and noted that the </w:t>
      </w:r>
      <w:r w:rsidR="0060070C">
        <w:rPr>
          <w:rFonts w:asciiTheme="minorHAnsi" w:hAnsiTheme="minorHAnsi"/>
          <w:bCs/>
          <w:snapToGrid w:val="0"/>
          <w:lang w:val="en-GB"/>
        </w:rPr>
        <w:t>s</w:t>
      </w:r>
      <w:r>
        <w:rPr>
          <w:rFonts w:asciiTheme="minorHAnsi" w:hAnsiTheme="minorHAnsi"/>
          <w:bCs/>
          <w:snapToGrid w:val="0"/>
          <w:lang w:val="en-GB"/>
        </w:rPr>
        <w:t xml:space="preserve">ponsor is committed to working with the Department of Health to ensure </w:t>
      </w:r>
      <w:r w:rsidRPr="00092DA9">
        <w:rPr>
          <w:bCs/>
          <w:lang w:val="en-US"/>
        </w:rPr>
        <w:t>terminology used in the restriction wording appropriately reflects accepted clinical nomenclature and the intended use of these medicines</w:t>
      </w:r>
      <w:r>
        <w:rPr>
          <w:bCs/>
          <w:lang w:val="en-US"/>
        </w:rPr>
        <w:t>.</w:t>
      </w:r>
    </w:p>
    <w:p w:rsidR="00E13A42" w:rsidRPr="00E13A42" w:rsidRDefault="00E13A42" w:rsidP="00092DA9">
      <w:pPr>
        <w:widowControl w:val="0"/>
        <w:numPr>
          <w:ilvl w:val="1"/>
          <w:numId w:val="1"/>
        </w:numPr>
        <w:spacing w:after="120"/>
        <w:rPr>
          <w:bCs/>
        </w:rPr>
      </w:pPr>
      <w:r>
        <w:rPr>
          <w:rFonts w:asciiTheme="minorHAnsi" w:hAnsiTheme="minorHAnsi"/>
          <w:bCs/>
          <w:snapToGrid w:val="0"/>
          <w:lang w:val="en-GB"/>
        </w:rPr>
        <w:t xml:space="preserve">The PBAC considered that </w:t>
      </w:r>
      <w:r w:rsidR="00A5195E">
        <w:rPr>
          <w:rFonts w:asciiTheme="minorHAnsi" w:hAnsiTheme="minorHAnsi"/>
          <w:bCs/>
          <w:snapToGrid w:val="0"/>
          <w:lang w:val="en-GB"/>
        </w:rPr>
        <w:t xml:space="preserve">the </w:t>
      </w:r>
      <w:r>
        <w:rPr>
          <w:rFonts w:asciiTheme="minorHAnsi" w:hAnsiTheme="minorHAnsi"/>
          <w:bCs/>
          <w:snapToGrid w:val="0"/>
          <w:lang w:val="en-GB"/>
        </w:rPr>
        <w:t>lacosamide restriction should specify initiation by either a neurologist or paediatrician, rather than a neurologist only, to allow prescribing flexibility in generalised epilepsy, which often occurs from childhood.</w:t>
      </w:r>
    </w:p>
    <w:p w:rsidR="00AB2D25" w:rsidRPr="00F54E7A" w:rsidRDefault="00E13A42" w:rsidP="00F54E7A">
      <w:pPr>
        <w:widowControl w:val="0"/>
        <w:numPr>
          <w:ilvl w:val="1"/>
          <w:numId w:val="1"/>
        </w:numPr>
        <w:spacing w:after="120"/>
        <w:rPr>
          <w:bCs/>
        </w:rPr>
      </w:pPr>
      <w:r>
        <w:rPr>
          <w:rFonts w:asciiTheme="minorHAnsi" w:hAnsiTheme="minorHAnsi"/>
          <w:bCs/>
          <w:snapToGrid w:val="0"/>
          <w:lang w:val="en-GB"/>
        </w:rPr>
        <w:t>The proposed clinical place of lacosamide was accepted by the PBAC as</w:t>
      </w:r>
      <w:r w:rsidRPr="008E41D1">
        <w:t xml:space="preserve"> add on-therapy in patients who have fai</w:t>
      </w:r>
      <w:r>
        <w:t>led at least 2 prior treatments</w:t>
      </w:r>
      <w:r w:rsidRPr="008E41D1">
        <w:t xml:space="preserve"> and remain uncontrolled despite the use of 1 concomitant treatment.</w:t>
      </w:r>
      <w:r>
        <w:t xml:space="preserve"> </w:t>
      </w:r>
      <w:r>
        <w:rPr>
          <w:rFonts w:asciiTheme="minorHAnsi" w:hAnsiTheme="minorHAnsi"/>
          <w:bCs/>
          <w:snapToGrid w:val="0"/>
          <w:lang w:val="en-GB"/>
        </w:rPr>
        <w:t xml:space="preserve">The PBAC considered that </w:t>
      </w:r>
      <w:r>
        <w:rPr>
          <w:rFonts w:asciiTheme="minorHAnsi" w:hAnsiTheme="minorHAnsi"/>
          <w:bCs/>
          <w:snapToGrid w:val="0"/>
          <w:lang w:val="en-GB"/>
        </w:rPr>
        <w:lastRenderedPageBreak/>
        <w:t>the lacosamide trial participants were adequately reflective of the refractory patient population targeted in the requested restriction.</w:t>
      </w:r>
    </w:p>
    <w:p w:rsidR="00AB2D25" w:rsidRPr="00525B39" w:rsidRDefault="009B7A74" w:rsidP="00AB2D25">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that while </w:t>
      </w:r>
      <w:r w:rsidR="00BC5796">
        <w:rPr>
          <w:rFonts w:asciiTheme="minorHAnsi" w:hAnsiTheme="minorHAnsi"/>
          <w:bCs/>
          <w:snapToGrid w:val="0"/>
          <w:lang w:val="en-GB"/>
        </w:rPr>
        <w:t xml:space="preserve">lacosamide may substitute for </w:t>
      </w:r>
      <w:r w:rsidR="007D1DAB">
        <w:rPr>
          <w:rFonts w:asciiTheme="minorHAnsi" w:hAnsiTheme="minorHAnsi"/>
          <w:bCs/>
          <w:snapToGrid w:val="0"/>
          <w:lang w:val="en-GB"/>
        </w:rPr>
        <w:t>other AEDs or placebo</w:t>
      </w:r>
      <w:r w:rsidR="00BC5796">
        <w:rPr>
          <w:rFonts w:asciiTheme="minorHAnsi" w:hAnsiTheme="minorHAnsi"/>
          <w:bCs/>
          <w:snapToGrid w:val="0"/>
          <w:lang w:val="en-GB"/>
        </w:rPr>
        <w:t xml:space="preserve"> in clinical practice, perampanel was the appropriate main comparator as it was most likely to be replaced.</w:t>
      </w:r>
      <w:r w:rsidR="00EE0AAE">
        <w:rPr>
          <w:rFonts w:asciiTheme="minorHAnsi" w:hAnsiTheme="minorHAnsi"/>
          <w:bCs/>
          <w:snapToGrid w:val="0"/>
          <w:lang w:val="en-GB"/>
        </w:rPr>
        <w:t xml:space="preserve"> </w:t>
      </w:r>
    </w:p>
    <w:p w:rsidR="00903499" w:rsidRPr="004D60F2" w:rsidRDefault="0016290D" w:rsidP="00AB2D25">
      <w:pPr>
        <w:widowControl w:val="0"/>
        <w:numPr>
          <w:ilvl w:val="1"/>
          <w:numId w:val="1"/>
        </w:numPr>
        <w:spacing w:after="120"/>
        <w:rPr>
          <w:rFonts w:asciiTheme="minorHAnsi" w:hAnsiTheme="minorHAnsi"/>
          <w:bCs/>
          <w:snapToGrid w:val="0"/>
          <w:lang w:val="en-GB"/>
        </w:rPr>
      </w:pPr>
      <w:r w:rsidRPr="0016290D">
        <w:rPr>
          <w:rFonts w:asciiTheme="minorHAnsi" w:hAnsiTheme="minorHAnsi"/>
          <w:bCs/>
          <w:snapToGrid w:val="0"/>
          <w:lang w:val="en-GB"/>
        </w:rPr>
        <w:t xml:space="preserve">The PBAC noted the transitivity concerns </w:t>
      </w:r>
      <w:r>
        <w:t>between the lacosamide and perampanel</w:t>
      </w:r>
      <w:r w:rsidRPr="0016290D">
        <w:t xml:space="preserve"> trials involved in the indirect comparison</w:t>
      </w:r>
      <w:r>
        <w:rPr>
          <w:rFonts w:asciiTheme="minorHAnsi" w:hAnsiTheme="minorHAnsi"/>
          <w:bCs/>
          <w:snapToGrid w:val="0"/>
          <w:lang w:val="en-GB"/>
        </w:rPr>
        <w:t>, in terms of patient age</w:t>
      </w:r>
      <w:r w:rsidR="00832C21">
        <w:rPr>
          <w:rFonts w:asciiTheme="minorHAnsi" w:hAnsiTheme="minorHAnsi"/>
          <w:bCs/>
          <w:snapToGrid w:val="0"/>
          <w:lang w:val="en-GB"/>
        </w:rPr>
        <w:t xml:space="preserve"> (</w:t>
      </w:r>
      <w:r w:rsidR="00832C21">
        <w:rPr>
          <w:rFonts w:asciiTheme="minorHAnsi" w:hAnsiTheme="minorHAnsi" w:cstheme="minorHAnsi"/>
          <w:bCs/>
          <w:snapToGrid w:val="0"/>
          <w:lang w:val="en-GB"/>
        </w:rPr>
        <w:t>≥</w:t>
      </w:r>
      <w:r w:rsidR="00832C21">
        <w:rPr>
          <w:rFonts w:asciiTheme="minorHAnsi" w:hAnsiTheme="minorHAnsi"/>
          <w:bCs/>
          <w:snapToGrid w:val="0"/>
          <w:lang w:val="en-GB"/>
        </w:rPr>
        <w:t xml:space="preserve">4 years for lacosamide and </w:t>
      </w:r>
      <w:r w:rsidR="00832C21">
        <w:rPr>
          <w:rFonts w:asciiTheme="minorHAnsi" w:hAnsiTheme="minorHAnsi" w:cstheme="minorHAnsi"/>
          <w:bCs/>
          <w:snapToGrid w:val="0"/>
          <w:lang w:val="en-GB"/>
        </w:rPr>
        <w:t>≥</w:t>
      </w:r>
      <w:r w:rsidR="00832C21">
        <w:rPr>
          <w:rFonts w:asciiTheme="minorHAnsi" w:hAnsiTheme="minorHAnsi"/>
          <w:bCs/>
          <w:snapToGrid w:val="0"/>
          <w:lang w:val="en-GB"/>
        </w:rPr>
        <w:t>12 years for perampanel)</w:t>
      </w:r>
      <w:r>
        <w:rPr>
          <w:rFonts w:asciiTheme="minorHAnsi" w:hAnsiTheme="minorHAnsi"/>
          <w:bCs/>
          <w:snapToGrid w:val="0"/>
          <w:lang w:val="en-GB"/>
        </w:rPr>
        <w:t>, background AEDs</w:t>
      </w:r>
      <w:r w:rsidR="00832C21">
        <w:rPr>
          <w:rFonts w:asciiTheme="minorHAnsi" w:hAnsiTheme="minorHAnsi"/>
          <w:bCs/>
          <w:snapToGrid w:val="0"/>
          <w:lang w:val="en-GB"/>
        </w:rPr>
        <w:t>,</w:t>
      </w:r>
      <w:r w:rsidR="004F302F">
        <w:rPr>
          <w:rFonts w:asciiTheme="minorHAnsi" w:hAnsiTheme="minorHAnsi"/>
          <w:bCs/>
          <w:snapToGrid w:val="0"/>
          <w:lang w:val="en-GB"/>
        </w:rPr>
        <w:t xml:space="preserve"> and titration/maintenance periods. However, the PBAC acknowledged the </w:t>
      </w:r>
      <w:r w:rsidR="004F302F" w:rsidRPr="004B54E8">
        <w:rPr>
          <w:rFonts w:eastAsia="Calibri"/>
        </w:rPr>
        <w:t>challenges in conducting indirect comparisons in this population</w:t>
      </w:r>
      <w:r w:rsidR="004F302F">
        <w:rPr>
          <w:rFonts w:eastAsia="Calibri"/>
        </w:rPr>
        <w:t xml:space="preserve"> in terms of both the therapeutic area and the difficulty of enrolling younger patients in epilepsy trials.</w:t>
      </w:r>
    </w:p>
    <w:p w:rsidR="006A3379" w:rsidRDefault="006A3379" w:rsidP="004D60F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PBAC noted significantly more patients treated with lacosamide achieved a 50% reduction in PGTCS frequency </w:t>
      </w:r>
      <w:r w:rsidR="00970A5C">
        <w:rPr>
          <w:rFonts w:asciiTheme="minorHAnsi" w:hAnsiTheme="minorHAnsi"/>
          <w:bCs/>
          <w:snapToGrid w:val="0"/>
          <w:lang w:val="en-GB"/>
        </w:rPr>
        <w:t xml:space="preserve">over 24 weeks compared to patients treated with placebo [risk difference 21.8% (95% CI: 9.6, 34.0)].  </w:t>
      </w:r>
      <w:r w:rsidR="004D60F2">
        <w:rPr>
          <w:rFonts w:asciiTheme="minorHAnsi" w:hAnsiTheme="minorHAnsi"/>
          <w:bCs/>
          <w:snapToGrid w:val="0"/>
          <w:lang w:val="en-GB"/>
        </w:rPr>
        <w:t>T</w:t>
      </w:r>
      <w:r w:rsidR="00CC4F28">
        <w:rPr>
          <w:rFonts w:asciiTheme="minorHAnsi" w:hAnsiTheme="minorHAnsi"/>
          <w:bCs/>
          <w:snapToGrid w:val="0"/>
          <w:lang w:val="en-GB"/>
        </w:rPr>
        <w:t xml:space="preserve">he PBAC noted that no </w:t>
      </w:r>
      <w:r w:rsidR="0016290D">
        <w:rPr>
          <w:rFonts w:asciiTheme="minorHAnsi" w:hAnsiTheme="minorHAnsi"/>
          <w:bCs/>
          <w:snapToGrid w:val="0"/>
          <w:lang w:val="en-GB"/>
        </w:rPr>
        <w:t>statistically</w:t>
      </w:r>
      <w:r w:rsidR="00CC4F28">
        <w:rPr>
          <w:rFonts w:asciiTheme="minorHAnsi" w:hAnsiTheme="minorHAnsi"/>
          <w:bCs/>
          <w:snapToGrid w:val="0"/>
          <w:lang w:val="en-GB"/>
        </w:rPr>
        <w:t xml:space="preserve"> significant difference</w:t>
      </w:r>
      <w:r w:rsidR="004D60F2">
        <w:rPr>
          <w:rFonts w:asciiTheme="minorHAnsi" w:hAnsiTheme="minorHAnsi"/>
          <w:bCs/>
          <w:snapToGrid w:val="0"/>
          <w:lang w:val="en-GB"/>
        </w:rPr>
        <w:t>s were</w:t>
      </w:r>
      <w:r w:rsidR="00CC4F28">
        <w:rPr>
          <w:rFonts w:asciiTheme="minorHAnsi" w:hAnsiTheme="minorHAnsi"/>
          <w:bCs/>
          <w:snapToGrid w:val="0"/>
          <w:lang w:val="en-GB"/>
        </w:rPr>
        <w:t xml:space="preserve"> observed between lacosamide and perampanel</w:t>
      </w:r>
      <w:r w:rsidR="004D60F2">
        <w:rPr>
          <w:rFonts w:asciiTheme="minorHAnsi" w:hAnsiTheme="minorHAnsi"/>
          <w:bCs/>
          <w:snapToGrid w:val="0"/>
          <w:lang w:val="en-GB"/>
        </w:rPr>
        <w:t xml:space="preserve"> in the indirect comparison</w:t>
      </w:r>
      <w:r w:rsidR="00CC4F28">
        <w:rPr>
          <w:rFonts w:asciiTheme="minorHAnsi" w:hAnsiTheme="minorHAnsi"/>
          <w:bCs/>
          <w:snapToGrid w:val="0"/>
          <w:lang w:val="en-GB"/>
        </w:rPr>
        <w:t xml:space="preserve"> </w:t>
      </w:r>
      <w:r w:rsidR="0016290D">
        <w:rPr>
          <w:rFonts w:asciiTheme="minorHAnsi" w:hAnsiTheme="minorHAnsi"/>
          <w:bCs/>
          <w:snapToGrid w:val="0"/>
          <w:lang w:val="en-GB"/>
        </w:rPr>
        <w:t xml:space="preserve">for the </w:t>
      </w:r>
      <w:r w:rsidR="0016290D" w:rsidRPr="003C6DEF">
        <w:t>50% PGTCS responder rate</w:t>
      </w:r>
      <w:r w:rsidR="00C223DC">
        <w:t>. The PBAC noted the poin</w:t>
      </w:r>
      <w:r w:rsidR="00B14F72">
        <w:t>t estimate</w:t>
      </w:r>
      <w:r w:rsidR="00C223DC">
        <w:t xml:space="preserve"> for all </w:t>
      </w:r>
      <w:r w:rsidR="00226E72">
        <w:t xml:space="preserve">effect </w:t>
      </w:r>
      <w:r w:rsidR="00C223DC">
        <w:t xml:space="preserve">measures favoured perampanel and the confidence intervals were wide.  </w:t>
      </w:r>
      <w:r w:rsidR="00226E72">
        <w:t>However, t</w:t>
      </w:r>
      <w:r w:rsidR="00B14F72">
        <w:t xml:space="preserve">he PBAC noted there were transitivity issues between the lacosamide and perampanel trials that may impact on interpretation of the indirect comparison (paragraph </w:t>
      </w:r>
      <w:r w:rsidR="00B14F72" w:rsidRPr="009B5532">
        <w:t>7.7</w:t>
      </w:r>
      <w:r w:rsidR="00B14F72">
        <w:t xml:space="preserve">). </w:t>
      </w:r>
      <w:r w:rsidR="003027CA" w:rsidRPr="006A3379">
        <w:rPr>
          <w:lang w:eastAsia="en-US"/>
        </w:rPr>
        <w:t>The PBAC considered that</w:t>
      </w:r>
      <w:r w:rsidRPr="00B14F72">
        <w:rPr>
          <w:lang w:eastAsia="en-US"/>
        </w:rPr>
        <w:t>, overall,</w:t>
      </w:r>
      <w:r w:rsidR="00226E72">
        <w:rPr>
          <w:lang w:eastAsia="en-US"/>
        </w:rPr>
        <w:t xml:space="preserve"> </w:t>
      </w:r>
      <w:r w:rsidR="003027CA" w:rsidRPr="006A3379">
        <w:rPr>
          <w:lang w:eastAsia="en-US"/>
        </w:rPr>
        <w:t>the claim of non-inferior comparative effectiveness of lacosamide compared to perampanel was reasonable.</w:t>
      </w:r>
      <w:r w:rsidR="004D60F2">
        <w:rPr>
          <w:rFonts w:asciiTheme="minorHAnsi" w:hAnsiTheme="minorHAnsi"/>
          <w:bCs/>
          <w:snapToGrid w:val="0"/>
          <w:lang w:val="en-GB"/>
        </w:rPr>
        <w:t xml:space="preserve"> </w:t>
      </w:r>
    </w:p>
    <w:p w:rsidR="009B5532" w:rsidRDefault="003027CA" w:rsidP="004D60F2">
      <w:pPr>
        <w:widowControl w:val="0"/>
        <w:numPr>
          <w:ilvl w:val="1"/>
          <w:numId w:val="1"/>
        </w:numPr>
        <w:spacing w:after="120"/>
        <w:rPr>
          <w:rFonts w:asciiTheme="minorHAnsi" w:hAnsiTheme="minorHAnsi"/>
          <w:bCs/>
          <w:snapToGrid w:val="0"/>
          <w:lang w:val="en-GB"/>
        </w:rPr>
      </w:pPr>
      <w:r w:rsidRPr="004D60F2">
        <w:rPr>
          <w:rFonts w:asciiTheme="minorHAnsi" w:hAnsiTheme="minorHAnsi"/>
          <w:bCs/>
          <w:snapToGrid w:val="0"/>
          <w:lang w:val="en-GB"/>
        </w:rPr>
        <w:t>The PBAC considered lacosamide to be</w:t>
      </w:r>
      <w:r w:rsidR="004D60F2" w:rsidRPr="004D60F2">
        <w:rPr>
          <w:rFonts w:asciiTheme="minorHAnsi" w:hAnsiTheme="minorHAnsi"/>
          <w:bCs/>
          <w:snapToGrid w:val="0"/>
          <w:lang w:val="en-GB"/>
        </w:rPr>
        <w:t xml:space="preserve"> </w:t>
      </w:r>
      <w:r w:rsidRPr="004D60F2">
        <w:rPr>
          <w:rFonts w:asciiTheme="minorHAnsi" w:hAnsiTheme="minorHAnsi"/>
          <w:bCs/>
          <w:snapToGrid w:val="0"/>
          <w:lang w:val="en-GB"/>
        </w:rPr>
        <w:t xml:space="preserve">non-inferior to perampanel for </w:t>
      </w:r>
      <w:r w:rsidR="004D60F2" w:rsidRPr="004D60F2">
        <w:rPr>
          <w:rFonts w:asciiTheme="minorHAnsi" w:hAnsiTheme="minorHAnsi"/>
          <w:bCs/>
          <w:snapToGrid w:val="0"/>
          <w:lang w:val="en-GB"/>
        </w:rPr>
        <w:t xml:space="preserve">comparative safety, </w:t>
      </w:r>
      <w:r w:rsidRPr="004D60F2">
        <w:rPr>
          <w:rFonts w:asciiTheme="minorHAnsi" w:hAnsiTheme="minorHAnsi"/>
          <w:bCs/>
          <w:snapToGrid w:val="0"/>
          <w:lang w:val="en-GB"/>
        </w:rPr>
        <w:t>noting that serious TEAEs were low in both trials, and no statistical differences were observed between lacosamide and perampanel</w:t>
      </w:r>
      <w:r w:rsidR="004D60F2" w:rsidRPr="004D60F2">
        <w:rPr>
          <w:rFonts w:asciiTheme="minorHAnsi" w:hAnsiTheme="minorHAnsi"/>
          <w:bCs/>
          <w:snapToGrid w:val="0"/>
          <w:lang w:val="en-GB"/>
        </w:rPr>
        <w:t>.</w:t>
      </w:r>
      <w:r w:rsidR="004D60F2">
        <w:rPr>
          <w:rFonts w:asciiTheme="minorHAnsi" w:hAnsiTheme="minorHAnsi"/>
          <w:bCs/>
          <w:snapToGrid w:val="0"/>
          <w:lang w:val="en-GB"/>
        </w:rPr>
        <w:t xml:space="preserve"> </w:t>
      </w:r>
    </w:p>
    <w:p w:rsidR="00AB2D25" w:rsidRPr="004D60F2" w:rsidRDefault="004D60F2" w:rsidP="004D60F2">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noted the unmet need in this patient population for treatment options, particularly in the 4-11 year old age group, and</w:t>
      </w:r>
      <w:r w:rsidR="00E71533">
        <w:rPr>
          <w:rFonts w:asciiTheme="minorHAnsi" w:hAnsiTheme="minorHAnsi"/>
          <w:bCs/>
          <w:snapToGrid w:val="0"/>
          <w:lang w:val="en-GB"/>
        </w:rPr>
        <w:t xml:space="preserve"> overall</w:t>
      </w:r>
      <w:r>
        <w:rPr>
          <w:rFonts w:asciiTheme="minorHAnsi" w:hAnsiTheme="minorHAnsi"/>
          <w:bCs/>
          <w:snapToGrid w:val="0"/>
          <w:lang w:val="en-GB"/>
        </w:rPr>
        <w:t xml:space="preserve"> considered the clinical evidence </w:t>
      </w:r>
      <w:r w:rsidR="00E71533">
        <w:rPr>
          <w:rFonts w:asciiTheme="minorHAnsi" w:hAnsiTheme="minorHAnsi"/>
          <w:bCs/>
          <w:snapToGrid w:val="0"/>
          <w:lang w:val="en-GB"/>
        </w:rPr>
        <w:t>supported</w:t>
      </w:r>
      <w:r>
        <w:rPr>
          <w:rFonts w:asciiTheme="minorHAnsi" w:hAnsiTheme="minorHAnsi"/>
          <w:bCs/>
          <w:snapToGrid w:val="0"/>
          <w:lang w:val="en-GB"/>
        </w:rPr>
        <w:t xml:space="preserve"> </w:t>
      </w:r>
      <w:r w:rsidR="00EE0AAE">
        <w:rPr>
          <w:rFonts w:asciiTheme="minorHAnsi" w:hAnsiTheme="minorHAnsi"/>
          <w:bCs/>
          <w:snapToGrid w:val="0"/>
          <w:lang w:val="en-GB"/>
        </w:rPr>
        <w:t>listing</w:t>
      </w:r>
      <w:r w:rsidR="009B5532">
        <w:rPr>
          <w:rFonts w:asciiTheme="minorHAnsi" w:hAnsiTheme="minorHAnsi"/>
          <w:bCs/>
          <w:snapToGrid w:val="0"/>
          <w:lang w:val="en-GB"/>
        </w:rPr>
        <w:t>.</w:t>
      </w:r>
    </w:p>
    <w:p w:rsidR="0030525E" w:rsidRPr="004A06F6" w:rsidRDefault="00727123" w:rsidP="004A06F6">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 xml:space="preserve">The </w:t>
      </w:r>
      <w:r w:rsidR="00C0302F">
        <w:rPr>
          <w:rFonts w:asciiTheme="minorHAnsi" w:hAnsiTheme="minorHAnsi"/>
          <w:bCs/>
          <w:snapToGrid w:val="0"/>
          <w:lang w:val="en-GB"/>
        </w:rPr>
        <w:t xml:space="preserve">cost-minimisation analysis, based on a claim of non-inferiority of lacosamide compared to perampanel, was accepted by the PBAC. </w:t>
      </w:r>
      <w:r w:rsidR="00C0302F" w:rsidRPr="003C6DEF">
        <w:t>The equi-effective doses were estimated as a daily dose relativity of lacosamide to perampanel of 50:1</w:t>
      </w:r>
      <w:r w:rsidR="00C0302F">
        <w:t>, where t</w:t>
      </w:r>
      <w:r w:rsidR="00C0302F" w:rsidRPr="003C6DEF">
        <w:t>wice-a-day dosing of lacosamide 50 mg, 100 mg, 150 mg and 200 mg is equal to once daily dosing of perampanel 2 mg, 4 mg, 6 mg and 8, 10, 12 mg,</w:t>
      </w:r>
      <w:r w:rsidR="00C0302F">
        <w:t xml:space="preserve"> respectively</w:t>
      </w:r>
      <w:r w:rsidR="00C0302F" w:rsidRPr="003C6DEF">
        <w:t>.</w:t>
      </w:r>
      <w:r w:rsidR="00696630">
        <w:t xml:space="preserve"> While the PBAC noted a different economic analysis could be performed for the 4-11 years age group, it considered a cost-utility analysis would be unlikely to be informative and accepted the same DPMQ for lacosamide regardless of age.</w:t>
      </w:r>
      <w:r w:rsidR="009871BC">
        <w:t xml:space="preserve"> The PBAC accepted the </w:t>
      </w:r>
      <w:r w:rsidR="009871BC" w:rsidRPr="009871BC">
        <w:rPr>
          <w:lang w:val="en-US"/>
        </w:rPr>
        <w:t>same price</w:t>
      </w:r>
      <w:r w:rsidR="009871BC">
        <w:rPr>
          <w:lang w:val="en-US"/>
        </w:rPr>
        <w:t xml:space="preserve"> for lacosamide oral solution</w:t>
      </w:r>
      <w:r w:rsidR="009871BC" w:rsidRPr="009871BC">
        <w:rPr>
          <w:lang w:val="en-US"/>
        </w:rPr>
        <w:t xml:space="preserve"> a</w:t>
      </w:r>
      <w:r w:rsidR="009871BC">
        <w:rPr>
          <w:lang w:val="en-US"/>
        </w:rPr>
        <w:t>s the current PBS listing of lacosamide</w:t>
      </w:r>
      <w:r w:rsidR="009871BC" w:rsidRPr="009871BC">
        <w:rPr>
          <w:lang w:val="en-US"/>
        </w:rPr>
        <w:t xml:space="preserve"> oral solution for POS</w:t>
      </w:r>
      <w:r w:rsidR="009871BC">
        <w:rPr>
          <w:lang w:val="en-US"/>
        </w:rPr>
        <w:t>.</w:t>
      </w:r>
    </w:p>
    <w:p w:rsidR="00AB2D25" w:rsidRPr="009B5532" w:rsidRDefault="00102C68" w:rsidP="009871BC">
      <w:pPr>
        <w:keepNext/>
        <w:keepLines/>
        <w:widowControl w:val="0"/>
        <w:numPr>
          <w:ilvl w:val="1"/>
          <w:numId w:val="1"/>
        </w:numPr>
        <w:spacing w:after="120"/>
      </w:pPr>
      <w:r>
        <w:lastRenderedPageBreak/>
        <w:t xml:space="preserve">The </w:t>
      </w:r>
      <w:r w:rsidRPr="00102C68">
        <w:rPr>
          <w:lang w:val="en-US"/>
        </w:rPr>
        <w:t>epidemiological and market sh</w:t>
      </w:r>
      <w:r>
        <w:rPr>
          <w:lang w:val="en-US"/>
        </w:rPr>
        <w:t>are approach to estimate usage was considered by the PBAC to be</w:t>
      </w:r>
      <w:r w:rsidRPr="00102C68">
        <w:rPr>
          <w:lang w:val="en-US"/>
        </w:rPr>
        <w:t xml:space="preserve"> reasonable</w:t>
      </w:r>
      <w:r w:rsidR="004A06F6">
        <w:rPr>
          <w:lang w:val="en-US"/>
        </w:rPr>
        <w:t xml:space="preserve">, despite noting that the epidemiological inputs and uptake rate in the population aged 4-11 years were uncertain. The PBAC noted there will be a small financial impact associated with lacosamide usage in the 4-11 years paediatric population, in which </w:t>
      </w:r>
      <w:r w:rsidR="004A06F6" w:rsidRPr="003C6DEF">
        <w:t xml:space="preserve">perampanel is not listed </w:t>
      </w:r>
      <w:r w:rsidR="004A06F6" w:rsidRPr="002A2062">
        <w:t>and will not be substituted</w:t>
      </w:r>
      <w:r w:rsidR="004A06F6">
        <w:rPr>
          <w:lang w:val="en-US"/>
        </w:rPr>
        <w:t>.</w:t>
      </w:r>
    </w:p>
    <w:p w:rsidR="009B5532" w:rsidRPr="009B5532" w:rsidRDefault="009B5532" w:rsidP="0011538C">
      <w:pPr>
        <w:widowControl w:val="0"/>
        <w:numPr>
          <w:ilvl w:val="1"/>
          <w:numId w:val="1"/>
        </w:numPr>
        <w:spacing w:after="120"/>
      </w:pPr>
      <w:r>
        <w:t xml:space="preserve">The PBAC indicated that lacosamide would be required to join the existing RSA with perampanel in </w:t>
      </w:r>
      <w:r w:rsidRPr="003C6DEF">
        <w:t>IGE with PGTCS</w:t>
      </w:r>
      <w:r>
        <w:t>.</w:t>
      </w:r>
    </w:p>
    <w:p w:rsidR="0094412D" w:rsidRPr="009B5532" w:rsidRDefault="0094412D" w:rsidP="0011538C">
      <w:pPr>
        <w:widowControl w:val="0"/>
        <w:numPr>
          <w:ilvl w:val="1"/>
          <w:numId w:val="1"/>
        </w:numPr>
        <w:spacing w:after="120"/>
        <w:rPr>
          <w:rFonts w:asciiTheme="minorHAnsi" w:hAnsiTheme="minorHAnsi" w:cstheme="minorHAnsi"/>
        </w:rPr>
      </w:pPr>
      <w:r w:rsidRPr="009B5532">
        <w:rPr>
          <w:rFonts w:asciiTheme="minorHAnsi" w:hAnsiTheme="minorHAnsi" w:cstheme="minorHAnsi"/>
          <w:color w:val="000000"/>
          <w:shd w:val="clear" w:color="auto" w:fill="FFFFFF"/>
        </w:rPr>
        <w:t>The PBAC noted that its recommendation was on a cost-minimisation basis and advised that, because lacosamide is not expected to provide a substantial and clinically relevant improvement in efficacy, or reduction of toxicity, over perampanel, or not expected to address a high and urgent unmet clinical need given the presence of an alternative therapy, the criteria prescribed by the National Health (Pharmaceuticals and Vaccines - Cost Recovery) Regulations 2009 for Pricing Pathway A were not met.</w:t>
      </w:r>
    </w:p>
    <w:p w:rsidR="00AB2D25" w:rsidRPr="0038551C" w:rsidRDefault="00D30B2F" w:rsidP="0038551C">
      <w:pPr>
        <w:widowControl w:val="0"/>
        <w:numPr>
          <w:ilvl w:val="1"/>
          <w:numId w:val="1"/>
        </w:numPr>
        <w:spacing w:after="120"/>
        <w:rPr>
          <w:rFonts w:asciiTheme="minorHAnsi" w:hAnsiTheme="minorHAnsi"/>
          <w:bCs/>
          <w:i/>
          <w:snapToGrid w:val="0"/>
          <w:lang w:val="en-GB"/>
        </w:rPr>
      </w:pPr>
      <w:r w:rsidRPr="005D05BB">
        <w:t>The PBAC noted that this submission is not eligible for an Independent Review as it received a positive recommendation</w:t>
      </w:r>
      <w:r w:rsidRPr="005D05BB">
        <w:rPr>
          <w:rFonts w:asciiTheme="minorHAnsi" w:hAnsiTheme="minorHAnsi"/>
          <w:bCs/>
        </w:rPr>
        <w:t>.</w:t>
      </w:r>
      <w:r w:rsidR="00AB2D25" w:rsidRPr="00525B39">
        <w:rPr>
          <w:rFonts w:asciiTheme="minorHAnsi" w:hAnsiTheme="minorHAnsi"/>
          <w:bCs/>
          <w:snapToGrid w:val="0"/>
          <w:lang w:val="en-GB"/>
        </w:rPr>
        <w:t xml:space="preserve"> </w:t>
      </w:r>
    </w:p>
    <w:p w:rsidR="00AB2D25" w:rsidRPr="00525B39" w:rsidRDefault="00AB2D25" w:rsidP="00AB2D25">
      <w:pPr>
        <w:spacing w:before="240"/>
        <w:rPr>
          <w:rFonts w:asciiTheme="minorHAnsi" w:hAnsiTheme="minorHAnsi"/>
          <w:b/>
          <w:bCs/>
          <w:snapToGrid w:val="0"/>
          <w:lang w:val="en-GB"/>
        </w:rPr>
      </w:pPr>
      <w:r w:rsidRPr="00525B39">
        <w:rPr>
          <w:rFonts w:asciiTheme="minorHAnsi" w:hAnsiTheme="minorHAnsi"/>
          <w:b/>
          <w:bCs/>
          <w:snapToGrid w:val="0"/>
          <w:lang w:val="en-GB"/>
        </w:rPr>
        <w:t>Outcome:</w:t>
      </w:r>
    </w:p>
    <w:p w:rsidR="00AB2D25" w:rsidRPr="00525B39" w:rsidRDefault="00C73EF4" w:rsidP="00AB2D25">
      <w:pPr>
        <w:rPr>
          <w:rFonts w:asciiTheme="minorHAnsi" w:hAnsiTheme="minorHAnsi"/>
          <w:bCs/>
          <w:snapToGrid w:val="0"/>
          <w:lang w:val="en-GB"/>
        </w:rPr>
      </w:pPr>
      <w:r>
        <w:rPr>
          <w:rFonts w:asciiTheme="minorHAnsi" w:hAnsiTheme="minorHAnsi"/>
          <w:bCs/>
          <w:snapToGrid w:val="0"/>
          <w:lang w:val="en-GB"/>
        </w:rPr>
        <w:t>Recommended</w:t>
      </w:r>
    </w:p>
    <w:p w:rsidR="00AB2D25" w:rsidRPr="00525B39" w:rsidRDefault="00AB2D25" w:rsidP="00AB2D25">
      <w:pPr>
        <w:widowControl w:val="0"/>
        <w:rPr>
          <w:rFonts w:asciiTheme="minorHAnsi" w:hAnsiTheme="minorHAnsi"/>
          <w:b/>
          <w:bCs/>
          <w:snapToGrid w:val="0"/>
        </w:rPr>
      </w:pPr>
    </w:p>
    <w:p w:rsidR="00AB2D25" w:rsidRPr="00AB2D25" w:rsidRDefault="00AB2D25" w:rsidP="00AB2D25">
      <w:pPr>
        <w:pStyle w:val="2-SectionHeading"/>
        <w:rPr>
          <w:lang w:val="en-GB"/>
        </w:rPr>
      </w:pPr>
      <w:r w:rsidRPr="00525B39">
        <w:rPr>
          <w:lang w:val="en-GB"/>
        </w:rPr>
        <w:t>Recommended listing</w:t>
      </w:r>
    </w:p>
    <w:p w:rsidR="000938AC" w:rsidRPr="00A24E32" w:rsidRDefault="000938AC" w:rsidP="00A24E32">
      <w:pPr>
        <w:widowControl w:val="0"/>
        <w:numPr>
          <w:ilvl w:val="1"/>
          <w:numId w:val="1"/>
        </w:numPr>
        <w:spacing w:after="120"/>
        <w:rPr>
          <w:rFonts w:asciiTheme="minorHAnsi" w:hAnsiTheme="minorHAnsi"/>
          <w:b/>
          <w:bCs/>
          <w:snapToGrid w:val="0"/>
        </w:rPr>
      </w:pPr>
      <w:r w:rsidRPr="0013773A">
        <w:t>Add indication (14229</w:t>
      </w:r>
      <w:r w:rsidRPr="00A24E32">
        <w:rPr>
          <w:rFonts w:ascii="Arial Narrow" w:hAnsi="Arial Narrow"/>
          <w:snapToGrid w:val="0"/>
          <w:sz w:val="18"/>
          <w:szCs w:val="18"/>
        </w:rPr>
        <w:t xml:space="preserve"> </w:t>
      </w:r>
      <w:r>
        <w:t>- i</w:t>
      </w:r>
      <w:r w:rsidRPr="0054466F">
        <w:t>diopathic generalised epilepsy with primary generalised tonic-clonic seizures</w:t>
      </w:r>
      <w:r w:rsidRPr="0013773A">
        <w:t>)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1434"/>
        <w:gridCol w:w="1426"/>
        <w:gridCol w:w="1165"/>
        <w:gridCol w:w="1297"/>
        <w:gridCol w:w="1555"/>
        <w:gridCol w:w="1378"/>
      </w:tblGrid>
      <w:tr w:rsidR="00366155" w:rsidRPr="00E66F69" w:rsidTr="00366155">
        <w:trPr>
          <w:cantSplit/>
          <w:trHeight w:val="471"/>
        </w:trPr>
        <w:tc>
          <w:tcPr>
            <w:tcW w:w="1218" w:type="pct"/>
            <w:gridSpan w:val="2"/>
          </w:tcPr>
          <w:p w:rsidR="00366155" w:rsidRPr="00E66F69" w:rsidRDefault="00366155" w:rsidP="00A24E32">
            <w:pPr>
              <w:keepNext/>
              <w:ind w:left="-57"/>
              <w:rPr>
                <w:rFonts w:ascii="Arial Narrow" w:hAnsi="Arial Narrow"/>
                <w:b/>
                <w:sz w:val="18"/>
                <w:szCs w:val="18"/>
              </w:rPr>
            </w:pPr>
            <w:r>
              <w:rPr>
                <w:rFonts w:ascii="Arial Narrow" w:hAnsi="Arial Narrow"/>
                <w:b/>
                <w:sz w:val="18"/>
                <w:szCs w:val="18"/>
              </w:rPr>
              <w:t>MEDICINAL PROD</w:t>
            </w:r>
            <w:r w:rsidRPr="00E66F69">
              <w:rPr>
                <w:rFonts w:ascii="Arial Narrow" w:hAnsi="Arial Narrow"/>
                <w:b/>
                <w:sz w:val="18"/>
                <w:szCs w:val="18"/>
              </w:rPr>
              <w:t>U</w:t>
            </w:r>
            <w:r>
              <w:rPr>
                <w:rFonts w:ascii="Arial Narrow" w:hAnsi="Arial Narrow"/>
                <w:b/>
                <w:sz w:val="18"/>
                <w:szCs w:val="18"/>
              </w:rPr>
              <w:t>C</w:t>
            </w:r>
            <w:r w:rsidRPr="00E66F69">
              <w:rPr>
                <w:rFonts w:ascii="Arial Narrow" w:hAnsi="Arial Narrow"/>
                <w:b/>
                <w:sz w:val="18"/>
                <w:szCs w:val="18"/>
              </w:rPr>
              <w:t>T,</w:t>
            </w:r>
          </w:p>
          <w:p w:rsidR="00366155" w:rsidRPr="00E66F69" w:rsidRDefault="00366155" w:rsidP="00A24E32">
            <w:pPr>
              <w:keepNext/>
              <w:ind w:left="-57"/>
              <w:rPr>
                <w:rFonts w:ascii="Arial Narrow" w:hAnsi="Arial Narrow"/>
                <w:b/>
                <w:sz w:val="18"/>
                <w:szCs w:val="18"/>
              </w:rPr>
            </w:pPr>
            <w:r w:rsidRPr="00E66F69">
              <w:rPr>
                <w:rFonts w:ascii="Arial Narrow" w:hAnsi="Arial Narrow"/>
                <w:b/>
                <w:sz w:val="18"/>
                <w:szCs w:val="18"/>
              </w:rPr>
              <w:t>medicinal product pack</w:t>
            </w:r>
          </w:p>
        </w:tc>
        <w:tc>
          <w:tcPr>
            <w:tcW w:w="791" w:type="pct"/>
          </w:tcPr>
          <w:p w:rsidR="00366155" w:rsidRPr="00E66F69" w:rsidRDefault="00366155" w:rsidP="00A24E32">
            <w:pPr>
              <w:keepNext/>
              <w:ind w:left="-108"/>
              <w:jc w:val="center"/>
              <w:rPr>
                <w:rFonts w:ascii="Arial Narrow" w:hAnsi="Arial Narrow"/>
                <w:b/>
                <w:sz w:val="18"/>
                <w:szCs w:val="18"/>
              </w:rPr>
            </w:pPr>
            <w:r w:rsidRPr="00E66F69">
              <w:rPr>
                <w:rFonts w:ascii="Arial Narrow" w:hAnsi="Arial Narrow"/>
                <w:b/>
                <w:sz w:val="18"/>
                <w:szCs w:val="18"/>
              </w:rPr>
              <w:t>PBS item code</w:t>
            </w:r>
          </w:p>
        </w:tc>
        <w:tc>
          <w:tcPr>
            <w:tcW w:w="646" w:type="pct"/>
          </w:tcPr>
          <w:p w:rsidR="00366155" w:rsidRPr="00E66F69" w:rsidRDefault="00366155" w:rsidP="00A24E32">
            <w:pPr>
              <w:keepNext/>
              <w:ind w:left="-108"/>
              <w:jc w:val="center"/>
              <w:rPr>
                <w:rFonts w:ascii="Arial Narrow" w:hAnsi="Arial Narrow"/>
                <w:b/>
                <w:sz w:val="18"/>
                <w:szCs w:val="18"/>
              </w:rPr>
            </w:pPr>
            <w:r w:rsidRPr="00E66F69">
              <w:rPr>
                <w:rFonts w:ascii="Arial Narrow" w:hAnsi="Arial Narrow"/>
                <w:b/>
                <w:sz w:val="18"/>
                <w:szCs w:val="18"/>
              </w:rPr>
              <w:t>Max. qty packs</w:t>
            </w:r>
          </w:p>
        </w:tc>
        <w:tc>
          <w:tcPr>
            <w:tcW w:w="719" w:type="pct"/>
          </w:tcPr>
          <w:p w:rsidR="00366155" w:rsidRPr="00E66F69" w:rsidRDefault="00366155" w:rsidP="00A24E32">
            <w:pPr>
              <w:keepNext/>
              <w:ind w:left="-108"/>
              <w:jc w:val="center"/>
              <w:rPr>
                <w:rFonts w:ascii="Arial Narrow" w:hAnsi="Arial Narrow"/>
                <w:b/>
                <w:sz w:val="18"/>
                <w:szCs w:val="18"/>
              </w:rPr>
            </w:pPr>
            <w:r w:rsidRPr="00E66F69">
              <w:rPr>
                <w:rFonts w:ascii="Arial Narrow" w:hAnsi="Arial Narrow"/>
                <w:b/>
                <w:sz w:val="18"/>
                <w:szCs w:val="18"/>
              </w:rPr>
              <w:t>Max. qty units</w:t>
            </w:r>
          </w:p>
        </w:tc>
        <w:tc>
          <w:tcPr>
            <w:tcW w:w="862" w:type="pct"/>
          </w:tcPr>
          <w:p w:rsidR="00366155" w:rsidRPr="00E66F69" w:rsidRDefault="00366155" w:rsidP="00A24E32">
            <w:pPr>
              <w:keepNext/>
              <w:ind w:left="-108"/>
              <w:jc w:val="center"/>
              <w:rPr>
                <w:rFonts w:ascii="Arial Narrow" w:hAnsi="Arial Narrow"/>
                <w:b/>
                <w:sz w:val="18"/>
                <w:szCs w:val="18"/>
              </w:rPr>
            </w:pPr>
            <w:r w:rsidRPr="00E66F69">
              <w:rPr>
                <w:rFonts w:ascii="Arial Narrow" w:hAnsi="Arial Narrow"/>
                <w:b/>
                <w:sz w:val="18"/>
                <w:szCs w:val="18"/>
              </w:rPr>
              <w:t>№.of</w:t>
            </w:r>
            <w:r>
              <w:rPr>
                <w:rFonts w:ascii="Arial Narrow" w:hAnsi="Arial Narrow"/>
                <w:b/>
                <w:sz w:val="18"/>
                <w:szCs w:val="18"/>
              </w:rPr>
              <w:t xml:space="preserve"> </w:t>
            </w:r>
            <w:r w:rsidRPr="00E66F69">
              <w:rPr>
                <w:rFonts w:ascii="Arial Narrow" w:hAnsi="Arial Narrow"/>
                <w:b/>
                <w:sz w:val="18"/>
                <w:szCs w:val="18"/>
              </w:rPr>
              <w:t>Rpts</w:t>
            </w:r>
          </w:p>
        </w:tc>
        <w:tc>
          <w:tcPr>
            <w:tcW w:w="764" w:type="pct"/>
          </w:tcPr>
          <w:p w:rsidR="00366155" w:rsidRPr="00E66F69" w:rsidRDefault="00366155" w:rsidP="00A24E32">
            <w:pPr>
              <w:keepNext/>
              <w:rPr>
                <w:rFonts w:ascii="Arial Narrow" w:hAnsi="Arial Narrow"/>
                <w:b/>
                <w:sz w:val="18"/>
                <w:szCs w:val="18"/>
                <w:highlight w:val="lightGray"/>
                <w:lang w:val="fr-FR"/>
              </w:rPr>
            </w:pPr>
            <w:r w:rsidRPr="00E66F69">
              <w:rPr>
                <w:rFonts w:ascii="Arial Narrow" w:hAnsi="Arial Narrow"/>
                <w:b/>
                <w:sz w:val="18"/>
                <w:szCs w:val="18"/>
              </w:rPr>
              <w:t>Available brands</w:t>
            </w:r>
          </w:p>
        </w:tc>
      </w:tr>
      <w:tr w:rsidR="001C2EEB" w:rsidRPr="00E66F69" w:rsidTr="001C2EEB">
        <w:trPr>
          <w:cantSplit/>
          <w:trHeight w:val="224"/>
        </w:trPr>
        <w:tc>
          <w:tcPr>
            <w:tcW w:w="5000" w:type="pct"/>
            <w:gridSpan w:val="7"/>
          </w:tcPr>
          <w:p w:rsidR="001C2EEB" w:rsidRPr="00E66F69" w:rsidRDefault="001C2EEB" w:rsidP="00A24E32">
            <w:pPr>
              <w:keepNext/>
              <w:ind w:left="-57"/>
              <w:rPr>
                <w:rFonts w:ascii="Arial Narrow" w:hAnsi="Arial Narrow"/>
                <w:sz w:val="18"/>
                <w:szCs w:val="18"/>
                <w:highlight w:val="lightGray"/>
              </w:rPr>
            </w:pPr>
            <w:r w:rsidRPr="00E66F69">
              <w:rPr>
                <w:rFonts w:ascii="Arial Narrow" w:hAnsi="Arial Narrow"/>
                <w:sz w:val="18"/>
                <w:szCs w:val="18"/>
              </w:rPr>
              <w:t>LACOSAMIDE</w:t>
            </w:r>
          </w:p>
        </w:tc>
      </w:tr>
      <w:tr w:rsidR="00366155" w:rsidRPr="00E66F69" w:rsidTr="00366155">
        <w:trPr>
          <w:cantSplit/>
          <w:trHeight w:val="243"/>
        </w:trPr>
        <w:tc>
          <w:tcPr>
            <w:tcW w:w="1218" w:type="pct"/>
            <w:gridSpan w:val="2"/>
          </w:tcPr>
          <w:p w:rsidR="00366155" w:rsidRPr="00E66F69" w:rsidRDefault="00366155" w:rsidP="00A24E32">
            <w:pPr>
              <w:keepNext/>
              <w:ind w:left="-57"/>
              <w:rPr>
                <w:rFonts w:ascii="Arial Narrow" w:hAnsi="Arial Narrow"/>
                <w:sz w:val="18"/>
                <w:szCs w:val="18"/>
              </w:rPr>
            </w:pPr>
            <w:r w:rsidRPr="00E66F69">
              <w:rPr>
                <w:rFonts w:ascii="Arial Narrow" w:hAnsi="Arial Narrow"/>
                <w:sz w:val="18"/>
                <w:szCs w:val="18"/>
              </w:rPr>
              <w:t>lacosamide 100 mg tablet, 14</w:t>
            </w:r>
          </w:p>
        </w:tc>
        <w:tc>
          <w:tcPr>
            <w:tcW w:w="791"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9334G</w:t>
            </w:r>
          </w:p>
        </w:tc>
        <w:tc>
          <w:tcPr>
            <w:tcW w:w="646" w:type="pct"/>
          </w:tcPr>
          <w:p w:rsidR="00366155" w:rsidRPr="00E66F69" w:rsidRDefault="00366155" w:rsidP="00A24E32">
            <w:pPr>
              <w:keepNext/>
              <w:jc w:val="center"/>
              <w:rPr>
                <w:rFonts w:ascii="Arial Narrow" w:hAnsi="Arial Narrow"/>
                <w:sz w:val="18"/>
                <w:szCs w:val="18"/>
              </w:rPr>
            </w:pPr>
            <w:r w:rsidRPr="00E66F69">
              <w:rPr>
                <w:rFonts w:ascii="Arial Narrow" w:hAnsi="Arial Narrow"/>
                <w:sz w:val="18"/>
                <w:szCs w:val="18"/>
              </w:rPr>
              <w:t>1</w:t>
            </w:r>
          </w:p>
        </w:tc>
        <w:tc>
          <w:tcPr>
            <w:tcW w:w="719"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14</w:t>
            </w:r>
          </w:p>
        </w:tc>
        <w:tc>
          <w:tcPr>
            <w:tcW w:w="862"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1</w:t>
            </w:r>
          </w:p>
        </w:tc>
        <w:tc>
          <w:tcPr>
            <w:tcW w:w="764" w:type="pct"/>
          </w:tcPr>
          <w:p w:rsidR="00366155" w:rsidRPr="00E66F69" w:rsidRDefault="00366155" w:rsidP="00A24E32">
            <w:pPr>
              <w:keepNext/>
              <w:rPr>
                <w:rFonts w:ascii="Arial Narrow" w:hAnsi="Arial Narrow"/>
                <w:sz w:val="18"/>
                <w:szCs w:val="18"/>
              </w:rPr>
            </w:pPr>
            <w:r w:rsidRPr="00E66F69">
              <w:rPr>
                <w:rFonts w:ascii="Arial Narrow" w:hAnsi="Arial Narrow"/>
                <w:sz w:val="18"/>
                <w:szCs w:val="18"/>
              </w:rPr>
              <w:t>Vimpat</w:t>
            </w:r>
          </w:p>
        </w:tc>
      </w:tr>
      <w:tr w:rsidR="00366155" w:rsidRPr="00E66F69" w:rsidTr="00366155">
        <w:trPr>
          <w:cantSplit/>
          <w:trHeight w:val="243"/>
        </w:trPr>
        <w:tc>
          <w:tcPr>
            <w:tcW w:w="1218" w:type="pct"/>
            <w:gridSpan w:val="2"/>
          </w:tcPr>
          <w:p w:rsidR="00366155" w:rsidRPr="00E66F69" w:rsidRDefault="00366155" w:rsidP="00A24E32">
            <w:pPr>
              <w:keepNext/>
              <w:ind w:left="-57"/>
              <w:rPr>
                <w:rFonts w:ascii="Arial Narrow" w:hAnsi="Arial Narrow"/>
                <w:sz w:val="18"/>
                <w:szCs w:val="18"/>
              </w:rPr>
            </w:pPr>
            <w:r w:rsidRPr="00E66F69">
              <w:rPr>
                <w:rFonts w:ascii="Arial Narrow" w:hAnsi="Arial Narrow"/>
                <w:sz w:val="18"/>
                <w:szCs w:val="18"/>
              </w:rPr>
              <w:t>lacosamide 150 mg tablet, 14</w:t>
            </w:r>
          </w:p>
        </w:tc>
        <w:tc>
          <w:tcPr>
            <w:tcW w:w="791"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9336J</w:t>
            </w:r>
          </w:p>
        </w:tc>
        <w:tc>
          <w:tcPr>
            <w:tcW w:w="646" w:type="pct"/>
          </w:tcPr>
          <w:p w:rsidR="00366155" w:rsidRPr="00E66F69" w:rsidRDefault="00366155" w:rsidP="00A24E32">
            <w:pPr>
              <w:keepNext/>
              <w:jc w:val="center"/>
              <w:rPr>
                <w:rFonts w:ascii="Arial Narrow" w:hAnsi="Arial Narrow"/>
                <w:sz w:val="18"/>
                <w:szCs w:val="18"/>
              </w:rPr>
            </w:pPr>
            <w:r w:rsidRPr="00E66F69">
              <w:rPr>
                <w:rFonts w:ascii="Arial Narrow" w:hAnsi="Arial Narrow"/>
                <w:sz w:val="18"/>
                <w:szCs w:val="18"/>
              </w:rPr>
              <w:t>1</w:t>
            </w:r>
          </w:p>
        </w:tc>
        <w:tc>
          <w:tcPr>
            <w:tcW w:w="719"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14</w:t>
            </w:r>
          </w:p>
        </w:tc>
        <w:tc>
          <w:tcPr>
            <w:tcW w:w="862" w:type="pct"/>
          </w:tcPr>
          <w:p w:rsidR="00366155" w:rsidRPr="00E66F69" w:rsidRDefault="00366155" w:rsidP="00A24E32">
            <w:pPr>
              <w:keepNext/>
              <w:ind w:left="-108"/>
              <w:jc w:val="center"/>
              <w:rPr>
                <w:rFonts w:ascii="Arial Narrow" w:hAnsi="Arial Narrow"/>
                <w:sz w:val="18"/>
                <w:szCs w:val="18"/>
              </w:rPr>
            </w:pPr>
            <w:r w:rsidRPr="00E66F69">
              <w:rPr>
                <w:rFonts w:ascii="Arial Narrow" w:hAnsi="Arial Narrow"/>
                <w:sz w:val="18"/>
                <w:szCs w:val="18"/>
              </w:rPr>
              <w:t>1</w:t>
            </w:r>
          </w:p>
        </w:tc>
        <w:tc>
          <w:tcPr>
            <w:tcW w:w="764" w:type="pct"/>
          </w:tcPr>
          <w:p w:rsidR="00366155" w:rsidRPr="00E66F69" w:rsidRDefault="00366155" w:rsidP="00A24E32">
            <w:pPr>
              <w:keepNext/>
              <w:rPr>
                <w:rFonts w:ascii="Arial Narrow" w:hAnsi="Arial Narrow"/>
                <w:sz w:val="18"/>
                <w:szCs w:val="18"/>
              </w:rPr>
            </w:pPr>
            <w:r w:rsidRPr="00E66F69">
              <w:rPr>
                <w:rFonts w:ascii="Arial Narrow" w:hAnsi="Arial Narrow"/>
                <w:sz w:val="18"/>
                <w:szCs w:val="18"/>
              </w:rPr>
              <w:t>Vimpat</w:t>
            </w:r>
          </w:p>
        </w:tc>
      </w:tr>
      <w:tr w:rsidR="001C2EEB" w:rsidRPr="00E66F69" w:rsidTr="001C2EEB">
        <w:trPr>
          <w:cantSplit/>
          <w:trHeight w:val="243"/>
        </w:trPr>
        <w:tc>
          <w:tcPr>
            <w:tcW w:w="2009" w:type="pct"/>
            <w:gridSpan w:val="3"/>
          </w:tcPr>
          <w:p w:rsidR="001C2EEB" w:rsidRPr="00E66F69" w:rsidRDefault="001C2EEB" w:rsidP="00A24E32">
            <w:pPr>
              <w:keepNext/>
              <w:ind w:left="-108"/>
              <w:jc w:val="center"/>
              <w:rPr>
                <w:rFonts w:ascii="Arial Narrow" w:hAnsi="Arial Narrow"/>
                <w:sz w:val="18"/>
                <w:szCs w:val="18"/>
              </w:rPr>
            </w:pPr>
          </w:p>
        </w:tc>
        <w:tc>
          <w:tcPr>
            <w:tcW w:w="2227" w:type="pct"/>
            <w:gridSpan w:val="3"/>
          </w:tcPr>
          <w:p w:rsidR="001C2EEB" w:rsidRPr="00E66F69" w:rsidRDefault="001C2EEB" w:rsidP="00A24E32">
            <w:pPr>
              <w:keepNext/>
              <w:jc w:val="center"/>
              <w:rPr>
                <w:rFonts w:ascii="Arial Narrow" w:hAnsi="Arial Narrow"/>
                <w:sz w:val="18"/>
                <w:szCs w:val="18"/>
              </w:rPr>
            </w:pPr>
            <w:r>
              <w:rPr>
                <w:rFonts w:ascii="Arial Narrow" w:hAnsi="Arial Narrow"/>
                <w:sz w:val="18"/>
                <w:szCs w:val="18"/>
              </w:rPr>
              <w:t>Max Qty multiplier = 1, Repeat increases: nil</w:t>
            </w:r>
          </w:p>
        </w:tc>
        <w:tc>
          <w:tcPr>
            <w:tcW w:w="764" w:type="pct"/>
          </w:tcPr>
          <w:p w:rsidR="001C2EEB" w:rsidRPr="00E66F69" w:rsidRDefault="001C2EEB" w:rsidP="00A24E32">
            <w:pPr>
              <w:keepNext/>
              <w:rPr>
                <w:rFonts w:ascii="Arial Narrow" w:hAnsi="Arial Narrow"/>
                <w:sz w:val="18"/>
                <w:szCs w:val="18"/>
              </w:rPr>
            </w:pPr>
          </w:p>
        </w:tc>
      </w:tr>
      <w:tr w:rsidR="001C2EEB" w:rsidRPr="00E66F69" w:rsidTr="001C2EEB">
        <w:tblPrEx>
          <w:tblCellMar>
            <w:left w:w="28" w:type="dxa"/>
            <w:right w:w="28" w:type="dxa"/>
          </w:tblCellMar>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1C2EEB" w:rsidRPr="00E66F69" w:rsidRDefault="001C2EEB" w:rsidP="00A24E32">
            <w:pPr>
              <w:rPr>
                <w:rFonts w:ascii="Arial Narrow" w:hAnsi="Arial Narrow"/>
                <w:b/>
                <w:snapToGrid w:val="0"/>
                <w:sz w:val="20"/>
                <w:szCs w:val="18"/>
              </w:rPr>
            </w:pPr>
          </w:p>
        </w:tc>
      </w:tr>
      <w:tr w:rsidR="001C2EEB" w:rsidRPr="00E66F69" w:rsidTr="001C2EEB">
        <w:tblPrEx>
          <w:tblCellMar>
            <w:left w:w="28" w:type="dxa"/>
            <w:right w:w="28" w:type="dxa"/>
          </w:tblCellMar>
          <w:tblLook w:val="04A0" w:firstRow="1" w:lastRow="0" w:firstColumn="1" w:lastColumn="0" w:noHBand="0" w:noVBand="1"/>
        </w:tblPrEx>
        <w:trPr>
          <w:trHeight w:val="263"/>
        </w:trPr>
        <w:tc>
          <w:tcPr>
            <w:tcW w:w="5000" w:type="pct"/>
            <w:gridSpan w:val="7"/>
            <w:tcBorders>
              <w:top w:val="single" w:sz="4" w:space="0" w:color="auto"/>
              <w:left w:val="single" w:sz="4" w:space="0" w:color="auto"/>
              <w:right w:val="single" w:sz="4" w:space="0" w:color="auto"/>
            </w:tcBorders>
          </w:tcPr>
          <w:p w:rsidR="001C2EEB" w:rsidRPr="0013773A" w:rsidRDefault="001C2EEB" w:rsidP="00A24E32">
            <w:pPr>
              <w:rPr>
                <w:rFonts w:ascii="Arial Narrow" w:hAnsi="Arial Narrow"/>
                <w:b/>
                <w:snapToGrid w:val="0"/>
                <w:sz w:val="18"/>
                <w:szCs w:val="18"/>
              </w:rPr>
            </w:pPr>
            <w:r>
              <w:rPr>
                <w:rFonts w:ascii="Arial Narrow" w:hAnsi="Arial Narrow"/>
                <w:b/>
                <w:snapToGrid w:val="0"/>
                <w:sz w:val="18"/>
                <w:szCs w:val="18"/>
              </w:rPr>
              <w:t>Attach</w:t>
            </w:r>
            <w:r w:rsidRPr="0013773A">
              <w:rPr>
                <w:rFonts w:ascii="Arial Narrow" w:hAnsi="Arial Narrow"/>
                <w:b/>
                <w:snapToGrid w:val="0"/>
                <w:sz w:val="18"/>
                <w:szCs w:val="18"/>
              </w:rPr>
              <w:t xml:space="preserve"> new restriction summary number: [NEW] / Treatment of Concept: [NEW</w:t>
            </w:r>
            <w:r>
              <w:rPr>
                <w:rFonts w:ascii="Arial Narrow" w:hAnsi="Arial Narrow"/>
                <w:b/>
                <w:snapToGrid w:val="0"/>
                <w:sz w:val="18"/>
                <w:szCs w:val="18"/>
              </w:rPr>
              <w:t xml:space="preserve"> CODE 1</w:t>
            </w:r>
            <w:r w:rsidRPr="0013773A">
              <w:rPr>
                <w:rFonts w:ascii="Arial Narrow" w:hAnsi="Arial Narrow"/>
                <w:b/>
                <w:snapToGrid w:val="0"/>
                <w:sz w:val="18"/>
                <w:szCs w:val="18"/>
              </w:rPr>
              <w:t>]</w:t>
            </w:r>
          </w:p>
        </w:tc>
      </w:tr>
      <w:tr w:rsidR="001C2EEB" w:rsidRPr="00E66F69" w:rsidTr="001C2EEB">
        <w:tblPrEx>
          <w:tblCellMar>
            <w:left w:w="28" w:type="dxa"/>
            <w:right w:w="28" w:type="dxa"/>
          </w:tblCellMar>
          <w:tblLook w:val="04A0" w:firstRow="1" w:lastRow="0" w:firstColumn="1" w:lastColumn="0" w:noHBand="0" w:noVBand="1"/>
        </w:tblPrEx>
        <w:trPr>
          <w:trHeight w:val="273"/>
        </w:trPr>
        <w:tc>
          <w:tcPr>
            <w:tcW w:w="423" w:type="pct"/>
            <w:vMerge w:val="restart"/>
            <w:tcBorders>
              <w:top w:val="single" w:sz="4" w:space="0" w:color="auto"/>
              <w:left w:val="single" w:sz="4" w:space="0" w:color="auto"/>
              <w:right w:val="single" w:sz="4" w:space="0" w:color="auto"/>
            </w:tcBorders>
          </w:tcPr>
          <w:p w:rsidR="001C2EEB" w:rsidRPr="0013773A" w:rsidRDefault="001C2EEB" w:rsidP="00A24E32">
            <w:pPr>
              <w:jc w:val="center"/>
              <w:rPr>
                <w:rFonts w:ascii="Arial Narrow" w:hAnsi="Arial Narrow"/>
                <w:b/>
                <w:snapToGrid w:val="0"/>
                <w:sz w:val="18"/>
                <w:szCs w:val="18"/>
              </w:rPr>
            </w:pPr>
          </w:p>
        </w:tc>
        <w:tc>
          <w:tcPr>
            <w:tcW w:w="4577" w:type="pct"/>
            <w:gridSpan w:val="6"/>
            <w:tcBorders>
              <w:top w:val="single" w:sz="4" w:space="0" w:color="auto"/>
              <w:left w:val="single" w:sz="4" w:space="0" w:color="auto"/>
              <w:right w:val="single" w:sz="4" w:space="0" w:color="auto"/>
            </w:tcBorders>
          </w:tcPr>
          <w:p w:rsidR="001C2EEB" w:rsidRPr="0013773A" w:rsidRDefault="001C2EEB" w:rsidP="00A24E32">
            <w:pPr>
              <w:rPr>
                <w:rFonts w:ascii="Arial Narrow" w:hAnsi="Arial Narrow"/>
                <w:snapToGrid w:val="0"/>
                <w:sz w:val="18"/>
                <w:szCs w:val="18"/>
              </w:rPr>
            </w:pPr>
            <w:r w:rsidRPr="0013773A">
              <w:rPr>
                <w:rFonts w:ascii="Arial Narrow" w:hAnsi="Arial Narrow"/>
                <w:b/>
                <w:snapToGrid w:val="0"/>
                <w:sz w:val="18"/>
                <w:szCs w:val="18"/>
              </w:rPr>
              <w:t>Category / Program:</w:t>
            </w:r>
            <w:r w:rsidRPr="0013773A">
              <w:rPr>
                <w:rFonts w:ascii="Arial Narrow" w:hAnsi="Arial Narrow"/>
                <w:snapToGrid w:val="0"/>
                <w:sz w:val="18"/>
                <w:szCs w:val="18"/>
              </w:rPr>
              <w:t xml:space="preserve"> General Schedule - Section 85 </w:t>
            </w:r>
          </w:p>
        </w:tc>
      </w:tr>
      <w:tr w:rsidR="001C2EEB" w:rsidRPr="00E66F69" w:rsidTr="001C2EEB">
        <w:tblPrEx>
          <w:tblCellMar>
            <w:left w:w="28" w:type="dxa"/>
            <w:right w:w="28" w:type="dxa"/>
          </w:tblCellMar>
          <w:tblLook w:val="04A0" w:firstRow="1" w:lastRow="0" w:firstColumn="1" w:lastColumn="0" w:noHBand="0" w:noVBand="1"/>
        </w:tblPrEx>
        <w:trPr>
          <w:trHeight w:val="263"/>
        </w:trPr>
        <w:tc>
          <w:tcPr>
            <w:tcW w:w="423" w:type="pct"/>
            <w:vMerge/>
            <w:tcBorders>
              <w:left w:val="single" w:sz="4" w:space="0" w:color="auto"/>
              <w:right w:val="single" w:sz="4" w:space="0" w:color="auto"/>
            </w:tcBorders>
          </w:tcPr>
          <w:p w:rsidR="001C2EEB" w:rsidRPr="0013773A" w:rsidRDefault="001C2EEB" w:rsidP="00A24E32">
            <w:pPr>
              <w:rPr>
                <w:rFonts w:ascii="Arial Narrow" w:hAnsi="Arial Narrow"/>
                <w:b/>
                <w:snapToGrid w:val="0"/>
                <w:sz w:val="18"/>
                <w:szCs w:val="18"/>
              </w:rPr>
            </w:pPr>
          </w:p>
        </w:tc>
        <w:tc>
          <w:tcPr>
            <w:tcW w:w="4577" w:type="pct"/>
            <w:gridSpan w:val="6"/>
            <w:tcBorders>
              <w:left w:val="single" w:sz="4" w:space="0" w:color="auto"/>
              <w:right w:val="single" w:sz="4" w:space="0" w:color="auto"/>
            </w:tcBorders>
          </w:tcPr>
          <w:p w:rsidR="001C2EEB" w:rsidRPr="0013773A" w:rsidRDefault="001C2EEB" w:rsidP="00A24E32">
            <w:pPr>
              <w:rPr>
                <w:rFonts w:ascii="Arial Narrow" w:hAnsi="Arial Narrow"/>
                <w:snapToGrid w:val="0"/>
                <w:sz w:val="18"/>
                <w:szCs w:val="18"/>
              </w:rPr>
            </w:pPr>
            <w:r w:rsidRPr="0013773A">
              <w:rPr>
                <w:rFonts w:ascii="Arial Narrow" w:hAnsi="Arial Narrow"/>
                <w:b/>
                <w:snapToGrid w:val="0"/>
                <w:sz w:val="18"/>
                <w:szCs w:val="18"/>
              </w:rPr>
              <w:t xml:space="preserve">Prescriber type: </w:t>
            </w:r>
            <w:r w:rsidRPr="0013773A">
              <w:rPr>
                <w:rFonts w:ascii="Arial Narrow" w:hAnsi="Arial Narrow"/>
                <w:snapToGrid w:val="0"/>
                <w:sz w:val="18"/>
                <w:szCs w:val="18"/>
              </w:rPr>
              <w:fldChar w:fldCharType="begin">
                <w:ffData>
                  <w:name w:val=""/>
                  <w:enabled/>
                  <w:calcOnExit w:val="0"/>
                  <w:checkBox>
                    <w:sizeAuto/>
                    <w:default w:val="1"/>
                  </w:checkBox>
                </w:ffData>
              </w:fldChar>
            </w:r>
            <w:r w:rsidRPr="0013773A">
              <w:rPr>
                <w:rFonts w:ascii="Arial Narrow" w:hAnsi="Arial Narrow"/>
                <w:snapToGrid w:val="0"/>
                <w:sz w:val="18"/>
                <w:szCs w:val="18"/>
              </w:rPr>
              <w:instrText xml:space="preserve"> FORMCHECKBOX </w:instrText>
            </w:r>
            <w:r w:rsidR="00520DB9">
              <w:rPr>
                <w:rFonts w:ascii="Arial Narrow" w:hAnsi="Arial Narrow"/>
                <w:snapToGrid w:val="0"/>
                <w:sz w:val="18"/>
                <w:szCs w:val="18"/>
              </w:rPr>
            </w:r>
            <w:r w:rsidR="00520DB9">
              <w:rPr>
                <w:rFonts w:ascii="Arial Narrow" w:hAnsi="Arial Narrow"/>
                <w:snapToGrid w:val="0"/>
                <w:sz w:val="18"/>
                <w:szCs w:val="18"/>
              </w:rPr>
              <w:fldChar w:fldCharType="separate"/>
            </w:r>
            <w:r w:rsidRPr="0013773A">
              <w:rPr>
                <w:rFonts w:ascii="Arial Narrow" w:hAnsi="Arial Narrow"/>
                <w:snapToGrid w:val="0"/>
                <w:sz w:val="18"/>
                <w:szCs w:val="18"/>
              </w:rPr>
              <w:fldChar w:fldCharType="end"/>
            </w:r>
            <w:r w:rsidRPr="0013773A">
              <w:rPr>
                <w:rFonts w:ascii="Arial Narrow" w:hAnsi="Arial Narrow"/>
                <w:snapToGrid w:val="0"/>
                <w:sz w:val="18"/>
                <w:szCs w:val="18"/>
              </w:rPr>
              <w:t xml:space="preserve"> Medical Practitioners </w:t>
            </w:r>
          </w:p>
        </w:tc>
      </w:tr>
      <w:tr w:rsidR="001C2EEB" w:rsidRPr="00E66F69" w:rsidTr="001C2EEB">
        <w:tblPrEx>
          <w:tblCellMar>
            <w:left w:w="28" w:type="dxa"/>
            <w:right w:w="28" w:type="dxa"/>
          </w:tblCellMar>
          <w:tblLook w:val="04A0" w:firstRow="1" w:lastRow="0" w:firstColumn="1" w:lastColumn="0" w:noHBand="0" w:noVBand="1"/>
        </w:tblPrEx>
        <w:trPr>
          <w:trHeight w:val="138"/>
        </w:trPr>
        <w:tc>
          <w:tcPr>
            <w:tcW w:w="423" w:type="pct"/>
            <w:vMerge/>
            <w:tcBorders>
              <w:left w:val="single" w:sz="4" w:space="0" w:color="auto"/>
              <w:right w:val="single" w:sz="4" w:space="0" w:color="auto"/>
            </w:tcBorders>
          </w:tcPr>
          <w:p w:rsidR="001C2EEB" w:rsidRPr="0013773A" w:rsidRDefault="001C2EEB" w:rsidP="00A24E32">
            <w:pPr>
              <w:rPr>
                <w:rFonts w:ascii="Arial Narrow" w:hAnsi="Arial Narrow"/>
                <w:b/>
                <w:snapToGrid w:val="0"/>
                <w:sz w:val="18"/>
                <w:szCs w:val="18"/>
              </w:rPr>
            </w:pPr>
          </w:p>
        </w:tc>
        <w:tc>
          <w:tcPr>
            <w:tcW w:w="4577" w:type="pct"/>
            <w:gridSpan w:val="6"/>
            <w:tcBorders>
              <w:left w:val="single" w:sz="4" w:space="0" w:color="auto"/>
              <w:right w:val="single" w:sz="4" w:space="0" w:color="auto"/>
            </w:tcBorders>
          </w:tcPr>
          <w:p w:rsidR="001C2EEB" w:rsidRPr="0013773A" w:rsidRDefault="001C2EEB" w:rsidP="00A24E32">
            <w:pPr>
              <w:rPr>
                <w:rFonts w:ascii="Arial Narrow" w:hAnsi="Arial Narrow"/>
                <w:snapToGrid w:val="0"/>
                <w:sz w:val="18"/>
                <w:szCs w:val="18"/>
              </w:rPr>
            </w:pPr>
            <w:r w:rsidRPr="0013773A">
              <w:rPr>
                <w:rFonts w:ascii="Arial Narrow" w:hAnsi="Arial Narrow"/>
                <w:b/>
                <w:snapToGrid w:val="0"/>
                <w:sz w:val="18"/>
                <w:szCs w:val="18"/>
              </w:rPr>
              <w:t xml:space="preserve">Restriction type: </w:t>
            </w:r>
            <w:r w:rsidRPr="0013773A">
              <w:rPr>
                <w:rFonts w:ascii="Arial Narrow" w:hAnsi="Arial Narrow"/>
                <w:snapToGrid w:val="0"/>
                <w:sz w:val="18"/>
                <w:szCs w:val="18"/>
              </w:rPr>
              <w:fldChar w:fldCharType="begin">
                <w:ffData>
                  <w:name w:val="Check5"/>
                  <w:enabled/>
                  <w:calcOnExit w:val="0"/>
                  <w:checkBox>
                    <w:sizeAuto/>
                    <w:default w:val="1"/>
                  </w:checkBox>
                </w:ffData>
              </w:fldChar>
            </w:r>
            <w:r w:rsidRPr="0013773A">
              <w:rPr>
                <w:rFonts w:ascii="Arial Narrow" w:hAnsi="Arial Narrow"/>
                <w:snapToGrid w:val="0"/>
                <w:sz w:val="18"/>
                <w:szCs w:val="18"/>
              </w:rPr>
              <w:instrText xml:space="preserve"> FORMCHECKBOX </w:instrText>
            </w:r>
            <w:r w:rsidR="00520DB9">
              <w:rPr>
                <w:rFonts w:ascii="Arial Narrow" w:hAnsi="Arial Narrow"/>
                <w:snapToGrid w:val="0"/>
                <w:sz w:val="18"/>
                <w:szCs w:val="18"/>
              </w:rPr>
            </w:r>
            <w:r w:rsidR="00520DB9">
              <w:rPr>
                <w:rFonts w:ascii="Arial Narrow" w:hAnsi="Arial Narrow"/>
                <w:snapToGrid w:val="0"/>
                <w:sz w:val="18"/>
                <w:szCs w:val="18"/>
              </w:rPr>
              <w:fldChar w:fldCharType="separate"/>
            </w:r>
            <w:r w:rsidRPr="0013773A">
              <w:rPr>
                <w:rFonts w:ascii="Arial Narrow" w:hAnsi="Arial Narrow"/>
                <w:snapToGrid w:val="0"/>
                <w:sz w:val="18"/>
                <w:szCs w:val="18"/>
              </w:rPr>
              <w:fldChar w:fldCharType="end"/>
            </w:r>
            <w:r w:rsidRPr="0013773A">
              <w:rPr>
                <w:rFonts w:ascii="Arial Narrow" w:hAnsi="Arial Narrow"/>
                <w:snapToGrid w:val="0"/>
                <w:sz w:val="18"/>
                <w:szCs w:val="18"/>
              </w:rPr>
              <w:t xml:space="preserve"> Authority Required (STREAMLINED) [NEW CODE</w:t>
            </w:r>
            <w:r>
              <w:rPr>
                <w:rFonts w:ascii="Arial Narrow" w:hAnsi="Arial Narrow"/>
                <w:snapToGrid w:val="0"/>
                <w:sz w:val="18"/>
                <w:szCs w:val="18"/>
              </w:rPr>
              <w:t xml:space="preserve"> 1</w:t>
            </w:r>
            <w:r w:rsidRPr="0013773A">
              <w:rPr>
                <w:rFonts w:ascii="Arial Narrow" w:hAnsi="Arial Narrow"/>
                <w:snapToGrid w:val="0"/>
                <w:sz w:val="18"/>
                <w:szCs w:val="18"/>
              </w:rPr>
              <w:t xml:space="preserve"> – NOT 7815]</w:t>
            </w:r>
          </w:p>
        </w:tc>
      </w:tr>
      <w:tr w:rsidR="001C2EEB" w:rsidRPr="00E66F69" w:rsidTr="001C2EEB">
        <w:tblPrEx>
          <w:tblCellMar>
            <w:left w:w="28" w:type="dxa"/>
            <w:right w:w="28" w:type="dxa"/>
          </w:tblCellMar>
          <w:tblLook w:val="04A0" w:firstRow="1" w:lastRow="0" w:firstColumn="1" w:lastColumn="0" w:noHBand="0" w:noVBand="1"/>
        </w:tblPrEx>
        <w:trPr>
          <w:trHeight w:val="128"/>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b/>
                <w:snapToGrid w:val="0"/>
                <w:sz w:val="18"/>
                <w:szCs w:val="18"/>
              </w:rPr>
            </w:pPr>
            <w:r w:rsidRPr="0013773A">
              <w:rPr>
                <w:rFonts w:ascii="Arial Narrow" w:hAnsi="Arial Narrow"/>
                <w:b/>
                <w:snapToGrid w:val="0"/>
                <w:sz w:val="18"/>
                <w:szCs w:val="18"/>
              </w:rPr>
              <w:t xml:space="preserve">PBS Indication: </w:t>
            </w:r>
            <w:r w:rsidRPr="0013773A">
              <w:rPr>
                <w:rFonts w:ascii="Arial Narrow" w:hAnsi="Arial Narrow"/>
                <w:snapToGrid w:val="0"/>
                <w:sz w:val="18"/>
                <w:szCs w:val="18"/>
              </w:rPr>
              <w:t>Idiopathic generalised epilepsy with primary generalised tonic-clonic seizures</w:t>
            </w:r>
          </w:p>
        </w:tc>
      </w:tr>
      <w:tr w:rsidR="001C2EEB" w:rsidRPr="00E66F69" w:rsidTr="001C2EEB">
        <w:tblPrEx>
          <w:tblCellMar>
            <w:left w:w="28" w:type="dxa"/>
            <w:right w:w="28" w:type="dxa"/>
          </w:tblCellMar>
          <w:tblLook w:val="04A0" w:firstRow="1" w:lastRow="0" w:firstColumn="1" w:lastColumn="0" w:noHBand="0" w:noVBand="1"/>
        </w:tblPrEx>
        <w:trPr>
          <w:trHeight w:val="118"/>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b/>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snapToGrid w:val="0"/>
                <w:sz w:val="18"/>
                <w:szCs w:val="18"/>
                <w:highlight w:val="lightGray"/>
              </w:rPr>
            </w:pPr>
            <w:r w:rsidRPr="0013773A">
              <w:rPr>
                <w:rFonts w:ascii="Arial Narrow" w:hAnsi="Arial Narrow"/>
                <w:b/>
                <w:snapToGrid w:val="0"/>
                <w:sz w:val="18"/>
                <w:szCs w:val="18"/>
              </w:rPr>
              <w:t xml:space="preserve">Treatment phase: </w:t>
            </w:r>
            <w:r w:rsidRPr="0013773A">
              <w:rPr>
                <w:rFonts w:ascii="Arial Narrow" w:hAnsi="Arial Narrow"/>
                <w:snapToGrid w:val="0"/>
                <w:sz w:val="18"/>
                <w:szCs w:val="18"/>
              </w:rPr>
              <w:t>Dose titration at the start of therapy, during therapy or to gradually cease treatment</w:t>
            </w:r>
          </w:p>
        </w:tc>
      </w:tr>
      <w:tr w:rsidR="001C2EEB" w:rsidRPr="00E66F69" w:rsidTr="001C2EEB">
        <w:tblPrEx>
          <w:tblCellMar>
            <w:left w:w="28" w:type="dxa"/>
            <w:right w:w="28" w:type="dxa"/>
          </w:tblCellMar>
          <w:tblLook w:val="04A0" w:firstRow="1" w:lastRow="0" w:firstColumn="1" w:lastColumn="0" w:noHBand="0" w:noVBand="1"/>
        </w:tblPrEx>
        <w:trPr>
          <w:trHeight w:val="118"/>
        </w:trPr>
        <w:tc>
          <w:tcPr>
            <w:tcW w:w="423" w:type="pct"/>
            <w:tcBorders>
              <w:top w:val="single" w:sz="4" w:space="0" w:color="auto"/>
              <w:left w:val="single" w:sz="4" w:space="0" w:color="auto"/>
              <w:bottom w:val="single" w:sz="4" w:space="0" w:color="auto"/>
              <w:right w:val="single" w:sz="4" w:space="0" w:color="auto"/>
            </w:tcBorders>
          </w:tcPr>
          <w:p w:rsidR="001C2EEB" w:rsidRPr="00E66F69" w:rsidRDefault="001C2EEB" w:rsidP="00A24E32">
            <w:pPr>
              <w:keepNext/>
              <w:jc w:val="center"/>
              <w:rPr>
                <w:rFonts w:ascii="Arial Narrow" w:eastAsia="MS Gothic" w:hAnsi="Arial Narrow"/>
                <w:bCs/>
                <w:sz w:val="18"/>
                <w:szCs w:val="18"/>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E66F69" w:rsidRDefault="001C2EEB" w:rsidP="00A24E32">
            <w:pPr>
              <w:keepNext/>
              <w:rPr>
                <w:rFonts w:ascii="Arial Narrow" w:eastAsia="MS Gothic" w:hAnsi="Arial Narrow"/>
                <w:bCs/>
                <w:color w:val="000000"/>
                <w:sz w:val="18"/>
                <w:szCs w:val="18"/>
              </w:rPr>
            </w:pPr>
            <w:r w:rsidRPr="00E66F69">
              <w:rPr>
                <w:rFonts w:ascii="Arial Narrow" w:eastAsia="MS Gothic" w:hAnsi="Arial Narrow"/>
                <w:b/>
                <w:bCs/>
                <w:sz w:val="18"/>
                <w:szCs w:val="18"/>
              </w:rPr>
              <w:t xml:space="preserve">Treatment criteria: </w:t>
            </w:r>
          </w:p>
        </w:tc>
      </w:tr>
      <w:tr w:rsidR="001C2EEB" w:rsidRPr="00E66F69" w:rsidTr="001C2EEB">
        <w:tblPrEx>
          <w:tblCellMar>
            <w:left w:w="28" w:type="dxa"/>
            <w:right w:w="28" w:type="dxa"/>
          </w:tblCellMar>
          <w:tblLook w:val="04A0" w:firstRow="1" w:lastRow="0" w:firstColumn="1" w:lastColumn="0" w:noHBand="0" w:noVBand="1"/>
        </w:tblPrEx>
        <w:trPr>
          <w:trHeight w:val="118"/>
        </w:trPr>
        <w:tc>
          <w:tcPr>
            <w:tcW w:w="423" w:type="pct"/>
            <w:tcBorders>
              <w:top w:val="single" w:sz="4" w:space="0" w:color="auto"/>
              <w:left w:val="single" w:sz="4" w:space="0" w:color="auto"/>
              <w:bottom w:val="single" w:sz="4" w:space="0" w:color="auto"/>
              <w:right w:val="single" w:sz="4" w:space="0" w:color="auto"/>
            </w:tcBorders>
          </w:tcPr>
          <w:p w:rsidR="001C2EEB" w:rsidRPr="00E66F69" w:rsidRDefault="001C2EEB" w:rsidP="00A24E32">
            <w:pPr>
              <w:keepNext/>
              <w:jc w:val="center"/>
              <w:rPr>
                <w:rFonts w:ascii="Arial Narrow" w:eastAsia="MS Gothic" w:hAnsi="Arial Narrow"/>
                <w:bCs/>
                <w:sz w:val="18"/>
                <w:szCs w:val="18"/>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E66F69" w:rsidRDefault="001C2EEB" w:rsidP="00A24E32">
            <w:pPr>
              <w:keepNext/>
              <w:rPr>
                <w:rFonts w:ascii="Arial Narrow" w:eastAsia="MS Gothic" w:hAnsi="Arial Narrow"/>
                <w:b/>
                <w:bCs/>
                <w:i/>
                <w:sz w:val="18"/>
                <w:szCs w:val="18"/>
              </w:rPr>
            </w:pPr>
            <w:r w:rsidRPr="00E66F69">
              <w:rPr>
                <w:rFonts w:ascii="Arial Narrow" w:eastAsia="MS Gothic" w:hAnsi="Arial Narrow"/>
                <w:bCs/>
                <w:sz w:val="18"/>
                <w:szCs w:val="18"/>
              </w:rPr>
              <w:t>M</w:t>
            </w:r>
            <w:r>
              <w:rPr>
                <w:rFonts w:ascii="Arial Narrow" w:eastAsia="MS Gothic" w:hAnsi="Arial Narrow"/>
                <w:bCs/>
                <w:sz w:val="18"/>
                <w:szCs w:val="18"/>
              </w:rPr>
              <w:t>ust be treated by a neurologist; or</w:t>
            </w:r>
          </w:p>
        </w:tc>
      </w:tr>
      <w:tr w:rsidR="001C2EEB" w:rsidRPr="00E66F69" w:rsidTr="001C2EEB">
        <w:tblPrEx>
          <w:tblCellMar>
            <w:left w:w="28" w:type="dxa"/>
            <w:right w:w="28" w:type="dxa"/>
          </w:tblCellMar>
          <w:tblLook w:val="04A0" w:firstRow="1" w:lastRow="0" w:firstColumn="1" w:lastColumn="0" w:noHBand="0" w:noVBand="1"/>
        </w:tblPrEx>
        <w:trPr>
          <w:trHeight w:val="118"/>
        </w:trPr>
        <w:tc>
          <w:tcPr>
            <w:tcW w:w="423" w:type="pct"/>
            <w:tcBorders>
              <w:top w:val="single" w:sz="4" w:space="0" w:color="auto"/>
              <w:left w:val="single" w:sz="4" w:space="0" w:color="auto"/>
              <w:bottom w:val="single" w:sz="4" w:space="0" w:color="auto"/>
              <w:right w:val="single" w:sz="4" w:space="0" w:color="auto"/>
            </w:tcBorders>
          </w:tcPr>
          <w:p w:rsidR="001C2EEB" w:rsidRDefault="001C2EEB" w:rsidP="00A24E32">
            <w:pPr>
              <w:keepNext/>
              <w:jc w:val="center"/>
              <w:rPr>
                <w:rFonts w:ascii="Arial Narrow" w:eastAsia="MS Gothic" w:hAnsi="Arial Narrow"/>
                <w:bCs/>
                <w:sz w:val="18"/>
                <w:szCs w:val="18"/>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E66F69" w:rsidRDefault="001C2EEB" w:rsidP="00A24E32">
            <w:pPr>
              <w:keepNext/>
              <w:rPr>
                <w:rFonts w:ascii="Arial Narrow" w:eastAsia="MS Gothic" w:hAnsi="Arial Narrow"/>
                <w:bCs/>
                <w:sz w:val="18"/>
                <w:szCs w:val="18"/>
              </w:rPr>
            </w:pPr>
            <w:r w:rsidRPr="002218A7">
              <w:rPr>
                <w:rFonts w:ascii="Arial Narrow" w:eastAsia="MS Gothic" w:hAnsi="Arial Narrow"/>
                <w:bCs/>
                <w:sz w:val="18"/>
                <w:szCs w:val="18"/>
              </w:rPr>
              <w:t>Must be treated by a paediatrician</w:t>
            </w:r>
          </w:p>
        </w:tc>
      </w:tr>
      <w:tr w:rsidR="001C2EEB" w:rsidRPr="00E66F69" w:rsidTr="001C2EEB">
        <w:tblPrEx>
          <w:tblCellMar>
            <w:left w:w="28" w:type="dxa"/>
            <w:right w:w="28" w:type="dxa"/>
          </w:tblCellMar>
          <w:tblLook w:val="04A0" w:firstRow="1" w:lastRow="0" w:firstColumn="1" w:lastColumn="0" w:noHBand="0" w:noVBand="1"/>
        </w:tblPrEx>
        <w:trPr>
          <w:trHeight w:val="108"/>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trike/>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autoSpaceDE w:val="0"/>
              <w:autoSpaceDN w:val="0"/>
              <w:adjustRightInd w:val="0"/>
              <w:rPr>
                <w:rFonts w:ascii="Arial Narrow" w:eastAsia="MS Gothic" w:hAnsi="Arial Narrow"/>
                <w:bCs/>
                <w:sz w:val="18"/>
                <w:szCs w:val="18"/>
                <w:highlight w:val="lightGray"/>
              </w:rPr>
            </w:pPr>
            <w:r w:rsidRPr="0013773A">
              <w:rPr>
                <w:rFonts w:ascii="Arial Narrow" w:eastAsia="Calibri" w:hAnsi="Arial Narrow"/>
                <w:b/>
                <w:color w:val="000000"/>
                <w:sz w:val="18"/>
                <w:szCs w:val="18"/>
              </w:rPr>
              <w:t>Clinical criteria:</w:t>
            </w:r>
          </w:p>
        </w:tc>
      </w:tr>
      <w:tr w:rsidR="001C2EEB" w:rsidRPr="00E66F69" w:rsidTr="001C2EEB">
        <w:tblPrEx>
          <w:tblCellMar>
            <w:left w:w="28" w:type="dxa"/>
            <w:right w:w="28" w:type="dxa"/>
          </w:tblCellMar>
          <w:tblLook w:val="04A0" w:firstRow="1" w:lastRow="0" w:firstColumn="1" w:lastColumn="0" w:noHBand="0" w:noVBand="1"/>
        </w:tblPrEx>
        <w:trPr>
          <w:trHeight w:val="284"/>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autoSpaceDE w:val="0"/>
              <w:autoSpaceDN w:val="0"/>
              <w:adjustRightInd w:val="0"/>
              <w:rPr>
                <w:rFonts w:ascii="Arial Narrow" w:eastAsia="MS Gothic" w:hAnsi="Arial Narrow"/>
                <w:bCs/>
                <w:sz w:val="18"/>
                <w:szCs w:val="18"/>
                <w:highlight w:val="lightGray"/>
              </w:rPr>
            </w:pPr>
            <w:r w:rsidRPr="0013773A">
              <w:rPr>
                <w:rFonts w:ascii="Arial Narrow" w:eastAsia="MS Gothic" w:hAnsi="Arial Narrow"/>
                <w:bCs/>
                <w:sz w:val="18"/>
                <w:szCs w:val="18"/>
              </w:rPr>
              <w:t>The condition must have failed to be controlled satisfactorily by at least two anti-epileptic drugs prior to when the drug is/was first commenced</w:t>
            </w:r>
          </w:p>
        </w:tc>
      </w:tr>
      <w:tr w:rsidR="001C2EEB" w:rsidRPr="00E66F69" w:rsidTr="001C2EEB">
        <w:tblPrEx>
          <w:tblCellMar>
            <w:left w:w="28" w:type="dxa"/>
            <w:right w:w="28" w:type="dxa"/>
          </w:tblCellMar>
          <w:tblLook w:val="04A0" w:firstRow="1" w:lastRow="0" w:firstColumn="1" w:lastColumn="0" w:noHBand="0" w:noVBand="1"/>
        </w:tblPrEx>
        <w:trPr>
          <w:trHeight w:val="221"/>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b/>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eastAsia="MS Gothic" w:hAnsi="Arial Narrow"/>
                <w:b/>
                <w:bCs/>
                <w:snapToGrid w:val="0"/>
                <w:sz w:val="18"/>
                <w:szCs w:val="18"/>
              </w:rPr>
            </w:pPr>
            <w:r w:rsidRPr="0013773A">
              <w:rPr>
                <w:rFonts w:ascii="Arial Narrow" w:eastAsia="MS Gothic" w:hAnsi="Arial Narrow"/>
                <w:b/>
                <w:bCs/>
                <w:snapToGrid w:val="0"/>
                <w:sz w:val="18"/>
                <w:szCs w:val="18"/>
              </w:rPr>
              <w:t>AND</w:t>
            </w:r>
          </w:p>
        </w:tc>
      </w:tr>
      <w:tr w:rsidR="001C2EEB" w:rsidRPr="00E66F69" w:rsidTr="001C2EEB">
        <w:tblPrEx>
          <w:tblCellMar>
            <w:left w:w="28" w:type="dxa"/>
            <w:right w:w="28" w:type="dxa"/>
          </w:tblCellMar>
          <w:tblLook w:val="04A0" w:firstRow="1" w:lastRow="0" w:firstColumn="1" w:lastColumn="0" w:noHBand="0" w:noVBand="1"/>
        </w:tblPrEx>
        <w:trPr>
          <w:trHeight w:val="191"/>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trike/>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eastAsia="MS Gothic" w:hAnsi="Arial Narrow"/>
                <w:bCs/>
                <w:snapToGrid w:val="0"/>
                <w:sz w:val="18"/>
                <w:szCs w:val="18"/>
              </w:rPr>
            </w:pPr>
            <w:r w:rsidRPr="0013773A">
              <w:rPr>
                <w:rFonts w:ascii="Arial Narrow" w:hAnsi="Arial Narrow"/>
                <w:b/>
                <w:snapToGrid w:val="0"/>
                <w:sz w:val="18"/>
                <w:szCs w:val="18"/>
              </w:rPr>
              <w:t>Clinical criteria:</w:t>
            </w:r>
          </w:p>
        </w:tc>
      </w:tr>
      <w:tr w:rsidR="001C2EEB" w:rsidRPr="00E66F69" w:rsidTr="001C2EEB">
        <w:tblPrEx>
          <w:tblCellMar>
            <w:left w:w="28" w:type="dxa"/>
            <w:right w:w="28" w:type="dxa"/>
          </w:tblCellMar>
          <w:tblLook w:val="04A0" w:firstRow="1" w:lastRow="0" w:firstColumn="1" w:lastColumn="0" w:noHBand="0" w:noVBand="1"/>
        </w:tblPrEx>
        <w:trPr>
          <w:trHeight w:val="284"/>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b/>
                <w:snapToGrid w:val="0"/>
                <w:sz w:val="18"/>
                <w:szCs w:val="18"/>
                <w:highlight w:val="lightGray"/>
              </w:rPr>
            </w:pPr>
            <w:r w:rsidRPr="0013773A">
              <w:rPr>
                <w:rFonts w:ascii="Arial Narrow" w:eastAsia="MS Gothic" w:hAnsi="Arial Narrow"/>
                <w:bCs/>
                <w:snapToGrid w:val="0"/>
                <w:sz w:val="18"/>
                <w:szCs w:val="18"/>
              </w:rPr>
              <w:t>The treatment must be (for initiating treatment)/have been (for continuing treatment) in combination with at least one PBS-subsidised anti-epileptic drug at the time the drug is/was first commenced</w:t>
            </w:r>
          </w:p>
        </w:tc>
      </w:tr>
      <w:tr w:rsidR="001C2EEB" w:rsidRPr="00E66F69" w:rsidTr="001C2EEB">
        <w:tblPrEx>
          <w:tblCellMar>
            <w:left w:w="28" w:type="dxa"/>
            <w:right w:w="28" w:type="dxa"/>
          </w:tblCellMar>
          <w:tblLook w:val="04A0" w:firstRow="1" w:lastRow="0" w:firstColumn="1" w:lastColumn="0" w:noHBand="0" w:noVBand="1"/>
        </w:tblPrEx>
        <w:trPr>
          <w:trHeight w:val="135"/>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eastAsia="MS Gothic" w:hAnsi="Arial Narrow"/>
                <w:bCs/>
                <w:snapToGrid w:val="0"/>
                <w:sz w:val="18"/>
                <w:szCs w:val="18"/>
              </w:rPr>
            </w:pPr>
            <w:r w:rsidRPr="0013773A">
              <w:rPr>
                <w:rFonts w:ascii="Arial Narrow" w:eastAsia="MS Gothic" w:hAnsi="Arial Narrow"/>
                <w:b/>
                <w:bCs/>
                <w:snapToGrid w:val="0"/>
                <w:sz w:val="18"/>
                <w:szCs w:val="18"/>
              </w:rPr>
              <w:t>AND</w:t>
            </w:r>
          </w:p>
        </w:tc>
      </w:tr>
      <w:tr w:rsidR="001C2EEB" w:rsidRPr="00E66F69" w:rsidTr="001C2EEB">
        <w:tblPrEx>
          <w:tblCellMar>
            <w:left w:w="28" w:type="dxa"/>
            <w:right w:w="28" w:type="dxa"/>
          </w:tblCellMar>
          <w:tblLook w:val="04A0" w:firstRow="1" w:lastRow="0" w:firstColumn="1" w:lastColumn="0" w:noHBand="0" w:noVBand="1"/>
        </w:tblPrEx>
        <w:trPr>
          <w:trHeight w:val="189"/>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eastAsia="MS Gothic" w:hAnsi="Arial Narrow"/>
                <w:bCs/>
                <w:snapToGrid w:val="0"/>
                <w:sz w:val="18"/>
                <w:szCs w:val="18"/>
              </w:rPr>
            </w:pPr>
            <w:r w:rsidRPr="0013773A">
              <w:rPr>
                <w:rFonts w:ascii="Arial Narrow" w:hAnsi="Arial Narrow"/>
                <w:b/>
                <w:snapToGrid w:val="0"/>
                <w:sz w:val="18"/>
                <w:szCs w:val="18"/>
              </w:rPr>
              <w:t>Clinical criteria:</w:t>
            </w:r>
          </w:p>
        </w:tc>
      </w:tr>
      <w:tr w:rsidR="001C2EEB" w:rsidRPr="00E66F69" w:rsidTr="001C2EEB">
        <w:tblPrEx>
          <w:tblCellMar>
            <w:left w:w="28" w:type="dxa"/>
            <w:right w:w="28" w:type="dxa"/>
          </w:tblCellMar>
          <w:tblLook w:val="04A0" w:firstRow="1" w:lastRow="0" w:firstColumn="1" w:lastColumn="0" w:noHBand="0" w:noVBand="1"/>
        </w:tblPrEx>
        <w:trPr>
          <w:trHeight w:val="161"/>
        </w:trPr>
        <w:tc>
          <w:tcPr>
            <w:tcW w:w="423" w:type="pct"/>
            <w:tcBorders>
              <w:top w:val="single" w:sz="4" w:space="0" w:color="auto"/>
              <w:left w:val="single" w:sz="4" w:space="0" w:color="auto"/>
              <w:bottom w:val="single" w:sz="4" w:space="0" w:color="auto"/>
              <w:right w:val="single" w:sz="4" w:space="0" w:color="auto"/>
            </w:tcBorders>
          </w:tcPr>
          <w:p w:rsidR="001C2EEB" w:rsidRPr="0013773A"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eastAsia="MS Gothic" w:hAnsi="Arial Narrow"/>
                <w:bCs/>
                <w:snapToGrid w:val="0"/>
                <w:sz w:val="18"/>
                <w:szCs w:val="18"/>
              </w:rPr>
            </w:pPr>
            <w:r w:rsidRPr="0013773A">
              <w:rPr>
                <w:rFonts w:ascii="Arial Narrow" w:eastAsia="MS Gothic" w:hAnsi="Arial Narrow"/>
                <w:bCs/>
                <w:snapToGrid w:val="0"/>
                <w:sz w:val="18"/>
                <w:szCs w:val="18"/>
              </w:rPr>
              <w:t>The treatment must be for dose titration purposes</w:t>
            </w:r>
          </w:p>
        </w:tc>
      </w:tr>
      <w:tr w:rsidR="001C2EEB" w:rsidRPr="00E66F69" w:rsidTr="001C2EEB">
        <w:tblPrEx>
          <w:tblCellMar>
            <w:left w:w="28" w:type="dxa"/>
            <w:right w:w="28" w:type="dxa"/>
          </w:tblCellMar>
          <w:tblLook w:val="04A0" w:firstRow="1" w:lastRow="0" w:firstColumn="1" w:lastColumn="0" w:noHBand="0" w:noVBand="1"/>
        </w:tblPrEx>
        <w:trPr>
          <w:trHeight w:val="200"/>
        </w:trPr>
        <w:tc>
          <w:tcPr>
            <w:tcW w:w="423" w:type="pct"/>
            <w:tcBorders>
              <w:top w:val="single" w:sz="4" w:space="0" w:color="auto"/>
              <w:left w:val="single" w:sz="4" w:space="0" w:color="auto"/>
              <w:bottom w:val="single" w:sz="4" w:space="0" w:color="auto"/>
              <w:right w:val="single" w:sz="4" w:space="0" w:color="auto"/>
            </w:tcBorders>
          </w:tcPr>
          <w:p w:rsidR="001C2EEB" w:rsidRPr="00010DA6" w:rsidRDefault="001C2EEB" w:rsidP="00A24E32">
            <w:pPr>
              <w:jc w:val="center"/>
              <w:rPr>
                <w:rFonts w:ascii="Arial Narrow" w:hAnsi="Arial Narrow" w:cs="Calibri"/>
                <w:bCs/>
                <w:snapToGrid w:val="0"/>
                <w:sz w:val="18"/>
                <w:szCs w:val="18"/>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b/>
                <w:iCs/>
                <w:snapToGrid w:val="0"/>
                <w:sz w:val="18"/>
                <w:szCs w:val="18"/>
                <w:lang w:val="en-GB"/>
              </w:rPr>
            </w:pPr>
            <w:r w:rsidRPr="002D4F5D">
              <w:rPr>
                <w:rFonts w:ascii="Arial Narrow" w:hAnsi="Arial Narrow"/>
                <w:b/>
                <w:iCs/>
                <w:snapToGrid w:val="0"/>
                <w:sz w:val="18"/>
                <w:szCs w:val="18"/>
                <w:lang w:val="en-GB"/>
              </w:rPr>
              <w:t>Administrative Advice:</w:t>
            </w:r>
            <w:r>
              <w:rPr>
                <w:rFonts w:ascii="Arial Narrow" w:hAnsi="Arial Narrow"/>
                <w:b/>
                <w:iCs/>
                <w:snapToGrid w:val="0"/>
                <w:sz w:val="18"/>
                <w:szCs w:val="18"/>
                <w:lang w:val="en-GB"/>
              </w:rPr>
              <w:t xml:space="preserve"> </w:t>
            </w:r>
            <w:r w:rsidRPr="002D4F5D">
              <w:rPr>
                <w:rFonts w:ascii="Arial Narrow" w:hAnsi="Arial Narrow"/>
                <w:iCs/>
                <w:snapToGrid w:val="0"/>
                <w:sz w:val="18"/>
                <w:szCs w:val="18"/>
                <w:lang w:val="en-GB"/>
              </w:rPr>
              <w:t>No increase in the maximum quantity or number of units may be authorised.</w:t>
            </w:r>
          </w:p>
        </w:tc>
      </w:tr>
      <w:tr w:rsidR="001C2EEB" w:rsidRPr="00E66F69" w:rsidTr="001C2EEB">
        <w:tblPrEx>
          <w:tblCellMar>
            <w:left w:w="28" w:type="dxa"/>
            <w:right w:w="28" w:type="dxa"/>
          </w:tblCellMar>
          <w:tblLook w:val="04A0" w:firstRow="1" w:lastRow="0" w:firstColumn="1" w:lastColumn="0" w:noHBand="0" w:noVBand="1"/>
        </w:tblPrEx>
        <w:trPr>
          <w:trHeight w:val="200"/>
        </w:trPr>
        <w:tc>
          <w:tcPr>
            <w:tcW w:w="423" w:type="pct"/>
            <w:tcBorders>
              <w:top w:val="single" w:sz="4" w:space="0" w:color="auto"/>
              <w:left w:val="single" w:sz="4" w:space="0" w:color="auto"/>
              <w:bottom w:val="single" w:sz="4" w:space="0" w:color="auto"/>
              <w:right w:val="single" w:sz="4" w:space="0" w:color="auto"/>
            </w:tcBorders>
          </w:tcPr>
          <w:p w:rsidR="001C2EEB" w:rsidRPr="00010DA6" w:rsidRDefault="001C2EEB" w:rsidP="00A24E32">
            <w:pPr>
              <w:jc w:val="center"/>
              <w:rPr>
                <w:rFonts w:ascii="Arial Narrow" w:hAnsi="Arial Narrow" w:cs="Calibri"/>
                <w:bCs/>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b/>
                <w:iCs/>
                <w:snapToGrid w:val="0"/>
                <w:sz w:val="18"/>
                <w:szCs w:val="18"/>
                <w:highlight w:val="lightGray"/>
                <w:lang w:val="en-GB"/>
              </w:rPr>
            </w:pPr>
            <w:r w:rsidRPr="0013773A">
              <w:rPr>
                <w:rFonts w:ascii="Arial Narrow" w:hAnsi="Arial Narrow"/>
                <w:b/>
                <w:iCs/>
                <w:snapToGrid w:val="0"/>
                <w:sz w:val="18"/>
                <w:szCs w:val="18"/>
                <w:lang w:val="en-GB"/>
              </w:rPr>
              <w:t>Administrative Advice:</w:t>
            </w:r>
            <w:r>
              <w:t xml:space="preserve"> </w:t>
            </w:r>
            <w:r w:rsidRPr="002D4F5D">
              <w:rPr>
                <w:rFonts w:ascii="Arial Narrow" w:hAnsi="Arial Narrow"/>
                <w:iCs/>
                <w:snapToGrid w:val="0"/>
                <w:sz w:val="18"/>
                <w:szCs w:val="18"/>
                <w:lang w:val="en-GB"/>
              </w:rPr>
              <w:t>No increase in the maximum number of repeats may be authorised.</w:t>
            </w:r>
            <w:r w:rsidRPr="0013773A">
              <w:rPr>
                <w:rFonts w:ascii="Arial Narrow" w:hAnsi="Arial Narrow"/>
                <w:b/>
                <w:iCs/>
                <w:snapToGrid w:val="0"/>
                <w:sz w:val="18"/>
                <w:szCs w:val="18"/>
                <w:lang w:val="en-GB"/>
              </w:rPr>
              <w:t xml:space="preserve"> </w:t>
            </w:r>
          </w:p>
        </w:tc>
      </w:tr>
      <w:tr w:rsidR="001C2EEB" w:rsidRPr="00E66F69" w:rsidTr="001C2EEB">
        <w:tblPrEx>
          <w:tblCellMar>
            <w:left w:w="28" w:type="dxa"/>
            <w:right w:w="28" w:type="dxa"/>
          </w:tblCellMar>
          <w:tblLook w:val="04A0" w:firstRow="1" w:lastRow="0" w:firstColumn="1" w:lastColumn="0" w:noHBand="0" w:noVBand="1"/>
        </w:tblPrEx>
        <w:trPr>
          <w:trHeight w:val="103"/>
        </w:trPr>
        <w:tc>
          <w:tcPr>
            <w:tcW w:w="423" w:type="pct"/>
            <w:tcBorders>
              <w:top w:val="single" w:sz="4" w:space="0" w:color="auto"/>
              <w:left w:val="single" w:sz="4" w:space="0" w:color="auto"/>
              <w:bottom w:val="single" w:sz="4" w:space="0" w:color="auto"/>
              <w:right w:val="single" w:sz="4" w:space="0" w:color="auto"/>
            </w:tcBorders>
          </w:tcPr>
          <w:p w:rsidR="001C2EEB" w:rsidRPr="00010DA6" w:rsidRDefault="001C2EEB" w:rsidP="00A24E32">
            <w:pPr>
              <w:jc w:val="center"/>
              <w:rPr>
                <w:rFonts w:ascii="Arial Narrow" w:hAnsi="Arial Narrow"/>
                <w:snapToGrid w:val="0"/>
                <w:sz w:val="18"/>
                <w:szCs w:val="18"/>
                <w:highlight w:val="lightGray"/>
              </w:rPr>
            </w:pPr>
          </w:p>
        </w:tc>
        <w:tc>
          <w:tcPr>
            <w:tcW w:w="4577" w:type="pct"/>
            <w:gridSpan w:val="6"/>
            <w:tcBorders>
              <w:top w:val="single" w:sz="4" w:space="0" w:color="auto"/>
              <w:left w:val="single" w:sz="4" w:space="0" w:color="auto"/>
              <w:bottom w:val="single" w:sz="4" w:space="0" w:color="auto"/>
              <w:right w:val="single" w:sz="4" w:space="0" w:color="auto"/>
            </w:tcBorders>
          </w:tcPr>
          <w:p w:rsidR="001C2EEB" w:rsidRPr="0013773A" w:rsidRDefault="001C2EEB" w:rsidP="00A24E32">
            <w:pPr>
              <w:rPr>
                <w:rFonts w:ascii="Arial Narrow" w:hAnsi="Arial Narrow"/>
                <w:b/>
                <w:iCs/>
                <w:snapToGrid w:val="0"/>
                <w:sz w:val="18"/>
                <w:szCs w:val="18"/>
              </w:rPr>
            </w:pPr>
            <w:r w:rsidRPr="0013773A">
              <w:rPr>
                <w:rFonts w:ascii="Arial Narrow" w:hAnsi="Arial Narrow"/>
                <w:b/>
                <w:iCs/>
                <w:snapToGrid w:val="0"/>
                <w:sz w:val="18"/>
                <w:szCs w:val="18"/>
              </w:rPr>
              <w:t xml:space="preserve">Administrative Advice: </w:t>
            </w:r>
            <w:r w:rsidRPr="0013773A">
              <w:rPr>
                <w:rFonts w:ascii="Arial Narrow" w:hAnsi="Arial Narrow"/>
                <w:snapToGrid w:val="0"/>
                <w:sz w:val="18"/>
                <w:szCs w:val="18"/>
              </w:rPr>
              <w:t>Special Pricing Arrangements apply</w:t>
            </w:r>
            <w:r>
              <w:rPr>
                <w:rFonts w:ascii="Arial Narrow" w:hAnsi="Arial Narrow"/>
                <w:snapToGrid w:val="0"/>
                <w:sz w:val="18"/>
                <w:szCs w:val="18"/>
              </w:rPr>
              <w:t>.</w:t>
            </w:r>
          </w:p>
        </w:tc>
      </w:tr>
    </w:tbl>
    <w:p w:rsidR="000938AC" w:rsidRPr="00E66F69" w:rsidRDefault="000938AC" w:rsidP="00A24E32">
      <w:pPr>
        <w:rPr>
          <w:highlight w:val="lightGray"/>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1344"/>
        <w:gridCol w:w="1441"/>
        <w:gridCol w:w="1152"/>
        <w:gridCol w:w="1248"/>
        <w:gridCol w:w="1634"/>
        <w:gridCol w:w="1531"/>
      </w:tblGrid>
      <w:tr w:rsidR="000938AC" w:rsidRPr="00E66F69" w:rsidTr="00366155">
        <w:trPr>
          <w:cantSplit/>
          <w:trHeight w:val="471"/>
        </w:trPr>
        <w:tc>
          <w:tcPr>
            <w:tcW w:w="1115" w:type="pct"/>
            <w:gridSpan w:val="2"/>
          </w:tcPr>
          <w:p w:rsidR="000938AC" w:rsidRPr="003C55E7" w:rsidRDefault="000938AC" w:rsidP="00A24E32">
            <w:pPr>
              <w:keepNext/>
              <w:ind w:left="-57"/>
              <w:rPr>
                <w:rFonts w:ascii="Arial Narrow" w:hAnsi="Arial Narrow"/>
                <w:b/>
                <w:sz w:val="18"/>
                <w:szCs w:val="18"/>
              </w:rPr>
            </w:pPr>
            <w:r>
              <w:rPr>
                <w:rFonts w:ascii="Arial Narrow" w:hAnsi="Arial Narrow"/>
                <w:b/>
                <w:sz w:val="18"/>
                <w:szCs w:val="18"/>
              </w:rPr>
              <w:t>MEDICINAL PRODUC</w:t>
            </w:r>
            <w:r w:rsidRPr="003C55E7">
              <w:rPr>
                <w:rFonts w:ascii="Arial Narrow" w:hAnsi="Arial Narrow"/>
                <w:b/>
                <w:sz w:val="18"/>
                <w:szCs w:val="18"/>
              </w:rPr>
              <w:t>T,</w:t>
            </w:r>
          </w:p>
          <w:p w:rsidR="000938AC" w:rsidRPr="003C55E7" w:rsidRDefault="000938AC" w:rsidP="00A24E32">
            <w:pPr>
              <w:keepNext/>
              <w:ind w:left="-57"/>
              <w:rPr>
                <w:rFonts w:ascii="Arial Narrow" w:hAnsi="Arial Narrow"/>
                <w:b/>
                <w:sz w:val="18"/>
                <w:szCs w:val="18"/>
              </w:rPr>
            </w:pPr>
            <w:r w:rsidRPr="003C55E7">
              <w:rPr>
                <w:rFonts w:ascii="Arial Narrow" w:hAnsi="Arial Narrow"/>
                <w:b/>
                <w:sz w:val="18"/>
                <w:szCs w:val="18"/>
              </w:rPr>
              <w:t>medicinal product pack</w:t>
            </w:r>
          </w:p>
        </w:tc>
        <w:tc>
          <w:tcPr>
            <w:tcW w:w="799" w:type="pct"/>
          </w:tcPr>
          <w:p w:rsidR="000938AC" w:rsidRPr="003C55E7" w:rsidRDefault="000938AC" w:rsidP="00A24E32">
            <w:pPr>
              <w:keepNext/>
              <w:ind w:left="-108"/>
              <w:jc w:val="center"/>
              <w:rPr>
                <w:rFonts w:ascii="Arial Narrow" w:hAnsi="Arial Narrow"/>
                <w:b/>
                <w:sz w:val="18"/>
                <w:szCs w:val="18"/>
              </w:rPr>
            </w:pPr>
            <w:r w:rsidRPr="003C55E7">
              <w:rPr>
                <w:rFonts w:ascii="Arial Narrow" w:hAnsi="Arial Narrow"/>
                <w:b/>
                <w:sz w:val="18"/>
                <w:szCs w:val="18"/>
              </w:rPr>
              <w:t>PBS item code</w:t>
            </w:r>
          </w:p>
        </w:tc>
        <w:tc>
          <w:tcPr>
            <w:tcW w:w="639" w:type="pct"/>
          </w:tcPr>
          <w:p w:rsidR="000938AC" w:rsidRPr="003C55E7" w:rsidRDefault="000938AC" w:rsidP="00A24E32">
            <w:pPr>
              <w:keepNext/>
              <w:ind w:left="-108"/>
              <w:jc w:val="center"/>
              <w:rPr>
                <w:rFonts w:ascii="Arial Narrow" w:hAnsi="Arial Narrow"/>
                <w:b/>
                <w:sz w:val="18"/>
                <w:szCs w:val="18"/>
              </w:rPr>
            </w:pPr>
            <w:r w:rsidRPr="003C55E7">
              <w:rPr>
                <w:rFonts w:ascii="Arial Narrow" w:hAnsi="Arial Narrow"/>
                <w:b/>
                <w:sz w:val="18"/>
                <w:szCs w:val="18"/>
              </w:rPr>
              <w:t>Max. qty packs</w:t>
            </w:r>
          </w:p>
        </w:tc>
        <w:tc>
          <w:tcPr>
            <w:tcW w:w="692" w:type="pct"/>
          </w:tcPr>
          <w:p w:rsidR="000938AC" w:rsidRPr="003C55E7" w:rsidRDefault="000938AC" w:rsidP="00A24E32">
            <w:pPr>
              <w:keepNext/>
              <w:ind w:left="-108"/>
              <w:jc w:val="center"/>
              <w:rPr>
                <w:rFonts w:ascii="Arial Narrow" w:hAnsi="Arial Narrow"/>
                <w:b/>
                <w:sz w:val="18"/>
                <w:szCs w:val="18"/>
              </w:rPr>
            </w:pPr>
            <w:r w:rsidRPr="003C55E7">
              <w:rPr>
                <w:rFonts w:ascii="Arial Narrow" w:hAnsi="Arial Narrow"/>
                <w:b/>
                <w:sz w:val="18"/>
                <w:szCs w:val="18"/>
              </w:rPr>
              <w:t>Max. qty units</w:t>
            </w:r>
          </w:p>
        </w:tc>
        <w:tc>
          <w:tcPr>
            <w:tcW w:w="906" w:type="pct"/>
          </w:tcPr>
          <w:p w:rsidR="000938AC" w:rsidRPr="003C55E7" w:rsidRDefault="000938AC" w:rsidP="00A24E32">
            <w:pPr>
              <w:keepNext/>
              <w:ind w:left="-108"/>
              <w:jc w:val="center"/>
              <w:rPr>
                <w:rFonts w:ascii="Arial Narrow" w:hAnsi="Arial Narrow"/>
                <w:b/>
                <w:sz w:val="18"/>
                <w:szCs w:val="18"/>
              </w:rPr>
            </w:pPr>
            <w:r w:rsidRPr="003C55E7">
              <w:rPr>
                <w:rFonts w:ascii="Arial Narrow" w:hAnsi="Arial Narrow"/>
                <w:b/>
                <w:sz w:val="18"/>
                <w:szCs w:val="18"/>
              </w:rPr>
              <w:t>№.of</w:t>
            </w:r>
          </w:p>
          <w:p w:rsidR="000938AC" w:rsidRPr="003C55E7" w:rsidRDefault="000938AC" w:rsidP="00A24E32">
            <w:pPr>
              <w:keepNext/>
              <w:ind w:left="-108"/>
              <w:jc w:val="center"/>
              <w:rPr>
                <w:rFonts w:ascii="Arial Narrow" w:hAnsi="Arial Narrow"/>
                <w:b/>
                <w:sz w:val="18"/>
                <w:szCs w:val="18"/>
              </w:rPr>
            </w:pPr>
            <w:r w:rsidRPr="003C55E7">
              <w:rPr>
                <w:rFonts w:ascii="Arial Narrow" w:hAnsi="Arial Narrow"/>
                <w:b/>
                <w:sz w:val="18"/>
                <w:szCs w:val="18"/>
              </w:rPr>
              <w:t>Rpts</w:t>
            </w:r>
          </w:p>
        </w:tc>
        <w:tc>
          <w:tcPr>
            <w:tcW w:w="849" w:type="pct"/>
          </w:tcPr>
          <w:p w:rsidR="000938AC" w:rsidRPr="003C55E7" w:rsidRDefault="000938AC" w:rsidP="00A24E32">
            <w:pPr>
              <w:keepNext/>
              <w:rPr>
                <w:rFonts w:ascii="Arial Narrow" w:hAnsi="Arial Narrow"/>
                <w:b/>
                <w:sz w:val="18"/>
                <w:szCs w:val="18"/>
                <w:highlight w:val="lightGray"/>
                <w:lang w:val="fr-FR"/>
              </w:rPr>
            </w:pPr>
            <w:r w:rsidRPr="003C55E7">
              <w:rPr>
                <w:rFonts w:ascii="Arial Narrow" w:hAnsi="Arial Narrow"/>
                <w:b/>
                <w:sz w:val="18"/>
                <w:szCs w:val="18"/>
              </w:rPr>
              <w:t>Available brands</w:t>
            </w:r>
          </w:p>
        </w:tc>
      </w:tr>
      <w:tr w:rsidR="000938AC" w:rsidRPr="00E66F69" w:rsidTr="001C2EEB">
        <w:trPr>
          <w:cantSplit/>
          <w:trHeight w:val="227"/>
        </w:trPr>
        <w:tc>
          <w:tcPr>
            <w:tcW w:w="5000" w:type="pct"/>
            <w:gridSpan w:val="7"/>
          </w:tcPr>
          <w:p w:rsidR="000938AC" w:rsidRPr="003C55E7" w:rsidRDefault="000938AC" w:rsidP="00A24E32">
            <w:pPr>
              <w:keepNext/>
              <w:ind w:left="-57"/>
              <w:rPr>
                <w:rFonts w:ascii="Arial Narrow" w:hAnsi="Arial Narrow"/>
                <w:sz w:val="18"/>
                <w:szCs w:val="18"/>
                <w:highlight w:val="lightGray"/>
              </w:rPr>
            </w:pPr>
            <w:r w:rsidRPr="003C55E7">
              <w:rPr>
                <w:rFonts w:ascii="Arial Narrow" w:hAnsi="Arial Narrow"/>
                <w:sz w:val="18"/>
                <w:szCs w:val="18"/>
              </w:rPr>
              <w:t>LACOSAMIDE</w:t>
            </w:r>
          </w:p>
        </w:tc>
      </w:tr>
      <w:tr w:rsidR="000938AC" w:rsidRPr="00E66F69" w:rsidTr="00366155">
        <w:trPr>
          <w:cantSplit/>
          <w:trHeight w:val="243"/>
        </w:trPr>
        <w:tc>
          <w:tcPr>
            <w:tcW w:w="1115" w:type="pct"/>
            <w:gridSpan w:val="2"/>
          </w:tcPr>
          <w:p w:rsidR="000938AC" w:rsidRPr="00551FAA" w:rsidRDefault="000938AC" w:rsidP="00A24E32">
            <w:pPr>
              <w:keepNext/>
              <w:ind w:left="-57"/>
              <w:rPr>
                <w:rFonts w:ascii="Arial Narrow" w:hAnsi="Arial Narrow"/>
                <w:sz w:val="18"/>
                <w:szCs w:val="18"/>
              </w:rPr>
            </w:pPr>
            <w:r w:rsidRPr="00551FAA">
              <w:rPr>
                <w:rFonts w:ascii="Arial Narrow" w:hAnsi="Arial Narrow"/>
                <w:sz w:val="18"/>
                <w:szCs w:val="18"/>
              </w:rPr>
              <w:t>lacosamide 50 mg tablet, 14</w:t>
            </w:r>
          </w:p>
        </w:tc>
        <w:tc>
          <w:tcPr>
            <w:tcW w:w="799" w:type="pct"/>
          </w:tcPr>
          <w:p w:rsidR="000938AC" w:rsidRPr="00551FAA" w:rsidRDefault="000938AC" w:rsidP="00A24E32">
            <w:pPr>
              <w:keepNext/>
              <w:ind w:left="-108"/>
              <w:jc w:val="center"/>
              <w:rPr>
                <w:rFonts w:ascii="Arial Narrow" w:hAnsi="Arial Narrow"/>
                <w:sz w:val="18"/>
                <w:szCs w:val="18"/>
              </w:rPr>
            </w:pPr>
            <w:r>
              <w:rPr>
                <w:rFonts w:ascii="Arial Narrow" w:hAnsi="Arial Narrow"/>
                <w:sz w:val="18"/>
                <w:szCs w:val="18"/>
              </w:rPr>
              <w:t>10293R</w:t>
            </w:r>
          </w:p>
        </w:tc>
        <w:tc>
          <w:tcPr>
            <w:tcW w:w="639" w:type="pct"/>
          </w:tcPr>
          <w:p w:rsidR="000938AC" w:rsidRPr="00551FAA" w:rsidRDefault="000938AC" w:rsidP="00A24E32">
            <w:pPr>
              <w:keepNext/>
              <w:jc w:val="center"/>
              <w:rPr>
                <w:rFonts w:ascii="Arial Narrow" w:hAnsi="Arial Narrow"/>
                <w:sz w:val="18"/>
                <w:szCs w:val="18"/>
              </w:rPr>
            </w:pPr>
            <w:r w:rsidRPr="00551FAA">
              <w:rPr>
                <w:rFonts w:ascii="Arial Narrow" w:hAnsi="Arial Narrow"/>
                <w:sz w:val="18"/>
                <w:szCs w:val="18"/>
              </w:rPr>
              <w:t>4</w:t>
            </w:r>
          </w:p>
        </w:tc>
        <w:tc>
          <w:tcPr>
            <w:tcW w:w="692" w:type="pct"/>
          </w:tcPr>
          <w:p w:rsidR="000938AC" w:rsidRPr="00551FAA" w:rsidRDefault="000938AC" w:rsidP="00A24E32">
            <w:pPr>
              <w:keepNext/>
              <w:ind w:left="-108"/>
              <w:jc w:val="center"/>
              <w:rPr>
                <w:rFonts w:ascii="Arial Narrow" w:hAnsi="Arial Narrow"/>
                <w:sz w:val="18"/>
                <w:szCs w:val="18"/>
              </w:rPr>
            </w:pPr>
            <w:r w:rsidRPr="00551FAA">
              <w:rPr>
                <w:rFonts w:ascii="Arial Narrow" w:hAnsi="Arial Narrow"/>
                <w:sz w:val="18"/>
                <w:szCs w:val="18"/>
              </w:rPr>
              <w:t>56</w:t>
            </w:r>
          </w:p>
        </w:tc>
        <w:tc>
          <w:tcPr>
            <w:tcW w:w="906" w:type="pct"/>
          </w:tcPr>
          <w:p w:rsidR="000938AC" w:rsidRPr="00551FAA" w:rsidRDefault="000938AC" w:rsidP="00A24E32">
            <w:pPr>
              <w:keepNext/>
              <w:ind w:left="-108"/>
              <w:jc w:val="center"/>
              <w:rPr>
                <w:rFonts w:ascii="Arial Narrow" w:hAnsi="Arial Narrow"/>
                <w:sz w:val="18"/>
                <w:szCs w:val="18"/>
              </w:rPr>
            </w:pPr>
            <w:r w:rsidRPr="00551FAA">
              <w:rPr>
                <w:rFonts w:ascii="Arial Narrow" w:hAnsi="Arial Narrow"/>
                <w:sz w:val="18"/>
                <w:szCs w:val="18"/>
              </w:rPr>
              <w:t>5</w:t>
            </w:r>
          </w:p>
        </w:tc>
        <w:tc>
          <w:tcPr>
            <w:tcW w:w="849" w:type="pct"/>
          </w:tcPr>
          <w:p w:rsidR="000938AC" w:rsidRPr="00551FAA" w:rsidRDefault="000938AC" w:rsidP="00A24E32">
            <w:pPr>
              <w:keepNext/>
              <w:rPr>
                <w:rFonts w:ascii="Arial Narrow" w:hAnsi="Arial Narrow"/>
                <w:sz w:val="18"/>
                <w:szCs w:val="18"/>
              </w:rPr>
            </w:pPr>
            <w:r w:rsidRPr="00551FAA">
              <w:rPr>
                <w:rFonts w:ascii="Arial Narrow" w:hAnsi="Arial Narrow"/>
                <w:sz w:val="18"/>
                <w:szCs w:val="18"/>
              </w:rPr>
              <w:t>Vimpat</w:t>
            </w:r>
          </w:p>
        </w:tc>
      </w:tr>
      <w:tr w:rsidR="000938AC" w:rsidRPr="00E66F69" w:rsidTr="00366155">
        <w:trPr>
          <w:cantSplit/>
          <w:trHeight w:val="243"/>
        </w:trPr>
        <w:tc>
          <w:tcPr>
            <w:tcW w:w="1115" w:type="pct"/>
            <w:gridSpan w:val="2"/>
          </w:tcPr>
          <w:p w:rsidR="000938AC" w:rsidRPr="003C55E7" w:rsidRDefault="000938AC" w:rsidP="00A24E32">
            <w:pPr>
              <w:keepNext/>
              <w:ind w:left="-57"/>
              <w:rPr>
                <w:rFonts w:ascii="Arial Narrow" w:hAnsi="Arial Narrow"/>
                <w:sz w:val="18"/>
                <w:szCs w:val="18"/>
              </w:rPr>
            </w:pPr>
            <w:r w:rsidRPr="003C55E7">
              <w:rPr>
                <w:rFonts w:ascii="Arial Narrow" w:hAnsi="Arial Narrow"/>
                <w:sz w:val="18"/>
                <w:szCs w:val="18"/>
              </w:rPr>
              <w:t>lacosamide 100 mg tablet, 56</w:t>
            </w:r>
          </w:p>
        </w:tc>
        <w:tc>
          <w:tcPr>
            <w:tcW w:w="799"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9335H</w:t>
            </w:r>
          </w:p>
        </w:tc>
        <w:tc>
          <w:tcPr>
            <w:tcW w:w="639" w:type="pct"/>
          </w:tcPr>
          <w:p w:rsidR="000938AC" w:rsidRPr="003C55E7" w:rsidRDefault="000938AC" w:rsidP="00A24E32">
            <w:pPr>
              <w:keepNext/>
              <w:jc w:val="center"/>
              <w:rPr>
                <w:rFonts w:ascii="Arial Narrow" w:hAnsi="Arial Narrow"/>
                <w:sz w:val="18"/>
                <w:szCs w:val="18"/>
              </w:rPr>
            </w:pPr>
            <w:r w:rsidRPr="003C55E7">
              <w:rPr>
                <w:rFonts w:ascii="Arial Narrow" w:hAnsi="Arial Narrow"/>
                <w:sz w:val="18"/>
                <w:szCs w:val="18"/>
              </w:rPr>
              <w:t>1</w:t>
            </w:r>
          </w:p>
        </w:tc>
        <w:tc>
          <w:tcPr>
            <w:tcW w:w="692"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56</w:t>
            </w:r>
          </w:p>
        </w:tc>
        <w:tc>
          <w:tcPr>
            <w:tcW w:w="906"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w:t>
            </w:r>
          </w:p>
        </w:tc>
        <w:tc>
          <w:tcPr>
            <w:tcW w:w="849" w:type="pct"/>
          </w:tcPr>
          <w:p w:rsidR="000938AC" w:rsidRPr="003C55E7" w:rsidRDefault="000938AC" w:rsidP="00A24E32">
            <w:pPr>
              <w:keepNext/>
              <w:rPr>
                <w:rFonts w:ascii="Arial Narrow" w:hAnsi="Arial Narrow"/>
                <w:sz w:val="18"/>
                <w:szCs w:val="18"/>
              </w:rPr>
            </w:pPr>
            <w:r w:rsidRPr="003C55E7">
              <w:rPr>
                <w:rFonts w:ascii="Arial Narrow" w:hAnsi="Arial Narrow"/>
                <w:sz w:val="18"/>
                <w:szCs w:val="18"/>
              </w:rPr>
              <w:t>Vimpat</w:t>
            </w:r>
          </w:p>
        </w:tc>
      </w:tr>
      <w:tr w:rsidR="000938AC" w:rsidRPr="00E66F69" w:rsidTr="00366155">
        <w:trPr>
          <w:cantSplit/>
          <w:trHeight w:val="243"/>
        </w:trPr>
        <w:tc>
          <w:tcPr>
            <w:tcW w:w="1115" w:type="pct"/>
            <w:gridSpan w:val="2"/>
          </w:tcPr>
          <w:p w:rsidR="000938AC" w:rsidRPr="003C55E7" w:rsidRDefault="000938AC" w:rsidP="00A24E32">
            <w:pPr>
              <w:keepNext/>
              <w:ind w:left="-57"/>
              <w:rPr>
                <w:rFonts w:ascii="Arial Narrow" w:hAnsi="Arial Narrow"/>
                <w:sz w:val="18"/>
                <w:szCs w:val="18"/>
              </w:rPr>
            </w:pPr>
            <w:r w:rsidRPr="003C55E7">
              <w:rPr>
                <w:rFonts w:ascii="Arial Narrow" w:hAnsi="Arial Narrow"/>
                <w:sz w:val="18"/>
                <w:szCs w:val="18"/>
              </w:rPr>
              <w:t>lacosamide 150 mg tablet, 56</w:t>
            </w:r>
          </w:p>
        </w:tc>
        <w:tc>
          <w:tcPr>
            <w:tcW w:w="799"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9337K</w:t>
            </w:r>
          </w:p>
        </w:tc>
        <w:tc>
          <w:tcPr>
            <w:tcW w:w="639" w:type="pct"/>
          </w:tcPr>
          <w:p w:rsidR="000938AC" w:rsidRPr="003C55E7" w:rsidRDefault="000938AC" w:rsidP="00A24E32">
            <w:pPr>
              <w:keepNext/>
              <w:jc w:val="center"/>
              <w:rPr>
                <w:rFonts w:ascii="Arial Narrow" w:hAnsi="Arial Narrow"/>
                <w:sz w:val="18"/>
                <w:szCs w:val="18"/>
              </w:rPr>
            </w:pPr>
            <w:r w:rsidRPr="003C55E7">
              <w:rPr>
                <w:rFonts w:ascii="Arial Narrow" w:hAnsi="Arial Narrow"/>
                <w:sz w:val="18"/>
                <w:szCs w:val="18"/>
              </w:rPr>
              <w:t>1</w:t>
            </w:r>
          </w:p>
        </w:tc>
        <w:tc>
          <w:tcPr>
            <w:tcW w:w="692"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56</w:t>
            </w:r>
          </w:p>
        </w:tc>
        <w:tc>
          <w:tcPr>
            <w:tcW w:w="906"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w:t>
            </w:r>
          </w:p>
        </w:tc>
        <w:tc>
          <w:tcPr>
            <w:tcW w:w="849" w:type="pct"/>
          </w:tcPr>
          <w:p w:rsidR="000938AC" w:rsidRPr="003C55E7" w:rsidRDefault="000938AC" w:rsidP="00A24E32">
            <w:pPr>
              <w:keepNext/>
              <w:rPr>
                <w:rFonts w:ascii="Arial Narrow" w:hAnsi="Arial Narrow"/>
                <w:sz w:val="18"/>
                <w:szCs w:val="18"/>
              </w:rPr>
            </w:pPr>
            <w:r w:rsidRPr="003C55E7">
              <w:rPr>
                <w:rFonts w:ascii="Arial Narrow" w:hAnsi="Arial Narrow"/>
                <w:sz w:val="18"/>
                <w:szCs w:val="18"/>
              </w:rPr>
              <w:t>Vimpat</w:t>
            </w:r>
          </w:p>
        </w:tc>
      </w:tr>
      <w:tr w:rsidR="000938AC" w:rsidRPr="00E66F69" w:rsidTr="00366155">
        <w:trPr>
          <w:cantSplit/>
          <w:trHeight w:val="243"/>
        </w:trPr>
        <w:tc>
          <w:tcPr>
            <w:tcW w:w="1115" w:type="pct"/>
            <w:gridSpan w:val="2"/>
          </w:tcPr>
          <w:p w:rsidR="000938AC" w:rsidRPr="003C55E7" w:rsidRDefault="000938AC" w:rsidP="00A24E32">
            <w:pPr>
              <w:keepNext/>
              <w:ind w:left="-57"/>
              <w:rPr>
                <w:rFonts w:ascii="Arial Narrow" w:hAnsi="Arial Narrow"/>
                <w:sz w:val="18"/>
                <w:szCs w:val="18"/>
              </w:rPr>
            </w:pPr>
            <w:r w:rsidRPr="003C55E7">
              <w:rPr>
                <w:rFonts w:ascii="Arial Narrow" w:hAnsi="Arial Narrow"/>
                <w:sz w:val="18"/>
                <w:szCs w:val="18"/>
              </w:rPr>
              <w:t>lacosamide 200 mg tablet, 56</w:t>
            </w:r>
          </w:p>
        </w:tc>
        <w:tc>
          <w:tcPr>
            <w:tcW w:w="799"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9338L</w:t>
            </w:r>
          </w:p>
        </w:tc>
        <w:tc>
          <w:tcPr>
            <w:tcW w:w="639" w:type="pct"/>
          </w:tcPr>
          <w:p w:rsidR="000938AC" w:rsidRPr="003C55E7" w:rsidRDefault="000938AC" w:rsidP="00A24E32">
            <w:pPr>
              <w:keepNext/>
              <w:jc w:val="center"/>
              <w:rPr>
                <w:rFonts w:ascii="Arial Narrow" w:hAnsi="Arial Narrow"/>
                <w:sz w:val="18"/>
                <w:szCs w:val="18"/>
              </w:rPr>
            </w:pPr>
            <w:r w:rsidRPr="003C55E7">
              <w:rPr>
                <w:rFonts w:ascii="Arial Narrow" w:hAnsi="Arial Narrow"/>
                <w:sz w:val="18"/>
                <w:szCs w:val="18"/>
              </w:rPr>
              <w:t>1</w:t>
            </w:r>
          </w:p>
        </w:tc>
        <w:tc>
          <w:tcPr>
            <w:tcW w:w="692"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56</w:t>
            </w:r>
          </w:p>
        </w:tc>
        <w:tc>
          <w:tcPr>
            <w:tcW w:w="906"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w:t>
            </w:r>
          </w:p>
        </w:tc>
        <w:tc>
          <w:tcPr>
            <w:tcW w:w="849" w:type="pct"/>
          </w:tcPr>
          <w:p w:rsidR="000938AC" w:rsidRPr="003C55E7" w:rsidRDefault="000938AC" w:rsidP="00A24E32">
            <w:pPr>
              <w:keepNext/>
              <w:rPr>
                <w:rFonts w:ascii="Arial Narrow" w:hAnsi="Arial Narrow"/>
                <w:sz w:val="18"/>
                <w:szCs w:val="18"/>
              </w:rPr>
            </w:pPr>
            <w:r w:rsidRPr="003C55E7">
              <w:rPr>
                <w:rFonts w:ascii="Arial Narrow" w:hAnsi="Arial Narrow"/>
                <w:sz w:val="18"/>
                <w:szCs w:val="18"/>
              </w:rPr>
              <w:t>Vimpat</w:t>
            </w:r>
          </w:p>
        </w:tc>
      </w:tr>
      <w:tr w:rsidR="000938AC" w:rsidRPr="00E66F69" w:rsidTr="00366155">
        <w:trPr>
          <w:cantSplit/>
          <w:trHeight w:val="243"/>
        </w:trPr>
        <w:tc>
          <w:tcPr>
            <w:tcW w:w="1914" w:type="pct"/>
            <w:gridSpan w:val="3"/>
          </w:tcPr>
          <w:p w:rsidR="000938AC" w:rsidRPr="003C55E7" w:rsidRDefault="000938AC" w:rsidP="00A24E32">
            <w:pPr>
              <w:keepNext/>
              <w:ind w:left="-108"/>
              <w:jc w:val="center"/>
              <w:rPr>
                <w:rFonts w:ascii="Arial Narrow" w:hAnsi="Arial Narrow"/>
                <w:sz w:val="18"/>
                <w:szCs w:val="18"/>
              </w:rPr>
            </w:pPr>
          </w:p>
        </w:tc>
        <w:tc>
          <w:tcPr>
            <w:tcW w:w="2237" w:type="pct"/>
            <w:gridSpan w:val="3"/>
          </w:tcPr>
          <w:p w:rsidR="000938AC" w:rsidRPr="003C55E7" w:rsidRDefault="000938AC" w:rsidP="00A24E32">
            <w:pPr>
              <w:keepNext/>
              <w:jc w:val="center"/>
              <w:rPr>
                <w:rFonts w:ascii="Arial Narrow" w:hAnsi="Arial Narrow"/>
                <w:sz w:val="18"/>
                <w:szCs w:val="18"/>
              </w:rPr>
            </w:pPr>
            <w:r>
              <w:rPr>
                <w:rFonts w:ascii="Arial Narrow" w:hAnsi="Arial Narrow"/>
                <w:sz w:val="18"/>
                <w:szCs w:val="18"/>
              </w:rPr>
              <w:t>Max Qty multiplier = 1, Repeat</w:t>
            </w:r>
            <w:r w:rsidRPr="002D4F5D">
              <w:rPr>
                <w:rFonts w:ascii="Arial Narrow" w:hAnsi="Arial Narrow"/>
                <w:sz w:val="18"/>
                <w:szCs w:val="18"/>
              </w:rPr>
              <w:t xml:space="preserve"> </w:t>
            </w:r>
            <w:r>
              <w:rPr>
                <w:rFonts w:ascii="Arial Narrow" w:hAnsi="Arial Narrow"/>
                <w:sz w:val="18"/>
                <w:szCs w:val="18"/>
              </w:rPr>
              <w:t>increases: nil</w:t>
            </w:r>
          </w:p>
        </w:tc>
        <w:tc>
          <w:tcPr>
            <w:tcW w:w="849" w:type="pct"/>
          </w:tcPr>
          <w:p w:rsidR="000938AC" w:rsidRPr="003C55E7" w:rsidRDefault="000938AC" w:rsidP="00A24E32">
            <w:pPr>
              <w:keepNext/>
              <w:jc w:val="center"/>
              <w:rPr>
                <w:rFonts w:ascii="Arial Narrow" w:hAnsi="Arial Narrow"/>
                <w:sz w:val="18"/>
                <w:szCs w:val="18"/>
              </w:rPr>
            </w:pPr>
          </w:p>
        </w:tc>
      </w:tr>
      <w:tr w:rsidR="000938AC" w:rsidRPr="00E66F69" w:rsidTr="001C2EEB">
        <w:trPr>
          <w:cantSplit/>
          <w:trHeight w:val="243"/>
        </w:trPr>
        <w:tc>
          <w:tcPr>
            <w:tcW w:w="5000" w:type="pct"/>
            <w:gridSpan w:val="7"/>
          </w:tcPr>
          <w:p w:rsidR="000938AC" w:rsidRPr="002D4F5D" w:rsidRDefault="000938AC" w:rsidP="00A24E32">
            <w:pPr>
              <w:keepNext/>
              <w:jc w:val="center"/>
              <w:rPr>
                <w:rFonts w:ascii="Arial Narrow" w:hAnsi="Arial Narrow"/>
                <w:sz w:val="18"/>
                <w:szCs w:val="18"/>
              </w:rPr>
            </w:pPr>
          </w:p>
        </w:tc>
      </w:tr>
      <w:tr w:rsidR="000938AC" w:rsidRPr="00E66F69" w:rsidTr="00366155">
        <w:trPr>
          <w:cantSplit/>
          <w:trHeight w:val="243"/>
        </w:trPr>
        <w:tc>
          <w:tcPr>
            <w:tcW w:w="1115" w:type="pct"/>
            <w:gridSpan w:val="2"/>
          </w:tcPr>
          <w:p w:rsidR="000938AC" w:rsidRPr="003C55E7" w:rsidRDefault="000938AC" w:rsidP="00A24E32">
            <w:pPr>
              <w:keepNext/>
              <w:ind w:left="-57"/>
              <w:rPr>
                <w:rFonts w:ascii="Arial Narrow" w:hAnsi="Arial Narrow"/>
                <w:sz w:val="18"/>
                <w:szCs w:val="18"/>
              </w:rPr>
            </w:pPr>
            <w:r w:rsidRPr="003C55E7">
              <w:rPr>
                <w:rFonts w:ascii="Arial Narrow" w:hAnsi="Arial Narrow"/>
                <w:sz w:val="18"/>
                <w:szCs w:val="18"/>
              </w:rPr>
              <w:t>lacosamide 10 mg/mL oral liquid, 200 mL</w:t>
            </w:r>
          </w:p>
        </w:tc>
        <w:tc>
          <w:tcPr>
            <w:tcW w:w="799"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NEW (not 11694L)</w:t>
            </w:r>
          </w:p>
        </w:tc>
        <w:tc>
          <w:tcPr>
            <w:tcW w:w="639" w:type="pct"/>
          </w:tcPr>
          <w:p w:rsidR="000938AC" w:rsidRPr="003C55E7" w:rsidRDefault="000938AC" w:rsidP="00A24E32">
            <w:pPr>
              <w:keepNext/>
              <w:jc w:val="center"/>
              <w:rPr>
                <w:rFonts w:ascii="Arial Narrow" w:hAnsi="Arial Narrow"/>
                <w:sz w:val="18"/>
                <w:szCs w:val="18"/>
              </w:rPr>
            </w:pPr>
            <w:r w:rsidRPr="003C55E7">
              <w:rPr>
                <w:rFonts w:ascii="Arial Narrow" w:hAnsi="Arial Narrow"/>
                <w:sz w:val="18"/>
                <w:szCs w:val="18"/>
              </w:rPr>
              <w:t>2</w:t>
            </w:r>
          </w:p>
        </w:tc>
        <w:tc>
          <w:tcPr>
            <w:tcW w:w="692"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2</w:t>
            </w:r>
          </w:p>
        </w:tc>
        <w:tc>
          <w:tcPr>
            <w:tcW w:w="906" w:type="pct"/>
          </w:tcPr>
          <w:p w:rsidR="000938AC" w:rsidRPr="003C55E7" w:rsidRDefault="000938AC" w:rsidP="00A24E32">
            <w:pPr>
              <w:keepNext/>
              <w:ind w:left="-108"/>
              <w:jc w:val="center"/>
              <w:rPr>
                <w:rFonts w:ascii="Arial Narrow" w:hAnsi="Arial Narrow"/>
                <w:sz w:val="18"/>
                <w:szCs w:val="18"/>
              </w:rPr>
            </w:pPr>
            <w:r w:rsidRPr="003C55E7">
              <w:rPr>
                <w:rFonts w:ascii="Arial Narrow" w:hAnsi="Arial Narrow"/>
                <w:sz w:val="18"/>
                <w:szCs w:val="18"/>
              </w:rPr>
              <w:t>5</w:t>
            </w:r>
          </w:p>
        </w:tc>
        <w:tc>
          <w:tcPr>
            <w:tcW w:w="849" w:type="pct"/>
          </w:tcPr>
          <w:p w:rsidR="000938AC" w:rsidRPr="003C55E7" w:rsidRDefault="000938AC" w:rsidP="00A24E32">
            <w:pPr>
              <w:keepNext/>
              <w:rPr>
                <w:rFonts w:ascii="Arial Narrow" w:hAnsi="Arial Narrow"/>
                <w:sz w:val="18"/>
                <w:szCs w:val="18"/>
              </w:rPr>
            </w:pPr>
            <w:r w:rsidRPr="003C55E7">
              <w:rPr>
                <w:rFonts w:ascii="Arial Narrow" w:hAnsi="Arial Narrow"/>
                <w:sz w:val="18"/>
                <w:szCs w:val="18"/>
              </w:rPr>
              <w:t>Vimpat</w:t>
            </w:r>
          </w:p>
        </w:tc>
      </w:tr>
      <w:tr w:rsidR="000938AC" w:rsidRPr="00E66F69" w:rsidTr="00366155">
        <w:trPr>
          <w:cantSplit/>
          <w:trHeight w:val="243"/>
        </w:trPr>
        <w:tc>
          <w:tcPr>
            <w:tcW w:w="1914" w:type="pct"/>
            <w:gridSpan w:val="3"/>
          </w:tcPr>
          <w:p w:rsidR="000938AC" w:rsidRPr="003C55E7" w:rsidRDefault="000938AC" w:rsidP="00A24E32">
            <w:pPr>
              <w:keepNext/>
              <w:ind w:left="-108"/>
              <w:jc w:val="center"/>
              <w:rPr>
                <w:rFonts w:ascii="Arial Narrow" w:hAnsi="Arial Narrow"/>
                <w:sz w:val="18"/>
                <w:szCs w:val="18"/>
              </w:rPr>
            </w:pPr>
          </w:p>
        </w:tc>
        <w:tc>
          <w:tcPr>
            <w:tcW w:w="2237" w:type="pct"/>
            <w:gridSpan w:val="3"/>
          </w:tcPr>
          <w:p w:rsidR="000938AC" w:rsidRPr="003C55E7" w:rsidRDefault="000938AC" w:rsidP="00A24E32">
            <w:pPr>
              <w:keepNext/>
              <w:jc w:val="center"/>
              <w:rPr>
                <w:rFonts w:ascii="Arial Narrow" w:hAnsi="Arial Narrow"/>
                <w:sz w:val="18"/>
                <w:szCs w:val="18"/>
              </w:rPr>
            </w:pPr>
            <w:r w:rsidRPr="002D4F5D">
              <w:rPr>
                <w:rFonts w:ascii="Arial Narrow" w:hAnsi="Arial Narrow"/>
                <w:sz w:val="18"/>
                <w:szCs w:val="18"/>
              </w:rPr>
              <w:t xml:space="preserve">Max Qty multiplier = </w:t>
            </w:r>
            <w:r>
              <w:rPr>
                <w:rFonts w:ascii="Arial Narrow" w:hAnsi="Arial Narrow"/>
                <w:sz w:val="18"/>
                <w:szCs w:val="18"/>
              </w:rPr>
              <w:t>3</w:t>
            </w:r>
            <w:r w:rsidRPr="002D4F5D">
              <w:rPr>
                <w:rFonts w:ascii="Arial Narrow" w:hAnsi="Arial Narrow"/>
                <w:sz w:val="18"/>
                <w:szCs w:val="18"/>
              </w:rPr>
              <w:t xml:space="preserve">, </w:t>
            </w:r>
            <w:r>
              <w:rPr>
                <w:rFonts w:ascii="Arial Narrow" w:hAnsi="Arial Narrow"/>
                <w:sz w:val="18"/>
                <w:szCs w:val="18"/>
              </w:rPr>
              <w:t>Repeat increases: nil</w:t>
            </w:r>
          </w:p>
        </w:tc>
        <w:tc>
          <w:tcPr>
            <w:tcW w:w="849" w:type="pct"/>
          </w:tcPr>
          <w:p w:rsidR="000938AC" w:rsidRPr="003C55E7" w:rsidRDefault="000938AC" w:rsidP="00A24E32">
            <w:pPr>
              <w:keepNext/>
              <w:jc w:val="center"/>
              <w:rPr>
                <w:rFonts w:ascii="Arial Narrow" w:hAnsi="Arial Narrow"/>
                <w:sz w:val="18"/>
                <w:szCs w:val="18"/>
              </w:rPr>
            </w:pPr>
          </w:p>
        </w:tc>
      </w:tr>
      <w:tr w:rsidR="000938AC" w:rsidRPr="00E66F69" w:rsidTr="001C2EEB">
        <w:tblPrEx>
          <w:tblCellMar>
            <w:left w:w="28" w:type="dxa"/>
            <w:right w:w="28" w:type="dxa"/>
          </w:tblCellMar>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0938AC" w:rsidRPr="00E66F69" w:rsidRDefault="000938AC" w:rsidP="00A24E32">
            <w:pPr>
              <w:rPr>
                <w:rFonts w:ascii="Arial Narrow" w:hAnsi="Arial Narrow"/>
                <w:b/>
                <w:snapToGrid w:val="0"/>
                <w:sz w:val="20"/>
                <w:szCs w:val="18"/>
              </w:rPr>
            </w:pPr>
          </w:p>
        </w:tc>
      </w:tr>
      <w:tr w:rsidR="000938AC" w:rsidRPr="00E66F69" w:rsidTr="001C2EEB">
        <w:tblPrEx>
          <w:tblCellMar>
            <w:left w:w="28" w:type="dxa"/>
            <w:right w:w="28" w:type="dxa"/>
          </w:tblCellMar>
          <w:tblLook w:val="04A0" w:firstRow="1" w:lastRow="0" w:firstColumn="1" w:lastColumn="0" w:noHBand="0" w:noVBand="1"/>
        </w:tblPrEx>
        <w:trPr>
          <w:trHeight w:val="284"/>
        </w:trPr>
        <w:tc>
          <w:tcPr>
            <w:tcW w:w="5000" w:type="pct"/>
            <w:gridSpan w:val="7"/>
            <w:tcBorders>
              <w:top w:val="single" w:sz="4" w:space="0" w:color="auto"/>
              <w:left w:val="single" w:sz="4" w:space="0" w:color="auto"/>
              <w:right w:val="single" w:sz="4" w:space="0" w:color="auto"/>
            </w:tcBorders>
          </w:tcPr>
          <w:p w:rsidR="000938AC" w:rsidRPr="00551FAA" w:rsidRDefault="000938AC" w:rsidP="00A24E32">
            <w:pPr>
              <w:rPr>
                <w:rFonts w:ascii="Arial Narrow" w:hAnsi="Arial Narrow"/>
                <w:b/>
                <w:snapToGrid w:val="0"/>
                <w:sz w:val="18"/>
                <w:szCs w:val="18"/>
              </w:rPr>
            </w:pPr>
            <w:r>
              <w:rPr>
                <w:rFonts w:ascii="Arial Narrow" w:hAnsi="Arial Narrow"/>
                <w:b/>
                <w:snapToGrid w:val="0"/>
                <w:sz w:val="18"/>
                <w:szCs w:val="18"/>
              </w:rPr>
              <w:t xml:space="preserve">Attach </w:t>
            </w:r>
            <w:r w:rsidRPr="00551FAA">
              <w:rPr>
                <w:rFonts w:ascii="Arial Narrow" w:hAnsi="Arial Narrow"/>
                <w:b/>
                <w:snapToGrid w:val="0"/>
                <w:sz w:val="18"/>
                <w:szCs w:val="18"/>
              </w:rPr>
              <w:t>new restriction summary number: [N</w:t>
            </w:r>
            <w:r>
              <w:rPr>
                <w:rFonts w:ascii="Arial Narrow" w:hAnsi="Arial Narrow"/>
                <w:b/>
                <w:snapToGrid w:val="0"/>
                <w:sz w:val="18"/>
                <w:szCs w:val="18"/>
              </w:rPr>
              <w:t>EW] / Treatment of Concept: [NEW CODE 2</w:t>
            </w:r>
            <w:r w:rsidRPr="00551FAA">
              <w:rPr>
                <w:rFonts w:ascii="Arial Narrow" w:hAnsi="Arial Narrow"/>
                <w:b/>
                <w:snapToGrid w:val="0"/>
                <w:sz w:val="18"/>
                <w:szCs w:val="18"/>
              </w:rPr>
              <w:t>]</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vMerge w:val="restart"/>
            <w:tcBorders>
              <w:top w:val="single" w:sz="4" w:space="0" w:color="auto"/>
              <w:left w:val="single" w:sz="4" w:space="0" w:color="auto"/>
              <w:right w:val="single" w:sz="4" w:space="0" w:color="auto"/>
            </w:tcBorders>
          </w:tcPr>
          <w:p w:rsidR="000938AC" w:rsidRPr="00551FAA" w:rsidRDefault="000938AC" w:rsidP="00A24E32">
            <w:pPr>
              <w:jc w:val="center"/>
              <w:rPr>
                <w:rFonts w:ascii="Arial Narrow" w:hAnsi="Arial Narrow"/>
                <w:b/>
                <w:sz w:val="18"/>
                <w:szCs w:val="18"/>
              </w:rPr>
            </w:pPr>
            <w:r w:rsidRPr="00551FAA">
              <w:rPr>
                <w:rFonts w:ascii="Arial Narrow" w:hAnsi="Arial Narrow"/>
                <w:b/>
                <w:sz w:val="18"/>
                <w:szCs w:val="18"/>
              </w:rPr>
              <w:t>Concept ID</w:t>
            </w:r>
          </w:p>
          <w:p w:rsidR="000938AC" w:rsidRPr="00551FAA" w:rsidRDefault="000938AC" w:rsidP="00A24E32">
            <w:pPr>
              <w:rPr>
                <w:rFonts w:ascii="Arial Narrow" w:hAnsi="Arial Narrow"/>
                <w:i/>
                <w:sz w:val="18"/>
                <w:szCs w:val="18"/>
              </w:rPr>
            </w:pPr>
          </w:p>
          <w:p w:rsidR="000938AC" w:rsidRPr="00551FAA" w:rsidRDefault="000938AC" w:rsidP="00A24E32">
            <w:pPr>
              <w:jc w:val="center"/>
              <w:rPr>
                <w:rFonts w:ascii="Arial Narrow" w:hAnsi="Arial Narrow"/>
                <w:b/>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hideMark/>
          </w:tcPr>
          <w:p w:rsidR="000938AC" w:rsidRPr="00551FAA" w:rsidRDefault="000938AC" w:rsidP="00A24E32">
            <w:pPr>
              <w:rPr>
                <w:rFonts w:ascii="Arial Narrow" w:hAnsi="Arial Narrow"/>
                <w:snapToGrid w:val="0"/>
                <w:sz w:val="18"/>
                <w:szCs w:val="18"/>
              </w:rPr>
            </w:pPr>
            <w:r w:rsidRPr="00551FAA">
              <w:rPr>
                <w:rFonts w:ascii="Arial Narrow" w:hAnsi="Arial Narrow"/>
                <w:b/>
                <w:snapToGrid w:val="0"/>
                <w:sz w:val="18"/>
                <w:szCs w:val="18"/>
              </w:rPr>
              <w:t>Category / Program:</w:t>
            </w:r>
            <w:r w:rsidRPr="00551FAA">
              <w:rPr>
                <w:rFonts w:ascii="Arial Narrow" w:hAnsi="Arial Narrow"/>
                <w:snapToGrid w:val="0"/>
                <w:sz w:val="18"/>
                <w:szCs w:val="18"/>
              </w:rPr>
              <w:t xml:space="preserve"> General Schedule - Section 85 </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vMerge/>
            <w:tcBorders>
              <w:left w:val="single" w:sz="4" w:space="0" w:color="auto"/>
              <w:right w:val="single" w:sz="4" w:space="0" w:color="auto"/>
            </w:tcBorders>
          </w:tcPr>
          <w:p w:rsidR="000938AC" w:rsidRPr="00551FAA" w:rsidRDefault="000938AC" w:rsidP="00A24E32">
            <w:pPr>
              <w:rPr>
                <w:rFonts w:ascii="Arial Narrow" w:hAnsi="Arial Narrow"/>
                <w:b/>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551FAA" w:rsidRDefault="000938AC" w:rsidP="00A24E32">
            <w:pPr>
              <w:rPr>
                <w:rFonts w:ascii="Arial Narrow" w:hAnsi="Arial Narrow"/>
                <w:snapToGrid w:val="0"/>
                <w:sz w:val="18"/>
                <w:szCs w:val="18"/>
              </w:rPr>
            </w:pPr>
            <w:r w:rsidRPr="00551FAA">
              <w:rPr>
                <w:rFonts w:ascii="Arial Narrow" w:hAnsi="Arial Narrow"/>
                <w:b/>
                <w:snapToGrid w:val="0"/>
                <w:sz w:val="18"/>
                <w:szCs w:val="18"/>
              </w:rPr>
              <w:t xml:space="preserve">Prescriber type: </w:t>
            </w:r>
            <w:r w:rsidRPr="00551FAA">
              <w:rPr>
                <w:rFonts w:ascii="Arial Narrow" w:hAnsi="Arial Narrow"/>
                <w:snapToGrid w:val="0"/>
                <w:sz w:val="18"/>
                <w:szCs w:val="18"/>
              </w:rPr>
              <w:fldChar w:fldCharType="begin">
                <w:ffData>
                  <w:name w:val=""/>
                  <w:enabled/>
                  <w:calcOnExit w:val="0"/>
                  <w:checkBox>
                    <w:sizeAuto/>
                    <w:default w:val="1"/>
                  </w:checkBox>
                </w:ffData>
              </w:fldChar>
            </w:r>
            <w:r w:rsidRPr="00551FAA">
              <w:rPr>
                <w:rFonts w:ascii="Arial Narrow" w:hAnsi="Arial Narrow"/>
                <w:snapToGrid w:val="0"/>
                <w:sz w:val="18"/>
                <w:szCs w:val="18"/>
              </w:rPr>
              <w:instrText xml:space="preserve"> FORMCHECKBOX </w:instrText>
            </w:r>
            <w:r w:rsidR="00520DB9">
              <w:rPr>
                <w:rFonts w:ascii="Arial Narrow" w:hAnsi="Arial Narrow"/>
                <w:snapToGrid w:val="0"/>
                <w:sz w:val="18"/>
                <w:szCs w:val="18"/>
              </w:rPr>
            </w:r>
            <w:r w:rsidR="00520DB9">
              <w:rPr>
                <w:rFonts w:ascii="Arial Narrow" w:hAnsi="Arial Narrow"/>
                <w:snapToGrid w:val="0"/>
                <w:sz w:val="18"/>
                <w:szCs w:val="18"/>
              </w:rPr>
              <w:fldChar w:fldCharType="separate"/>
            </w:r>
            <w:r w:rsidRPr="00551FAA">
              <w:rPr>
                <w:rFonts w:ascii="Arial Narrow" w:hAnsi="Arial Narrow"/>
                <w:snapToGrid w:val="0"/>
                <w:sz w:val="18"/>
                <w:szCs w:val="18"/>
              </w:rPr>
              <w:fldChar w:fldCharType="end"/>
            </w:r>
            <w:r w:rsidRPr="00551FAA">
              <w:rPr>
                <w:rFonts w:ascii="Arial Narrow" w:hAnsi="Arial Narrow"/>
                <w:snapToGrid w:val="0"/>
                <w:sz w:val="18"/>
                <w:szCs w:val="18"/>
              </w:rPr>
              <w:t xml:space="preserve"> Medical Practitioners    </w:t>
            </w:r>
            <w:r w:rsidRPr="00551FAA">
              <w:rPr>
                <w:rFonts w:ascii="Arial Narrow" w:hAnsi="Arial Narrow"/>
                <w:snapToGrid w:val="0"/>
                <w:sz w:val="18"/>
                <w:szCs w:val="18"/>
              </w:rPr>
              <w:fldChar w:fldCharType="begin">
                <w:ffData>
                  <w:name w:val=""/>
                  <w:enabled/>
                  <w:calcOnExit w:val="0"/>
                  <w:checkBox>
                    <w:sizeAuto/>
                    <w:default w:val="1"/>
                  </w:checkBox>
                </w:ffData>
              </w:fldChar>
            </w:r>
            <w:r w:rsidRPr="00551FAA">
              <w:rPr>
                <w:rFonts w:ascii="Arial Narrow" w:hAnsi="Arial Narrow"/>
                <w:snapToGrid w:val="0"/>
                <w:sz w:val="18"/>
                <w:szCs w:val="18"/>
              </w:rPr>
              <w:instrText xml:space="preserve"> FORMCHECKBOX </w:instrText>
            </w:r>
            <w:r w:rsidR="00520DB9">
              <w:rPr>
                <w:rFonts w:ascii="Arial Narrow" w:hAnsi="Arial Narrow"/>
                <w:snapToGrid w:val="0"/>
                <w:sz w:val="18"/>
                <w:szCs w:val="18"/>
              </w:rPr>
            </w:r>
            <w:r w:rsidR="00520DB9">
              <w:rPr>
                <w:rFonts w:ascii="Arial Narrow" w:hAnsi="Arial Narrow"/>
                <w:snapToGrid w:val="0"/>
                <w:sz w:val="18"/>
                <w:szCs w:val="18"/>
              </w:rPr>
              <w:fldChar w:fldCharType="separate"/>
            </w:r>
            <w:r w:rsidRPr="00551FAA">
              <w:rPr>
                <w:rFonts w:ascii="Arial Narrow" w:hAnsi="Arial Narrow"/>
                <w:snapToGrid w:val="0"/>
                <w:sz w:val="18"/>
                <w:szCs w:val="18"/>
              </w:rPr>
              <w:fldChar w:fldCharType="end"/>
            </w:r>
            <w:r w:rsidRPr="00551FAA">
              <w:rPr>
                <w:rFonts w:ascii="Arial Narrow" w:hAnsi="Arial Narrow"/>
                <w:snapToGrid w:val="0"/>
                <w:sz w:val="18"/>
                <w:szCs w:val="18"/>
              </w:rPr>
              <w:t xml:space="preserve"> Nurse Practitioners - CTO  </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vMerge/>
            <w:tcBorders>
              <w:left w:val="single" w:sz="4" w:space="0" w:color="auto"/>
              <w:right w:val="single" w:sz="4" w:space="0" w:color="auto"/>
            </w:tcBorders>
          </w:tcPr>
          <w:p w:rsidR="000938AC" w:rsidRPr="00551FAA" w:rsidRDefault="000938AC" w:rsidP="00A24E32">
            <w:pPr>
              <w:rPr>
                <w:rFonts w:ascii="Arial Narrow" w:hAnsi="Arial Narrow"/>
                <w:b/>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551FAA" w:rsidRDefault="000938AC" w:rsidP="00A24E32">
            <w:pPr>
              <w:rPr>
                <w:rFonts w:ascii="Arial Narrow" w:hAnsi="Arial Narrow"/>
                <w:snapToGrid w:val="0"/>
                <w:sz w:val="18"/>
                <w:szCs w:val="18"/>
              </w:rPr>
            </w:pPr>
            <w:r w:rsidRPr="00551FAA">
              <w:rPr>
                <w:rFonts w:ascii="Arial Narrow" w:hAnsi="Arial Narrow"/>
                <w:b/>
                <w:snapToGrid w:val="0"/>
                <w:sz w:val="18"/>
                <w:szCs w:val="18"/>
              </w:rPr>
              <w:t xml:space="preserve">Restriction: </w:t>
            </w:r>
            <w:r w:rsidRPr="00551FAA">
              <w:rPr>
                <w:rFonts w:ascii="Arial Narrow" w:hAnsi="Arial Narrow"/>
                <w:snapToGrid w:val="0"/>
                <w:sz w:val="18"/>
                <w:szCs w:val="18"/>
              </w:rPr>
              <w:fldChar w:fldCharType="begin">
                <w:ffData>
                  <w:name w:val="Check5"/>
                  <w:enabled/>
                  <w:calcOnExit w:val="0"/>
                  <w:checkBox>
                    <w:sizeAuto/>
                    <w:default w:val="1"/>
                  </w:checkBox>
                </w:ffData>
              </w:fldChar>
            </w:r>
            <w:r w:rsidRPr="00551FAA">
              <w:rPr>
                <w:rFonts w:ascii="Arial Narrow" w:hAnsi="Arial Narrow"/>
                <w:snapToGrid w:val="0"/>
                <w:sz w:val="18"/>
                <w:szCs w:val="18"/>
              </w:rPr>
              <w:instrText xml:space="preserve"> FORMCHECKBOX </w:instrText>
            </w:r>
            <w:r w:rsidR="00520DB9">
              <w:rPr>
                <w:rFonts w:ascii="Arial Narrow" w:hAnsi="Arial Narrow"/>
                <w:snapToGrid w:val="0"/>
                <w:sz w:val="18"/>
                <w:szCs w:val="18"/>
              </w:rPr>
            </w:r>
            <w:r w:rsidR="00520DB9">
              <w:rPr>
                <w:rFonts w:ascii="Arial Narrow" w:hAnsi="Arial Narrow"/>
                <w:snapToGrid w:val="0"/>
                <w:sz w:val="18"/>
                <w:szCs w:val="18"/>
              </w:rPr>
              <w:fldChar w:fldCharType="separate"/>
            </w:r>
            <w:r w:rsidRPr="00551FAA">
              <w:rPr>
                <w:rFonts w:ascii="Arial Narrow" w:hAnsi="Arial Narrow"/>
                <w:snapToGrid w:val="0"/>
                <w:sz w:val="18"/>
                <w:szCs w:val="18"/>
              </w:rPr>
              <w:fldChar w:fldCharType="end"/>
            </w:r>
            <w:r w:rsidRPr="00551FAA">
              <w:rPr>
                <w:rFonts w:ascii="Arial Narrow" w:hAnsi="Arial Narrow"/>
                <w:snapToGrid w:val="0"/>
                <w:sz w:val="18"/>
                <w:szCs w:val="18"/>
              </w:rPr>
              <w:t xml:space="preserve"> Autho</w:t>
            </w:r>
            <w:r>
              <w:rPr>
                <w:rFonts w:ascii="Arial Narrow" w:hAnsi="Arial Narrow"/>
                <w:snapToGrid w:val="0"/>
                <w:sz w:val="18"/>
                <w:szCs w:val="18"/>
              </w:rPr>
              <w:t>rity Required (STREAMLINED) [N</w:t>
            </w:r>
            <w:r w:rsidRPr="00551FAA">
              <w:rPr>
                <w:rFonts w:ascii="Arial Narrow" w:hAnsi="Arial Narrow"/>
                <w:snapToGrid w:val="0"/>
                <w:sz w:val="18"/>
                <w:szCs w:val="18"/>
              </w:rPr>
              <w:t>ew code</w:t>
            </w:r>
            <w:r>
              <w:rPr>
                <w:rFonts w:ascii="Arial Narrow" w:hAnsi="Arial Narrow"/>
                <w:snapToGrid w:val="0"/>
                <w:sz w:val="18"/>
                <w:szCs w:val="18"/>
              </w:rPr>
              <w:t xml:space="preserve"> 2</w:t>
            </w:r>
            <w:r w:rsidRPr="00551FAA">
              <w:rPr>
                <w:rFonts w:ascii="Arial Narrow" w:hAnsi="Arial Narrow"/>
                <w:snapToGrid w:val="0"/>
                <w:sz w:val="18"/>
                <w:szCs w:val="18"/>
              </w:rPr>
              <w:t xml:space="preserve">] </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b/>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551FAA" w:rsidRDefault="000938AC" w:rsidP="00A24E32">
            <w:pPr>
              <w:rPr>
                <w:rFonts w:ascii="Arial Narrow" w:hAnsi="Arial Narrow"/>
                <w:b/>
                <w:snapToGrid w:val="0"/>
                <w:sz w:val="18"/>
                <w:szCs w:val="18"/>
              </w:rPr>
            </w:pPr>
            <w:r w:rsidRPr="00551FAA">
              <w:rPr>
                <w:rFonts w:ascii="Arial Narrow" w:hAnsi="Arial Narrow"/>
                <w:b/>
                <w:snapToGrid w:val="0"/>
                <w:sz w:val="18"/>
                <w:szCs w:val="18"/>
              </w:rPr>
              <w:t xml:space="preserve">PBS Indication: </w:t>
            </w:r>
            <w:r w:rsidRPr="00551FAA">
              <w:rPr>
                <w:rFonts w:ascii="Arial Narrow" w:hAnsi="Arial Narrow"/>
                <w:snapToGrid w:val="0"/>
                <w:sz w:val="18"/>
                <w:szCs w:val="18"/>
              </w:rPr>
              <w:t>Idiopathic generalised epilepsy with primary generalised tonic-clonic seizures</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b/>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hideMark/>
          </w:tcPr>
          <w:p w:rsidR="000938AC" w:rsidRPr="00551FAA" w:rsidRDefault="000938AC" w:rsidP="00A24E32">
            <w:pPr>
              <w:rPr>
                <w:rFonts w:ascii="Arial Narrow" w:hAnsi="Arial Narrow"/>
                <w:i/>
                <w:snapToGrid w:val="0"/>
                <w:sz w:val="18"/>
                <w:szCs w:val="18"/>
                <w:highlight w:val="lightGray"/>
              </w:rPr>
            </w:pPr>
            <w:r w:rsidRPr="00551FAA">
              <w:rPr>
                <w:rFonts w:ascii="Arial Narrow" w:hAnsi="Arial Narrow"/>
                <w:b/>
                <w:snapToGrid w:val="0"/>
                <w:sz w:val="18"/>
                <w:szCs w:val="18"/>
              </w:rPr>
              <w:t xml:space="preserve">Treatment phase: </w:t>
            </w:r>
            <w:r w:rsidRPr="00551FAA">
              <w:rPr>
                <w:rFonts w:ascii="Arial Narrow" w:hAnsi="Arial Narrow"/>
                <w:snapToGrid w:val="0"/>
                <w:sz w:val="18"/>
                <w:szCs w:val="18"/>
              </w:rPr>
              <w:t>[blank]</w:t>
            </w:r>
          </w:p>
        </w:tc>
      </w:tr>
      <w:tr w:rsidR="000938AC" w:rsidRPr="00E66F69" w:rsidTr="00366155">
        <w:tblPrEx>
          <w:tblCellMar>
            <w:left w:w="28" w:type="dxa"/>
            <w:right w:w="28" w:type="dxa"/>
          </w:tblCellMar>
          <w:tblLook w:val="04A0" w:firstRow="1" w:lastRow="0" w:firstColumn="1" w:lastColumn="0" w:noHBand="0" w:noVBand="1"/>
        </w:tblPrEx>
        <w:trPr>
          <w:trHeight w:val="231"/>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keepNext/>
              <w:jc w:val="center"/>
              <w:rPr>
                <w:rFonts w:ascii="Arial Narrow" w:eastAsia="MS Gothic" w:hAnsi="Arial Narrow"/>
                <w:bCs/>
                <w:sz w:val="18"/>
                <w:szCs w:val="18"/>
              </w:rPr>
            </w:pPr>
          </w:p>
        </w:tc>
        <w:tc>
          <w:tcPr>
            <w:tcW w:w="4630" w:type="pct"/>
            <w:gridSpan w:val="6"/>
            <w:tcBorders>
              <w:top w:val="single" w:sz="4" w:space="0" w:color="auto"/>
              <w:left w:val="single" w:sz="4" w:space="0" w:color="auto"/>
              <w:bottom w:val="single" w:sz="4" w:space="0" w:color="auto"/>
              <w:right w:val="single" w:sz="4" w:space="0" w:color="auto"/>
            </w:tcBorders>
            <w:hideMark/>
          </w:tcPr>
          <w:p w:rsidR="000938AC" w:rsidRPr="00E66F69" w:rsidRDefault="000938AC" w:rsidP="00A24E32">
            <w:pPr>
              <w:keepNext/>
              <w:rPr>
                <w:rFonts w:ascii="Arial Narrow" w:eastAsia="MS Gothic" w:hAnsi="Arial Narrow"/>
                <w:bCs/>
                <w:color w:val="000000"/>
                <w:sz w:val="18"/>
                <w:szCs w:val="18"/>
              </w:rPr>
            </w:pPr>
            <w:r w:rsidRPr="00E66F69">
              <w:rPr>
                <w:rFonts w:ascii="Arial Narrow" w:eastAsia="MS Gothic" w:hAnsi="Arial Narrow"/>
                <w:b/>
                <w:bCs/>
                <w:sz w:val="18"/>
                <w:szCs w:val="18"/>
              </w:rPr>
              <w:t xml:space="preserve">Treatment criteria: </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keepNext/>
              <w:jc w:val="center"/>
              <w:rPr>
                <w:rFonts w:ascii="Arial Narrow" w:eastAsia="MS Gothic" w:hAnsi="Arial Narrow"/>
                <w:bCs/>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keepNext/>
              <w:rPr>
                <w:rFonts w:ascii="Arial Narrow" w:eastAsia="MS Gothic" w:hAnsi="Arial Narrow"/>
                <w:b/>
                <w:bCs/>
                <w:i/>
                <w:sz w:val="18"/>
                <w:szCs w:val="18"/>
              </w:rPr>
            </w:pPr>
            <w:r w:rsidRPr="00E66F69">
              <w:rPr>
                <w:rFonts w:ascii="Arial Narrow" w:eastAsia="MS Gothic" w:hAnsi="Arial Narrow"/>
                <w:bCs/>
                <w:sz w:val="18"/>
                <w:szCs w:val="18"/>
              </w:rPr>
              <w:t>M</w:t>
            </w:r>
            <w:r>
              <w:rPr>
                <w:rFonts w:ascii="Arial Narrow" w:eastAsia="MS Gothic" w:hAnsi="Arial Narrow"/>
                <w:bCs/>
                <w:sz w:val="18"/>
                <w:szCs w:val="18"/>
              </w:rPr>
              <w:t>ust be treated by a neurologist; or</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keepNext/>
              <w:jc w:val="center"/>
              <w:rPr>
                <w:rFonts w:ascii="Arial Narrow" w:eastAsia="MS Gothic" w:hAnsi="Arial Narrow"/>
                <w:bCs/>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keepNext/>
              <w:rPr>
                <w:rFonts w:ascii="Arial Narrow" w:eastAsia="MS Gothic" w:hAnsi="Arial Narrow"/>
                <w:bCs/>
                <w:sz w:val="18"/>
                <w:szCs w:val="18"/>
              </w:rPr>
            </w:pPr>
            <w:r w:rsidRPr="002218A7">
              <w:rPr>
                <w:rFonts w:ascii="Arial Narrow" w:eastAsia="MS Gothic" w:hAnsi="Arial Narrow"/>
                <w:bCs/>
                <w:sz w:val="18"/>
                <w:szCs w:val="18"/>
              </w:rPr>
              <w:t>Must be treated by a paediatrician</w:t>
            </w:r>
            <w:r>
              <w:rPr>
                <w:rFonts w:ascii="Arial Narrow" w:eastAsia="MS Gothic" w:hAnsi="Arial Narrow"/>
                <w:bCs/>
                <w:sz w:val="18"/>
                <w:szCs w:val="18"/>
              </w:rPr>
              <w:t>; or</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keepNext/>
              <w:jc w:val="center"/>
              <w:rPr>
                <w:rFonts w:ascii="Arial Narrow" w:eastAsia="MS Gothic" w:hAnsi="Arial Narrow"/>
                <w:bCs/>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3C55E7" w:rsidRDefault="000938AC" w:rsidP="00A24E32">
            <w:pPr>
              <w:keepNext/>
              <w:rPr>
                <w:rFonts w:ascii="Arial Narrow" w:eastAsia="MS Gothic" w:hAnsi="Arial Narrow"/>
                <w:bCs/>
                <w:sz w:val="18"/>
                <w:szCs w:val="18"/>
              </w:rPr>
            </w:pPr>
            <w:r w:rsidRPr="00426EB7">
              <w:rPr>
                <w:rFonts w:ascii="Arial Narrow" w:eastAsia="MS Gothic" w:hAnsi="Arial Narrow"/>
                <w:bCs/>
                <w:sz w:val="18"/>
                <w:szCs w:val="18"/>
              </w:rPr>
              <w:t>Patient must be treated by an eligible practitioner type who has consulted at least one of the above mentioned specialist types, with agreement reached that the patient should be treated with this pharmaceutical benefit on this occasion</w:t>
            </w:r>
          </w:p>
        </w:tc>
      </w:tr>
      <w:tr w:rsidR="000938AC" w:rsidRPr="00E66F69" w:rsidTr="00366155">
        <w:tblPrEx>
          <w:tblCellMar>
            <w:left w:w="28" w:type="dxa"/>
            <w:right w:w="28" w:type="dxa"/>
          </w:tblCellMar>
          <w:tblLook w:val="04A0" w:firstRow="1" w:lastRow="0" w:firstColumn="1" w:lastColumn="0" w:noHBand="0" w:noVBand="1"/>
        </w:tblPrEx>
        <w:trPr>
          <w:trHeight w:val="259"/>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strike/>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autoSpaceDE w:val="0"/>
              <w:autoSpaceDN w:val="0"/>
              <w:adjustRightInd w:val="0"/>
              <w:rPr>
                <w:rFonts w:ascii="Arial Narrow" w:eastAsia="MS Gothic" w:hAnsi="Arial Narrow"/>
                <w:bCs/>
                <w:sz w:val="18"/>
                <w:szCs w:val="18"/>
                <w:highlight w:val="lightGray"/>
              </w:rPr>
            </w:pPr>
            <w:r w:rsidRPr="00E66F69">
              <w:rPr>
                <w:rFonts w:ascii="Arial Narrow" w:eastAsia="Calibri" w:hAnsi="Arial Narrow"/>
                <w:b/>
                <w:color w:val="000000"/>
                <w:sz w:val="18"/>
                <w:szCs w:val="18"/>
              </w:rPr>
              <w:t>Clinical criteria:</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3C55E7" w:rsidRDefault="000938AC" w:rsidP="00A24E32">
            <w:pPr>
              <w:autoSpaceDE w:val="0"/>
              <w:autoSpaceDN w:val="0"/>
              <w:adjustRightInd w:val="0"/>
              <w:rPr>
                <w:rFonts w:ascii="Arial Narrow" w:eastAsia="MS Gothic" w:hAnsi="Arial Narrow"/>
                <w:bCs/>
                <w:sz w:val="18"/>
                <w:szCs w:val="18"/>
                <w:highlight w:val="lightGray"/>
              </w:rPr>
            </w:pPr>
            <w:r w:rsidRPr="003C55E7">
              <w:rPr>
                <w:rFonts w:ascii="Arial Narrow" w:eastAsia="MS Gothic" w:hAnsi="Arial Narrow"/>
                <w:bCs/>
                <w:sz w:val="18"/>
                <w:szCs w:val="18"/>
              </w:rPr>
              <w:t>The condition must have failed to be controlled satisfactorily by at least two anti-epileptic drugs prior to when the drug is/was first commenced</w:t>
            </w:r>
          </w:p>
        </w:tc>
      </w:tr>
      <w:tr w:rsidR="000938AC" w:rsidRPr="00E66F69" w:rsidTr="00366155">
        <w:tblPrEx>
          <w:tblCellMar>
            <w:left w:w="28" w:type="dxa"/>
            <w:right w:w="28" w:type="dxa"/>
          </w:tblCellMar>
          <w:tblLook w:val="04A0" w:firstRow="1" w:lastRow="0" w:firstColumn="1" w:lastColumn="0" w:noHBand="0" w:noVBand="1"/>
        </w:tblPrEx>
        <w:trPr>
          <w:trHeight w:val="113"/>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b/>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132125" w:rsidRDefault="000938AC" w:rsidP="00A24E32">
            <w:pPr>
              <w:rPr>
                <w:rFonts w:ascii="Arial Narrow" w:eastAsia="MS Gothic" w:hAnsi="Arial Narrow"/>
                <w:b/>
                <w:bCs/>
                <w:snapToGrid w:val="0"/>
                <w:sz w:val="18"/>
                <w:szCs w:val="18"/>
              </w:rPr>
            </w:pPr>
            <w:r w:rsidRPr="00132125">
              <w:rPr>
                <w:rFonts w:ascii="Arial Narrow" w:eastAsia="MS Gothic" w:hAnsi="Arial Narrow"/>
                <w:b/>
                <w:bCs/>
                <w:snapToGrid w:val="0"/>
                <w:sz w:val="18"/>
                <w:szCs w:val="18"/>
              </w:rPr>
              <w:t>AND</w:t>
            </w:r>
          </w:p>
        </w:tc>
      </w:tr>
      <w:tr w:rsidR="000938AC" w:rsidRPr="00E66F69" w:rsidTr="00366155">
        <w:tblPrEx>
          <w:tblCellMar>
            <w:left w:w="28" w:type="dxa"/>
            <w:right w:w="28" w:type="dxa"/>
          </w:tblCellMar>
          <w:tblLook w:val="04A0" w:firstRow="1" w:lastRow="0" w:firstColumn="1" w:lastColumn="0" w:noHBand="0" w:noVBand="1"/>
        </w:tblPrEx>
        <w:trPr>
          <w:trHeight w:val="187"/>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strike/>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132125" w:rsidRDefault="000938AC" w:rsidP="00A24E32">
            <w:pPr>
              <w:rPr>
                <w:rFonts w:ascii="Arial Narrow" w:eastAsia="MS Gothic" w:hAnsi="Arial Narrow"/>
                <w:bCs/>
                <w:snapToGrid w:val="0"/>
                <w:sz w:val="18"/>
                <w:szCs w:val="18"/>
              </w:rPr>
            </w:pPr>
            <w:r w:rsidRPr="00132125">
              <w:rPr>
                <w:rFonts w:ascii="Arial Narrow" w:hAnsi="Arial Narrow"/>
                <w:b/>
                <w:snapToGrid w:val="0"/>
                <w:sz w:val="18"/>
                <w:szCs w:val="18"/>
              </w:rPr>
              <w:t>Clinical criteria:</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132125" w:rsidRDefault="000938AC" w:rsidP="00A24E32">
            <w:pPr>
              <w:rPr>
                <w:rFonts w:ascii="Arial Narrow" w:hAnsi="Arial Narrow"/>
                <w:b/>
                <w:snapToGrid w:val="0"/>
                <w:sz w:val="18"/>
                <w:szCs w:val="18"/>
                <w:highlight w:val="lightGray"/>
              </w:rPr>
            </w:pPr>
            <w:r w:rsidRPr="00132125">
              <w:rPr>
                <w:rFonts w:ascii="Arial Narrow" w:eastAsia="MS Gothic" w:hAnsi="Arial Narrow"/>
                <w:bCs/>
                <w:snapToGrid w:val="0"/>
                <w:sz w:val="18"/>
                <w:szCs w:val="18"/>
              </w:rPr>
              <w:t>The treatment must be (for initiating treatment)/have been (for continuing treatment) in combination with at least one PBS-subsidised anti-epileptic drug at the time the drug is/was first commenced</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cs="Calibri"/>
                <w:bCs/>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rPr>
                <w:rFonts w:ascii="Arial Narrow" w:hAnsi="Arial Narrow"/>
                <w:iCs/>
                <w:snapToGrid w:val="0"/>
                <w:sz w:val="18"/>
                <w:szCs w:val="18"/>
                <w:lang w:val="en-GB"/>
              </w:rPr>
            </w:pPr>
            <w:r w:rsidRPr="00E66F69">
              <w:rPr>
                <w:rFonts w:ascii="Arial Narrow" w:hAnsi="Arial Narrow"/>
                <w:b/>
                <w:iCs/>
                <w:snapToGrid w:val="0"/>
                <w:sz w:val="18"/>
                <w:szCs w:val="18"/>
                <w:lang w:val="en-GB"/>
              </w:rPr>
              <w:t>Administrative Advice:</w:t>
            </w:r>
          </w:p>
          <w:p w:rsidR="000938AC" w:rsidRPr="00E66F69" w:rsidRDefault="000938AC" w:rsidP="00A24E32">
            <w:pPr>
              <w:rPr>
                <w:rFonts w:ascii="Arial Narrow" w:hAnsi="Arial Narrow"/>
                <w:iCs/>
                <w:snapToGrid w:val="0"/>
                <w:sz w:val="18"/>
                <w:szCs w:val="18"/>
                <w:lang w:val="en-GB"/>
              </w:rPr>
            </w:pPr>
            <w:r w:rsidRPr="00E66F69">
              <w:rPr>
                <w:rFonts w:ascii="Arial Narrow" w:hAnsi="Arial Narrow"/>
                <w:b/>
                <w:iCs/>
                <w:snapToGrid w:val="0"/>
                <w:sz w:val="18"/>
                <w:szCs w:val="18"/>
                <w:lang w:val="en-GB"/>
              </w:rPr>
              <w:t>Continuing Therapy Only</w:t>
            </w:r>
            <w:r w:rsidRPr="00E66F69">
              <w:rPr>
                <w:rFonts w:ascii="Arial Narrow" w:hAnsi="Arial Narrow"/>
                <w:iCs/>
                <w:snapToGrid w:val="0"/>
                <w:sz w:val="18"/>
                <w:szCs w:val="18"/>
                <w:lang w:val="en-GB"/>
              </w:rPr>
              <w:t>:</w:t>
            </w:r>
          </w:p>
          <w:p w:rsidR="000938AC" w:rsidRPr="00E66F69" w:rsidRDefault="000938AC" w:rsidP="00A24E32">
            <w:pPr>
              <w:rPr>
                <w:rFonts w:ascii="Arial Narrow" w:hAnsi="Arial Narrow"/>
                <w:b/>
                <w:i/>
                <w:iCs/>
                <w:snapToGrid w:val="0"/>
                <w:sz w:val="18"/>
                <w:szCs w:val="18"/>
                <w:lang w:val="en-GB"/>
              </w:rPr>
            </w:pPr>
            <w:r w:rsidRPr="00E66F69">
              <w:rPr>
                <w:rFonts w:ascii="Arial Narrow" w:hAnsi="Arial Narrow"/>
                <w:iCs/>
                <w:snapToGrid w:val="0"/>
                <w:sz w:val="18"/>
                <w:szCs w:val="18"/>
                <w:lang w:val="en-GB"/>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cs="Calibri"/>
                <w:bCs/>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13773A" w:rsidRDefault="000938AC" w:rsidP="00A24E32">
            <w:pPr>
              <w:rPr>
                <w:rFonts w:ascii="Arial Narrow" w:hAnsi="Arial Narrow"/>
                <w:b/>
                <w:iCs/>
                <w:snapToGrid w:val="0"/>
                <w:sz w:val="18"/>
                <w:szCs w:val="18"/>
                <w:highlight w:val="lightGray"/>
                <w:lang w:val="en-GB"/>
              </w:rPr>
            </w:pPr>
            <w:r w:rsidRPr="0013773A">
              <w:rPr>
                <w:rFonts w:ascii="Arial Narrow" w:hAnsi="Arial Narrow"/>
                <w:b/>
                <w:iCs/>
                <w:snapToGrid w:val="0"/>
                <w:sz w:val="18"/>
                <w:szCs w:val="18"/>
                <w:lang w:val="en-GB"/>
              </w:rPr>
              <w:t>Administrative Advice:</w:t>
            </w:r>
            <w:r>
              <w:t xml:space="preserve"> </w:t>
            </w:r>
            <w:r w:rsidRPr="002D4F5D">
              <w:rPr>
                <w:rFonts w:ascii="Arial Narrow" w:hAnsi="Arial Narrow"/>
                <w:iCs/>
                <w:snapToGrid w:val="0"/>
                <w:sz w:val="18"/>
                <w:szCs w:val="18"/>
                <w:lang w:val="en-GB"/>
              </w:rPr>
              <w:t>No increase in the maximum number of repeats may be authorised.</w:t>
            </w:r>
            <w:r w:rsidRPr="0013773A">
              <w:rPr>
                <w:rFonts w:ascii="Arial Narrow" w:hAnsi="Arial Narrow"/>
                <w:b/>
                <w:iCs/>
                <w:snapToGrid w:val="0"/>
                <w:sz w:val="18"/>
                <w:szCs w:val="18"/>
                <w:lang w:val="en-GB"/>
              </w:rPr>
              <w:t xml:space="preserve"> </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top w:val="single" w:sz="4" w:space="0" w:color="auto"/>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snapToGrid w:val="0"/>
                <w:sz w:val="18"/>
                <w:szCs w:val="18"/>
                <w:highlight w:val="lightGray"/>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2D4F5D" w:rsidRDefault="000938AC" w:rsidP="00A24E32">
            <w:pPr>
              <w:rPr>
                <w:rFonts w:ascii="Arial Narrow" w:hAnsi="Arial Narrow"/>
                <w:b/>
                <w:iCs/>
                <w:snapToGrid w:val="0"/>
                <w:sz w:val="18"/>
                <w:szCs w:val="18"/>
              </w:rPr>
            </w:pPr>
            <w:r w:rsidRPr="002D4F5D">
              <w:rPr>
                <w:rFonts w:ascii="Arial Narrow" w:hAnsi="Arial Narrow"/>
                <w:b/>
                <w:iCs/>
                <w:snapToGrid w:val="0"/>
                <w:sz w:val="18"/>
                <w:szCs w:val="18"/>
              </w:rPr>
              <w:t xml:space="preserve">Administrative Advice: </w:t>
            </w:r>
            <w:r w:rsidRPr="002D4F5D">
              <w:rPr>
                <w:rFonts w:ascii="Arial Narrow" w:hAnsi="Arial Narrow"/>
                <w:snapToGrid w:val="0"/>
                <w:sz w:val="18"/>
                <w:szCs w:val="18"/>
              </w:rPr>
              <w:t>Special Pricing Arrangements apply</w:t>
            </w:r>
          </w:p>
        </w:tc>
      </w:tr>
      <w:tr w:rsidR="000938AC" w:rsidRPr="00E66F69" w:rsidTr="00366155">
        <w:tblPrEx>
          <w:tblCellMar>
            <w:left w:w="28" w:type="dxa"/>
            <w:right w:w="28" w:type="dxa"/>
          </w:tblCellMar>
          <w:tblLook w:val="04A0" w:firstRow="1" w:lastRow="0" w:firstColumn="1" w:lastColumn="0" w:noHBand="0" w:noVBand="1"/>
        </w:tblPrEx>
        <w:trPr>
          <w:trHeight w:val="135"/>
        </w:trPr>
        <w:tc>
          <w:tcPr>
            <w:tcW w:w="370" w:type="pct"/>
            <w:tcBorders>
              <w:top w:val="single" w:sz="4" w:space="0" w:color="auto"/>
              <w:left w:val="single" w:sz="4" w:space="0" w:color="auto"/>
              <w:right w:val="single" w:sz="4" w:space="0" w:color="auto"/>
            </w:tcBorders>
          </w:tcPr>
          <w:p w:rsidR="000938AC" w:rsidRPr="00551FAA" w:rsidRDefault="000938AC" w:rsidP="00A24E32">
            <w:pPr>
              <w:rPr>
                <w:rFonts w:ascii="Arial Narrow" w:hAnsi="Arial Narrow" w:cs="Calibri"/>
                <w:bCs/>
                <w:i/>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jc w:val="center"/>
              <w:rPr>
                <w:rFonts w:ascii="Arial Narrow" w:hAnsi="Arial Narrow"/>
                <w:i/>
                <w:iCs/>
                <w:snapToGrid w:val="0"/>
                <w:sz w:val="18"/>
                <w:szCs w:val="18"/>
                <w:lang w:val="en-GB"/>
              </w:rPr>
            </w:pPr>
            <w:r w:rsidRPr="00E66F69">
              <w:rPr>
                <w:rFonts w:ascii="Arial Narrow" w:hAnsi="Arial Narrow"/>
                <w:i/>
                <w:iCs/>
                <w:snapToGrid w:val="0"/>
                <w:sz w:val="18"/>
                <w:szCs w:val="18"/>
                <w:lang w:val="en-GB"/>
              </w:rPr>
              <w:t>Apply the following administrative advice to the oral liquid only:</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left w:val="single" w:sz="4" w:space="0" w:color="auto"/>
              <w:bottom w:val="single" w:sz="4" w:space="0" w:color="auto"/>
              <w:right w:val="single" w:sz="4" w:space="0" w:color="auto"/>
            </w:tcBorders>
          </w:tcPr>
          <w:p w:rsidR="000938AC" w:rsidRPr="00551FAA" w:rsidRDefault="000938AC" w:rsidP="00A24E32">
            <w:pPr>
              <w:jc w:val="center"/>
              <w:rPr>
                <w:rFonts w:ascii="Arial Narrow" w:hAnsi="Arial Narrow" w:cs="Calibri"/>
                <w:bCs/>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2D4F5D" w:rsidRDefault="000938AC" w:rsidP="00A24E32">
            <w:pPr>
              <w:rPr>
                <w:rFonts w:ascii="Arial Narrow" w:hAnsi="Arial Narrow"/>
                <w:b/>
                <w:iCs/>
                <w:snapToGrid w:val="0"/>
                <w:sz w:val="18"/>
                <w:szCs w:val="18"/>
                <w:lang w:val="en-GB"/>
              </w:rPr>
            </w:pPr>
            <w:r w:rsidRPr="002D4F5D">
              <w:rPr>
                <w:rFonts w:ascii="Arial Narrow" w:hAnsi="Arial Narrow"/>
                <w:b/>
                <w:iCs/>
                <w:snapToGrid w:val="0"/>
                <w:sz w:val="18"/>
                <w:szCs w:val="18"/>
                <w:lang w:val="en-GB"/>
              </w:rPr>
              <w:t xml:space="preserve">Administrative Advice: </w:t>
            </w:r>
          </w:p>
          <w:p w:rsidR="000938AC" w:rsidRPr="00E66F69" w:rsidRDefault="000938AC" w:rsidP="001C2EEB">
            <w:pPr>
              <w:rPr>
                <w:rFonts w:ascii="Arial Narrow" w:hAnsi="Arial Narrow"/>
                <w:b/>
                <w:i/>
                <w:iCs/>
                <w:snapToGrid w:val="0"/>
                <w:sz w:val="18"/>
                <w:szCs w:val="18"/>
                <w:lang w:val="en-GB"/>
              </w:rPr>
            </w:pPr>
            <w:r w:rsidRPr="002D4F5D">
              <w:rPr>
                <w:rFonts w:ascii="Arial Narrow" w:hAnsi="Arial Narrow"/>
                <w:iCs/>
                <w:snapToGrid w:val="0"/>
                <w:sz w:val="18"/>
                <w:szCs w:val="18"/>
                <w:lang w:val="en-GB"/>
              </w:rPr>
              <w:t xml:space="preserve">Requests for increases </w:t>
            </w:r>
            <w:r w:rsidR="001C2EEB">
              <w:rPr>
                <w:rFonts w:ascii="Arial Narrow" w:hAnsi="Arial Narrow"/>
                <w:iCs/>
                <w:snapToGrid w:val="0"/>
                <w:sz w:val="18"/>
                <w:szCs w:val="18"/>
                <w:lang w:val="en-GB"/>
              </w:rPr>
              <w:t>in</w:t>
            </w:r>
            <w:r w:rsidR="001C2EEB" w:rsidRPr="002D4F5D">
              <w:rPr>
                <w:rFonts w:ascii="Arial Narrow" w:hAnsi="Arial Narrow"/>
                <w:iCs/>
                <w:snapToGrid w:val="0"/>
                <w:sz w:val="18"/>
                <w:szCs w:val="18"/>
                <w:lang w:val="en-GB"/>
              </w:rPr>
              <w:t xml:space="preserve"> </w:t>
            </w:r>
            <w:r w:rsidRPr="002D4F5D">
              <w:rPr>
                <w:rFonts w:ascii="Arial Narrow" w:hAnsi="Arial Narrow"/>
                <w:iCs/>
                <w:snapToGrid w:val="0"/>
                <w:sz w:val="18"/>
                <w:szCs w:val="18"/>
                <w:lang w:val="en-GB"/>
              </w:rPr>
              <w:t>the maximum quantity</w:t>
            </w:r>
            <w:r w:rsidR="003333C6">
              <w:rPr>
                <w:rFonts w:ascii="Arial Narrow" w:hAnsi="Arial Narrow"/>
                <w:iCs/>
                <w:snapToGrid w:val="0"/>
                <w:sz w:val="18"/>
                <w:szCs w:val="18"/>
                <w:lang w:val="en-GB"/>
              </w:rPr>
              <w:t xml:space="preserve"> </w:t>
            </w:r>
            <w:r w:rsidR="001C2EEB">
              <w:rPr>
                <w:rFonts w:ascii="Arial Narrow" w:hAnsi="Arial Narrow"/>
                <w:iCs/>
                <w:snapToGrid w:val="0"/>
                <w:sz w:val="18"/>
                <w:szCs w:val="18"/>
                <w:lang w:val="en-GB"/>
              </w:rPr>
              <w:t>(packs)</w:t>
            </w:r>
            <w:r w:rsidRPr="002D4F5D">
              <w:rPr>
                <w:rFonts w:ascii="Arial Narrow" w:hAnsi="Arial Narrow"/>
                <w:iCs/>
                <w:snapToGrid w:val="0"/>
                <w:sz w:val="18"/>
                <w:szCs w:val="18"/>
                <w:lang w:val="en-GB"/>
              </w:rPr>
              <w:t xml:space="preserve"> up to </w:t>
            </w:r>
            <w:r w:rsidR="001C2EEB">
              <w:rPr>
                <w:rFonts w:ascii="Arial Narrow" w:hAnsi="Arial Narrow"/>
                <w:iCs/>
                <w:snapToGrid w:val="0"/>
                <w:sz w:val="18"/>
                <w:szCs w:val="18"/>
                <w:lang w:val="en-GB"/>
              </w:rPr>
              <w:t>3 times that stated may be authorised</w:t>
            </w:r>
            <w:r w:rsidRPr="002D4F5D">
              <w:rPr>
                <w:rFonts w:ascii="Arial Narrow" w:hAnsi="Arial Narrow"/>
                <w:iCs/>
                <w:snapToGrid w:val="0"/>
                <w:sz w:val="18"/>
                <w:szCs w:val="18"/>
                <w:lang w:val="en-GB"/>
              </w:rPr>
              <w:t>.</w:t>
            </w:r>
          </w:p>
        </w:tc>
      </w:tr>
      <w:tr w:rsidR="000938AC" w:rsidRPr="00E66F69" w:rsidTr="00366155">
        <w:tblPrEx>
          <w:tblCellMar>
            <w:left w:w="28" w:type="dxa"/>
            <w:right w:w="28" w:type="dxa"/>
          </w:tblCellMar>
          <w:tblLook w:val="04A0" w:firstRow="1" w:lastRow="0" w:firstColumn="1" w:lastColumn="0" w:noHBand="0" w:noVBand="1"/>
        </w:tblPrEx>
        <w:trPr>
          <w:trHeight w:val="133"/>
        </w:trPr>
        <w:tc>
          <w:tcPr>
            <w:tcW w:w="370" w:type="pct"/>
            <w:tcBorders>
              <w:top w:val="single" w:sz="4" w:space="0" w:color="auto"/>
              <w:left w:val="single" w:sz="4" w:space="0" w:color="auto"/>
              <w:right w:val="single" w:sz="4" w:space="0" w:color="auto"/>
            </w:tcBorders>
          </w:tcPr>
          <w:p w:rsidR="000938AC" w:rsidRPr="00551FAA" w:rsidRDefault="000938AC" w:rsidP="00A24E32">
            <w:pPr>
              <w:rPr>
                <w:rFonts w:ascii="Arial Narrow" w:hAnsi="Arial Narrow" w:cs="Calibri"/>
                <w:bCs/>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E66F69" w:rsidRDefault="000938AC" w:rsidP="00A24E32">
            <w:pPr>
              <w:jc w:val="center"/>
              <w:rPr>
                <w:rFonts w:ascii="Arial Narrow" w:hAnsi="Arial Narrow"/>
                <w:b/>
                <w:i/>
                <w:iCs/>
                <w:snapToGrid w:val="0"/>
                <w:sz w:val="18"/>
                <w:szCs w:val="18"/>
                <w:lang w:val="en-GB"/>
              </w:rPr>
            </w:pPr>
            <w:r w:rsidRPr="00E66F69">
              <w:rPr>
                <w:rFonts w:ascii="Arial Narrow" w:hAnsi="Arial Narrow"/>
                <w:i/>
                <w:iCs/>
                <w:snapToGrid w:val="0"/>
                <w:sz w:val="18"/>
                <w:szCs w:val="18"/>
                <w:lang w:val="en-GB"/>
              </w:rPr>
              <w:t>Apply the following administrative advice to the tablets only:</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left w:val="single" w:sz="4" w:space="0" w:color="auto"/>
              <w:right w:val="single" w:sz="4" w:space="0" w:color="auto"/>
            </w:tcBorders>
          </w:tcPr>
          <w:p w:rsidR="000938AC" w:rsidRPr="00010DA6" w:rsidRDefault="000938AC" w:rsidP="00A24E32">
            <w:pPr>
              <w:jc w:val="center"/>
              <w:rPr>
                <w:rFonts w:ascii="Arial Narrow" w:hAnsi="Arial Narrow" w:cs="Calibri"/>
                <w:bCs/>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Pr="002D4F5D" w:rsidRDefault="000938AC" w:rsidP="00A24E32">
            <w:pPr>
              <w:rPr>
                <w:rFonts w:ascii="Arial Narrow" w:hAnsi="Arial Narrow"/>
                <w:b/>
                <w:iCs/>
                <w:snapToGrid w:val="0"/>
                <w:sz w:val="18"/>
                <w:szCs w:val="18"/>
                <w:lang w:val="en-GB"/>
              </w:rPr>
            </w:pPr>
            <w:r w:rsidRPr="002D4F5D">
              <w:rPr>
                <w:rFonts w:ascii="Arial Narrow" w:hAnsi="Arial Narrow"/>
                <w:b/>
                <w:iCs/>
                <w:snapToGrid w:val="0"/>
                <w:sz w:val="18"/>
                <w:szCs w:val="18"/>
                <w:lang w:val="en-GB"/>
              </w:rPr>
              <w:t xml:space="preserve">Administrative Advice: </w:t>
            </w:r>
            <w:r w:rsidRPr="002D4F5D">
              <w:rPr>
                <w:rFonts w:ascii="Arial Narrow" w:hAnsi="Arial Narrow"/>
                <w:iCs/>
                <w:snapToGrid w:val="0"/>
                <w:sz w:val="18"/>
                <w:szCs w:val="18"/>
                <w:lang w:val="en-GB"/>
              </w:rPr>
              <w:t>No increase in the maximum quantity or number of units may be authorised.</w:t>
            </w:r>
          </w:p>
        </w:tc>
      </w:tr>
      <w:tr w:rsidR="000938AC" w:rsidRPr="00E66F69" w:rsidTr="00366155">
        <w:tblPrEx>
          <w:tblCellMar>
            <w:left w:w="28" w:type="dxa"/>
            <w:right w:w="28" w:type="dxa"/>
          </w:tblCellMar>
          <w:tblLook w:val="04A0" w:firstRow="1" w:lastRow="0" w:firstColumn="1" w:lastColumn="0" w:noHBand="0" w:noVBand="1"/>
        </w:tblPrEx>
        <w:trPr>
          <w:trHeight w:val="284"/>
        </w:trPr>
        <w:tc>
          <w:tcPr>
            <w:tcW w:w="370" w:type="pct"/>
            <w:tcBorders>
              <w:left w:val="single" w:sz="4" w:space="0" w:color="auto"/>
              <w:bottom w:val="single" w:sz="4" w:space="0" w:color="auto"/>
              <w:right w:val="single" w:sz="4" w:space="0" w:color="auto"/>
            </w:tcBorders>
          </w:tcPr>
          <w:p w:rsidR="000938AC" w:rsidRPr="00010DA6" w:rsidRDefault="000938AC" w:rsidP="00A24E32">
            <w:pPr>
              <w:jc w:val="center"/>
              <w:rPr>
                <w:rFonts w:ascii="Arial Narrow" w:hAnsi="Arial Narrow" w:cs="Calibri"/>
                <w:bCs/>
                <w:snapToGrid w:val="0"/>
                <w:sz w:val="18"/>
                <w:szCs w:val="18"/>
              </w:rPr>
            </w:pPr>
          </w:p>
        </w:tc>
        <w:tc>
          <w:tcPr>
            <w:tcW w:w="4630" w:type="pct"/>
            <w:gridSpan w:val="6"/>
            <w:tcBorders>
              <w:top w:val="single" w:sz="4" w:space="0" w:color="auto"/>
              <w:left w:val="single" w:sz="4" w:space="0" w:color="auto"/>
              <w:bottom w:val="single" w:sz="4" w:space="0" w:color="auto"/>
              <w:right w:val="single" w:sz="4" w:space="0" w:color="auto"/>
            </w:tcBorders>
          </w:tcPr>
          <w:p w:rsidR="000938AC" w:rsidRDefault="000938AC" w:rsidP="00A24E32">
            <w:pPr>
              <w:rPr>
                <w:rFonts w:ascii="Arial Narrow" w:hAnsi="Arial Narrow"/>
                <w:b/>
                <w:iCs/>
                <w:snapToGrid w:val="0"/>
                <w:sz w:val="18"/>
                <w:szCs w:val="18"/>
                <w:lang w:val="en-GB"/>
              </w:rPr>
            </w:pPr>
            <w:r>
              <w:rPr>
                <w:rFonts w:ascii="Arial Narrow" w:hAnsi="Arial Narrow"/>
                <w:b/>
                <w:iCs/>
                <w:snapToGrid w:val="0"/>
                <w:sz w:val="18"/>
                <w:szCs w:val="18"/>
                <w:lang w:val="en-GB"/>
              </w:rPr>
              <w:t xml:space="preserve">Administrative Advice: </w:t>
            </w:r>
          </w:p>
          <w:p w:rsidR="000938AC" w:rsidRPr="002D4F5D" w:rsidRDefault="000938AC" w:rsidP="00A24E32">
            <w:pPr>
              <w:rPr>
                <w:rFonts w:ascii="Arial Narrow" w:hAnsi="Arial Narrow"/>
                <w:b/>
                <w:iCs/>
                <w:snapToGrid w:val="0"/>
                <w:sz w:val="18"/>
                <w:szCs w:val="18"/>
                <w:lang w:val="en-GB"/>
              </w:rPr>
            </w:pPr>
            <w:r w:rsidRPr="008E586F">
              <w:rPr>
                <w:rFonts w:ascii="Arial Narrow" w:hAnsi="Arial Narrow"/>
                <w:iCs/>
                <w:snapToGrid w:val="0"/>
                <w:sz w:val="18"/>
                <w:szCs w:val="18"/>
                <w:lang w:val="en-GB"/>
              </w:rPr>
              <w:t>For dose titration involving the 100 mg or 150 mg strength, refer to the dose titration listing for these strengths with pack sizes of 14 units. Avoid prescribing a ‘broken’ quantity under this listing</w:t>
            </w:r>
            <w:r>
              <w:rPr>
                <w:rFonts w:ascii="Arial Narrow" w:hAnsi="Arial Narrow"/>
                <w:b/>
                <w:iCs/>
                <w:snapToGrid w:val="0"/>
                <w:sz w:val="18"/>
                <w:szCs w:val="18"/>
                <w:lang w:val="en-GB"/>
              </w:rPr>
              <w:t>.</w:t>
            </w:r>
          </w:p>
        </w:tc>
      </w:tr>
    </w:tbl>
    <w:p w:rsidR="00AB2D25" w:rsidRDefault="00AB2D25" w:rsidP="00010DA6">
      <w:pPr>
        <w:rPr>
          <w:rFonts w:ascii="Arial" w:hAnsi="Arial"/>
        </w:rPr>
      </w:pPr>
    </w:p>
    <w:p w:rsidR="00010DA6" w:rsidRDefault="00010DA6" w:rsidP="00010DA6">
      <w:pPr>
        <w:rPr>
          <w:rFonts w:asciiTheme="minorHAnsi" w:hAnsiTheme="minorHAnsi" w:cstheme="minorHAnsi"/>
          <w:b/>
          <w:i/>
        </w:rPr>
      </w:pPr>
      <w:r w:rsidRPr="00FE3EE6">
        <w:rPr>
          <w:rFonts w:asciiTheme="minorHAnsi" w:hAnsiTheme="minorHAnsi" w:cstheme="minorHAnsi"/>
          <w:b/>
          <w:i/>
        </w:rPr>
        <w:t>This restriction may be subject to further review. Should there be any changes made to the restriction the Sponsor will be informed.</w:t>
      </w:r>
    </w:p>
    <w:p w:rsidR="00BC6C7F" w:rsidRDefault="00BC6C7F" w:rsidP="00010DA6">
      <w:pPr>
        <w:rPr>
          <w:rFonts w:asciiTheme="minorHAnsi" w:hAnsiTheme="minorHAnsi" w:cstheme="minorHAnsi"/>
          <w:b/>
          <w:i/>
        </w:rPr>
      </w:pPr>
    </w:p>
    <w:p w:rsidR="00BC6C7F" w:rsidRPr="002970F9" w:rsidRDefault="00BC6C7F" w:rsidP="00B74237">
      <w:pPr>
        <w:pStyle w:val="2-SectionHeading"/>
        <w:rPr>
          <w:lang w:val="en-GB"/>
        </w:rPr>
      </w:pPr>
      <w:r w:rsidRPr="00B74237">
        <w:rPr>
          <w:lang w:val="en-GB"/>
        </w:rPr>
        <w:t>Context for Decision</w:t>
      </w:r>
    </w:p>
    <w:p w:rsidR="00BC6C7F" w:rsidRPr="007129F2" w:rsidRDefault="00BC6C7F" w:rsidP="00BC6C7F">
      <w:pPr>
        <w:spacing w:after="120"/>
        <w:ind w:left="426"/>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BC6C7F" w:rsidRPr="00B74237" w:rsidRDefault="00BC6C7F" w:rsidP="00B74237">
      <w:pPr>
        <w:pStyle w:val="2-SectionHeading"/>
        <w:rPr>
          <w:b w:val="0"/>
          <w:lang w:val="en-GB"/>
        </w:rPr>
      </w:pPr>
      <w:r w:rsidRPr="00B74237">
        <w:rPr>
          <w:lang w:val="en-GB"/>
        </w:rPr>
        <w:t>Sponsor’s Comment</w:t>
      </w:r>
    </w:p>
    <w:p w:rsidR="00BC6C7F" w:rsidRPr="001179AC" w:rsidRDefault="00BC6C7F" w:rsidP="00BC6C7F">
      <w:pPr>
        <w:spacing w:after="120"/>
        <w:ind w:left="426"/>
        <w:rPr>
          <w:bCs/>
        </w:rPr>
      </w:pPr>
      <w:r w:rsidRPr="00C07617">
        <w:rPr>
          <w:bCs/>
        </w:rPr>
        <w:t>The sponsor had no comment.</w:t>
      </w:r>
    </w:p>
    <w:p w:rsidR="00BC6C7F" w:rsidRPr="00FE3EE6" w:rsidRDefault="00BC6C7F" w:rsidP="00010DA6">
      <w:pPr>
        <w:rPr>
          <w:rFonts w:asciiTheme="minorHAnsi" w:hAnsiTheme="minorHAnsi" w:cstheme="minorHAnsi"/>
          <w:b/>
          <w:i/>
        </w:rPr>
      </w:pPr>
    </w:p>
    <w:sectPr w:rsidR="00BC6C7F" w:rsidRPr="00FE3EE6" w:rsidSect="00767BAB">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F6733" w16cex:dateUtc="2021-03-31T1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A64ABA1" w16cid:durableId="240DAD88"/>
  <w16cid:commentId w16cid:paraId="79427345" w16cid:durableId="240F67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4237" w:rsidRDefault="00B74237" w:rsidP="00124A51">
      <w:r>
        <w:separator/>
      </w:r>
    </w:p>
    <w:p w:rsidR="00B74237" w:rsidRDefault="00B74237"/>
  </w:endnote>
  <w:endnote w:type="continuationSeparator" w:id="0">
    <w:p w:rsidR="00B74237" w:rsidRDefault="00B74237" w:rsidP="00124A51">
      <w:r>
        <w:continuationSeparator/>
      </w:r>
    </w:p>
    <w:p w:rsidR="00B74237" w:rsidRDefault="00B742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37" w:rsidRDefault="00B742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7F" w:rsidRDefault="00BC6C7F">
    <w:pPr>
      <w:pStyle w:val="Footer"/>
      <w:jc w:val="center"/>
    </w:pPr>
  </w:p>
  <w:p w:rsidR="00BC6C7F" w:rsidRPr="007C1CD9" w:rsidRDefault="00520DB9" w:rsidP="0083433F">
    <w:pPr>
      <w:pStyle w:val="Footer"/>
      <w:jc w:val="center"/>
    </w:pPr>
    <w:sdt>
      <w:sdtPr>
        <w:id w:val="-455877663"/>
        <w:docPartObj>
          <w:docPartGallery w:val="Page Numbers (Bottom of Page)"/>
          <w:docPartUnique/>
        </w:docPartObj>
      </w:sdtPr>
      <w:sdtEndPr>
        <w:rPr>
          <w:b/>
          <w:noProof/>
        </w:rPr>
      </w:sdtEndPr>
      <w:sdtContent>
        <w:r w:rsidR="00BC6C7F" w:rsidRPr="0083433F">
          <w:rPr>
            <w:b/>
          </w:rPr>
          <w:fldChar w:fldCharType="begin"/>
        </w:r>
        <w:r w:rsidR="00BC6C7F" w:rsidRPr="0083433F">
          <w:rPr>
            <w:b/>
          </w:rPr>
          <w:instrText xml:space="preserve"> PAGE   \* MERGEFORMAT </w:instrText>
        </w:r>
        <w:r w:rsidR="00BC6C7F" w:rsidRPr="0083433F">
          <w:rPr>
            <w:b/>
          </w:rPr>
          <w:fldChar w:fldCharType="separate"/>
        </w:r>
        <w:r>
          <w:rPr>
            <w:b/>
            <w:noProof/>
          </w:rPr>
          <w:t>22</w:t>
        </w:r>
        <w:r w:rsidR="00BC6C7F" w:rsidRPr="0083433F">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37" w:rsidRDefault="00B74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4237" w:rsidRDefault="00B74237">
      <w:r>
        <w:separator/>
      </w:r>
    </w:p>
  </w:footnote>
  <w:footnote w:type="continuationSeparator" w:id="0">
    <w:p w:rsidR="00B74237" w:rsidRDefault="00B74237" w:rsidP="00124A51">
      <w:r>
        <w:continuationSeparator/>
      </w:r>
    </w:p>
    <w:p w:rsidR="00B74237" w:rsidRDefault="00B74237"/>
  </w:footnote>
  <w:footnote w:id="1">
    <w:p w:rsidR="00BC6C7F" w:rsidRPr="007F2D41" w:rsidRDefault="00BC6C7F" w:rsidP="00A25413">
      <w:pPr>
        <w:pStyle w:val="FootnoteText"/>
        <w:rPr>
          <w:rFonts w:ascii="Arial Narrow" w:hAnsi="Arial Narrow"/>
          <w:sz w:val="18"/>
          <w:szCs w:val="18"/>
        </w:rPr>
      </w:pPr>
      <w:r w:rsidRPr="007F2D41">
        <w:rPr>
          <w:rStyle w:val="FootnoteReference"/>
          <w:rFonts w:ascii="Arial Narrow" w:hAnsi="Arial Narrow"/>
          <w:sz w:val="18"/>
          <w:szCs w:val="18"/>
        </w:rPr>
        <w:footnoteRef/>
      </w:r>
      <w:r w:rsidRPr="007F2D41">
        <w:rPr>
          <w:rFonts w:ascii="Arial Narrow" w:hAnsi="Arial Narrow"/>
          <w:sz w:val="18"/>
          <w:szCs w:val="18"/>
        </w:rPr>
        <w:t xml:space="preserve"> Epilepsy Action Australia. (2020). About Epilepsy: https://www.epilepsy.org.au/about-epilepsy/</w:t>
      </w:r>
    </w:p>
  </w:footnote>
  <w:footnote w:id="2">
    <w:p w:rsidR="00BC6C7F" w:rsidRPr="007F2D41" w:rsidRDefault="00BC6C7F">
      <w:pPr>
        <w:pStyle w:val="FootnoteText"/>
        <w:rPr>
          <w:rFonts w:ascii="Arial Narrow" w:hAnsi="Arial Narrow"/>
          <w:sz w:val="18"/>
          <w:szCs w:val="18"/>
        </w:rPr>
      </w:pPr>
      <w:r w:rsidRPr="007F2D41">
        <w:rPr>
          <w:rStyle w:val="FootnoteReference"/>
          <w:rFonts w:ascii="Arial Narrow" w:hAnsi="Arial Narrow"/>
          <w:sz w:val="18"/>
          <w:szCs w:val="18"/>
        </w:rPr>
        <w:footnoteRef/>
      </w:r>
      <w:r w:rsidRPr="007F2D41">
        <w:rPr>
          <w:rFonts w:ascii="Arial Narrow" w:hAnsi="Arial Narrow"/>
          <w:sz w:val="18"/>
          <w:szCs w:val="18"/>
        </w:rPr>
        <w:t xml:space="preserve"> Colleran N, Connor TO, Brien JJO. Anti epileptic drug trials for patients with drug resistant idiopathic generalised epilepsy: A meta-analysis. </w:t>
      </w:r>
      <w:r w:rsidRPr="007F2D41">
        <w:rPr>
          <w:rFonts w:ascii="Arial Narrow" w:hAnsi="Arial Narrow"/>
          <w:i/>
          <w:sz w:val="18"/>
          <w:szCs w:val="18"/>
        </w:rPr>
        <w:t>Seizure</w:t>
      </w:r>
      <w:r w:rsidRPr="007F2D41">
        <w:rPr>
          <w:rFonts w:ascii="Arial Narrow" w:hAnsi="Arial Narrow"/>
          <w:sz w:val="18"/>
          <w:szCs w:val="18"/>
        </w:rPr>
        <w:t>. 2017;51:145-56.</w:t>
      </w:r>
    </w:p>
    <w:p w:rsidR="00BC6C7F" w:rsidRPr="007F2D41" w:rsidRDefault="00BC6C7F">
      <w:pPr>
        <w:pStyle w:val="FootnoteText"/>
        <w:rPr>
          <w:rFonts w:ascii="Arial Narrow" w:hAnsi="Arial Narrow"/>
          <w:sz w:val="18"/>
          <w:szCs w:val="18"/>
        </w:rPr>
      </w:pPr>
      <w:r w:rsidRPr="007F2D41">
        <w:rPr>
          <w:rFonts w:ascii="Arial Narrow" w:hAnsi="Arial Narrow"/>
          <w:sz w:val="18"/>
          <w:szCs w:val="18"/>
        </w:rPr>
        <w:t xml:space="preserve">Gupta S, Kwan P, Faught E, Tsong W, Forsythe A, Ryvlin P. Understanding the burden of idiopathic generalized epilepsy in the United States, Europe, and Brazil: an analysis from the National Health and Wellness Survey. </w:t>
      </w:r>
      <w:r w:rsidRPr="007F2D41">
        <w:rPr>
          <w:rFonts w:ascii="Arial Narrow" w:hAnsi="Arial Narrow"/>
          <w:i/>
          <w:sz w:val="18"/>
          <w:szCs w:val="18"/>
        </w:rPr>
        <w:t>Epilepsy &amp; Behavior</w:t>
      </w:r>
      <w:r w:rsidRPr="007F2D41">
        <w:rPr>
          <w:rFonts w:ascii="Arial Narrow" w:hAnsi="Arial Narrow"/>
          <w:sz w:val="18"/>
          <w:szCs w:val="18"/>
        </w:rPr>
        <w:t>. 2016;55:146-56.</w:t>
      </w:r>
    </w:p>
  </w:footnote>
  <w:footnote w:id="3">
    <w:p w:rsidR="00BC6C7F" w:rsidRPr="007F2D41" w:rsidRDefault="00BC6C7F">
      <w:pPr>
        <w:pStyle w:val="FootnoteText"/>
        <w:rPr>
          <w:rFonts w:ascii="Arial Narrow" w:hAnsi="Arial Narrow"/>
          <w:sz w:val="18"/>
          <w:szCs w:val="18"/>
        </w:rPr>
      </w:pPr>
      <w:r w:rsidRPr="007F2D41">
        <w:rPr>
          <w:rStyle w:val="FootnoteReference"/>
          <w:rFonts w:ascii="Arial Narrow" w:hAnsi="Arial Narrow"/>
          <w:sz w:val="18"/>
          <w:szCs w:val="18"/>
        </w:rPr>
        <w:footnoteRef/>
      </w:r>
      <w:r w:rsidRPr="007F2D41">
        <w:rPr>
          <w:rFonts w:ascii="Arial Narrow" w:hAnsi="Arial Narrow"/>
          <w:sz w:val="18"/>
          <w:szCs w:val="18"/>
        </w:rPr>
        <w:t xml:space="preserve"> Gupta S, Kwan P, Faught E, Tsong W, Forsythe A, Ryvlin P. Understanding the burden of idiopathic generalized epilepsy in the United States, Europe, and Brazil: an analysis from the National Health and Wellness Survey. </w:t>
      </w:r>
      <w:r w:rsidRPr="007F2D41">
        <w:rPr>
          <w:rFonts w:ascii="Arial Narrow" w:hAnsi="Arial Narrow"/>
          <w:i/>
          <w:sz w:val="18"/>
          <w:szCs w:val="18"/>
        </w:rPr>
        <w:t>Epilepsy &amp; Behavior</w:t>
      </w:r>
      <w:r w:rsidRPr="007F2D41">
        <w:rPr>
          <w:rFonts w:ascii="Arial Narrow" w:hAnsi="Arial Narrow"/>
          <w:sz w:val="18"/>
          <w:szCs w:val="18"/>
        </w:rPr>
        <w:t>. 2016;55:146-56.</w:t>
      </w:r>
    </w:p>
  </w:footnote>
  <w:footnote w:id="4">
    <w:p w:rsidR="00BC6C7F" w:rsidRPr="008C3D95" w:rsidRDefault="00BC6C7F" w:rsidP="008C3D95">
      <w:pPr>
        <w:pStyle w:val="FootnoteText"/>
        <w:jc w:val="left"/>
        <w:rPr>
          <w:rFonts w:ascii="Arial Narrow" w:hAnsi="Arial Narrow"/>
          <w:sz w:val="18"/>
          <w:szCs w:val="18"/>
        </w:rPr>
      </w:pPr>
      <w:r w:rsidRPr="008C3D95">
        <w:rPr>
          <w:rStyle w:val="FootnoteReference"/>
          <w:rFonts w:ascii="Arial Narrow" w:hAnsi="Arial Narrow"/>
          <w:sz w:val="18"/>
          <w:szCs w:val="18"/>
        </w:rPr>
        <w:footnoteRef/>
      </w:r>
      <w:r w:rsidRPr="008C3D95">
        <w:rPr>
          <w:rFonts w:ascii="Arial Narrow" w:hAnsi="Arial Narrow"/>
          <w:sz w:val="18"/>
          <w:szCs w:val="18"/>
        </w:rPr>
        <w:t xml:space="preserve"> See </w:t>
      </w:r>
      <w:hyperlink r:id="rId1" w:anchor="N03" w:history="1">
        <w:r w:rsidRPr="008C3D95">
          <w:rPr>
            <w:rStyle w:val="Hyperlink"/>
            <w:rFonts w:ascii="Arial Narrow" w:hAnsi="Arial Narrow"/>
            <w:sz w:val="18"/>
            <w:szCs w:val="18"/>
          </w:rPr>
          <w:t>https://www.pbs.gov.au/pbs/industry/pricing/pbs-items/therapeutic-relativity-sheets#N03</w:t>
        </w:r>
      </w:hyperlink>
      <w:r w:rsidRPr="008C3D95">
        <w:rPr>
          <w:rFonts w:ascii="Arial Narrow" w:hAnsi="Arial Narrow"/>
          <w:sz w:val="18"/>
          <w:szCs w:val="18"/>
        </w:rPr>
        <w:t xml:space="preserve"> and paragraph 6.20, perampanel, July 2014 PSD.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37" w:rsidRDefault="00B74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C7F" w:rsidRPr="00056684" w:rsidRDefault="00BC6C7F" w:rsidP="0083433F">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2021</w:t>
    </w:r>
    <w:r w:rsidRPr="00056684">
      <w:rPr>
        <w:rFonts w:asciiTheme="minorHAnsi" w:hAnsiTheme="minorHAnsi"/>
        <w:i/>
        <w:color w:val="808080"/>
      </w:rPr>
      <w:t xml:space="preserve"> PBAC Meeting</w:t>
    </w:r>
  </w:p>
  <w:p w:rsidR="00BC6C7F" w:rsidRDefault="00BC6C7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237" w:rsidRDefault="00B74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5DA8D02"/>
    <w:lvl w:ilvl="0">
      <w:start w:val="1"/>
      <w:numFmt w:val="bullet"/>
      <w:lvlText w:val="o"/>
      <w:lvlJc w:val="left"/>
      <w:pPr>
        <w:ind w:left="360" w:hanging="360"/>
      </w:pPr>
      <w:rPr>
        <w:rFonts w:ascii="Courier New" w:hAnsi="Courier New" w:cs="Courier New"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617625"/>
    <w:multiLevelType w:val="hybridMultilevel"/>
    <w:tmpl w:val="5F8E1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A70CE5"/>
    <w:multiLevelType w:val="multilevel"/>
    <w:tmpl w:val="3322F334"/>
    <w:name w:val="WWll3"/>
    <w:styleLink w:val="UCBBullets"/>
    <w:lvl w:ilvl="0">
      <w:start w:val="1"/>
      <w:numFmt w:val="bullet"/>
      <w:pStyle w:val="C-Bullet"/>
      <w:lvlText w:val=""/>
      <w:lvlJc w:val="left"/>
      <w:pPr>
        <w:tabs>
          <w:tab w:val="num" w:pos="360"/>
        </w:tabs>
        <w:ind w:left="360" w:hanging="360"/>
      </w:pPr>
      <w:rPr>
        <w:rFonts w:ascii="Symbol" w:hAnsi="Symbol" w:hint="default"/>
        <w:sz w:val="24"/>
      </w:rPr>
    </w:lvl>
    <w:lvl w:ilvl="1">
      <w:start w:val="1"/>
      <w:numFmt w:val="bullet"/>
      <w:pStyle w:val="C-BulletIndented"/>
      <w:lvlText w:val=""/>
      <w:lvlJc w:val="left"/>
      <w:pPr>
        <w:tabs>
          <w:tab w:val="num" w:pos="720"/>
        </w:tabs>
        <w:ind w:left="720" w:hanging="360"/>
      </w:pPr>
      <w:rPr>
        <w:rFonts w:ascii="Symbol" w:hAnsi="Symbol" w:hint="default"/>
      </w:rPr>
    </w:lvl>
    <w:lvl w:ilvl="2">
      <w:start w:val="1"/>
      <w:numFmt w:val="bullet"/>
      <w:pStyle w:val="C-BulletIndented2"/>
      <w:lvlText w:val="◦"/>
      <w:lvlJc w:val="left"/>
      <w:pPr>
        <w:tabs>
          <w:tab w:val="num" w:pos="1080"/>
        </w:tabs>
        <w:ind w:left="1080" w:hanging="360"/>
      </w:pPr>
      <w:rPr>
        <w:rFonts w:ascii="Times New Roman" w:hAnsi="Times New Roman" w:cs="Times New Roman"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DFE6F44"/>
    <w:multiLevelType w:val="hybridMultilevel"/>
    <w:tmpl w:val="5220FD42"/>
    <w:lvl w:ilvl="0" w:tplc="064002EA">
      <w:start w:val="1"/>
      <w:numFmt w:val="bullet"/>
      <w:pStyle w:val="TableBullets"/>
      <w:lvlText w:val=""/>
      <w:lvlJc w:val="left"/>
      <w:pPr>
        <w:ind w:left="1211" w:hanging="360"/>
      </w:pPr>
      <w:rPr>
        <w:rFonts w:ascii="Symbol" w:hAnsi="Symbol" w:hint="default"/>
      </w:rPr>
    </w:lvl>
    <w:lvl w:ilvl="1" w:tplc="04090019">
      <w:start w:val="1"/>
      <w:numFmt w:val="bullet"/>
      <w:lvlText w:val="o"/>
      <w:lvlJc w:val="left"/>
      <w:pPr>
        <w:ind w:left="643" w:hanging="360"/>
      </w:pPr>
      <w:rPr>
        <w:rFonts w:ascii="Courier New" w:hAnsi="Courier New" w:cs="Courier New" w:hint="default"/>
      </w:rPr>
    </w:lvl>
    <w:lvl w:ilvl="2" w:tplc="0C090001">
      <w:start w:val="1"/>
      <w:numFmt w:val="bullet"/>
      <w:lvlText w:val=""/>
      <w:lvlJc w:val="left"/>
      <w:pPr>
        <w:ind w:left="360" w:hanging="360"/>
      </w:pPr>
      <w:rPr>
        <w:rFonts w:ascii="Symbol" w:hAnsi="Symbol"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7" w15:restartNumberingAfterBreak="0">
    <w:nsid w:val="14471D18"/>
    <w:multiLevelType w:val="hybridMultilevel"/>
    <w:tmpl w:val="D7ACA22E"/>
    <w:name w:val="TableNoteAlpha"/>
    <w:lvl w:ilvl="0" w:tplc="849024EA">
      <w:numFmt w:val="bullet"/>
      <w:lvlText w:val=""/>
      <w:lvlJc w:val="left"/>
      <w:pPr>
        <w:ind w:left="482" w:hanging="385"/>
      </w:pPr>
      <w:rPr>
        <w:rFonts w:ascii="Symbol" w:eastAsia="Symbol" w:hAnsi="Symbol" w:cs="Symbol" w:hint="default"/>
        <w:w w:val="102"/>
        <w:sz w:val="21"/>
        <w:szCs w:val="21"/>
      </w:rPr>
    </w:lvl>
    <w:lvl w:ilvl="1" w:tplc="B08EA7C4">
      <w:numFmt w:val="bullet"/>
      <w:lvlText w:val="•"/>
      <w:lvlJc w:val="left"/>
      <w:pPr>
        <w:ind w:left="1079" w:hanging="385"/>
      </w:pPr>
      <w:rPr>
        <w:rFonts w:hint="default"/>
      </w:rPr>
    </w:lvl>
    <w:lvl w:ilvl="2" w:tplc="A7864B72">
      <w:numFmt w:val="bullet"/>
      <w:lvlText w:val="•"/>
      <w:lvlJc w:val="left"/>
      <w:pPr>
        <w:ind w:left="1679" w:hanging="385"/>
      </w:pPr>
      <w:rPr>
        <w:rFonts w:hint="default"/>
      </w:rPr>
    </w:lvl>
    <w:lvl w:ilvl="3" w:tplc="CA9EA5F0">
      <w:numFmt w:val="bullet"/>
      <w:lvlText w:val="•"/>
      <w:lvlJc w:val="left"/>
      <w:pPr>
        <w:ind w:left="2279" w:hanging="385"/>
      </w:pPr>
      <w:rPr>
        <w:rFonts w:hint="default"/>
      </w:rPr>
    </w:lvl>
    <w:lvl w:ilvl="4" w:tplc="89D403D2">
      <w:numFmt w:val="bullet"/>
      <w:lvlText w:val="•"/>
      <w:lvlJc w:val="left"/>
      <w:pPr>
        <w:ind w:left="2878" w:hanging="385"/>
      </w:pPr>
      <w:rPr>
        <w:rFonts w:hint="default"/>
      </w:rPr>
    </w:lvl>
    <w:lvl w:ilvl="5" w:tplc="D9A8C2B6">
      <w:numFmt w:val="bullet"/>
      <w:lvlText w:val="•"/>
      <w:lvlJc w:val="left"/>
      <w:pPr>
        <w:ind w:left="3478" w:hanging="385"/>
      </w:pPr>
      <w:rPr>
        <w:rFonts w:hint="default"/>
      </w:rPr>
    </w:lvl>
    <w:lvl w:ilvl="6" w:tplc="6A54AF5C">
      <w:numFmt w:val="bullet"/>
      <w:lvlText w:val="•"/>
      <w:lvlJc w:val="left"/>
      <w:pPr>
        <w:ind w:left="4078" w:hanging="385"/>
      </w:pPr>
      <w:rPr>
        <w:rFonts w:hint="default"/>
      </w:rPr>
    </w:lvl>
    <w:lvl w:ilvl="7" w:tplc="EE20F862">
      <w:numFmt w:val="bullet"/>
      <w:lvlText w:val="•"/>
      <w:lvlJc w:val="left"/>
      <w:pPr>
        <w:ind w:left="4677" w:hanging="385"/>
      </w:pPr>
      <w:rPr>
        <w:rFonts w:hint="default"/>
      </w:rPr>
    </w:lvl>
    <w:lvl w:ilvl="8" w:tplc="7E168DD2">
      <w:numFmt w:val="bullet"/>
      <w:lvlText w:val="•"/>
      <w:lvlJc w:val="left"/>
      <w:pPr>
        <w:ind w:left="5277" w:hanging="385"/>
      </w:pPr>
      <w:rPr>
        <w:rFonts w:hint="default"/>
      </w:rPr>
    </w:lvl>
  </w:abstractNum>
  <w:abstractNum w:abstractNumId="8" w15:restartNumberingAfterBreak="0">
    <w:nsid w:val="1688138D"/>
    <w:multiLevelType w:val="hybridMultilevel"/>
    <w:tmpl w:val="8DB4C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B405FF"/>
    <w:multiLevelType w:val="hybridMultilevel"/>
    <w:tmpl w:val="7E6EC8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1D5048B5"/>
    <w:multiLevelType w:val="hybridMultilevel"/>
    <w:tmpl w:val="0EC876DE"/>
    <w:lvl w:ilvl="0" w:tplc="BD82A23A">
      <w:start w:val="1"/>
      <w:numFmt w:val="bullet"/>
      <w:lvlText w:val="o"/>
      <w:lvlJc w:val="left"/>
      <w:pPr>
        <w:tabs>
          <w:tab w:val="num" w:pos="720"/>
        </w:tabs>
        <w:ind w:left="720" w:hanging="360"/>
      </w:pPr>
      <w:rPr>
        <w:rFonts w:ascii="Courier New" w:hAnsi="Courier New" w:hint="default"/>
      </w:rPr>
    </w:lvl>
    <w:lvl w:ilvl="1" w:tplc="1452D98E">
      <w:start w:val="1"/>
      <w:numFmt w:val="bullet"/>
      <w:lvlText w:val="o"/>
      <w:lvlJc w:val="left"/>
      <w:pPr>
        <w:tabs>
          <w:tab w:val="num" w:pos="1440"/>
        </w:tabs>
        <w:ind w:left="1440" w:hanging="360"/>
      </w:pPr>
      <w:rPr>
        <w:rFonts w:ascii="Courier New" w:hAnsi="Courier New" w:hint="default"/>
      </w:rPr>
    </w:lvl>
    <w:lvl w:ilvl="2" w:tplc="BACE2A2A" w:tentative="1">
      <w:start w:val="1"/>
      <w:numFmt w:val="bullet"/>
      <w:lvlText w:val="o"/>
      <w:lvlJc w:val="left"/>
      <w:pPr>
        <w:tabs>
          <w:tab w:val="num" w:pos="2160"/>
        </w:tabs>
        <w:ind w:left="2160" w:hanging="360"/>
      </w:pPr>
      <w:rPr>
        <w:rFonts w:ascii="Courier New" w:hAnsi="Courier New" w:hint="default"/>
      </w:rPr>
    </w:lvl>
    <w:lvl w:ilvl="3" w:tplc="15908F7E" w:tentative="1">
      <w:start w:val="1"/>
      <w:numFmt w:val="bullet"/>
      <w:lvlText w:val="o"/>
      <w:lvlJc w:val="left"/>
      <w:pPr>
        <w:tabs>
          <w:tab w:val="num" w:pos="2880"/>
        </w:tabs>
        <w:ind w:left="2880" w:hanging="360"/>
      </w:pPr>
      <w:rPr>
        <w:rFonts w:ascii="Courier New" w:hAnsi="Courier New" w:hint="default"/>
      </w:rPr>
    </w:lvl>
    <w:lvl w:ilvl="4" w:tplc="44AE306A" w:tentative="1">
      <w:start w:val="1"/>
      <w:numFmt w:val="bullet"/>
      <w:lvlText w:val="o"/>
      <w:lvlJc w:val="left"/>
      <w:pPr>
        <w:tabs>
          <w:tab w:val="num" w:pos="3600"/>
        </w:tabs>
        <w:ind w:left="3600" w:hanging="360"/>
      </w:pPr>
      <w:rPr>
        <w:rFonts w:ascii="Courier New" w:hAnsi="Courier New" w:hint="default"/>
      </w:rPr>
    </w:lvl>
    <w:lvl w:ilvl="5" w:tplc="AB0C62E0" w:tentative="1">
      <w:start w:val="1"/>
      <w:numFmt w:val="bullet"/>
      <w:lvlText w:val="o"/>
      <w:lvlJc w:val="left"/>
      <w:pPr>
        <w:tabs>
          <w:tab w:val="num" w:pos="4320"/>
        </w:tabs>
        <w:ind w:left="4320" w:hanging="360"/>
      </w:pPr>
      <w:rPr>
        <w:rFonts w:ascii="Courier New" w:hAnsi="Courier New" w:hint="default"/>
      </w:rPr>
    </w:lvl>
    <w:lvl w:ilvl="6" w:tplc="C76C01B6" w:tentative="1">
      <w:start w:val="1"/>
      <w:numFmt w:val="bullet"/>
      <w:lvlText w:val="o"/>
      <w:lvlJc w:val="left"/>
      <w:pPr>
        <w:tabs>
          <w:tab w:val="num" w:pos="5040"/>
        </w:tabs>
        <w:ind w:left="5040" w:hanging="360"/>
      </w:pPr>
      <w:rPr>
        <w:rFonts w:ascii="Courier New" w:hAnsi="Courier New" w:hint="default"/>
      </w:rPr>
    </w:lvl>
    <w:lvl w:ilvl="7" w:tplc="F77849EA" w:tentative="1">
      <w:start w:val="1"/>
      <w:numFmt w:val="bullet"/>
      <w:lvlText w:val="o"/>
      <w:lvlJc w:val="left"/>
      <w:pPr>
        <w:tabs>
          <w:tab w:val="num" w:pos="5760"/>
        </w:tabs>
        <w:ind w:left="5760" w:hanging="360"/>
      </w:pPr>
      <w:rPr>
        <w:rFonts w:ascii="Courier New" w:hAnsi="Courier New" w:hint="default"/>
      </w:rPr>
    </w:lvl>
    <w:lvl w:ilvl="8" w:tplc="E5F46ADE"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1DCB3B6B"/>
    <w:multiLevelType w:val="hybridMultilevel"/>
    <w:tmpl w:val="6AC0B4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561497"/>
    <w:multiLevelType w:val="multilevel"/>
    <w:tmpl w:val="ECB0C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314D2"/>
    <w:multiLevelType w:val="hybridMultilevel"/>
    <w:tmpl w:val="F19E003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0147A"/>
    <w:multiLevelType w:val="hybridMultilevel"/>
    <w:tmpl w:val="9692FF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63356E"/>
    <w:multiLevelType w:val="multilevel"/>
    <w:tmpl w:val="4624358A"/>
    <w:styleLink w:val="UCBNumLists"/>
    <w:lvl w:ilvl="0">
      <w:start w:val="1"/>
      <w:numFmt w:val="decimal"/>
      <w:pStyle w:val="C-NumberedList"/>
      <w:lvlText w:val="%1."/>
      <w:lvlJc w:val="left"/>
      <w:pPr>
        <w:tabs>
          <w:tab w:val="num" w:pos="360"/>
        </w:tabs>
        <w:ind w:left="360" w:hanging="360"/>
      </w:pPr>
      <w:rPr>
        <w:rFonts w:ascii="Times New Roman" w:hAnsi="Times New Roman"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12625C"/>
    <w:multiLevelType w:val="hybridMultilevel"/>
    <w:tmpl w:val="D2C8C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ACD5F36"/>
    <w:multiLevelType w:val="multilevel"/>
    <w:tmpl w:val="ECB0C2C0"/>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C3011F0"/>
    <w:multiLevelType w:val="hybridMultilevel"/>
    <w:tmpl w:val="C484AE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C6637E3"/>
    <w:multiLevelType w:val="hybridMultilevel"/>
    <w:tmpl w:val="88385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A5530D"/>
    <w:multiLevelType w:val="hybridMultilevel"/>
    <w:tmpl w:val="B32C21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A5916D6"/>
    <w:multiLevelType w:val="hybridMultilevel"/>
    <w:tmpl w:val="645A5ECC"/>
    <w:lvl w:ilvl="0" w:tplc="44ACEE76">
      <w:start w:val="1"/>
      <w:numFmt w:val="bullet"/>
      <w:lvlText w:val="•"/>
      <w:lvlJc w:val="left"/>
      <w:pPr>
        <w:tabs>
          <w:tab w:val="num" w:pos="720"/>
        </w:tabs>
        <w:ind w:left="720" w:hanging="360"/>
      </w:pPr>
      <w:rPr>
        <w:rFonts w:ascii="Arial" w:hAnsi="Arial" w:hint="default"/>
      </w:rPr>
    </w:lvl>
    <w:lvl w:ilvl="1" w:tplc="A81E2FA4" w:tentative="1">
      <w:start w:val="1"/>
      <w:numFmt w:val="bullet"/>
      <w:lvlText w:val="•"/>
      <w:lvlJc w:val="left"/>
      <w:pPr>
        <w:tabs>
          <w:tab w:val="num" w:pos="1440"/>
        </w:tabs>
        <w:ind w:left="1440" w:hanging="360"/>
      </w:pPr>
      <w:rPr>
        <w:rFonts w:ascii="Arial" w:hAnsi="Arial" w:hint="default"/>
      </w:rPr>
    </w:lvl>
    <w:lvl w:ilvl="2" w:tplc="26003A6E" w:tentative="1">
      <w:start w:val="1"/>
      <w:numFmt w:val="bullet"/>
      <w:lvlText w:val="•"/>
      <w:lvlJc w:val="left"/>
      <w:pPr>
        <w:tabs>
          <w:tab w:val="num" w:pos="2160"/>
        </w:tabs>
        <w:ind w:left="2160" w:hanging="360"/>
      </w:pPr>
      <w:rPr>
        <w:rFonts w:ascii="Arial" w:hAnsi="Arial" w:hint="default"/>
      </w:rPr>
    </w:lvl>
    <w:lvl w:ilvl="3" w:tplc="EE389DD4" w:tentative="1">
      <w:start w:val="1"/>
      <w:numFmt w:val="bullet"/>
      <w:lvlText w:val="•"/>
      <w:lvlJc w:val="left"/>
      <w:pPr>
        <w:tabs>
          <w:tab w:val="num" w:pos="2880"/>
        </w:tabs>
        <w:ind w:left="2880" w:hanging="360"/>
      </w:pPr>
      <w:rPr>
        <w:rFonts w:ascii="Arial" w:hAnsi="Arial" w:hint="default"/>
      </w:rPr>
    </w:lvl>
    <w:lvl w:ilvl="4" w:tplc="6AA80922" w:tentative="1">
      <w:start w:val="1"/>
      <w:numFmt w:val="bullet"/>
      <w:lvlText w:val="•"/>
      <w:lvlJc w:val="left"/>
      <w:pPr>
        <w:tabs>
          <w:tab w:val="num" w:pos="3600"/>
        </w:tabs>
        <w:ind w:left="3600" w:hanging="360"/>
      </w:pPr>
      <w:rPr>
        <w:rFonts w:ascii="Arial" w:hAnsi="Arial" w:hint="default"/>
      </w:rPr>
    </w:lvl>
    <w:lvl w:ilvl="5" w:tplc="9C3C1210" w:tentative="1">
      <w:start w:val="1"/>
      <w:numFmt w:val="bullet"/>
      <w:lvlText w:val="•"/>
      <w:lvlJc w:val="left"/>
      <w:pPr>
        <w:tabs>
          <w:tab w:val="num" w:pos="4320"/>
        </w:tabs>
        <w:ind w:left="4320" w:hanging="360"/>
      </w:pPr>
      <w:rPr>
        <w:rFonts w:ascii="Arial" w:hAnsi="Arial" w:hint="default"/>
      </w:rPr>
    </w:lvl>
    <w:lvl w:ilvl="6" w:tplc="367482F0" w:tentative="1">
      <w:start w:val="1"/>
      <w:numFmt w:val="bullet"/>
      <w:lvlText w:val="•"/>
      <w:lvlJc w:val="left"/>
      <w:pPr>
        <w:tabs>
          <w:tab w:val="num" w:pos="5040"/>
        </w:tabs>
        <w:ind w:left="5040" w:hanging="360"/>
      </w:pPr>
      <w:rPr>
        <w:rFonts w:ascii="Arial" w:hAnsi="Arial" w:hint="default"/>
      </w:rPr>
    </w:lvl>
    <w:lvl w:ilvl="7" w:tplc="D6F041FE" w:tentative="1">
      <w:start w:val="1"/>
      <w:numFmt w:val="bullet"/>
      <w:lvlText w:val="•"/>
      <w:lvlJc w:val="left"/>
      <w:pPr>
        <w:tabs>
          <w:tab w:val="num" w:pos="5760"/>
        </w:tabs>
        <w:ind w:left="5760" w:hanging="360"/>
      </w:pPr>
      <w:rPr>
        <w:rFonts w:ascii="Arial" w:hAnsi="Arial" w:hint="default"/>
      </w:rPr>
    </w:lvl>
    <w:lvl w:ilvl="8" w:tplc="1A1A99E0"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A8C4E8B"/>
    <w:multiLevelType w:val="multilevel"/>
    <w:tmpl w:val="025E08E0"/>
    <w:lvl w:ilvl="0">
      <w:start w:val="1"/>
      <w:numFmt w:val="decimal"/>
      <w:lvlText w:val="%1"/>
      <w:lvlJc w:val="left"/>
      <w:pPr>
        <w:ind w:left="720" w:hanging="720"/>
      </w:pPr>
      <w:rPr>
        <w:b/>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9" w15:restartNumberingAfterBreak="0">
    <w:nsid w:val="77DE5AE8"/>
    <w:multiLevelType w:val="hybridMultilevel"/>
    <w:tmpl w:val="69520B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C121197"/>
    <w:multiLevelType w:val="hybridMultilevel"/>
    <w:tmpl w:val="E82C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C60315"/>
    <w:multiLevelType w:val="hybridMultilevel"/>
    <w:tmpl w:val="CCE27694"/>
    <w:lvl w:ilvl="0" w:tplc="0C090001">
      <w:start w:val="1"/>
      <w:numFmt w:val="bullet"/>
      <w:lvlText w:val=""/>
      <w:lvlJc w:val="left"/>
      <w:pPr>
        <w:ind w:left="829" w:hanging="360"/>
      </w:pPr>
      <w:rPr>
        <w:rFonts w:ascii="Symbol" w:hAnsi="Symbol" w:hint="default"/>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30"/>
  </w:num>
  <w:num w:numId="2">
    <w:abstractNumId w:val="18"/>
  </w:num>
  <w:num w:numId="3">
    <w:abstractNumId w:val="20"/>
  </w:num>
  <w:num w:numId="4">
    <w:abstractNumId w:val="0"/>
  </w:num>
  <w:num w:numId="5">
    <w:abstractNumId w:val="3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5"/>
  </w:num>
  <w:num w:numId="9">
    <w:abstractNumId w:val="6"/>
  </w:num>
  <w:num w:numId="10">
    <w:abstractNumId w:val="19"/>
    <w:lvlOverride w:ilvl="0">
      <w:lvl w:ilvl="0">
        <w:start w:val="1"/>
        <w:numFmt w:val="decimal"/>
        <w:pStyle w:val="C-NumberedList"/>
        <w:lvlText w:val="%1."/>
        <w:lvlJc w:val="left"/>
        <w:pPr>
          <w:tabs>
            <w:tab w:val="num" w:pos="360"/>
          </w:tabs>
          <w:ind w:left="360" w:hanging="360"/>
        </w:pPr>
        <w:rPr>
          <w:rFonts w:asciiTheme="minorHAnsi" w:hAnsiTheme="minorHAnsi" w:hint="default"/>
          <w:sz w:val="18"/>
          <w:szCs w:val="18"/>
        </w:rPr>
      </w:lvl>
    </w:lvlOverride>
  </w:num>
  <w:num w:numId="11">
    <w:abstractNumId w:val="17"/>
  </w:num>
  <w:num w:numId="12">
    <w:abstractNumId w:val="2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2"/>
  </w:num>
  <w:num w:numId="15">
    <w:abstractNumId w:val="24"/>
  </w:num>
  <w:num w:numId="16">
    <w:abstractNumId w:val="25"/>
  </w:num>
  <w:num w:numId="17">
    <w:abstractNumId w:val="29"/>
  </w:num>
  <w:num w:numId="18">
    <w:abstractNumId w:val="11"/>
  </w:num>
  <w:num w:numId="19">
    <w:abstractNumId w:val="19"/>
  </w:num>
  <w:num w:numId="20">
    <w:abstractNumId w:val="32"/>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8"/>
  </w:num>
  <w:num w:numId="24">
    <w:abstractNumId w:val="3"/>
  </w:num>
  <w:num w:numId="25">
    <w:abstractNumId w:val="26"/>
  </w:num>
  <w:num w:numId="26">
    <w:abstractNumId w:val="4"/>
  </w:num>
  <w:num w:numId="27">
    <w:abstractNumId w:val="1"/>
  </w:num>
  <w:num w:numId="28">
    <w:abstractNumId w:val="13"/>
  </w:num>
  <w:num w:numId="29">
    <w:abstractNumId w:val="15"/>
  </w:num>
  <w:num w:numId="30">
    <w:abstractNumId w:val="12"/>
  </w:num>
  <w:num w:numId="31">
    <w:abstractNumId w:val="23"/>
  </w:num>
  <w:num w:numId="32">
    <w:abstractNumId w:val="9"/>
  </w:num>
  <w:num w:numId="33">
    <w:abstractNumId w:val="31"/>
  </w:num>
  <w:num w:numId="34">
    <w:abstractNumId w:val="16"/>
  </w:num>
  <w:num w:numId="35">
    <w:abstractNumId w:val="27"/>
  </w:num>
  <w:num w:numId="36">
    <w:abstractNumId w:val="10"/>
  </w:num>
  <w:num w:numId="37">
    <w:abstractNumId w:val="30"/>
  </w:num>
  <w:num w:numId="38">
    <w:abstractNumId w:val="30"/>
  </w:num>
  <w:num w:numId="39">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Arial Narrow&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9ffa05ex9xp6e9ed9pdefsssavzeetwzsf&quot;&gt;lacosamide&lt;record-ids&gt;&lt;item&gt;1&lt;/item&gt;&lt;item&gt;2&lt;/item&gt;&lt;item&gt;3&lt;/item&gt;&lt;item&gt;4&lt;/item&gt;&lt;item&gt;5&lt;/item&gt;&lt;item&gt;6&lt;/item&gt;&lt;item&gt;7&lt;/item&gt;&lt;item&gt;9&lt;/item&gt;&lt;item&gt;11&lt;/item&gt;&lt;item&gt;12&lt;/item&gt;&lt;item&gt;13&lt;/item&gt;&lt;item&gt;15&lt;/item&gt;&lt;item&gt;16&lt;/item&gt;&lt;item&gt;17&lt;/item&gt;&lt;item&gt;18&lt;/item&gt;&lt;/record-ids&gt;&lt;/item&gt;&lt;/Libraries&gt;"/>
  </w:docVars>
  <w:rsids>
    <w:rsidRoot w:val="00E65E79"/>
    <w:rsid w:val="00000028"/>
    <w:rsid w:val="00000790"/>
    <w:rsid w:val="0000110B"/>
    <w:rsid w:val="00003499"/>
    <w:rsid w:val="000039B7"/>
    <w:rsid w:val="00005B36"/>
    <w:rsid w:val="0000639A"/>
    <w:rsid w:val="000076EB"/>
    <w:rsid w:val="000077B9"/>
    <w:rsid w:val="00010DA6"/>
    <w:rsid w:val="00013247"/>
    <w:rsid w:val="00015886"/>
    <w:rsid w:val="00016145"/>
    <w:rsid w:val="000162EF"/>
    <w:rsid w:val="000176B6"/>
    <w:rsid w:val="000207C9"/>
    <w:rsid w:val="0002225F"/>
    <w:rsid w:val="00022436"/>
    <w:rsid w:val="00023763"/>
    <w:rsid w:val="00023B11"/>
    <w:rsid w:val="00026B7B"/>
    <w:rsid w:val="0002713E"/>
    <w:rsid w:val="000274B8"/>
    <w:rsid w:val="0003009C"/>
    <w:rsid w:val="000311CC"/>
    <w:rsid w:val="00033863"/>
    <w:rsid w:val="00034A69"/>
    <w:rsid w:val="00035DC0"/>
    <w:rsid w:val="00036829"/>
    <w:rsid w:val="00037EC0"/>
    <w:rsid w:val="00040895"/>
    <w:rsid w:val="000430A3"/>
    <w:rsid w:val="000435EE"/>
    <w:rsid w:val="00043C37"/>
    <w:rsid w:val="00044F04"/>
    <w:rsid w:val="00045017"/>
    <w:rsid w:val="00045A2B"/>
    <w:rsid w:val="0004698F"/>
    <w:rsid w:val="00051290"/>
    <w:rsid w:val="00051B01"/>
    <w:rsid w:val="000539D0"/>
    <w:rsid w:val="00054621"/>
    <w:rsid w:val="000546D7"/>
    <w:rsid w:val="00056ECF"/>
    <w:rsid w:val="000604DF"/>
    <w:rsid w:val="0006248F"/>
    <w:rsid w:val="00063108"/>
    <w:rsid w:val="00063C4D"/>
    <w:rsid w:val="000653B5"/>
    <w:rsid w:val="00065995"/>
    <w:rsid w:val="00066360"/>
    <w:rsid w:val="00066AF8"/>
    <w:rsid w:val="00071248"/>
    <w:rsid w:val="000720B9"/>
    <w:rsid w:val="000737F7"/>
    <w:rsid w:val="00073DED"/>
    <w:rsid w:val="00074589"/>
    <w:rsid w:val="00075E3F"/>
    <w:rsid w:val="00075F66"/>
    <w:rsid w:val="0007672F"/>
    <w:rsid w:val="00076975"/>
    <w:rsid w:val="00076B54"/>
    <w:rsid w:val="000773B1"/>
    <w:rsid w:val="000774F0"/>
    <w:rsid w:val="0008062A"/>
    <w:rsid w:val="00080886"/>
    <w:rsid w:val="00080891"/>
    <w:rsid w:val="00080909"/>
    <w:rsid w:val="000812CA"/>
    <w:rsid w:val="00081E63"/>
    <w:rsid w:val="0008258D"/>
    <w:rsid w:val="00083E99"/>
    <w:rsid w:val="00084FA8"/>
    <w:rsid w:val="000856C5"/>
    <w:rsid w:val="00085C31"/>
    <w:rsid w:val="00085EB4"/>
    <w:rsid w:val="000902D9"/>
    <w:rsid w:val="00090354"/>
    <w:rsid w:val="00090C7E"/>
    <w:rsid w:val="00092600"/>
    <w:rsid w:val="0009262B"/>
    <w:rsid w:val="00092DA9"/>
    <w:rsid w:val="00093310"/>
    <w:rsid w:val="000938AC"/>
    <w:rsid w:val="0009445C"/>
    <w:rsid w:val="00094A59"/>
    <w:rsid w:val="00095200"/>
    <w:rsid w:val="00095654"/>
    <w:rsid w:val="00095FE5"/>
    <w:rsid w:val="00096284"/>
    <w:rsid w:val="000963ED"/>
    <w:rsid w:val="000A1720"/>
    <w:rsid w:val="000A1BC0"/>
    <w:rsid w:val="000A20FE"/>
    <w:rsid w:val="000A3A5C"/>
    <w:rsid w:val="000A6039"/>
    <w:rsid w:val="000A7453"/>
    <w:rsid w:val="000A7D08"/>
    <w:rsid w:val="000B0121"/>
    <w:rsid w:val="000B0670"/>
    <w:rsid w:val="000B0E75"/>
    <w:rsid w:val="000B2DCB"/>
    <w:rsid w:val="000B5CE0"/>
    <w:rsid w:val="000B6CAC"/>
    <w:rsid w:val="000B7612"/>
    <w:rsid w:val="000B78AE"/>
    <w:rsid w:val="000C3DF9"/>
    <w:rsid w:val="000C44B7"/>
    <w:rsid w:val="000C485D"/>
    <w:rsid w:val="000C5201"/>
    <w:rsid w:val="000C647B"/>
    <w:rsid w:val="000C6713"/>
    <w:rsid w:val="000C6947"/>
    <w:rsid w:val="000C6CB2"/>
    <w:rsid w:val="000D1BFC"/>
    <w:rsid w:val="000D1D5D"/>
    <w:rsid w:val="000D1E17"/>
    <w:rsid w:val="000D2797"/>
    <w:rsid w:val="000D281A"/>
    <w:rsid w:val="000D2848"/>
    <w:rsid w:val="000D326A"/>
    <w:rsid w:val="000D51FB"/>
    <w:rsid w:val="000D5EAE"/>
    <w:rsid w:val="000D6008"/>
    <w:rsid w:val="000D6A49"/>
    <w:rsid w:val="000D784F"/>
    <w:rsid w:val="000E0640"/>
    <w:rsid w:val="000E135D"/>
    <w:rsid w:val="000E1514"/>
    <w:rsid w:val="000E154A"/>
    <w:rsid w:val="000E2B04"/>
    <w:rsid w:val="000E2BD3"/>
    <w:rsid w:val="000E73D4"/>
    <w:rsid w:val="000F00BA"/>
    <w:rsid w:val="000F316A"/>
    <w:rsid w:val="000F3C74"/>
    <w:rsid w:val="000F46E9"/>
    <w:rsid w:val="000F4BB8"/>
    <w:rsid w:val="000F4FA9"/>
    <w:rsid w:val="000F512A"/>
    <w:rsid w:val="000F53FB"/>
    <w:rsid w:val="000F7127"/>
    <w:rsid w:val="000F7B54"/>
    <w:rsid w:val="00100F8A"/>
    <w:rsid w:val="00101394"/>
    <w:rsid w:val="00102015"/>
    <w:rsid w:val="00102C68"/>
    <w:rsid w:val="00103CAC"/>
    <w:rsid w:val="0010452E"/>
    <w:rsid w:val="00105AE2"/>
    <w:rsid w:val="001060C6"/>
    <w:rsid w:val="00106B80"/>
    <w:rsid w:val="0011032E"/>
    <w:rsid w:val="00110C63"/>
    <w:rsid w:val="00112A5A"/>
    <w:rsid w:val="00112AFD"/>
    <w:rsid w:val="001131FE"/>
    <w:rsid w:val="0011348B"/>
    <w:rsid w:val="0011538C"/>
    <w:rsid w:val="00115982"/>
    <w:rsid w:val="001159D8"/>
    <w:rsid w:val="00116C53"/>
    <w:rsid w:val="00121799"/>
    <w:rsid w:val="001222FC"/>
    <w:rsid w:val="00123902"/>
    <w:rsid w:val="00123E0B"/>
    <w:rsid w:val="00124A51"/>
    <w:rsid w:val="00125B39"/>
    <w:rsid w:val="00126621"/>
    <w:rsid w:val="00126B1D"/>
    <w:rsid w:val="00126DDF"/>
    <w:rsid w:val="001273D9"/>
    <w:rsid w:val="001276F8"/>
    <w:rsid w:val="001301E9"/>
    <w:rsid w:val="00131D82"/>
    <w:rsid w:val="00132B22"/>
    <w:rsid w:val="00133D36"/>
    <w:rsid w:val="00137645"/>
    <w:rsid w:val="0014015A"/>
    <w:rsid w:val="00140E99"/>
    <w:rsid w:val="00141E17"/>
    <w:rsid w:val="00141EB2"/>
    <w:rsid w:val="0014288A"/>
    <w:rsid w:val="00142C5F"/>
    <w:rsid w:val="00143EF9"/>
    <w:rsid w:val="00143F67"/>
    <w:rsid w:val="00145540"/>
    <w:rsid w:val="001456B0"/>
    <w:rsid w:val="001459D6"/>
    <w:rsid w:val="00146C49"/>
    <w:rsid w:val="00146EFA"/>
    <w:rsid w:val="00146FFE"/>
    <w:rsid w:val="00150667"/>
    <w:rsid w:val="001550A4"/>
    <w:rsid w:val="00156139"/>
    <w:rsid w:val="00156640"/>
    <w:rsid w:val="00156F8F"/>
    <w:rsid w:val="00157130"/>
    <w:rsid w:val="001576B1"/>
    <w:rsid w:val="0015774C"/>
    <w:rsid w:val="0016047B"/>
    <w:rsid w:val="00160A4C"/>
    <w:rsid w:val="0016290D"/>
    <w:rsid w:val="00162913"/>
    <w:rsid w:val="00163EFF"/>
    <w:rsid w:val="00163F66"/>
    <w:rsid w:val="001661FB"/>
    <w:rsid w:val="001671A0"/>
    <w:rsid w:val="0016767F"/>
    <w:rsid w:val="00173565"/>
    <w:rsid w:val="00173B07"/>
    <w:rsid w:val="001749DF"/>
    <w:rsid w:val="001751FA"/>
    <w:rsid w:val="00177D20"/>
    <w:rsid w:val="00181D9C"/>
    <w:rsid w:val="00182B12"/>
    <w:rsid w:val="00183ADF"/>
    <w:rsid w:val="00184B0E"/>
    <w:rsid w:val="00185FFB"/>
    <w:rsid w:val="0018752F"/>
    <w:rsid w:val="001924F1"/>
    <w:rsid w:val="00193838"/>
    <w:rsid w:val="00194AD8"/>
    <w:rsid w:val="00195222"/>
    <w:rsid w:val="00195278"/>
    <w:rsid w:val="001975D8"/>
    <w:rsid w:val="001A178E"/>
    <w:rsid w:val="001A20A3"/>
    <w:rsid w:val="001A43FA"/>
    <w:rsid w:val="001A47C5"/>
    <w:rsid w:val="001A59FB"/>
    <w:rsid w:val="001A5E9E"/>
    <w:rsid w:val="001A6354"/>
    <w:rsid w:val="001A6366"/>
    <w:rsid w:val="001A661D"/>
    <w:rsid w:val="001A6E0A"/>
    <w:rsid w:val="001A7AE8"/>
    <w:rsid w:val="001B204E"/>
    <w:rsid w:val="001B2372"/>
    <w:rsid w:val="001B3443"/>
    <w:rsid w:val="001B36F1"/>
    <w:rsid w:val="001B3F6D"/>
    <w:rsid w:val="001B4D20"/>
    <w:rsid w:val="001B517C"/>
    <w:rsid w:val="001B549B"/>
    <w:rsid w:val="001C17AC"/>
    <w:rsid w:val="001C2A9B"/>
    <w:rsid w:val="001C2EEB"/>
    <w:rsid w:val="001C40C9"/>
    <w:rsid w:val="001C4299"/>
    <w:rsid w:val="001C4874"/>
    <w:rsid w:val="001C5250"/>
    <w:rsid w:val="001C5F94"/>
    <w:rsid w:val="001C6E66"/>
    <w:rsid w:val="001C7992"/>
    <w:rsid w:val="001D0891"/>
    <w:rsid w:val="001D1100"/>
    <w:rsid w:val="001D1391"/>
    <w:rsid w:val="001D1CB1"/>
    <w:rsid w:val="001D25D7"/>
    <w:rsid w:val="001D50B2"/>
    <w:rsid w:val="001D5685"/>
    <w:rsid w:val="001D6EEA"/>
    <w:rsid w:val="001D7645"/>
    <w:rsid w:val="001D7D5C"/>
    <w:rsid w:val="001E1E86"/>
    <w:rsid w:val="001E238E"/>
    <w:rsid w:val="001E2483"/>
    <w:rsid w:val="001E2B1E"/>
    <w:rsid w:val="001E2CFF"/>
    <w:rsid w:val="001E2F24"/>
    <w:rsid w:val="001E30D4"/>
    <w:rsid w:val="001E34DF"/>
    <w:rsid w:val="001E384E"/>
    <w:rsid w:val="001E52EB"/>
    <w:rsid w:val="001E61D2"/>
    <w:rsid w:val="001E740C"/>
    <w:rsid w:val="001E7EDA"/>
    <w:rsid w:val="001F1235"/>
    <w:rsid w:val="001F1CB3"/>
    <w:rsid w:val="001F20B2"/>
    <w:rsid w:val="001F2B0C"/>
    <w:rsid w:val="001F38B5"/>
    <w:rsid w:val="001F395E"/>
    <w:rsid w:val="001F4081"/>
    <w:rsid w:val="001F7361"/>
    <w:rsid w:val="002011B0"/>
    <w:rsid w:val="00203181"/>
    <w:rsid w:val="00203783"/>
    <w:rsid w:val="0020385F"/>
    <w:rsid w:val="00204384"/>
    <w:rsid w:val="002052A8"/>
    <w:rsid w:val="002068A0"/>
    <w:rsid w:val="00207021"/>
    <w:rsid w:val="0020732F"/>
    <w:rsid w:val="00207D00"/>
    <w:rsid w:val="002104D5"/>
    <w:rsid w:val="002105C1"/>
    <w:rsid w:val="00213EF5"/>
    <w:rsid w:val="00216BF5"/>
    <w:rsid w:val="002176E4"/>
    <w:rsid w:val="0022063F"/>
    <w:rsid w:val="0022151A"/>
    <w:rsid w:val="00221546"/>
    <w:rsid w:val="00223B49"/>
    <w:rsid w:val="00223D5A"/>
    <w:rsid w:val="00224DD4"/>
    <w:rsid w:val="0022673B"/>
    <w:rsid w:val="00226E72"/>
    <w:rsid w:val="002278A0"/>
    <w:rsid w:val="00227BE8"/>
    <w:rsid w:val="002309CC"/>
    <w:rsid w:val="002312C9"/>
    <w:rsid w:val="0023209F"/>
    <w:rsid w:val="00232AAF"/>
    <w:rsid w:val="00233C01"/>
    <w:rsid w:val="0023413C"/>
    <w:rsid w:val="002346F0"/>
    <w:rsid w:val="0023629D"/>
    <w:rsid w:val="002362B4"/>
    <w:rsid w:val="00237255"/>
    <w:rsid w:val="002415B3"/>
    <w:rsid w:val="002424AF"/>
    <w:rsid w:val="0024385F"/>
    <w:rsid w:val="002439DC"/>
    <w:rsid w:val="002441D2"/>
    <w:rsid w:val="00244DC8"/>
    <w:rsid w:val="00245664"/>
    <w:rsid w:val="002458BA"/>
    <w:rsid w:val="00245CE9"/>
    <w:rsid w:val="0024636C"/>
    <w:rsid w:val="002469A5"/>
    <w:rsid w:val="00247925"/>
    <w:rsid w:val="00251006"/>
    <w:rsid w:val="002524D5"/>
    <w:rsid w:val="00253B1D"/>
    <w:rsid w:val="00254DCF"/>
    <w:rsid w:val="0025534B"/>
    <w:rsid w:val="00255BB7"/>
    <w:rsid w:val="00256A2D"/>
    <w:rsid w:val="00257541"/>
    <w:rsid w:val="00257A39"/>
    <w:rsid w:val="00257AC4"/>
    <w:rsid w:val="00261EEF"/>
    <w:rsid w:val="00262A1A"/>
    <w:rsid w:val="00262A87"/>
    <w:rsid w:val="00263AFC"/>
    <w:rsid w:val="00263BBF"/>
    <w:rsid w:val="00264933"/>
    <w:rsid w:val="00264992"/>
    <w:rsid w:val="00264D26"/>
    <w:rsid w:val="00264E44"/>
    <w:rsid w:val="00267642"/>
    <w:rsid w:val="00267AEA"/>
    <w:rsid w:val="002700E6"/>
    <w:rsid w:val="00270DCF"/>
    <w:rsid w:val="00270F09"/>
    <w:rsid w:val="00271A91"/>
    <w:rsid w:val="002725E6"/>
    <w:rsid w:val="0027287B"/>
    <w:rsid w:val="0027294B"/>
    <w:rsid w:val="00273EB4"/>
    <w:rsid w:val="00274682"/>
    <w:rsid w:val="00275841"/>
    <w:rsid w:val="00275C5A"/>
    <w:rsid w:val="002762D9"/>
    <w:rsid w:val="00276B9F"/>
    <w:rsid w:val="00276CBE"/>
    <w:rsid w:val="00277BE9"/>
    <w:rsid w:val="00281014"/>
    <w:rsid w:val="0028276B"/>
    <w:rsid w:val="00285CEE"/>
    <w:rsid w:val="0028665D"/>
    <w:rsid w:val="00290BFE"/>
    <w:rsid w:val="00291760"/>
    <w:rsid w:val="002970F9"/>
    <w:rsid w:val="002973A2"/>
    <w:rsid w:val="002A14AB"/>
    <w:rsid w:val="002A2062"/>
    <w:rsid w:val="002A2ADE"/>
    <w:rsid w:val="002A2F50"/>
    <w:rsid w:val="002A37B6"/>
    <w:rsid w:val="002A4A38"/>
    <w:rsid w:val="002A7D1A"/>
    <w:rsid w:val="002B05A1"/>
    <w:rsid w:val="002B09A4"/>
    <w:rsid w:val="002B1C1F"/>
    <w:rsid w:val="002B2DE6"/>
    <w:rsid w:val="002B3A5E"/>
    <w:rsid w:val="002B432F"/>
    <w:rsid w:val="002B60A4"/>
    <w:rsid w:val="002B62B3"/>
    <w:rsid w:val="002B6754"/>
    <w:rsid w:val="002B6CCE"/>
    <w:rsid w:val="002B7EFA"/>
    <w:rsid w:val="002C0590"/>
    <w:rsid w:val="002C2510"/>
    <w:rsid w:val="002C2775"/>
    <w:rsid w:val="002C27C1"/>
    <w:rsid w:val="002C4862"/>
    <w:rsid w:val="002C4BA4"/>
    <w:rsid w:val="002C5099"/>
    <w:rsid w:val="002C5889"/>
    <w:rsid w:val="002C71CE"/>
    <w:rsid w:val="002C76A8"/>
    <w:rsid w:val="002D08F8"/>
    <w:rsid w:val="002D35D2"/>
    <w:rsid w:val="002D3838"/>
    <w:rsid w:val="002D3990"/>
    <w:rsid w:val="002D39C5"/>
    <w:rsid w:val="002D577C"/>
    <w:rsid w:val="002D5DF3"/>
    <w:rsid w:val="002E1071"/>
    <w:rsid w:val="002E15B9"/>
    <w:rsid w:val="002E2158"/>
    <w:rsid w:val="002E2A3F"/>
    <w:rsid w:val="002E3CAA"/>
    <w:rsid w:val="002E4F02"/>
    <w:rsid w:val="002E7232"/>
    <w:rsid w:val="002E7722"/>
    <w:rsid w:val="002F072F"/>
    <w:rsid w:val="002F07BA"/>
    <w:rsid w:val="002F0DA9"/>
    <w:rsid w:val="002F1014"/>
    <w:rsid w:val="002F4093"/>
    <w:rsid w:val="002F4307"/>
    <w:rsid w:val="002F4468"/>
    <w:rsid w:val="002F5094"/>
    <w:rsid w:val="002F643C"/>
    <w:rsid w:val="002F71C0"/>
    <w:rsid w:val="002F74F1"/>
    <w:rsid w:val="00301017"/>
    <w:rsid w:val="003010B8"/>
    <w:rsid w:val="0030155F"/>
    <w:rsid w:val="003024A3"/>
    <w:rsid w:val="003027CA"/>
    <w:rsid w:val="0030525E"/>
    <w:rsid w:val="0030587B"/>
    <w:rsid w:val="00305C62"/>
    <w:rsid w:val="00306D98"/>
    <w:rsid w:val="0030786C"/>
    <w:rsid w:val="0031031A"/>
    <w:rsid w:val="00310981"/>
    <w:rsid w:val="003111CE"/>
    <w:rsid w:val="003124D9"/>
    <w:rsid w:val="00312594"/>
    <w:rsid w:val="003125A2"/>
    <w:rsid w:val="00315498"/>
    <w:rsid w:val="00316474"/>
    <w:rsid w:val="00316C99"/>
    <w:rsid w:val="00321E73"/>
    <w:rsid w:val="00322107"/>
    <w:rsid w:val="00322355"/>
    <w:rsid w:val="00322846"/>
    <w:rsid w:val="00323C18"/>
    <w:rsid w:val="00326DA7"/>
    <w:rsid w:val="003270E4"/>
    <w:rsid w:val="0033031E"/>
    <w:rsid w:val="00330DAA"/>
    <w:rsid w:val="00330F5C"/>
    <w:rsid w:val="0033229F"/>
    <w:rsid w:val="00332745"/>
    <w:rsid w:val="003333C6"/>
    <w:rsid w:val="00334900"/>
    <w:rsid w:val="00335078"/>
    <w:rsid w:val="00335BAF"/>
    <w:rsid w:val="00336647"/>
    <w:rsid w:val="003366C9"/>
    <w:rsid w:val="003371B0"/>
    <w:rsid w:val="0033778C"/>
    <w:rsid w:val="003401E2"/>
    <w:rsid w:val="003409DC"/>
    <w:rsid w:val="00340DF1"/>
    <w:rsid w:val="003517F9"/>
    <w:rsid w:val="00351BA9"/>
    <w:rsid w:val="00351D5F"/>
    <w:rsid w:val="00354F64"/>
    <w:rsid w:val="00355979"/>
    <w:rsid w:val="0035620E"/>
    <w:rsid w:val="003578D1"/>
    <w:rsid w:val="00360345"/>
    <w:rsid w:val="00361A05"/>
    <w:rsid w:val="003624C4"/>
    <w:rsid w:val="00362E02"/>
    <w:rsid w:val="00363B00"/>
    <w:rsid w:val="003654AC"/>
    <w:rsid w:val="00365695"/>
    <w:rsid w:val="00365879"/>
    <w:rsid w:val="003659C8"/>
    <w:rsid w:val="00366155"/>
    <w:rsid w:val="00366D4F"/>
    <w:rsid w:val="003710CF"/>
    <w:rsid w:val="00372168"/>
    <w:rsid w:val="003722CB"/>
    <w:rsid w:val="0037358A"/>
    <w:rsid w:val="003750F6"/>
    <w:rsid w:val="003760FC"/>
    <w:rsid w:val="0038365C"/>
    <w:rsid w:val="0038369B"/>
    <w:rsid w:val="00383B78"/>
    <w:rsid w:val="00383E46"/>
    <w:rsid w:val="00384C9B"/>
    <w:rsid w:val="0038551C"/>
    <w:rsid w:val="00385A9D"/>
    <w:rsid w:val="00385FA1"/>
    <w:rsid w:val="003902B1"/>
    <w:rsid w:val="003916DE"/>
    <w:rsid w:val="0039179C"/>
    <w:rsid w:val="00393375"/>
    <w:rsid w:val="00393DFB"/>
    <w:rsid w:val="00395CA9"/>
    <w:rsid w:val="00396896"/>
    <w:rsid w:val="00396FD0"/>
    <w:rsid w:val="003A158B"/>
    <w:rsid w:val="003A1A7A"/>
    <w:rsid w:val="003A2392"/>
    <w:rsid w:val="003A2831"/>
    <w:rsid w:val="003A2A4E"/>
    <w:rsid w:val="003A3279"/>
    <w:rsid w:val="003A3CB6"/>
    <w:rsid w:val="003A3ED1"/>
    <w:rsid w:val="003A44DB"/>
    <w:rsid w:val="003B0CC7"/>
    <w:rsid w:val="003B14AB"/>
    <w:rsid w:val="003B16BF"/>
    <w:rsid w:val="003B3971"/>
    <w:rsid w:val="003B3EE1"/>
    <w:rsid w:val="003B4E2A"/>
    <w:rsid w:val="003B55D1"/>
    <w:rsid w:val="003B5B61"/>
    <w:rsid w:val="003B668F"/>
    <w:rsid w:val="003B70C3"/>
    <w:rsid w:val="003C1654"/>
    <w:rsid w:val="003C5542"/>
    <w:rsid w:val="003C593F"/>
    <w:rsid w:val="003C6B14"/>
    <w:rsid w:val="003C6D50"/>
    <w:rsid w:val="003C6DEF"/>
    <w:rsid w:val="003C7D19"/>
    <w:rsid w:val="003C7D2F"/>
    <w:rsid w:val="003D1452"/>
    <w:rsid w:val="003D1828"/>
    <w:rsid w:val="003D1DE4"/>
    <w:rsid w:val="003D1E9A"/>
    <w:rsid w:val="003D2422"/>
    <w:rsid w:val="003D2536"/>
    <w:rsid w:val="003D39A1"/>
    <w:rsid w:val="003D3FBF"/>
    <w:rsid w:val="003D4A30"/>
    <w:rsid w:val="003D7452"/>
    <w:rsid w:val="003D79BB"/>
    <w:rsid w:val="003D7C98"/>
    <w:rsid w:val="003D7D9D"/>
    <w:rsid w:val="003E0543"/>
    <w:rsid w:val="003E0F5F"/>
    <w:rsid w:val="003E40FD"/>
    <w:rsid w:val="003E749E"/>
    <w:rsid w:val="003F1E92"/>
    <w:rsid w:val="003F2480"/>
    <w:rsid w:val="003F25E0"/>
    <w:rsid w:val="003F32EC"/>
    <w:rsid w:val="003F37DD"/>
    <w:rsid w:val="003F4156"/>
    <w:rsid w:val="003F5ADF"/>
    <w:rsid w:val="003F60B9"/>
    <w:rsid w:val="003F71A4"/>
    <w:rsid w:val="003F7707"/>
    <w:rsid w:val="00400B29"/>
    <w:rsid w:val="0040504B"/>
    <w:rsid w:val="004059F4"/>
    <w:rsid w:val="00407FE5"/>
    <w:rsid w:val="004101B0"/>
    <w:rsid w:val="00410326"/>
    <w:rsid w:val="00410708"/>
    <w:rsid w:val="00410EC7"/>
    <w:rsid w:val="00411B39"/>
    <w:rsid w:val="004127A7"/>
    <w:rsid w:val="00413A1E"/>
    <w:rsid w:val="00414476"/>
    <w:rsid w:val="004145D0"/>
    <w:rsid w:val="00414C2E"/>
    <w:rsid w:val="004151CF"/>
    <w:rsid w:val="00416364"/>
    <w:rsid w:val="0041752F"/>
    <w:rsid w:val="0042047F"/>
    <w:rsid w:val="00420AA6"/>
    <w:rsid w:val="00420B9F"/>
    <w:rsid w:val="004217A3"/>
    <w:rsid w:val="0042192C"/>
    <w:rsid w:val="00422260"/>
    <w:rsid w:val="0042368C"/>
    <w:rsid w:val="0042413F"/>
    <w:rsid w:val="00426457"/>
    <w:rsid w:val="004319F8"/>
    <w:rsid w:val="00431E55"/>
    <w:rsid w:val="004321D1"/>
    <w:rsid w:val="004321F6"/>
    <w:rsid w:val="004324EA"/>
    <w:rsid w:val="00433044"/>
    <w:rsid w:val="00434088"/>
    <w:rsid w:val="00434ACB"/>
    <w:rsid w:val="00436F95"/>
    <w:rsid w:val="004375B9"/>
    <w:rsid w:val="00440325"/>
    <w:rsid w:val="004417FF"/>
    <w:rsid w:val="004428D0"/>
    <w:rsid w:val="00444185"/>
    <w:rsid w:val="004443A7"/>
    <w:rsid w:val="0044442C"/>
    <w:rsid w:val="00445941"/>
    <w:rsid w:val="004464EB"/>
    <w:rsid w:val="00447D26"/>
    <w:rsid w:val="00447DFC"/>
    <w:rsid w:val="004500E5"/>
    <w:rsid w:val="00455D45"/>
    <w:rsid w:val="00461674"/>
    <w:rsid w:val="0046232E"/>
    <w:rsid w:val="00464595"/>
    <w:rsid w:val="004658B5"/>
    <w:rsid w:val="00465B68"/>
    <w:rsid w:val="0046628E"/>
    <w:rsid w:val="0047011E"/>
    <w:rsid w:val="00471140"/>
    <w:rsid w:val="00471EA5"/>
    <w:rsid w:val="00472A79"/>
    <w:rsid w:val="00472CC5"/>
    <w:rsid w:val="00473F19"/>
    <w:rsid w:val="00475E22"/>
    <w:rsid w:val="00477FDB"/>
    <w:rsid w:val="0048088E"/>
    <w:rsid w:val="00480F2B"/>
    <w:rsid w:val="00482187"/>
    <w:rsid w:val="00482720"/>
    <w:rsid w:val="004835E7"/>
    <w:rsid w:val="00485AAC"/>
    <w:rsid w:val="004867E2"/>
    <w:rsid w:val="00486938"/>
    <w:rsid w:val="00486B7D"/>
    <w:rsid w:val="004873E7"/>
    <w:rsid w:val="00487573"/>
    <w:rsid w:val="00490B17"/>
    <w:rsid w:val="00491B3A"/>
    <w:rsid w:val="004923CB"/>
    <w:rsid w:val="00492564"/>
    <w:rsid w:val="00492CFD"/>
    <w:rsid w:val="00494207"/>
    <w:rsid w:val="00494DD5"/>
    <w:rsid w:val="004962D2"/>
    <w:rsid w:val="0049673C"/>
    <w:rsid w:val="004979B9"/>
    <w:rsid w:val="004A06F6"/>
    <w:rsid w:val="004A0DA1"/>
    <w:rsid w:val="004A13D6"/>
    <w:rsid w:val="004A3AA4"/>
    <w:rsid w:val="004A52E9"/>
    <w:rsid w:val="004A6040"/>
    <w:rsid w:val="004A6597"/>
    <w:rsid w:val="004A7848"/>
    <w:rsid w:val="004B1CB4"/>
    <w:rsid w:val="004B2D48"/>
    <w:rsid w:val="004B2F18"/>
    <w:rsid w:val="004B3DDB"/>
    <w:rsid w:val="004B3FB0"/>
    <w:rsid w:val="004B44FD"/>
    <w:rsid w:val="004B54E8"/>
    <w:rsid w:val="004B5CFC"/>
    <w:rsid w:val="004B69B9"/>
    <w:rsid w:val="004B6F79"/>
    <w:rsid w:val="004B774D"/>
    <w:rsid w:val="004C2654"/>
    <w:rsid w:val="004C40F4"/>
    <w:rsid w:val="004C421D"/>
    <w:rsid w:val="004C4AED"/>
    <w:rsid w:val="004C6DFB"/>
    <w:rsid w:val="004D0F14"/>
    <w:rsid w:val="004D1556"/>
    <w:rsid w:val="004D2C2D"/>
    <w:rsid w:val="004D60F2"/>
    <w:rsid w:val="004D69B5"/>
    <w:rsid w:val="004D6F3D"/>
    <w:rsid w:val="004D7227"/>
    <w:rsid w:val="004D7F4B"/>
    <w:rsid w:val="004E0E7F"/>
    <w:rsid w:val="004E0EB8"/>
    <w:rsid w:val="004E18E9"/>
    <w:rsid w:val="004E2436"/>
    <w:rsid w:val="004E2ADC"/>
    <w:rsid w:val="004E433B"/>
    <w:rsid w:val="004E43B2"/>
    <w:rsid w:val="004E7A89"/>
    <w:rsid w:val="004F1C0B"/>
    <w:rsid w:val="004F1D02"/>
    <w:rsid w:val="004F2679"/>
    <w:rsid w:val="004F2F21"/>
    <w:rsid w:val="004F302F"/>
    <w:rsid w:val="004F3DE5"/>
    <w:rsid w:val="004F5C2E"/>
    <w:rsid w:val="004F6913"/>
    <w:rsid w:val="004F7865"/>
    <w:rsid w:val="00500BB4"/>
    <w:rsid w:val="0050174E"/>
    <w:rsid w:val="00501854"/>
    <w:rsid w:val="0050219B"/>
    <w:rsid w:val="00502898"/>
    <w:rsid w:val="0050359C"/>
    <w:rsid w:val="00503F17"/>
    <w:rsid w:val="00506928"/>
    <w:rsid w:val="00506BF0"/>
    <w:rsid w:val="005077EF"/>
    <w:rsid w:val="00507D31"/>
    <w:rsid w:val="00510448"/>
    <w:rsid w:val="00511AD5"/>
    <w:rsid w:val="00511DC7"/>
    <w:rsid w:val="00513D6C"/>
    <w:rsid w:val="005142C5"/>
    <w:rsid w:val="0051501B"/>
    <w:rsid w:val="005152B5"/>
    <w:rsid w:val="00515B8D"/>
    <w:rsid w:val="00520DB9"/>
    <w:rsid w:val="0052123C"/>
    <w:rsid w:val="00521319"/>
    <w:rsid w:val="00522BC8"/>
    <w:rsid w:val="005233FB"/>
    <w:rsid w:val="00523C28"/>
    <w:rsid w:val="00526B9B"/>
    <w:rsid w:val="00530674"/>
    <w:rsid w:val="00530CBB"/>
    <w:rsid w:val="00531003"/>
    <w:rsid w:val="005311A1"/>
    <w:rsid w:val="0053176B"/>
    <w:rsid w:val="005318D6"/>
    <w:rsid w:val="00535D5F"/>
    <w:rsid w:val="00536F42"/>
    <w:rsid w:val="00537182"/>
    <w:rsid w:val="00541EDD"/>
    <w:rsid w:val="005421AE"/>
    <w:rsid w:val="00542210"/>
    <w:rsid w:val="00542743"/>
    <w:rsid w:val="0054293A"/>
    <w:rsid w:val="00542ACE"/>
    <w:rsid w:val="00542C2D"/>
    <w:rsid w:val="0054322F"/>
    <w:rsid w:val="0054437E"/>
    <w:rsid w:val="005478BD"/>
    <w:rsid w:val="005479E3"/>
    <w:rsid w:val="00551985"/>
    <w:rsid w:val="0055297C"/>
    <w:rsid w:val="00552BD3"/>
    <w:rsid w:val="005532A0"/>
    <w:rsid w:val="00555109"/>
    <w:rsid w:val="005558DB"/>
    <w:rsid w:val="00556B35"/>
    <w:rsid w:val="00556FDC"/>
    <w:rsid w:val="0055741A"/>
    <w:rsid w:val="005611B7"/>
    <w:rsid w:val="005618D4"/>
    <w:rsid w:val="00563371"/>
    <w:rsid w:val="00565DF0"/>
    <w:rsid w:val="00566391"/>
    <w:rsid w:val="005663BF"/>
    <w:rsid w:val="0056696F"/>
    <w:rsid w:val="005671B1"/>
    <w:rsid w:val="00567607"/>
    <w:rsid w:val="00572269"/>
    <w:rsid w:val="0057244A"/>
    <w:rsid w:val="00572F26"/>
    <w:rsid w:val="005737C8"/>
    <w:rsid w:val="005750C5"/>
    <w:rsid w:val="005752DE"/>
    <w:rsid w:val="00575D8D"/>
    <w:rsid w:val="00576972"/>
    <w:rsid w:val="00583699"/>
    <w:rsid w:val="00585CDD"/>
    <w:rsid w:val="00587058"/>
    <w:rsid w:val="00587B18"/>
    <w:rsid w:val="00591957"/>
    <w:rsid w:val="00594B95"/>
    <w:rsid w:val="0059659D"/>
    <w:rsid w:val="00597BF9"/>
    <w:rsid w:val="005A309A"/>
    <w:rsid w:val="005A373D"/>
    <w:rsid w:val="005A37B5"/>
    <w:rsid w:val="005A546F"/>
    <w:rsid w:val="005A6FCA"/>
    <w:rsid w:val="005B0287"/>
    <w:rsid w:val="005B0B58"/>
    <w:rsid w:val="005B0D31"/>
    <w:rsid w:val="005B0F4B"/>
    <w:rsid w:val="005B250A"/>
    <w:rsid w:val="005B264C"/>
    <w:rsid w:val="005B2C07"/>
    <w:rsid w:val="005B4E53"/>
    <w:rsid w:val="005B5857"/>
    <w:rsid w:val="005C050A"/>
    <w:rsid w:val="005C0F65"/>
    <w:rsid w:val="005C1B83"/>
    <w:rsid w:val="005C25FF"/>
    <w:rsid w:val="005C27A8"/>
    <w:rsid w:val="005C2D55"/>
    <w:rsid w:val="005C346B"/>
    <w:rsid w:val="005C5195"/>
    <w:rsid w:val="005D0313"/>
    <w:rsid w:val="005D044D"/>
    <w:rsid w:val="005D0ABD"/>
    <w:rsid w:val="005D18AD"/>
    <w:rsid w:val="005D26B4"/>
    <w:rsid w:val="005D35AA"/>
    <w:rsid w:val="005D4633"/>
    <w:rsid w:val="005D72F9"/>
    <w:rsid w:val="005E35CD"/>
    <w:rsid w:val="005E6CBC"/>
    <w:rsid w:val="005E72FF"/>
    <w:rsid w:val="005E73C0"/>
    <w:rsid w:val="005F2706"/>
    <w:rsid w:val="005F5441"/>
    <w:rsid w:val="005F6841"/>
    <w:rsid w:val="005F6A8F"/>
    <w:rsid w:val="005F6BB7"/>
    <w:rsid w:val="005F6DD3"/>
    <w:rsid w:val="005F7588"/>
    <w:rsid w:val="0060070C"/>
    <w:rsid w:val="00600F96"/>
    <w:rsid w:val="006026F1"/>
    <w:rsid w:val="00603DB9"/>
    <w:rsid w:val="00605B9A"/>
    <w:rsid w:val="006061B4"/>
    <w:rsid w:val="00606FBA"/>
    <w:rsid w:val="00607669"/>
    <w:rsid w:val="006076F4"/>
    <w:rsid w:val="00607AFD"/>
    <w:rsid w:val="00610144"/>
    <w:rsid w:val="00612F97"/>
    <w:rsid w:val="0061345D"/>
    <w:rsid w:val="006153DE"/>
    <w:rsid w:val="0061549B"/>
    <w:rsid w:val="00616802"/>
    <w:rsid w:val="0061773C"/>
    <w:rsid w:val="00617E12"/>
    <w:rsid w:val="00620C25"/>
    <w:rsid w:val="00621477"/>
    <w:rsid w:val="00621ADA"/>
    <w:rsid w:val="00622534"/>
    <w:rsid w:val="00623F7B"/>
    <w:rsid w:val="0062601C"/>
    <w:rsid w:val="00627553"/>
    <w:rsid w:val="006306AF"/>
    <w:rsid w:val="0063158F"/>
    <w:rsid w:val="00631D6B"/>
    <w:rsid w:val="00632183"/>
    <w:rsid w:val="0063226B"/>
    <w:rsid w:val="006330A1"/>
    <w:rsid w:val="0063479F"/>
    <w:rsid w:val="00634AA2"/>
    <w:rsid w:val="006353F0"/>
    <w:rsid w:val="006357B5"/>
    <w:rsid w:val="00635A68"/>
    <w:rsid w:val="006364A1"/>
    <w:rsid w:val="0063678E"/>
    <w:rsid w:val="006377E3"/>
    <w:rsid w:val="00637924"/>
    <w:rsid w:val="00637BFD"/>
    <w:rsid w:val="00641C4E"/>
    <w:rsid w:val="00641D51"/>
    <w:rsid w:val="00641FB3"/>
    <w:rsid w:val="00643476"/>
    <w:rsid w:val="006435AE"/>
    <w:rsid w:val="0064434C"/>
    <w:rsid w:val="0064515F"/>
    <w:rsid w:val="006471CC"/>
    <w:rsid w:val="00647A29"/>
    <w:rsid w:val="0065079F"/>
    <w:rsid w:val="006526A7"/>
    <w:rsid w:val="00652A28"/>
    <w:rsid w:val="0065379F"/>
    <w:rsid w:val="006546A8"/>
    <w:rsid w:val="00656188"/>
    <w:rsid w:val="0065715A"/>
    <w:rsid w:val="006610F1"/>
    <w:rsid w:val="00661C6B"/>
    <w:rsid w:val="0066241C"/>
    <w:rsid w:val="00667C2F"/>
    <w:rsid w:val="00671004"/>
    <w:rsid w:val="00672646"/>
    <w:rsid w:val="006732E2"/>
    <w:rsid w:val="00673D7A"/>
    <w:rsid w:val="00674E42"/>
    <w:rsid w:val="00674F44"/>
    <w:rsid w:val="00675FCB"/>
    <w:rsid w:val="006802B9"/>
    <w:rsid w:val="006813F8"/>
    <w:rsid w:val="00682112"/>
    <w:rsid w:val="00682BA6"/>
    <w:rsid w:val="00683364"/>
    <w:rsid w:val="006849CE"/>
    <w:rsid w:val="00684C55"/>
    <w:rsid w:val="00686957"/>
    <w:rsid w:val="00686A53"/>
    <w:rsid w:val="006872BA"/>
    <w:rsid w:val="00690795"/>
    <w:rsid w:val="00690FAC"/>
    <w:rsid w:val="00691648"/>
    <w:rsid w:val="006917D7"/>
    <w:rsid w:val="0069295F"/>
    <w:rsid w:val="0069434C"/>
    <w:rsid w:val="00694F44"/>
    <w:rsid w:val="00696160"/>
    <w:rsid w:val="00696630"/>
    <w:rsid w:val="00696F51"/>
    <w:rsid w:val="0069713D"/>
    <w:rsid w:val="006979A5"/>
    <w:rsid w:val="006A0B9C"/>
    <w:rsid w:val="006A3379"/>
    <w:rsid w:val="006A370A"/>
    <w:rsid w:val="006A4BA6"/>
    <w:rsid w:val="006A5BB1"/>
    <w:rsid w:val="006A6B99"/>
    <w:rsid w:val="006A7E5F"/>
    <w:rsid w:val="006B2304"/>
    <w:rsid w:val="006B261B"/>
    <w:rsid w:val="006B2C90"/>
    <w:rsid w:val="006B35E6"/>
    <w:rsid w:val="006B365A"/>
    <w:rsid w:val="006B465A"/>
    <w:rsid w:val="006B6AEE"/>
    <w:rsid w:val="006B6DD0"/>
    <w:rsid w:val="006C0399"/>
    <w:rsid w:val="006C2A8E"/>
    <w:rsid w:val="006C3255"/>
    <w:rsid w:val="006C3F26"/>
    <w:rsid w:val="006C6116"/>
    <w:rsid w:val="006D0D17"/>
    <w:rsid w:val="006D1408"/>
    <w:rsid w:val="006D180E"/>
    <w:rsid w:val="006D3375"/>
    <w:rsid w:val="006D3C7D"/>
    <w:rsid w:val="006D45F8"/>
    <w:rsid w:val="006D4659"/>
    <w:rsid w:val="006D5BFB"/>
    <w:rsid w:val="006D5D5F"/>
    <w:rsid w:val="006D6879"/>
    <w:rsid w:val="006D68FB"/>
    <w:rsid w:val="006D735F"/>
    <w:rsid w:val="006D7B20"/>
    <w:rsid w:val="006E1ABC"/>
    <w:rsid w:val="006E2868"/>
    <w:rsid w:val="006F16E6"/>
    <w:rsid w:val="006F306C"/>
    <w:rsid w:val="006F3B76"/>
    <w:rsid w:val="006F4102"/>
    <w:rsid w:val="006F561B"/>
    <w:rsid w:val="006F63A5"/>
    <w:rsid w:val="0070142B"/>
    <w:rsid w:val="007021B3"/>
    <w:rsid w:val="0070276E"/>
    <w:rsid w:val="00702F8F"/>
    <w:rsid w:val="0070533E"/>
    <w:rsid w:val="007066C7"/>
    <w:rsid w:val="007079FC"/>
    <w:rsid w:val="00707A6D"/>
    <w:rsid w:val="00710F68"/>
    <w:rsid w:val="00711A36"/>
    <w:rsid w:val="00714C26"/>
    <w:rsid w:val="0071529C"/>
    <w:rsid w:val="00715352"/>
    <w:rsid w:val="007154D8"/>
    <w:rsid w:val="00715F9E"/>
    <w:rsid w:val="007170DA"/>
    <w:rsid w:val="007172AD"/>
    <w:rsid w:val="00720801"/>
    <w:rsid w:val="00720D9E"/>
    <w:rsid w:val="00722B1B"/>
    <w:rsid w:val="007239C4"/>
    <w:rsid w:val="0072416F"/>
    <w:rsid w:val="00726789"/>
    <w:rsid w:val="00727123"/>
    <w:rsid w:val="00727C94"/>
    <w:rsid w:val="007308EE"/>
    <w:rsid w:val="00730E94"/>
    <w:rsid w:val="007319A1"/>
    <w:rsid w:val="00731B0A"/>
    <w:rsid w:val="00731EAE"/>
    <w:rsid w:val="007325E1"/>
    <w:rsid w:val="00733073"/>
    <w:rsid w:val="00735033"/>
    <w:rsid w:val="00735328"/>
    <w:rsid w:val="0073685B"/>
    <w:rsid w:val="00742C2F"/>
    <w:rsid w:val="007449BF"/>
    <w:rsid w:val="00744B47"/>
    <w:rsid w:val="0074578A"/>
    <w:rsid w:val="00746BC0"/>
    <w:rsid w:val="007510B4"/>
    <w:rsid w:val="00752142"/>
    <w:rsid w:val="007523F9"/>
    <w:rsid w:val="00752F01"/>
    <w:rsid w:val="0075357E"/>
    <w:rsid w:val="007573E8"/>
    <w:rsid w:val="00760B54"/>
    <w:rsid w:val="00760C4E"/>
    <w:rsid w:val="00760F39"/>
    <w:rsid w:val="00760F9E"/>
    <w:rsid w:val="00761C4F"/>
    <w:rsid w:val="007627BE"/>
    <w:rsid w:val="007631D2"/>
    <w:rsid w:val="007645FF"/>
    <w:rsid w:val="007646F4"/>
    <w:rsid w:val="00764F03"/>
    <w:rsid w:val="00765B1A"/>
    <w:rsid w:val="007678A7"/>
    <w:rsid w:val="00767BAB"/>
    <w:rsid w:val="00767CED"/>
    <w:rsid w:val="00771DF8"/>
    <w:rsid w:val="00773799"/>
    <w:rsid w:val="00773E54"/>
    <w:rsid w:val="00774DAD"/>
    <w:rsid w:val="00775001"/>
    <w:rsid w:val="00776219"/>
    <w:rsid w:val="00777335"/>
    <w:rsid w:val="00777386"/>
    <w:rsid w:val="00777B67"/>
    <w:rsid w:val="00782FBF"/>
    <w:rsid w:val="007843F2"/>
    <w:rsid w:val="00785A9F"/>
    <w:rsid w:val="0078619B"/>
    <w:rsid w:val="007925DF"/>
    <w:rsid w:val="007973F0"/>
    <w:rsid w:val="007A08AA"/>
    <w:rsid w:val="007A0A12"/>
    <w:rsid w:val="007A132D"/>
    <w:rsid w:val="007A1345"/>
    <w:rsid w:val="007A1B3F"/>
    <w:rsid w:val="007A2DDB"/>
    <w:rsid w:val="007A5911"/>
    <w:rsid w:val="007A6270"/>
    <w:rsid w:val="007A70BA"/>
    <w:rsid w:val="007A7486"/>
    <w:rsid w:val="007B0D68"/>
    <w:rsid w:val="007B0EF8"/>
    <w:rsid w:val="007B251D"/>
    <w:rsid w:val="007B4F58"/>
    <w:rsid w:val="007B528D"/>
    <w:rsid w:val="007B63CA"/>
    <w:rsid w:val="007B77D1"/>
    <w:rsid w:val="007C07C7"/>
    <w:rsid w:val="007C1CD9"/>
    <w:rsid w:val="007C32EF"/>
    <w:rsid w:val="007C361D"/>
    <w:rsid w:val="007C4B84"/>
    <w:rsid w:val="007C70FF"/>
    <w:rsid w:val="007C7C25"/>
    <w:rsid w:val="007D004F"/>
    <w:rsid w:val="007D0B38"/>
    <w:rsid w:val="007D1411"/>
    <w:rsid w:val="007D1DAB"/>
    <w:rsid w:val="007D2DF9"/>
    <w:rsid w:val="007D38D9"/>
    <w:rsid w:val="007D5440"/>
    <w:rsid w:val="007D69EB"/>
    <w:rsid w:val="007E0EA0"/>
    <w:rsid w:val="007E128F"/>
    <w:rsid w:val="007E22A4"/>
    <w:rsid w:val="007E5306"/>
    <w:rsid w:val="007E6FE0"/>
    <w:rsid w:val="007E6FEB"/>
    <w:rsid w:val="007E709D"/>
    <w:rsid w:val="007F1017"/>
    <w:rsid w:val="007F1687"/>
    <w:rsid w:val="007F2B75"/>
    <w:rsid w:val="007F2D41"/>
    <w:rsid w:val="007F3052"/>
    <w:rsid w:val="007F4A3F"/>
    <w:rsid w:val="007F4A61"/>
    <w:rsid w:val="007F5255"/>
    <w:rsid w:val="007F5494"/>
    <w:rsid w:val="007F56CC"/>
    <w:rsid w:val="007F61C2"/>
    <w:rsid w:val="00800D4C"/>
    <w:rsid w:val="00803029"/>
    <w:rsid w:val="00803348"/>
    <w:rsid w:val="00805142"/>
    <w:rsid w:val="00805E4E"/>
    <w:rsid w:val="00805FCE"/>
    <w:rsid w:val="00806269"/>
    <w:rsid w:val="0080650F"/>
    <w:rsid w:val="00806B20"/>
    <w:rsid w:val="00807A8B"/>
    <w:rsid w:val="00807F09"/>
    <w:rsid w:val="00810350"/>
    <w:rsid w:val="00811383"/>
    <w:rsid w:val="00812149"/>
    <w:rsid w:val="00812CAC"/>
    <w:rsid w:val="00812E7B"/>
    <w:rsid w:val="00813582"/>
    <w:rsid w:val="008156FC"/>
    <w:rsid w:val="00816361"/>
    <w:rsid w:val="008166EF"/>
    <w:rsid w:val="00816FEF"/>
    <w:rsid w:val="00820A8C"/>
    <w:rsid w:val="008215FB"/>
    <w:rsid w:val="008227F8"/>
    <w:rsid w:val="00823174"/>
    <w:rsid w:val="00824070"/>
    <w:rsid w:val="008252D8"/>
    <w:rsid w:val="00825709"/>
    <w:rsid w:val="00825751"/>
    <w:rsid w:val="008264EB"/>
    <w:rsid w:val="008277DE"/>
    <w:rsid w:val="00827FB9"/>
    <w:rsid w:val="00831D7F"/>
    <w:rsid w:val="0083270E"/>
    <w:rsid w:val="00832C21"/>
    <w:rsid w:val="00833B05"/>
    <w:rsid w:val="0083433F"/>
    <w:rsid w:val="00834FF8"/>
    <w:rsid w:val="008362B4"/>
    <w:rsid w:val="0084080D"/>
    <w:rsid w:val="00840CA2"/>
    <w:rsid w:val="00840D2A"/>
    <w:rsid w:val="0084374F"/>
    <w:rsid w:val="00843904"/>
    <w:rsid w:val="00844A22"/>
    <w:rsid w:val="00845917"/>
    <w:rsid w:val="00846890"/>
    <w:rsid w:val="00847703"/>
    <w:rsid w:val="00847DF5"/>
    <w:rsid w:val="0085097D"/>
    <w:rsid w:val="00852919"/>
    <w:rsid w:val="0085309D"/>
    <w:rsid w:val="0085409D"/>
    <w:rsid w:val="008548AE"/>
    <w:rsid w:val="0085642E"/>
    <w:rsid w:val="00856897"/>
    <w:rsid w:val="00856E9A"/>
    <w:rsid w:val="0086041D"/>
    <w:rsid w:val="0086075D"/>
    <w:rsid w:val="00862502"/>
    <w:rsid w:val="00862CC1"/>
    <w:rsid w:val="008660D4"/>
    <w:rsid w:val="008664B9"/>
    <w:rsid w:val="00866663"/>
    <w:rsid w:val="00870207"/>
    <w:rsid w:val="00871FA9"/>
    <w:rsid w:val="00872573"/>
    <w:rsid w:val="008728E9"/>
    <w:rsid w:val="00872EAA"/>
    <w:rsid w:val="008751D0"/>
    <w:rsid w:val="00882874"/>
    <w:rsid w:val="00882E3C"/>
    <w:rsid w:val="00883787"/>
    <w:rsid w:val="008855E4"/>
    <w:rsid w:val="00886028"/>
    <w:rsid w:val="00886CD2"/>
    <w:rsid w:val="00891E6F"/>
    <w:rsid w:val="0089275D"/>
    <w:rsid w:val="0089281A"/>
    <w:rsid w:val="00892A36"/>
    <w:rsid w:val="00893239"/>
    <w:rsid w:val="00894458"/>
    <w:rsid w:val="00894489"/>
    <w:rsid w:val="0089452A"/>
    <w:rsid w:val="008963A5"/>
    <w:rsid w:val="00896D5D"/>
    <w:rsid w:val="008A261E"/>
    <w:rsid w:val="008A3363"/>
    <w:rsid w:val="008A3371"/>
    <w:rsid w:val="008A3A39"/>
    <w:rsid w:val="008A3C3E"/>
    <w:rsid w:val="008A5538"/>
    <w:rsid w:val="008A79DE"/>
    <w:rsid w:val="008B07EC"/>
    <w:rsid w:val="008B1757"/>
    <w:rsid w:val="008B435F"/>
    <w:rsid w:val="008B43A5"/>
    <w:rsid w:val="008B5261"/>
    <w:rsid w:val="008B7992"/>
    <w:rsid w:val="008B7D7E"/>
    <w:rsid w:val="008C0AD5"/>
    <w:rsid w:val="008C1082"/>
    <w:rsid w:val="008C1BAB"/>
    <w:rsid w:val="008C3D95"/>
    <w:rsid w:val="008C5610"/>
    <w:rsid w:val="008C5739"/>
    <w:rsid w:val="008C7D90"/>
    <w:rsid w:val="008C7ECB"/>
    <w:rsid w:val="008D3B86"/>
    <w:rsid w:val="008D3C30"/>
    <w:rsid w:val="008D4755"/>
    <w:rsid w:val="008D47A8"/>
    <w:rsid w:val="008D4C3D"/>
    <w:rsid w:val="008D743C"/>
    <w:rsid w:val="008E0D3C"/>
    <w:rsid w:val="008E11AE"/>
    <w:rsid w:val="008E1B9E"/>
    <w:rsid w:val="008E266D"/>
    <w:rsid w:val="008E3829"/>
    <w:rsid w:val="008E41D1"/>
    <w:rsid w:val="008E55AB"/>
    <w:rsid w:val="008E7D78"/>
    <w:rsid w:val="008F120A"/>
    <w:rsid w:val="008F27E0"/>
    <w:rsid w:val="008F48EB"/>
    <w:rsid w:val="008F4F0B"/>
    <w:rsid w:val="008F54F6"/>
    <w:rsid w:val="008F7327"/>
    <w:rsid w:val="008F773F"/>
    <w:rsid w:val="008F7785"/>
    <w:rsid w:val="00901314"/>
    <w:rsid w:val="00903499"/>
    <w:rsid w:val="009046C4"/>
    <w:rsid w:val="00904BE9"/>
    <w:rsid w:val="00904D4E"/>
    <w:rsid w:val="009062A5"/>
    <w:rsid w:val="00910FA7"/>
    <w:rsid w:val="00911272"/>
    <w:rsid w:val="009119BD"/>
    <w:rsid w:val="009135D6"/>
    <w:rsid w:val="00914C77"/>
    <w:rsid w:val="00917EEA"/>
    <w:rsid w:val="00920604"/>
    <w:rsid w:val="00921ACB"/>
    <w:rsid w:val="009225F7"/>
    <w:rsid w:val="0092369B"/>
    <w:rsid w:val="0092402C"/>
    <w:rsid w:val="009247E2"/>
    <w:rsid w:val="00925CFD"/>
    <w:rsid w:val="00926C84"/>
    <w:rsid w:val="00932D47"/>
    <w:rsid w:val="0093327C"/>
    <w:rsid w:val="00934988"/>
    <w:rsid w:val="00937089"/>
    <w:rsid w:val="00941E90"/>
    <w:rsid w:val="00941F47"/>
    <w:rsid w:val="00942F0A"/>
    <w:rsid w:val="0094412D"/>
    <w:rsid w:val="00944F8A"/>
    <w:rsid w:val="00950426"/>
    <w:rsid w:val="009510A2"/>
    <w:rsid w:val="00953257"/>
    <w:rsid w:val="0095474C"/>
    <w:rsid w:val="00955921"/>
    <w:rsid w:val="00956827"/>
    <w:rsid w:val="00957F4C"/>
    <w:rsid w:val="00962CB9"/>
    <w:rsid w:val="00963329"/>
    <w:rsid w:val="00964312"/>
    <w:rsid w:val="0096490F"/>
    <w:rsid w:val="00965B8A"/>
    <w:rsid w:val="0097071F"/>
    <w:rsid w:val="00970A5C"/>
    <w:rsid w:val="009717AC"/>
    <w:rsid w:val="00974F67"/>
    <w:rsid w:val="009751C1"/>
    <w:rsid w:val="00977475"/>
    <w:rsid w:val="009811F1"/>
    <w:rsid w:val="00983245"/>
    <w:rsid w:val="00983E57"/>
    <w:rsid w:val="00985DE2"/>
    <w:rsid w:val="0098675D"/>
    <w:rsid w:val="0098708A"/>
    <w:rsid w:val="009871BC"/>
    <w:rsid w:val="0099060D"/>
    <w:rsid w:val="0099236F"/>
    <w:rsid w:val="009926E0"/>
    <w:rsid w:val="009939D0"/>
    <w:rsid w:val="0099451E"/>
    <w:rsid w:val="00996134"/>
    <w:rsid w:val="00996B1A"/>
    <w:rsid w:val="00997699"/>
    <w:rsid w:val="00997F63"/>
    <w:rsid w:val="009A0129"/>
    <w:rsid w:val="009A2DCC"/>
    <w:rsid w:val="009A2E2A"/>
    <w:rsid w:val="009A30C5"/>
    <w:rsid w:val="009A5ABC"/>
    <w:rsid w:val="009A6024"/>
    <w:rsid w:val="009A7335"/>
    <w:rsid w:val="009A7F10"/>
    <w:rsid w:val="009B07E5"/>
    <w:rsid w:val="009B23A7"/>
    <w:rsid w:val="009B3E26"/>
    <w:rsid w:val="009B5532"/>
    <w:rsid w:val="009B7A74"/>
    <w:rsid w:val="009C3706"/>
    <w:rsid w:val="009C3A3A"/>
    <w:rsid w:val="009C6B2A"/>
    <w:rsid w:val="009C6CEA"/>
    <w:rsid w:val="009C7B85"/>
    <w:rsid w:val="009D0254"/>
    <w:rsid w:val="009D0BDA"/>
    <w:rsid w:val="009D1155"/>
    <w:rsid w:val="009D1A64"/>
    <w:rsid w:val="009D1B97"/>
    <w:rsid w:val="009D4075"/>
    <w:rsid w:val="009D5B91"/>
    <w:rsid w:val="009D6416"/>
    <w:rsid w:val="009D6CFC"/>
    <w:rsid w:val="009D792E"/>
    <w:rsid w:val="009E0DFE"/>
    <w:rsid w:val="009E0ED7"/>
    <w:rsid w:val="009E2E6C"/>
    <w:rsid w:val="009E31F6"/>
    <w:rsid w:val="009E4C07"/>
    <w:rsid w:val="009E55C7"/>
    <w:rsid w:val="009F53AF"/>
    <w:rsid w:val="00A01184"/>
    <w:rsid w:val="00A037C2"/>
    <w:rsid w:val="00A03D43"/>
    <w:rsid w:val="00A04323"/>
    <w:rsid w:val="00A04380"/>
    <w:rsid w:val="00A05472"/>
    <w:rsid w:val="00A05C32"/>
    <w:rsid w:val="00A0653F"/>
    <w:rsid w:val="00A11CD0"/>
    <w:rsid w:val="00A13948"/>
    <w:rsid w:val="00A1555B"/>
    <w:rsid w:val="00A155C5"/>
    <w:rsid w:val="00A16AD8"/>
    <w:rsid w:val="00A219EC"/>
    <w:rsid w:val="00A21C95"/>
    <w:rsid w:val="00A21CF3"/>
    <w:rsid w:val="00A224B5"/>
    <w:rsid w:val="00A2317D"/>
    <w:rsid w:val="00A232B4"/>
    <w:rsid w:val="00A23920"/>
    <w:rsid w:val="00A23EFF"/>
    <w:rsid w:val="00A24813"/>
    <w:rsid w:val="00A24E32"/>
    <w:rsid w:val="00A25413"/>
    <w:rsid w:val="00A270A1"/>
    <w:rsid w:val="00A27AEC"/>
    <w:rsid w:val="00A320DB"/>
    <w:rsid w:val="00A33A48"/>
    <w:rsid w:val="00A34D86"/>
    <w:rsid w:val="00A35D16"/>
    <w:rsid w:val="00A37BCD"/>
    <w:rsid w:val="00A4082D"/>
    <w:rsid w:val="00A4135C"/>
    <w:rsid w:val="00A413DE"/>
    <w:rsid w:val="00A41689"/>
    <w:rsid w:val="00A42171"/>
    <w:rsid w:val="00A42592"/>
    <w:rsid w:val="00A43C59"/>
    <w:rsid w:val="00A47B1D"/>
    <w:rsid w:val="00A50551"/>
    <w:rsid w:val="00A506B1"/>
    <w:rsid w:val="00A50ECD"/>
    <w:rsid w:val="00A518F3"/>
    <w:rsid w:val="00A5195E"/>
    <w:rsid w:val="00A51A5E"/>
    <w:rsid w:val="00A52729"/>
    <w:rsid w:val="00A52FBB"/>
    <w:rsid w:val="00A53675"/>
    <w:rsid w:val="00A564D7"/>
    <w:rsid w:val="00A56B6A"/>
    <w:rsid w:val="00A56C67"/>
    <w:rsid w:val="00A578DC"/>
    <w:rsid w:val="00A606AF"/>
    <w:rsid w:val="00A640E2"/>
    <w:rsid w:val="00A64D65"/>
    <w:rsid w:val="00A6725B"/>
    <w:rsid w:val="00A70224"/>
    <w:rsid w:val="00A70605"/>
    <w:rsid w:val="00A7086B"/>
    <w:rsid w:val="00A70F1D"/>
    <w:rsid w:val="00A72CEF"/>
    <w:rsid w:val="00A73022"/>
    <w:rsid w:val="00A73134"/>
    <w:rsid w:val="00A746C5"/>
    <w:rsid w:val="00A76001"/>
    <w:rsid w:val="00A777B2"/>
    <w:rsid w:val="00A821F3"/>
    <w:rsid w:val="00A825D4"/>
    <w:rsid w:val="00A828F6"/>
    <w:rsid w:val="00A82B73"/>
    <w:rsid w:val="00A86E8B"/>
    <w:rsid w:val="00A87164"/>
    <w:rsid w:val="00A87EB5"/>
    <w:rsid w:val="00A9010D"/>
    <w:rsid w:val="00A92C9B"/>
    <w:rsid w:val="00A93072"/>
    <w:rsid w:val="00A938BD"/>
    <w:rsid w:val="00A93953"/>
    <w:rsid w:val="00A959D8"/>
    <w:rsid w:val="00AA113D"/>
    <w:rsid w:val="00AA504A"/>
    <w:rsid w:val="00AA6BD5"/>
    <w:rsid w:val="00AA6BD8"/>
    <w:rsid w:val="00AA6C7D"/>
    <w:rsid w:val="00AA7FD6"/>
    <w:rsid w:val="00AB042A"/>
    <w:rsid w:val="00AB0E9C"/>
    <w:rsid w:val="00AB11C5"/>
    <w:rsid w:val="00AB19EF"/>
    <w:rsid w:val="00AB1C84"/>
    <w:rsid w:val="00AB2D25"/>
    <w:rsid w:val="00AB2D34"/>
    <w:rsid w:val="00AB3430"/>
    <w:rsid w:val="00AB37B9"/>
    <w:rsid w:val="00AB4AD1"/>
    <w:rsid w:val="00AB53FB"/>
    <w:rsid w:val="00AB5E07"/>
    <w:rsid w:val="00AB6420"/>
    <w:rsid w:val="00AB6E16"/>
    <w:rsid w:val="00AB7CFA"/>
    <w:rsid w:val="00AC3562"/>
    <w:rsid w:val="00AC3C67"/>
    <w:rsid w:val="00AC4DD4"/>
    <w:rsid w:val="00AC5B48"/>
    <w:rsid w:val="00AC63F3"/>
    <w:rsid w:val="00AC6620"/>
    <w:rsid w:val="00AD1450"/>
    <w:rsid w:val="00AD56A0"/>
    <w:rsid w:val="00AD6502"/>
    <w:rsid w:val="00AE0695"/>
    <w:rsid w:val="00AE17C2"/>
    <w:rsid w:val="00AE3894"/>
    <w:rsid w:val="00AE3E7E"/>
    <w:rsid w:val="00AE753D"/>
    <w:rsid w:val="00AF1315"/>
    <w:rsid w:val="00AF19BF"/>
    <w:rsid w:val="00AF2DC3"/>
    <w:rsid w:val="00AF39B0"/>
    <w:rsid w:val="00AF5C16"/>
    <w:rsid w:val="00AF7D8D"/>
    <w:rsid w:val="00B033E5"/>
    <w:rsid w:val="00B03A63"/>
    <w:rsid w:val="00B04D6A"/>
    <w:rsid w:val="00B05BDE"/>
    <w:rsid w:val="00B070AE"/>
    <w:rsid w:val="00B11690"/>
    <w:rsid w:val="00B12060"/>
    <w:rsid w:val="00B137C0"/>
    <w:rsid w:val="00B14F72"/>
    <w:rsid w:val="00B201A4"/>
    <w:rsid w:val="00B201D1"/>
    <w:rsid w:val="00B205AD"/>
    <w:rsid w:val="00B213A6"/>
    <w:rsid w:val="00B235B0"/>
    <w:rsid w:val="00B24DF6"/>
    <w:rsid w:val="00B26F04"/>
    <w:rsid w:val="00B3007E"/>
    <w:rsid w:val="00B32C24"/>
    <w:rsid w:val="00B34FE2"/>
    <w:rsid w:val="00B35166"/>
    <w:rsid w:val="00B357D8"/>
    <w:rsid w:val="00B360F4"/>
    <w:rsid w:val="00B36A00"/>
    <w:rsid w:val="00B37BFC"/>
    <w:rsid w:val="00B40358"/>
    <w:rsid w:val="00B40B46"/>
    <w:rsid w:val="00B41614"/>
    <w:rsid w:val="00B42851"/>
    <w:rsid w:val="00B42F80"/>
    <w:rsid w:val="00B435CB"/>
    <w:rsid w:val="00B43EED"/>
    <w:rsid w:val="00B45638"/>
    <w:rsid w:val="00B505C8"/>
    <w:rsid w:val="00B509B0"/>
    <w:rsid w:val="00B50DB8"/>
    <w:rsid w:val="00B51B9F"/>
    <w:rsid w:val="00B53654"/>
    <w:rsid w:val="00B53905"/>
    <w:rsid w:val="00B54B5B"/>
    <w:rsid w:val="00B5562E"/>
    <w:rsid w:val="00B55D65"/>
    <w:rsid w:val="00B57000"/>
    <w:rsid w:val="00B60562"/>
    <w:rsid w:val="00B60939"/>
    <w:rsid w:val="00B60AFD"/>
    <w:rsid w:val="00B6170D"/>
    <w:rsid w:val="00B62715"/>
    <w:rsid w:val="00B62F89"/>
    <w:rsid w:val="00B632B0"/>
    <w:rsid w:val="00B652F5"/>
    <w:rsid w:val="00B65611"/>
    <w:rsid w:val="00B661DE"/>
    <w:rsid w:val="00B70D0D"/>
    <w:rsid w:val="00B70E8E"/>
    <w:rsid w:val="00B72D17"/>
    <w:rsid w:val="00B731E0"/>
    <w:rsid w:val="00B74237"/>
    <w:rsid w:val="00B7502C"/>
    <w:rsid w:val="00B75586"/>
    <w:rsid w:val="00B76C92"/>
    <w:rsid w:val="00B818A4"/>
    <w:rsid w:val="00B84117"/>
    <w:rsid w:val="00B858F0"/>
    <w:rsid w:val="00B85AA2"/>
    <w:rsid w:val="00B8649C"/>
    <w:rsid w:val="00B8695D"/>
    <w:rsid w:val="00B87F0A"/>
    <w:rsid w:val="00B92D0B"/>
    <w:rsid w:val="00B94945"/>
    <w:rsid w:val="00B94DD6"/>
    <w:rsid w:val="00B95557"/>
    <w:rsid w:val="00B960CC"/>
    <w:rsid w:val="00BA0D9E"/>
    <w:rsid w:val="00BA322D"/>
    <w:rsid w:val="00BA3573"/>
    <w:rsid w:val="00BA63FA"/>
    <w:rsid w:val="00BB00B3"/>
    <w:rsid w:val="00BB03DD"/>
    <w:rsid w:val="00BB0BDD"/>
    <w:rsid w:val="00BB176C"/>
    <w:rsid w:val="00BB2A73"/>
    <w:rsid w:val="00BB2EBB"/>
    <w:rsid w:val="00BB3A45"/>
    <w:rsid w:val="00BB4ACC"/>
    <w:rsid w:val="00BB5EE8"/>
    <w:rsid w:val="00BB6A35"/>
    <w:rsid w:val="00BB703E"/>
    <w:rsid w:val="00BB732D"/>
    <w:rsid w:val="00BB7405"/>
    <w:rsid w:val="00BC3631"/>
    <w:rsid w:val="00BC3B8A"/>
    <w:rsid w:val="00BC4208"/>
    <w:rsid w:val="00BC5796"/>
    <w:rsid w:val="00BC591F"/>
    <w:rsid w:val="00BC6BBE"/>
    <w:rsid w:val="00BC6C7F"/>
    <w:rsid w:val="00BC7D6D"/>
    <w:rsid w:val="00BD2108"/>
    <w:rsid w:val="00BD3450"/>
    <w:rsid w:val="00BD620F"/>
    <w:rsid w:val="00BD68A3"/>
    <w:rsid w:val="00BD6938"/>
    <w:rsid w:val="00BD6CF3"/>
    <w:rsid w:val="00BD7164"/>
    <w:rsid w:val="00BD7A82"/>
    <w:rsid w:val="00BE0ECA"/>
    <w:rsid w:val="00BE2180"/>
    <w:rsid w:val="00BE21F2"/>
    <w:rsid w:val="00BE4275"/>
    <w:rsid w:val="00BE52F2"/>
    <w:rsid w:val="00BE7E50"/>
    <w:rsid w:val="00BF06AE"/>
    <w:rsid w:val="00BF0F95"/>
    <w:rsid w:val="00BF2433"/>
    <w:rsid w:val="00BF474C"/>
    <w:rsid w:val="00BF5A20"/>
    <w:rsid w:val="00BF61C9"/>
    <w:rsid w:val="00BF6C94"/>
    <w:rsid w:val="00C00424"/>
    <w:rsid w:val="00C01291"/>
    <w:rsid w:val="00C0302F"/>
    <w:rsid w:val="00C038D9"/>
    <w:rsid w:val="00C03925"/>
    <w:rsid w:val="00C047B1"/>
    <w:rsid w:val="00C067D0"/>
    <w:rsid w:val="00C1179F"/>
    <w:rsid w:val="00C12C14"/>
    <w:rsid w:val="00C15676"/>
    <w:rsid w:val="00C15F04"/>
    <w:rsid w:val="00C179B3"/>
    <w:rsid w:val="00C17E3F"/>
    <w:rsid w:val="00C200A4"/>
    <w:rsid w:val="00C200AA"/>
    <w:rsid w:val="00C21854"/>
    <w:rsid w:val="00C223DC"/>
    <w:rsid w:val="00C237ED"/>
    <w:rsid w:val="00C24632"/>
    <w:rsid w:val="00C25418"/>
    <w:rsid w:val="00C25D9C"/>
    <w:rsid w:val="00C26C7C"/>
    <w:rsid w:val="00C2778B"/>
    <w:rsid w:val="00C31649"/>
    <w:rsid w:val="00C32988"/>
    <w:rsid w:val="00C338F5"/>
    <w:rsid w:val="00C3432C"/>
    <w:rsid w:val="00C3434C"/>
    <w:rsid w:val="00C35C25"/>
    <w:rsid w:val="00C375CB"/>
    <w:rsid w:val="00C37D92"/>
    <w:rsid w:val="00C40385"/>
    <w:rsid w:val="00C40F96"/>
    <w:rsid w:val="00C41768"/>
    <w:rsid w:val="00C438FE"/>
    <w:rsid w:val="00C455F0"/>
    <w:rsid w:val="00C45EDF"/>
    <w:rsid w:val="00C46700"/>
    <w:rsid w:val="00C475AA"/>
    <w:rsid w:val="00C512C2"/>
    <w:rsid w:val="00C528F3"/>
    <w:rsid w:val="00C52E4A"/>
    <w:rsid w:val="00C53C98"/>
    <w:rsid w:val="00C54A32"/>
    <w:rsid w:val="00C557B8"/>
    <w:rsid w:val="00C56794"/>
    <w:rsid w:val="00C56FCF"/>
    <w:rsid w:val="00C57551"/>
    <w:rsid w:val="00C57B6C"/>
    <w:rsid w:val="00C6075F"/>
    <w:rsid w:val="00C6114B"/>
    <w:rsid w:val="00C628A6"/>
    <w:rsid w:val="00C6386F"/>
    <w:rsid w:val="00C64032"/>
    <w:rsid w:val="00C64344"/>
    <w:rsid w:val="00C65108"/>
    <w:rsid w:val="00C65576"/>
    <w:rsid w:val="00C66165"/>
    <w:rsid w:val="00C663C6"/>
    <w:rsid w:val="00C66859"/>
    <w:rsid w:val="00C66D30"/>
    <w:rsid w:val="00C7060A"/>
    <w:rsid w:val="00C712F5"/>
    <w:rsid w:val="00C7151A"/>
    <w:rsid w:val="00C717E3"/>
    <w:rsid w:val="00C71A88"/>
    <w:rsid w:val="00C71F60"/>
    <w:rsid w:val="00C72241"/>
    <w:rsid w:val="00C72CDE"/>
    <w:rsid w:val="00C73EF4"/>
    <w:rsid w:val="00C742D7"/>
    <w:rsid w:val="00C750C8"/>
    <w:rsid w:val="00C7560F"/>
    <w:rsid w:val="00C76A01"/>
    <w:rsid w:val="00C80A0E"/>
    <w:rsid w:val="00C8213F"/>
    <w:rsid w:val="00C85154"/>
    <w:rsid w:val="00C86D7D"/>
    <w:rsid w:val="00C8797A"/>
    <w:rsid w:val="00C900B8"/>
    <w:rsid w:val="00C90748"/>
    <w:rsid w:val="00C90C71"/>
    <w:rsid w:val="00C91FD1"/>
    <w:rsid w:val="00C931CF"/>
    <w:rsid w:val="00C938CF"/>
    <w:rsid w:val="00C94053"/>
    <w:rsid w:val="00C943DF"/>
    <w:rsid w:val="00C951A1"/>
    <w:rsid w:val="00C95679"/>
    <w:rsid w:val="00C961B8"/>
    <w:rsid w:val="00C9624D"/>
    <w:rsid w:val="00C969DA"/>
    <w:rsid w:val="00CA13A5"/>
    <w:rsid w:val="00CA2C77"/>
    <w:rsid w:val="00CA3A50"/>
    <w:rsid w:val="00CA444F"/>
    <w:rsid w:val="00CA45A9"/>
    <w:rsid w:val="00CA4687"/>
    <w:rsid w:val="00CA5245"/>
    <w:rsid w:val="00CA619C"/>
    <w:rsid w:val="00CA71F4"/>
    <w:rsid w:val="00CA7B09"/>
    <w:rsid w:val="00CA7C0F"/>
    <w:rsid w:val="00CB12A5"/>
    <w:rsid w:val="00CB1CAC"/>
    <w:rsid w:val="00CB26A1"/>
    <w:rsid w:val="00CB2F2A"/>
    <w:rsid w:val="00CB4024"/>
    <w:rsid w:val="00CB5B1A"/>
    <w:rsid w:val="00CB6B22"/>
    <w:rsid w:val="00CB7F5F"/>
    <w:rsid w:val="00CC0811"/>
    <w:rsid w:val="00CC19B7"/>
    <w:rsid w:val="00CC1B39"/>
    <w:rsid w:val="00CC1BC2"/>
    <w:rsid w:val="00CC35EA"/>
    <w:rsid w:val="00CC3848"/>
    <w:rsid w:val="00CC4F28"/>
    <w:rsid w:val="00CD3DB1"/>
    <w:rsid w:val="00CD3F77"/>
    <w:rsid w:val="00CD41CD"/>
    <w:rsid w:val="00CD6ADC"/>
    <w:rsid w:val="00CD7193"/>
    <w:rsid w:val="00CE38C8"/>
    <w:rsid w:val="00CE5AC5"/>
    <w:rsid w:val="00CE6274"/>
    <w:rsid w:val="00CE77B6"/>
    <w:rsid w:val="00CF2B8D"/>
    <w:rsid w:val="00CF307C"/>
    <w:rsid w:val="00CF456B"/>
    <w:rsid w:val="00CF5A22"/>
    <w:rsid w:val="00CF5E55"/>
    <w:rsid w:val="00CF7312"/>
    <w:rsid w:val="00D01436"/>
    <w:rsid w:val="00D0262E"/>
    <w:rsid w:val="00D04CF0"/>
    <w:rsid w:val="00D0564D"/>
    <w:rsid w:val="00D05E3D"/>
    <w:rsid w:val="00D06139"/>
    <w:rsid w:val="00D06FD7"/>
    <w:rsid w:val="00D106C9"/>
    <w:rsid w:val="00D10746"/>
    <w:rsid w:val="00D110BD"/>
    <w:rsid w:val="00D1351A"/>
    <w:rsid w:val="00D13675"/>
    <w:rsid w:val="00D141E1"/>
    <w:rsid w:val="00D15314"/>
    <w:rsid w:val="00D157C2"/>
    <w:rsid w:val="00D15E4C"/>
    <w:rsid w:val="00D1785F"/>
    <w:rsid w:val="00D17D6C"/>
    <w:rsid w:val="00D2155B"/>
    <w:rsid w:val="00D23D11"/>
    <w:rsid w:val="00D244B6"/>
    <w:rsid w:val="00D24674"/>
    <w:rsid w:val="00D24B45"/>
    <w:rsid w:val="00D24DDB"/>
    <w:rsid w:val="00D2754D"/>
    <w:rsid w:val="00D27B27"/>
    <w:rsid w:val="00D30B2F"/>
    <w:rsid w:val="00D30B9C"/>
    <w:rsid w:val="00D33BE9"/>
    <w:rsid w:val="00D33F93"/>
    <w:rsid w:val="00D357FF"/>
    <w:rsid w:val="00D4083A"/>
    <w:rsid w:val="00D40AC3"/>
    <w:rsid w:val="00D424C7"/>
    <w:rsid w:val="00D43491"/>
    <w:rsid w:val="00D43B2A"/>
    <w:rsid w:val="00D43D83"/>
    <w:rsid w:val="00D47575"/>
    <w:rsid w:val="00D52110"/>
    <w:rsid w:val="00D5243B"/>
    <w:rsid w:val="00D533EC"/>
    <w:rsid w:val="00D56A95"/>
    <w:rsid w:val="00D56CFD"/>
    <w:rsid w:val="00D6022A"/>
    <w:rsid w:val="00D611C3"/>
    <w:rsid w:val="00D61272"/>
    <w:rsid w:val="00D6282B"/>
    <w:rsid w:val="00D637A1"/>
    <w:rsid w:val="00D64615"/>
    <w:rsid w:val="00D64816"/>
    <w:rsid w:val="00D70F16"/>
    <w:rsid w:val="00D7119B"/>
    <w:rsid w:val="00D72F57"/>
    <w:rsid w:val="00D75304"/>
    <w:rsid w:val="00D76A44"/>
    <w:rsid w:val="00D81054"/>
    <w:rsid w:val="00D815EF"/>
    <w:rsid w:val="00D81F26"/>
    <w:rsid w:val="00D86231"/>
    <w:rsid w:val="00D863EB"/>
    <w:rsid w:val="00D86DFC"/>
    <w:rsid w:val="00D90F68"/>
    <w:rsid w:val="00D916D9"/>
    <w:rsid w:val="00D91923"/>
    <w:rsid w:val="00D93753"/>
    <w:rsid w:val="00D9442F"/>
    <w:rsid w:val="00D96FCC"/>
    <w:rsid w:val="00DA1331"/>
    <w:rsid w:val="00DA3167"/>
    <w:rsid w:val="00DA4DC3"/>
    <w:rsid w:val="00DA7018"/>
    <w:rsid w:val="00DA7386"/>
    <w:rsid w:val="00DA759B"/>
    <w:rsid w:val="00DA777B"/>
    <w:rsid w:val="00DA77A5"/>
    <w:rsid w:val="00DB1775"/>
    <w:rsid w:val="00DB3052"/>
    <w:rsid w:val="00DB3B7B"/>
    <w:rsid w:val="00DB3DBF"/>
    <w:rsid w:val="00DB484F"/>
    <w:rsid w:val="00DB69EE"/>
    <w:rsid w:val="00DC04F6"/>
    <w:rsid w:val="00DC0690"/>
    <w:rsid w:val="00DC1D65"/>
    <w:rsid w:val="00DC374F"/>
    <w:rsid w:val="00DC3C57"/>
    <w:rsid w:val="00DC3CDC"/>
    <w:rsid w:val="00DC5501"/>
    <w:rsid w:val="00DC7154"/>
    <w:rsid w:val="00DC7281"/>
    <w:rsid w:val="00DC7838"/>
    <w:rsid w:val="00DC7E8A"/>
    <w:rsid w:val="00DD0F78"/>
    <w:rsid w:val="00DD1498"/>
    <w:rsid w:val="00DD273C"/>
    <w:rsid w:val="00DD3F28"/>
    <w:rsid w:val="00DD4537"/>
    <w:rsid w:val="00DD4E15"/>
    <w:rsid w:val="00DD6B5F"/>
    <w:rsid w:val="00DD7785"/>
    <w:rsid w:val="00DE18AE"/>
    <w:rsid w:val="00DE2304"/>
    <w:rsid w:val="00DE3138"/>
    <w:rsid w:val="00DE37F8"/>
    <w:rsid w:val="00DE4FCB"/>
    <w:rsid w:val="00DE55B5"/>
    <w:rsid w:val="00DE5D07"/>
    <w:rsid w:val="00DE72A7"/>
    <w:rsid w:val="00DE7832"/>
    <w:rsid w:val="00DF011B"/>
    <w:rsid w:val="00DF103B"/>
    <w:rsid w:val="00DF18FC"/>
    <w:rsid w:val="00DF384C"/>
    <w:rsid w:val="00DF3C19"/>
    <w:rsid w:val="00DF515F"/>
    <w:rsid w:val="00DF5C3F"/>
    <w:rsid w:val="00DF5D2B"/>
    <w:rsid w:val="00DF73E8"/>
    <w:rsid w:val="00E00E8E"/>
    <w:rsid w:val="00E0161F"/>
    <w:rsid w:val="00E034EE"/>
    <w:rsid w:val="00E05630"/>
    <w:rsid w:val="00E061B9"/>
    <w:rsid w:val="00E061D7"/>
    <w:rsid w:val="00E06202"/>
    <w:rsid w:val="00E06DBB"/>
    <w:rsid w:val="00E07126"/>
    <w:rsid w:val="00E07F72"/>
    <w:rsid w:val="00E10149"/>
    <w:rsid w:val="00E11340"/>
    <w:rsid w:val="00E120DB"/>
    <w:rsid w:val="00E122A1"/>
    <w:rsid w:val="00E13A42"/>
    <w:rsid w:val="00E16372"/>
    <w:rsid w:val="00E17B7A"/>
    <w:rsid w:val="00E2092D"/>
    <w:rsid w:val="00E20E4D"/>
    <w:rsid w:val="00E20ED6"/>
    <w:rsid w:val="00E21358"/>
    <w:rsid w:val="00E2249B"/>
    <w:rsid w:val="00E22A0D"/>
    <w:rsid w:val="00E23E8B"/>
    <w:rsid w:val="00E244F6"/>
    <w:rsid w:val="00E262EC"/>
    <w:rsid w:val="00E26745"/>
    <w:rsid w:val="00E26B78"/>
    <w:rsid w:val="00E2771E"/>
    <w:rsid w:val="00E30F43"/>
    <w:rsid w:val="00E311EF"/>
    <w:rsid w:val="00E32180"/>
    <w:rsid w:val="00E338D8"/>
    <w:rsid w:val="00E34948"/>
    <w:rsid w:val="00E37569"/>
    <w:rsid w:val="00E401B2"/>
    <w:rsid w:val="00E41503"/>
    <w:rsid w:val="00E41AFC"/>
    <w:rsid w:val="00E41E30"/>
    <w:rsid w:val="00E42F73"/>
    <w:rsid w:val="00E43391"/>
    <w:rsid w:val="00E43711"/>
    <w:rsid w:val="00E43D70"/>
    <w:rsid w:val="00E466F3"/>
    <w:rsid w:val="00E46A5C"/>
    <w:rsid w:val="00E47B2C"/>
    <w:rsid w:val="00E51560"/>
    <w:rsid w:val="00E51E79"/>
    <w:rsid w:val="00E53FC8"/>
    <w:rsid w:val="00E54347"/>
    <w:rsid w:val="00E545CD"/>
    <w:rsid w:val="00E54737"/>
    <w:rsid w:val="00E547DC"/>
    <w:rsid w:val="00E55334"/>
    <w:rsid w:val="00E55424"/>
    <w:rsid w:val="00E55915"/>
    <w:rsid w:val="00E55BB5"/>
    <w:rsid w:val="00E5649A"/>
    <w:rsid w:val="00E63675"/>
    <w:rsid w:val="00E64280"/>
    <w:rsid w:val="00E65E79"/>
    <w:rsid w:val="00E66571"/>
    <w:rsid w:val="00E66BA2"/>
    <w:rsid w:val="00E67416"/>
    <w:rsid w:val="00E7066C"/>
    <w:rsid w:val="00E71533"/>
    <w:rsid w:val="00E718B6"/>
    <w:rsid w:val="00E723BA"/>
    <w:rsid w:val="00E73581"/>
    <w:rsid w:val="00E743BC"/>
    <w:rsid w:val="00E80FC7"/>
    <w:rsid w:val="00E833F7"/>
    <w:rsid w:val="00E83BDF"/>
    <w:rsid w:val="00E83E6A"/>
    <w:rsid w:val="00E858BB"/>
    <w:rsid w:val="00E87A1D"/>
    <w:rsid w:val="00E9094A"/>
    <w:rsid w:val="00E9143F"/>
    <w:rsid w:val="00E91D35"/>
    <w:rsid w:val="00E91EF0"/>
    <w:rsid w:val="00E926A5"/>
    <w:rsid w:val="00E9487A"/>
    <w:rsid w:val="00E94D78"/>
    <w:rsid w:val="00EA17C3"/>
    <w:rsid w:val="00EA2CAA"/>
    <w:rsid w:val="00EA319E"/>
    <w:rsid w:val="00EA3864"/>
    <w:rsid w:val="00EA4CA3"/>
    <w:rsid w:val="00EA7F1C"/>
    <w:rsid w:val="00EB15B6"/>
    <w:rsid w:val="00EB2392"/>
    <w:rsid w:val="00EB2BB1"/>
    <w:rsid w:val="00EB395E"/>
    <w:rsid w:val="00EB3D06"/>
    <w:rsid w:val="00EB453B"/>
    <w:rsid w:val="00EB465C"/>
    <w:rsid w:val="00EB4916"/>
    <w:rsid w:val="00EB5A3F"/>
    <w:rsid w:val="00EB7DB2"/>
    <w:rsid w:val="00EC00C9"/>
    <w:rsid w:val="00EC0784"/>
    <w:rsid w:val="00EC0DD9"/>
    <w:rsid w:val="00EC2649"/>
    <w:rsid w:val="00EC2AAC"/>
    <w:rsid w:val="00EC31ED"/>
    <w:rsid w:val="00EC3DF4"/>
    <w:rsid w:val="00EC5836"/>
    <w:rsid w:val="00EC688C"/>
    <w:rsid w:val="00ED3CD2"/>
    <w:rsid w:val="00ED57EA"/>
    <w:rsid w:val="00ED5BD4"/>
    <w:rsid w:val="00ED5FF9"/>
    <w:rsid w:val="00ED6EBD"/>
    <w:rsid w:val="00EE07D3"/>
    <w:rsid w:val="00EE0AAE"/>
    <w:rsid w:val="00EE1996"/>
    <w:rsid w:val="00EE1C01"/>
    <w:rsid w:val="00EE22AF"/>
    <w:rsid w:val="00EE49C7"/>
    <w:rsid w:val="00EE71B8"/>
    <w:rsid w:val="00EF0171"/>
    <w:rsid w:val="00EF1B25"/>
    <w:rsid w:val="00EF1DA0"/>
    <w:rsid w:val="00EF2637"/>
    <w:rsid w:val="00EF4747"/>
    <w:rsid w:val="00EF4BCB"/>
    <w:rsid w:val="00EF4BF8"/>
    <w:rsid w:val="00F02253"/>
    <w:rsid w:val="00F024E5"/>
    <w:rsid w:val="00F02651"/>
    <w:rsid w:val="00F03198"/>
    <w:rsid w:val="00F03C2E"/>
    <w:rsid w:val="00F04A66"/>
    <w:rsid w:val="00F04B4B"/>
    <w:rsid w:val="00F0516C"/>
    <w:rsid w:val="00F067A2"/>
    <w:rsid w:val="00F070A0"/>
    <w:rsid w:val="00F07B9E"/>
    <w:rsid w:val="00F1116F"/>
    <w:rsid w:val="00F1263A"/>
    <w:rsid w:val="00F14DEA"/>
    <w:rsid w:val="00F14EA2"/>
    <w:rsid w:val="00F15B77"/>
    <w:rsid w:val="00F1620F"/>
    <w:rsid w:val="00F202C0"/>
    <w:rsid w:val="00F24837"/>
    <w:rsid w:val="00F2575F"/>
    <w:rsid w:val="00F26B34"/>
    <w:rsid w:val="00F27565"/>
    <w:rsid w:val="00F27E32"/>
    <w:rsid w:val="00F304B5"/>
    <w:rsid w:val="00F310D4"/>
    <w:rsid w:val="00F31CE4"/>
    <w:rsid w:val="00F31D5A"/>
    <w:rsid w:val="00F32B50"/>
    <w:rsid w:val="00F335A0"/>
    <w:rsid w:val="00F33975"/>
    <w:rsid w:val="00F33DE9"/>
    <w:rsid w:val="00F34094"/>
    <w:rsid w:val="00F35B52"/>
    <w:rsid w:val="00F35E11"/>
    <w:rsid w:val="00F35E6D"/>
    <w:rsid w:val="00F3619A"/>
    <w:rsid w:val="00F37B27"/>
    <w:rsid w:val="00F40AAA"/>
    <w:rsid w:val="00F40BA7"/>
    <w:rsid w:val="00F40F9D"/>
    <w:rsid w:val="00F41ACD"/>
    <w:rsid w:val="00F448D7"/>
    <w:rsid w:val="00F4681C"/>
    <w:rsid w:val="00F46CB6"/>
    <w:rsid w:val="00F4756D"/>
    <w:rsid w:val="00F47DE8"/>
    <w:rsid w:val="00F47E54"/>
    <w:rsid w:val="00F500C4"/>
    <w:rsid w:val="00F542C1"/>
    <w:rsid w:val="00F54E7A"/>
    <w:rsid w:val="00F55D8C"/>
    <w:rsid w:val="00F55E73"/>
    <w:rsid w:val="00F55EDA"/>
    <w:rsid w:val="00F56C80"/>
    <w:rsid w:val="00F56E1B"/>
    <w:rsid w:val="00F60092"/>
    <w:rsid w:val="00F61C18"/>
    <w:rsid w:val="00F61D39"/>
    <w:rsid w:val="00F6430C"/>
    <w:rsid w:val="00F64D74"/>
    <w:rsid w:val="00F65794"/>
    <w:rsid w:val="00F65F4B"/>
    <w:rsid w:val="00F67384"/>
    <w:rsid w:val="00F67A69"/>
    <w:rsid w:val="00F70BFF"/>
    <w:rsid w:val="00F70C9D"/>
    <w:rsid w:val="00F71560"/>
    <w:rsid w:val="00F73381"/>
    <w:rsid w:val="00F74CD9"/>
    <w:rsid w:val="00F7511B"/>
    <w:rsid w:val="00F7577E"/>
    <w:rsid w:val="00F773CA"/>
    <w:rsid w:val="00F7766F"/>
    <w:rsid w:val="00F779CF"/>
    <w:rsid w:val="00F809ED"/>
    <w:rsid w:val="00F80A7B"/>
    <w:rsid w:val="00F80E5D"/>
    <w:rsid w:val="00F81E78"/>
    <w:rsid w:val="00F84C05"/>
    <w:rsid w:val="00F851CE"/>
    <w:rsid w:val="00F8553E"/>
    <w:rsid w:val="00F867CD"/>
    <w:rsid w:val="00F87A70"/>
    <w:rsid w:val="00F903A4"/>
    <w:rsid w:val="00F91219"/>
    <w:rsid w:val="00F92444"/>
    <w:rsid w:val="00F93056"/>
    <w:rsid w:val="00F9393E"/>
    <w:rsid w:val="00F96DA9"/>
    <w:rsid w:val="00F96FD0"/>
    <w:rsid w:val="00F97A78"/>
    <w:rsid w:val="00FA0B20"/>
    <w:rsid w:val="00FA0C83"/>
    <w:rsid w:val="00FA0F79"/>
    <w:rsid w:val="00FA24E7"/>
    <w:rsid w:val="00FA5574"/>
    <w:rsid w:val="00FA5EE6"/>
    <w:rsid w:val="00FA6353"/>
    <w:rsid w:val="00FA6CF4"/>
    <w:rsid w:val="00FA7956"/>
    <w:rsid w:val="00FB2FCB"/>
    <w:rsid w:val="00FB5382"/>
    <w:rsid w:val="00FB7C55"/>
    <w:rsid w:val="00FB7D5D"/>
    <w:rsid w:val="00FC1074"/>
    <w:rsid w:val="00FC114F"/>
    <w:rsid w:val="00FC1884"/>
    <w:rsid w:val="00FC1CAD"/>
    <w:rsid w:val="00FC371D"/>
    <w:rsid w:val="00FC4F46"/>
    <w:rsid w:val="00FC56D6"/>
    <w:rsid w:val="00FC5847"/>
    <w:rsid w:val="00FC5F0B"/>
    <w:rsid w:val="00FD0F12"/>
    <w:rsid w:val="00FD2100"/>
    <w:rsid w:val="00FD26B6"/>
    <w:rsid w:val="00FD2D9D"/>
    <w:rsid w:val="00FD436C"/>
    <w:rsid w:val="00FD446D"/>
    <w:rsid w:val="00FD4DD6"/>
    <w:rsid w:val="00FD4DFA"/>
    <w:rsid w:val="00FD4F2C"/>
    <w:rsid w:val="00FD6394"/>
    <w:rsid w:val="00FD704E"/>
    <w:rsid w:val="00FD7F96"/>
    <w:rsid w:val="00FE0E6C"/>
    <w:rsid w:val="00FE10EB"/>
    <w:rsid w:val="00FE1CDC"/>
    <w:rsid w:val="00FE2F16"/>
    <w:rsid w:val="00FE3EE6"/>
    <w:rsid w:val="00FE70C3"/>
    <w:rsid w:val="00FF0221"/>
    <w:rsid w:val="00FF2AD9"/>
    <w:rsid w:val="00FF359F"/>
    <w:rsid w:val="00FF3DCF"/>
    <w:rsid w:val="00FF492C"/>
    <w:rsid w:val="00FF4A21"/>
    <w:rsid w:val="00FF5AA3"/>
    <w:rsid w:val="00FF5AD8"/>
    <w:rsid w:val="00FF7C9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uiPriority w:val="4"/>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uiPriority w:val="35"/>
    <w:rsid w:val="00124A51"/>
    <w:rPr>
      <w:b/>
      <w:bCs/>
      <w:snapToGrid w:val="0"/>
      <w:color w:val="4F81BD" w:themeColor="accent1"/>
      <w:sz w:val="18"/>
      <w:szCs w:val="18"/>
      <w:lang w:eastAsia="en-US"/>
    </w:rPr>
  </w:style>
  <w:style w:type="paragraph" w:styleId="Title">
    <w:name w:val="Title"/>
    <w:basedOn w:val="Normal"/>
    <w:next w:val="Normal"/>
    <w:link w:val="TitleChar"/>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List,Section 5,Bullet List 2,Bullets Points,_CC_Bullet,Bullet 1,Styl moj"/>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4A3AA4"/>
    <w:pPr>
      <w:tabs>
        <w:tab w:val="left" w:pos="713"/>
        <w:tab w:val="left" w:pos="880"/>
        <w:tab w:val="right" w:leader="dot" w:pos="9016"/>
      </w:tabs>
      <w:spacing w:before="40" w:after="12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C-Bullet">
    <w:name w:val="C-Bullet"/>
    <w:rsid w:val="00A25413"/>
    <w:pPr>
      <w:numPr>
        <w:numId w:val="8"/>
      </w:numPr>
      <w:spacing w:before="120" w:after="120" w:line="280" w:lineRule="atLeast"/>
    </w:pPr>
    <w:rPr>
      <w:sz w:val="24"/>
      <w:lang w:val="en-US" w:eastAsia="en-US"/>
    </w:rPr>
  </w:style>
  <w:style w:type="paragraph" w:customStyle="1" w:styleId="C-BulletIndented">
    <w:name w:val="C-Bullet Indented"/>
    <w:rsid w:val="00A25413"/>
    <w:pPr>
      <w:numPr>
        <w:ilvl w:val="1"/>
        <w:numId w:val="8"/>
      </w:numPr>
      <w:spacing w:before="120" w:after="120" w:line="280" w:lineRule="atLeast"/>
    </w:pPr>
    <w:rPr>
      <w:rFonts w:cs="Arial"/>
      <w:sz w:val="24"/>
      <w:lang w:val="en-US" w:eastAsia="en-US"/>
    </w:rPr>
  </w:style>
  <w:style w:type="paragraph" w:customStyle="1" w:styleId="C-BulletIndented2">
    <w:name w:val="C-Bullet Indented 2"/>
    <w:rsid w:val="00A25413"/>
    <w:pPr>
      <w:numPr>
        <w:ilvl w:val="2"/>
        <w:numId w:val="8"/>
      </w:numPr>
      <w:spacing w:before="120" w:after="120" w:line="280" w:lineRule="atLeast"/>
    </w:pPr>
    <w:rPr>
      <w:rFonts w:cs="Arial"/>
      <w:sz w:val="24"/>
      <w:lang w:val="en-US" w:eastAsia="en-US"/>
    </w:rPr>
  </w:style>
  <w:style w:type="numbering" w:customStyle="1" w:styleId="UCBBullets">
    <w:name w:val="UCB Bullets"/>
    <w:rsid w:val="00A25413"/>
    <w:pPr>
      <w:numPr>
        <w:numId w:val="8"/>
      </w:numPr>
    </w:pPr>
  </w:style>
  <w:style w:type="paragraph" w:customStyle="1" w:styleId="TableBullets">
    <w:name w:val="Table Bullets"/>
    <w:basedOn w:val="Normal"/>
    <w:uiPriority w:val="5"/>
    <w:qFormat/>
    <w:rsid w:val="00A25413"/>
    <w:pPr>
      <w:numPr>
        <w:numId w:val="9"/>
      </w:numPr>
      <w:ind w:left="170" w:hanging="170"/>
      <w:jc w:val="left"/>
    </w:pPr>
    <w:rPr>
      <w:rFonts w:ascii="Arial Narrow" w:eastAsiaTheme="majorEastAsia" w:hAnsi="Arial Narrow" w:cstheme="majorBidi"/>
      <w:sz w:val="20"/>
      <w:szCs w:val="22"/>
      <w:lang w:eastAsia="en-US" w:bidi="en-US"/>
    </w:rPr>
  </w:style>
  <w:style w:type="paragraph" w:customStyle="1" w:styleId="C-NumberedList">
    <w:name w:val="C-Numbered List"/>
    <w:rsid w:val="00A25413"/>
    <w:pPr>
      <w:numPr>
        <w:numId w:val="10"/>
      </w:numPr>
      <w:spacing w:before="120" w:after="120" w:line="280" w:lineRule="atLeast"/>
    </w:pPr>
    <w:rPr>
      <w:sz w:val="24"/>
      <w:lang w:val="en-US" w:eastAsia="en-US"/>
    </w:rPr>
  </w:style>
  <w:style w:type="numbering" w:customStyle="1" w:styleId="UCBNumLists">
    <w:name w:val="UCB Num Lists"/>
    <w:rsid w:val="00A25413"/>
    <w:pPr>
      <w:numPr>
        <w:numId w:val="19"/>
      </w:numPr>
    </w:pPr>
  </w:style>
  <w:style w:type="table" w:customStyle="1" w:styleId="TableGrid1">
    <w:name w:val="Table Grid1"/>
    <w:basedOn w:val="TableNormal"/>
    <w:next w:val="TableGrid"/>
    <w:uiPriority w:val="59"/>
    <w:rsid w:val="00A2541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A25413"/>
    <w:rPr>
      <w:sz w:val="20"/>
      <w:szCs w:val="20"/>
    </w:rPr>
  </w:style>
  <w:style w:type="character" w:customStyle="1" w:styleId="FootnoteTextChar">
    <w:name w:val="Footnote Text Char"/>
    <w:basedOn w:val="DefaultParagraphFont"/>
    <w:link w:val="FootnoteText"/>
    <w:semiHidden/>
    <w:rsid w:val="00A25413"/>
    <w:rPr>
      <w:rFonts w:ascii="Calibri" w:hAnsi="Calibri" w:cs="Arial"/>
    </w:rPr>
  </w:style>
  <w:style w:type="character" w:styleId="FootnoteReference">
    <w:name w:val="footnote reference"/>
    <w:basedOn w:val="DefaultParagraphFont"/>
    <w:semiHidden/>
    <w:unhideWhenUsed/>
    <w:rsid w:val="00A25413"/>
    <w:rPr>
      <w:vertAlign w:val="superscript"/>
    </w:rPr>
  </w:style>
  <w:style w:type="character" w:customStyle="1" w:styleId="C-TableCallout">
    <w:name w:val="C-Table Callout"/>
    <w:basedOn w:val="DefaultParagraphFont"/>
    <w:rsid w:val="00A25413"/>
    <w:rPr>
      <w:rFonts w:ascii="Times New Roman" w:hAnsi="Times New Roman"/>
      <w:dstrike w:val="0"/>
      <w:color w:val="auto"/>
      <w:spacing w:val="0"/>
      <w:w w:val="100"/>
      <w:position w:val="0"/>
      <w:sz w:val="22"/>
      <w:szCs w:val="22"/>
      <w:u w:val="none"/>
      <w:effect w:val="none"/>
      <w:vertAlign w:val="superscript"/>
      <w:em w:val="none"/>
    </w:rPr>
  </w:style>
  <w:style w:type="table" w:customStyle="1" w:styleId="Submissionstandard">
    <w:name w:val="Submission standard"/>
    <w:basedOn w:val="TableNormal"/>
    <w:uiPriority w:val="99"/>
    <w:qFormat/>
    <w:rsid w:val="00A25413"/>
    <w:rPr>
      <w:rFonts w:ascii="Arial Narrow" w:eastAsiaTheme="majorEastAsia" w:hAnsi="Arial Narrow" w:cstheme="majorBidi"/>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Marlett" w:hAnsi="Marlett"/>
        <w:b/>
        <w:sz w:val="20"/>
      </w:rPr>
      <w:tblPr/>
      <w:tcPr>
        <w:shd w:val="clear" w:color="auto" w:fill="BFBFBF" w:themeFill="background1" w:themeFillShade="BF"/>
      </w:tcPr>
    </w:tblStylePr>
  </w:style>
  <w:style w:type="character" w:customStyle="1" w:styleId="CaptionFootnoteChar">
    <w:name w:val="Caption Footnote Char"/>
    <w:basedOn w:val="DefaultParagraphFont"/>
    <w:link w:val="CaptionFootnote"/>
    <w:rsid w:val="00A25413"/>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A25413"/>
    <w:rPr>
      <w:rFonts w:asciiTheme="minorHAnsi" w:hAnsiTheme="minorHAnsi" w:cs="Times New Roman"/>
      <w:kern w:val="28"/>
      <w:sz w:val="16"/>
      <w:lang w:eastAsia="en-GB"/>
    </w:rPr>
  </w:style>
  <w:style w:type="paragraph" w:customStyle="1" w:styleId="TableLeft">
    <w:name w:val="Table Left"/>
    <w:basedOn w:val="Normal"/>
    <w:link w:val="TableLeftChar"/>
    <w:uiPriority w:val="99"/>
    <w:qFormat/>
    <w:rsid w:val="00A25413"/>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A25413"/>
    <w:rPr>
      <w:rFonts w:ascii="Calibri" w:eastAsiaTheme="majorEastAsia" w:hAnsi="Calibri" w:cstheme="majorBidi"/>
      <w:sz w:val="18"/>
      <w:szCs w:val="22"/>
      <w:lang w:eastAsia="en-US" w:bidi="en-US"/>
    </w:rPr>
  </w:style>
  <w:style w:type="table" w:customStyle="1" w:styleId="C-Table4">
    <w:name w:val="C-Table4"/>
    <w:basedOn w:val="TableNormal"/>
    <w:rsid w:val="00A25413"/>
    <w:rPr>
      <w:lang w:val="en-US" w:eastAsia="ja-JP"/>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EndNoteBibliographyTitle">
    <w:name w:val="EndNote Bibliography Title"/>
    <w:basedOn w:val="Normal"/>
    <w:link w:val="EndNoteBibliographyTitleChar"/>
    <w:rsid w:val="00C200A4"/>
    <w:pPr>
      <w:jc w:val="center"/>
    </w:pPr>
    <w:rPr>
      <w:rFonts w:ascii="Arial Narrow" w:hAnsi="Arial Narrow"/>
      <w:noProof/>
      <w:sz w:val="18"/>
    </w:rPr>
  </w:style>
  <w:style w:type="character" w:customStyle="1" w:styleId="EndNoteBibliographyTitleChar">
    <w:name w:val="EndNote Bibliography Title Char"/>
    <w:basedOn w:val="ListParagraphChar"/>
    <w:link w:val="EndNoteBibliographyTitle"/>
    <w:rsid w:val="00C200A4"/>
    <w:rPr>
      <w:rFonts w:ascii="Arial Narrow" w:hAnsi="Arial Narrow" w:cs="Arial"/>
      <w:noProof/>
      <w:snapToGrid/>
      <w:sz w:val="18"/>
      <w:szCs w:val="24"/>
    </w:rPr>
  </w:style>
  <w:style w:type="paragraph" w:customStyle="1" w:styleId="EndNoteBibliography">
    <w:name w:val="EndNote Bibliography"/>
    <w:basedOn w:val="Normal"/>
    <w:link w:val="EndNoteBibliographyChar"/>
    <w:rsid w:val="00C200A4"/>
    <w:rPr>
      <w:rFonts w:ascii="Arial Narrow" w:hAnsi="Arial Narrow"/>
      <w:noProof/>
      <w:sz w:val="18"/>
    </w:rPr>
  </w:style>
  <w:style w:type="character" w:customStyle="1" w:styleId="EndNoteBibliographyChar">
    <w:name w:val="EndNote Bibliography Char"/>
    <w:basedOn w:val="ListParagraphChar"/>
    <w:link w:val="EndNoteBibliography"/>
    <w:rsid w:val="00C200A4"/>
    <w:rPr>
      <w:rFonts w:ascii="Arial Narrow" w:hAnsi="Arial Narrow" w:cs="Arial"/>
      <w:noProof/>
      <w:snapToGrid/>
      <w:sz w:val="18"/>
      <w:szCs w:val="24"/>
    </w:rPr>
  </w:style>
  <w:style w:type="paragraph" w:customStyle="1" w:styleId="Default">
    <w:name w:val="Default"/>
    <w:rsid w:val="00AC4DD4"/>
    <w:pPr>
      <w:autoSpaceDE w:val="0"/>
      <w:autoSpaceDN w:val="0"/>
      <w:adjustRightInd w:val="0"/>
    </w:pPr>
    <w:rPr>
      <w:rFonts w:eastAsiaTheme="minorHAnsi"/>
      <w:color w:val="000000"/>
      <w:sz w:val="24"/>
      <w:szCs w:val="24"/>
      <w:lang w:eastAsia="en-US"/>
    </w:rPr>
  </w:style>
  <w:style w:type="paragraph" w:customStyle="1" w:styleId="null">
    <w:name w:val="null"/>
    <w:basedOn w:val="Normal"/>
    <w:rsid w:val="003722CB"/>
    <w:pPr>
      <w:spacing w:before="100" w:beforeAutospacing="1" w:after="100" w:afterAutospacing="1"/>
      <w:jc w:val="left"/>
    </w:pPr>
    <w:rPr>
      <w:rFonts w:ascii="Times New Roman" w:eastAsiaTheme="minorHAnsi" w:hAnsi="Times New Roman" w:cs="Times New Roman"/>
    </w:rPr>
  </w:style>
  <w:style w:type="paragraph" w:customStyle="1" w:styleId="gmail-m-387176696409396518msolistparagraph">
    <w:name w:val="gmail-m_-387176696409396518msolistparagraph"/>
    <w:basedOn w:val="Normal"/>
    <w:rsid w:val="004145D0"/>
    <w:pPr>
      <w:spacing w:before="100" w:beforeAutospacing="1" w:after="100" w:afterAutospacing="1"/>
      <w:jc w:val="left"/>
    </w:pPr>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879785515">
      <w:bodyDiv w:val="1"/>
      <w:marLeft w:val="0"/>
      <w:marRight w:val="0"/>
      <w:marTop w:val="0"/>
      <w:marBottom w:val="0"/>
      <w:divBdr>
        <w:top w:val="none" w:sz="0" w:space="0" w:color="auto"/>
        <w:left w:val="none" w:sz="0" w:space="0" w:color="auto"/>
        <w:bottom w:val="none" w:sz="0" w:space="0" w:color="auto"/>
        <w:right w:val="none" w:sz="0" w:space="0" w:color="auto"/>
      </w:divBdr>
      <w:divsChild>
        <w:div w:id="1260602282">
          <w:marLeft w:val="1166"/>
          <w:marRight w:val="0"/>
          <w:marTop w:val="100"/>
          <w:marBottom w:val="0"/>
          <w:divBdr>
            <w:top w:val="none" w:sz="0" w:space="0" w:color="auto"/>
            <w:left w:val="none" w:sz="0" w:space="0" w:color="auto"/>
            <w:bottom w:val="none" w:sz="0" w:space="0" w:color="auto"/>
            <w:right w:val="none" w:sz="0" w:space="0" w:color="auto"/>
          </w:divBdr>
        </w:div>
        <w:div w:id="435059400">
          <w:marLeft w:val="1166"/>
          <w:marRight w:val="0"/>
          <w:marTop w:val="100"/>
          <w:marBottom w:val="0"/>
          <w:divBdr>
            <w:top w:val="none" w:sz="0" w:space="0" w:color="auto"/>
            <w:left w:val="none" w:sz="0" w:space="0" w:color="auto"/>
            <w:bottom w:val="none" w:sz="0" w:space="0" w:color="auto"/>
            <w:right w:val="none" w:sz="0" w:space="0" w:color="auto"/>
          </w:divBdr>
        </w:div>
        <w:div w:id="1279725450">
          <w:marLeft w:val="1166"/>
          <w:marRight w:val="0"/>
          <w:marTop w:val="100"/>
          <w:marBottom w:val="0"/>
          <w:divBdr>
            <w:top w:val="none" w:sz="0" w:space="0" w:color="auto"/>
            <w:left w:val="none" w:sz="0" w:space="0" w:color="auto"/>
            <w:bottom w:val="none" w:sz="0" w:space="0" w:color="auto"/>
            <w:right w:val="none" w:sz="0" w:space="0" w:color="auto"/>
          </w:divBdr>
        </w:div>
        <w:div w:id="789053700">
          <w:marLeft w:val="1166"/>
          <w:marRight w:val="0"/>
          <w:marTop w:val="100"/>
          <w:marBottom w:val="0"/>
          <w:divBdr>
            <w:top w:val="none" w:sz="0" w:space="0" w:color="auto"/>
            <w:left w:val="none" w:sz="0" w:space="0" w:color="auto"/>
            <w:bottom w:val="none" w:sz="0" w:space="0" w:color="auto"/>
            <w:right w:val="none" w:sz="0" w:space="0" w:color="auto"/>
          </w:divBdr>
        </w:div>
        <w:div w:id="1062868787">
          <w:marLeft w:val="1166"/>
          <w:marRight w:val="0"/>
          <w:marTop w:val="100"/>
          <w:marBottom w:val="0"/>
          <w:divBdr>
            <w:top w:val="none" w:sz="0" w:space="0" w:color="auto"/>
            <w:left w:val="none" w:sz="0" w:space="0" w:color="auto"/>
            <w:bottom w:val="none" w:sz="0" w:space="0" w:color="auto"/>
            <w:right w:val="none" w:sz="0" w:space="0" w:color="auto"/>
          </w:divBdr>
        </w:div>
        <w:div w:id="1667439689">
          <w:marLeft w:val="1166"/>
          <w:marRight w:val="0"/>
          <w:marTop w:val="100"/>
          <w:marBottom w:val="0"/>
          <w:divBdr>
            <w:top w:val="none" w:sz="0" w:space="0" w:color="auto"/>
            <w:left w:val="none" w:sz="0" w:space="0" w:color="auto"/>
            <w:bottom w:val="none" w:sz="0" w:space="0" w:color="auto"/>
            <w:right w:val="none" w:sz="0" w:space="0" w:color="auto"/>
          </w:divBdr>
        </w:div>
      </w:divsChild>
    </w:div>
    <w:div w:id="893276139">
      <w:bodyDiv w:val="1"/>
      <w:marLeft w:val="0"/>
      <w:marRight w:val="0"/>
      <w:marTop w:val="0"/>
      <w:marBottom w:val="0"/>
      <w:divBdr>
        <w:top w:val="none" w:sz="0" w:space="0" w:color="auto"/>
        <w:left w:val="none" w:sz="0" w:space="0" w:color="auto"/>
        <w:bottom w:val="none" w:sz="0" w:space="0" w:color="auto"/>
        <w:right w:val="none" w:sz="0" w:space="0" w:color="auto"/>
      </w:divBdr>
    </w:div>
    <w:div w:id="95305081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365017">
      <w:bodyDiv w:val="1"/>
      <w:marLeft w:val="0"/>
      <w:marRight w:val="0"/>
      <w:marTop w:val="0"/>
      <w:marBottom w:val="0"/>
      <w:divBdr>
        <w:top w:val="none" w:sz="0" w:space="0" w:color="auto"/>
        <w:left w:val="none" w:sz="0" w:space="0" w:color="auto"/>
        <w:bottom w:val="none" w:sz="0" w:space="0" w:color="auto"/>
        <w:right w:val="none" w:sz="0" w:space="0" w:color="auto"/>
      </w:divBdr>
    </w:div>
    <w:div w:id="1718314659">
      <w:bodyDiv w:val="1"/>
      <w:marLeft w:val="0"/>
      <w:marRight w:val="0"/>
      <w:marTop w:val="0"/>
      <w:marBottom w:val="0"/>
      <w:divBdr>
        <w:top w:val="none" w:sz="0" w:space="0" w:color="auto"/>
        <w:left w:val="none" w:sz="0" w:space="0" w:color="auto"/>
        <w:bottom w:val="none" w:sz="0" w:space="0" w:color="auto"/>
        <w:right w:val="none" w:sz="0" w:space="0" w:color="auto"/>
      </w:divBdr>
      <w:divsChild>
        <w:div w:id="1867206370">
          <w:marLeft w:val="360"/>
          <w:marRight w:val="0"/>
          <w:marTop w:val="200"/>
          <w:marBottom w:val="0"/>
          <w:divBdr>
            <w:top w:val="none" w:sz="0" w:space="0" w:color="auto"/>
            <w:left w:val="none" w:sz="0" w:space="0" w:color="auto"/>
            <w:bottom w:val="none" w:sz="0" w:space="0" w:color="auto"/>
            <w:right w:val="none" w:sz="0" w:space="0" w:color="auto"/>
          </w:divBdr>
        </w:div>
      </w:divsChild>
    </w:div>
    <w:div w:id="1809125900">
      <w:bodyDiv w:val="1"/>
      <w:marLeft w:val="0"/>
      <w:marRight w:val="0"/>
      <w:marTop w:val="0"/>
      <w:marBottom w:val="0"/>
      <w:divBdr>
        <w:top w:val="none" w:sz="0" w:space="0" w:color="auto"/>
        <w:left w:val="none" w:sz="0" w:space="0" w:color="auto"/>
        <w:bottom w:val="none" w:sz="0" w:space="0" w:color="auto"/>
        <w:right w:val="none" w:sz="0" w:space="0" w:color="auto"/>
      </w:divBdr>
    </w:div>
    <w:div w:id="192101941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pbs.gov.au/pbs/industry/pricing/pbs-items/therapeutic-relativity-shee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C2589-4615-48B3-8C2B-54DE49D3E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8652</Words>
  <Characters>48327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2021-06-29T05:31:00Z</dcterms:created>
  <dcterms:modified xsi:type="dcterms:W3CDTF">2021-06-29T05:31:00Z</dcterms:modified>
</cp:coreProperties>
</file>