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F86759" w:rsidRDefault="00C030CF" w:rsidP="004A6040">
      <w:pPr>
        <w:pStyle w:val="1-MainHeading"/>
      </w:pPr>
      <w:r w:rsidRPr="00F86759">
        <w:t>5</w:t>
      </w:r>
      <w:r w:rsidR="00433044" w:rsidRPr="00F86759">
        <w:t>.</w:t>
      </w:r>
      <w:r w:rsidRPr="00F86759">
        <w:t>11</w:t>
      </w:r>
      <w:r w:rsidR="00163F66" w:rsidRPr="00F86759">
        <w:tab/>
      </w:r>
      <w:r w:rsidR="0088775F" w:rsidRPr="00F86759">
        <w:t>MELATONIN (</w:t>
      </w:r>
      <w:r w:rsidR="00F9252F" w:rsidRPr="00F86759">
        <w:t>PROLONGED RELEASE</w:t>
      </w:r>
      <w:r w:rsidR="0088775F" w:rsidRPr="00F86759">
        <w:t>)</w:t>
      </w:r>
      <w:r w:rsidR="00F9252F" w:rsidRPr="00F86759">
        <w:t>,</w:t>
      </w:r>
      <w:r w:rsidR="00F9252F" w:rsidRPr="00F86759">
        <w:br/>
        <w:t>1 mg and 5 mg tablets,</w:t>
      </w:r>
      <w:r w:rsidR="00F9252F" w:rsidRPr="00F86759">
        <w:br/>
        <w:t>Slenyto</w:t>
      </w:r>
      <w:r w:rsidR="00F9252F" w:rsidRPr="00F86759">
        <w:rPr>
          <w:vertAlign w:val="superscript"/>
        </w:rPr>
        <w:t>®</w:t>
      </w:r>
      <w:r w:rsidR="00F9252F" w:rsidRPr="00F86759">
        <w:t>,</w:t>
      </w:r>
      <w:r w:rsidR="00F9252F" w:rsidRPr="00F86759">
        <w:br/>
        <w:t>Aspen Pharmacare Australia Pty Ltd</w:t>
      </w:r>
      <w:r w:rsidR="00B60939" w:rsidRPr="00F86759">
        <w:t>.</w:t>
      </w:r>
    </w:p>
    <w:p w:rsidR="00B50DB8" w:rsidRPr="00F86759" w:rsidRDefault="00B50DB8" w:rsidP="004A6040">
      <w:pPr>
        <w:pStyle w:val="2-SectionHeading"/>
      </w:pPr>
      <w:bookmarkStart w:id="0" w:name="_Toc62036840"/>
      <w:r w:rsidRPr="00F86759">
        <w:t xml:space="preserve">Purpose of </w:t>
      </w:r>
      <w:r w:rsidR="00CD7193" w:rsidRPr="00F86759">
        <w:t>s</w:t>
      </w:r>
      <w:r w:rsidR="00BB3A45" w:rsidRPr="00F86759">
        <w:t>ubmission</w:t>
      </w:r>
      <w:bookmarkEnd w:id="0"/>
    </w:p>
    <w:p w:rsidR="002C2775" w:rsidRPr="00F86759" w:rsidRDefault="007170DA" w:rsidP="004E18E9">
      <w:pPr>
        <w:pStyle w:val="ExecSumBodyText"/>
      </w:pPr>
      <w:r w:rsidRPr="00F86759">
        <w:t xml:space="preserve">The submission requested </w:t>
      </w:r>
      <w:r w:rsidR="00804509" w:rsidRPr="00F86759">
        <w:t xml:space="preserve">an Authority Required (Telephone) </w:t>
      </w:r>
      <w:r w:rsidR="008B1757" w:rsidRPr="00F86759">
        <w:t xml:space="preserve">listing for </w:t>
      </w:r>
      <w:r w:rsidR="00804509" w:rsidRPr="00F86759">
        <w:t>prolonged release melatonin (Slenyto)</w:t>
      </w:r>
      <w:r w:rsidR="008B1757" w:rsidRPr="00F86759">
        <w:t xml:space="preserve"> for </w:t>
      </w:r>
      <w:r w:rsidR="0050174E" w:rsidRPr="00F86759">
        <w:t xml:space="preserve">the </w:t>
      </w:r>
      <w:r w:rsidR="008B1757" w:rsidRPr="00F86759">
        <w:t xml:space="preserve">treatment of </w:t>
      </w:r>
      <w:r w:rsidR="00804509" w:rsidRPr="00F86759">
        <w:t xml:space="preserve">insomnia in children aged 2-18 years with Autism Spectrum Disorders (ASD) and/or Smith-Magenis </w:t>
      </w:r>
      <w:r w:rsidR="00C9185E" w:rsidRPr="00F86759">
        <w:t>Syndrome</w:t>
      </w:r>
      <w:r w:rsidR="00804509" w:rsidRPr="00F86759">
        <w:t xml:space="preserve"> (SMS)</w:t>
      </w:r>
      <w:r w:rsidR="008B1757" w:rsidRPr="00F86759">
        <w:t xml:space="preserve">. </w:t>
      </w:r>
    </w:p>
    <w:p w:rsidR="00C2778B" w:rsidRPr="00F86759" w:rsidRDefault="005750C5" w:rsidP="004E18E9">
      <w:pPr>
        <w:pStyle w:val="ExecSumBodyText"/>
      </w:pPr>
      <w:r w:rsidRPr="00F86759">
        <w:t>Listing was requested on the basis of a cost-effectiveness analysis</w:t>
      </w:r>
      <w:r w:rsidR="00804509" w:rsidRPr="00F86759">
        <w:t xml:space="preserve"> (cost per additional responder; cost per responder year). </w:t>
      </w:r>
    </w:p>
    <w:p w:rsidR="00FC4AB1" w:rsidRPr="00F86759" w:rsidRDefault="00FC4AB1" w:rsidP="00FC4AB1">
      <w:pPr>
        <w:pStyle w:val="TableFigureCaption"/>
      </w:pPr>
      <w:r w:rsidRPr="00F86759">
        <w:t>Table 1: Key components of the clinical issue addressed in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FC4AB1" w:rsidRPr="00F86759" w:rsidTr="00FC4AB1">
        <w:tc>
          <w:tcPr>
            <w:tcW w:w="1668" w:type="dxa"/>
            <w:vAlign w:val="center"/>
          </w:tcPr>
          <w:p w:rsidR="00FC4AB1" w:rsidRPr="00F86759" w:rsidRDefault="00FC4AB1" w:rsidP="00FC4AB1">
            <w:pPr>
              <w:pStyle w:val="Tableheadingrow"/>
            </w:pPr>
            <w:r w:rsidRPr="00F86759">
              <w:t>Component</w:t>
            </w:r>
          </w:p>
        </w:tc>
        <w:tc>
          <w:tcPr>
            <w:tcW w:w="7488" w:type="dxa"/>
            <w:vAlign w:val="center"/>
          </w:tcPr>
          <w:p w:rsidR="00FC4AB1" w:rsidRPr="00F86759" w:rsidRDefault="00FC4AB1" w:rsidP="00FC4AB1">
            <w:pPr>
              <w:pStyle w:val="Tableheadingrow"/>
            </w:pPr>
            <w:r w:rsidRPr="00F86759">
              <w:t>Description</w:t>
            </w:r>
          </w:p>
        </w:tc>
      </w:tr>
      <w:tr w:rsidR="00FC4AB1" w:rsidRPr="00F86759" w:rsidTr="00FC4AB1">
        <w:tc>
          <w:tcPr>
            <w:tcW w:w="1668" w:type="dxa"/>
            <w:vAlign w:val="center"/>
          </w:tcPr>
          <w:p w:rsidR="00FC4AB1" w:rsidRPr="00F86759" w:rsidRDefault="00FC4AB1" w:rsidP="00FC4AB1">
            <w:pPr>
              <w:pStyle w:val="TableText"/>
            </w:pPr>
            <w:r w:rsidRPr="00F86759">
              <w:t>Population</w:t>
            </w:r>
          </w:p>
        </w:tc>
        <w:tc>
          <w:tcPr>
            <w:tcW w:w="7488" w:type="dxa"/>
          </w:tcPr>
          <w:p w:rsidR="00FC4AB1" w:rsidRPr="00F86759" w:rsidRDefault="00FC4AB1" w:rsidP="00FC4AB1">
            <w:pPr>
              <w:pStyle w:val="TableText"/>
            </w:pPr>
            <w:r w:rsidRPr="00F86759">
              <w:t>Children aged 2 to 18 years of age diagnosed with ASD and/or SMS with insomnia</w:t>
            </w:r>
          </w:p>
        </w:tc>
      </w:tr>
      <w:tr w:rsidR="00FC4AB1" w:rsidRPr="00F86759" w:rsidTr="00FC4AB1">
        <w:tc>
          <w:tcPr>
            <w:tcW w:w="1668" w:type="dxa"/>
            <w:vAlign w:val="center"/>
          </w:tcPr>
          <w:p w:rsidR="00FC4AB1" w:rsidRPr="00F86759" w:rsidRDefault="00FC4AB1" w:rsidP="00FC4AB1">
            <w:pPr>
              <w:pStyle w:val="TableText"/>
            </w:pPr>
            <w:r w:rsidRPr="00F86759">
              <w:t>Intervention</w:t>
            </w:r>
          </w:p>
        </w:tc>
        <w:tc>
          <w:tcPr>
            <w:tcW w:w="7488" w:type="dxa"/>
          </w:tcPr>
          <w:p w:rsidR="00FC4AB1" w:rsidRPr="00F86759" w:rsidRDefault="00FC4AB1" w:rsidP="00FC4AB1">
            <w:pPr>
              <w:pStyle w:val="TableText"/>
            </w:pPr>
            <w:r w:rsidRPr="00F86759">
              <w:t xml:space="preserve">Prolonged release melatonin </w:t>
            </w:r>
          </w:p>
        </w:tc>
      </w:tr>
      <w:tr w:rsidR="00FC4AB1" w:rsidRPr="00F86759" w:rsidTr="00FC4AB1">
        <w:tc>
          <w:tcPr>
            <w:tcW w:w="1668" w:type="dxa"/>
            <w:vAlign w:val="center"/>
          </w:tcPr>
          <w:p w:rsidR="00FC4AB1" w:rsidRPr="00F86759" w:rsidRDefault="00FC4AB1" w:rsidP="00FC4AB1">
            <w:pPr>
              <w:pStyle w:val="TableText"/>
            </w:pPr>
            <w:r w:rsidRPr="00F86759">
              <w:t>Comparator</w:t>
            </w:r>
          </w:p>
        </w:tc>
        <w:tc>
          <w:tcPr>
            <w:tcW w:w="7488" w:type="dxa"/>
          </w:tcPr>
          <w:p w:rsidR="00FC4AB1" w:rsidRPr="00F86759" w:rsidRDefault="00FC4AB1" w:rsidP="00FC4AB1">
            <w:pPr>
              <w:pStyle w:val="TableText"/>
            </w:pPr>
            <w:r w:rsidRPr="00F86759">
              <w:t xml:space="preserve">Placebo </w:t>
            </w:r>
          </w:p>
        </w:tc>
      </w:tr>
      <w:tr w:rsidR="00FC4AB1" w:rsidRPr="00F86759" w:rsidTr="00FC4AB1">
        <w:tc>
          <w:tcPr>
            <w:tcW w:w="1668" w:type="dxa"/>
            <w:vAlign w:val="center"/>
          </w:tcPr>
          <w:p w:rsidR="00FC4AB1" w:rsidRPr="00F86759" w:rsidRDefault="00FC4AB1" w:rsidP="00FC4AB1">
            <w:pPr>
              <w:pStyle w:val="TableText"/>
            </w:pPr>
            <w:r w:rsidRPr="00F86759">
              <w:t>Outcomes</w:t>
            </w:r>
          </w:p>
        </w:tc>
        <w:tc>
          <w:tcPr>
            <w:tcW w:w="7488" w:type="dxa"/>
          </w:tcPr>
          <w:p w:rsidR="00FC4AB1" w:rsidRPr="00F86759" w:rsidRDefault="00FC4AB1" w:rsidP="00FC4AB1">
            <w:pPr>
              <w:pStyle w:val="TableText"/>
            </w:pPr>
            <w:r w:rsidRPr="00F86759">
              <w:t xml:space="preserve">Increase in total sleep time; reduction in sleep latency; responder in terms of total sleep time and/or sleep latency </w:t>
            </w:r>
          </w:p>
        </w:tc>
      </w:tr>
      <w:tr w:rsidR="00FC4AB1" w:rsidRPr="00F86759" w:rsidTr="00FC4AB1">
        <w:tc>
          <w:tcPr>
            <w:tcW w:w="1668" w:type="dxa"/>
            <w:vAlign w:val="center"/>
          </w:tcPr>
          <w:p w:rsidR="00FC4AB1" w:rsidRPr="00F86759" w:rsidRDefault="00FC4AB1" w:rsidP="00FC4AB1">
            <w:pPr>
              <w:pStyle w:val="TableText"/>
            </w:pPr>
            <w:r w:rsidRPr="00F86759">
              <w:t>Clinical claim</w:t>
            </w:r>
          </w:p>
        </w:tc>
        <w:tc>
          <w:tcPr>
            <w:tcW w:w="7488" w:type="dxa"/>
          </w:tcPr>
          <w:p w:rsidR="00FC4AB1" w:rsidRPr="00F86759" w:rsidRDefault="00FC4AB1" w:rsidP="00FC4AB1">
            <w:pPr>
              <w:pStyle w:val="TableText"/>
            </w:pPr>
            <w:r w:rsidRPr="00F86759">
              <w:t>In patients aged 2-18 years old with ASD and/or SMS, prolonged release melatonin is superior in terms of efficacy compared with placebo for the treatment of insomnia</w:t>
            </w:r>
            <w:r w:rsidR="00CE5B29">
              <w:t xml:space="preserve">. The submission did not make a claim regarding comparative safety. </w:t>
            </w:r>
          </w:p>
        </w:tc>
      </w:tr>
    </w:tbl>
    <w:p w:rsidR="00FC4AB1" w:rsidRPr="00F86759" w:rsidRDefault="00FC4AB1" w:rsidP="00FC4AB1">
      <w:pPr>
        <w:pStyle w:val="TableFigureFooter"/>
      </w:pPr>
      <w:r w:rsidRPr="00F86759">
        <w:t>Source: Table 1.1, p.12 of the submission</w:t>
      </w:r>
    </w:p>
    <w:p w:rsidR="004E43B2" w:rsidRPr="00F86759" w:rsidRDefault="00FC4AB1" w:rsidP="00FC4AB1">
      <w:pPr>
        <w:pStyle w:val="TableFigureFooter"/>
      </w:pPr>
      <w:r w:rsidRPr="00F86759">
        <w:t>Abbreviations: ASD, Autism Spectrum Disorders; SMS, Smith-Magenis Syndrome</w:t>
      </w:r>
    </w:p>
    <w:p w:rsidR="005C25FF" w:rsidRPr="00F86759" w:rsidRDefault="005C25FF" w:rsidP="004A6040">
      <w:pPr>
        <w:pStyle w:val="2-SectionHeading"/>
      </w:pPr>
      <w:bookmarkStart w:id="1" w:name="_Toc62036841"/>
      <w:r w:rsidRPr="00F86759">
        <w:t>Background</w:t>
      </w:r>
      <w:bookmarkEnd w:id="1"/>
    </w:p>
    <w:p w:rsidR="005C25FF" w:rsidRPr="00F86759" w:rsidRDefault="005C25FF" w:rsidP="004A6040">
      <w:pPr>
        <w:pStyle w:val="3-SubsectionHeading"/>
      </w:pPr>
      <w:bookmarkStart w:id="2" w:name="_Toc22897638"/>
      <w:bookmarkStart w:id="3" w:name="_Toc62036842"/>
      <w:r w:rsidRPr="00F86759">
        <w:t>Registration status</w:t>
      </w:r>
      <w:bookmarkEnd w:id="2"/>
      <w:bookmarkEnd w:id="3"/>
    </w:p>
    <w:p w:rsidR="005C25FF" w:rsidRPr="00F86759" w:rsidRDefault="00FC4AB1" w:rsidP="00FC4AB1">
      <w:pPr>
        <w:pStyle w:val="ExecSumBodyText"/>
      </w:pPr>
      <w:r w:rsidRPr="00F86759">
        <w:t xml:space="preserve">Prolonged release melatonin was approved by the TGA on </w:t>
      </w:r>
      <w:r w:rsidR="00D03271" w:rsidRPr="00F86759">
        <w:t xml:space="preserve">22 </w:t>
      </w:r>
      <w:r w:rsidRPr="00F86759">
        <w:t>May</w:t>
      </w:r>
      <w:r w:rsidR="00D03271" w:rsidRPr="00F86759">
        <w:t xml:space="preserve"> </w:t>
      </w:r>
      <w:r w:rsidRPr="00F86759">
        <w:t>2020 for the treatment of insomnia in children and adolescents aged 2-18 with Autism Spectrum Disorder (ASD) and/or Smith-Magenis syndrome, where sleep hygiene measures have been insufficient.</w:t>
      </w:r>
    </w:p>
    <w:p w:rsidR="00B60939" w:rsidRDefault="00B50DB8" w:rsidP="004E18E9">
      <w:pPr>
        <w:pStyle w:val="2-SectionHeading"/>
      </w:pPr>
      <w:bookmarkStart w:id="4" w:name="_Toc62036843"/>
      <w:r w:rsidRPr="00F86759">
        <w:t>Requested listing</w:t>
      </w:r>
      <w:bookmarkEnd w:id="4"/>
    </w:p>
    <w:p w:rsidR="000948CB" w:rsidRPr="006724DC" w:rsidRDefault="006724DC" w:rsidP="006724DC">
      <w:pPr>
        <w:pStyle w:val="ExecSumBodyText"/>
      </w:pPr>
      <w:r w:rsidRPr="006724DC">
        <w:t>The requested listing is presented below. Suggested additions proposed by the Secretariat are in italics and suggested deletions are crossed out with strikethrough.</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67"/>
        <w:gridCol w:w="1350"/>
        <w:gridCol w:w="1328"/>
        <w:gridCol w:w="947"/>
        <w:gridCol w:w="1680"/>
        <w:gridCol w:w="1764"/>
      </w:tblGrid>
      <w:tr w:rsidR="00FC4AB1" w:rsidRPr="00F86759" w:rsidTr="00FC4AB1">
        <w:tc>
          <w:tcPr>
            <w:tcW w:w="0" w:type="auto"/>
            <w:tcBorders>
              <w:bottom w:val="single" w:sz="4" w:space="0" w:color="auto"/>
            </w:tcBorders>
          </w:tcPr>
          <w:p w:rsidR="00FC4AB1" w:rsidRPr="00F86759" w:rsidRDefault="00FC4AB1" w:rsidP="00FC4AB1">
            <w:pPr>
              <w:pStyle w:val="TableFigureCaption"/>
            </w:pPr>
            <w:r w:rsidRPr="00F86759">
              <w:lastRenderedPageBreak/>
              <w:t>Name, restriction, manner of administration, form</w:t>
            </w:r>
          </w:p>
        </w:tc>
        <w:tc>
          <w:tcPr>
            <w:tcW w:w="0" w:type="auto"/>
            <w:tcBorders>
              <w:bottom w:val="single" w:sz="4" w:space="0" w:color="auto"/>
            </w:tcBorders>
          </w:tcPr>
          <w:p w:rsidR="00FC4AB1" w:rsidRPr="00F86759" w:rsidRDefault="00FC4AB1" w:rsidP="00FC4AB1">
            <w:pPr>
              <w:pStyle w:val="TableFigureCaption"/>
              <w:jc w:val="center"/>
            </w:pPr>
            <w:r w:rsidRPr="00F86759">
              <w:t>Maximum quantity (packs)</w:t>
            </w:r>
          </w:p>
        </w:tc>
        <w:tc>
          <w:tcPr>
            <w:tcW w:w="0" w:type="auto"/>
            <w:tcBorders>
              <w:bottom w:val="single" w:sz="4" w:space="0" w:color="auto"/>
            </w:tcBorders>
          </w:tcPr>
          <w:p w:rsidR="00FC4AB1" w:rsidRPr="00F86759" w:rsidRDefault="00FC4AB1" w:rsidP="00FC4AB1">
            <w:pPr>
              <w:pStyle w:val="TableFigureCaption"/>
              <w:jc w:val="center"/>
            </w:pPr>
            <w:r w:rsidRPr="00F86759">
              <w:t>Maximum quantity (units)</w:t>
            </w:r>
          </w:p>
        </w:tc>
        <w:tc>
          <w:tcPr>
            <w:tcW w:w="0" w:type="auto"/>
            <w:tcBorders>
              <w:bottom w:val="single" w:sz="4" w:space="0" w:color="auto"/>
            </w:tcBorders>
          </w:tcPr>
          <w:p w:rsidR="00FC4AB1" w:rsidRPr="00F86759" w:rsidRDefault="00FC4AB1" w:rsidP="00FC4AB1">
            <w:pPr>
              <w:pStyle w:val="TableFigureCaption"/>
              <w:jc w:val="center"/>
            </w:pPr>
            <w:r w:rsidRPr="00F86759">
              <w:t>No. of repeats</w:t>
            </w:r>
          </w:p>
        </w:tc>
        <w:tc>
          <w:tcPr>
            <w:tcW w:w="0" w:type="auto"/>
            <w:tcBorders>
              <w:bottom w:val="single" w:sz="4" w:space="0" w:color="auto"/>
            </w:tcBorders>
          </w:tcPr>
          <w:p w:rsidR="00FC4AB1" w:rsidRPr="00F86759" w:rsidRDefault="00FC4AB1" w:rsidP="00FC4AB1">
            <w:pPr>
              <w:pStyle w:val="TableFigureCaption"/>
              <w:jc w:val="center"/>
            </w:pPr>
            <w:r w:rsidRPr="00F86759">
              <w:t>Dispensed price for maximum quantity</w:t>
            </w:r>
          </w:p>
        </w:tc>
        <w:tc>
          <w:tcPr>
            <w:tcW w:w="0" w:type="auto"/>
          </w:tcPr>
          <w:p w:rsidR="00FC4AB1" w:rsidRPr="00F86759" w:rsidRDefault="00FC4AB1" w:rsidP="00FC4AB1">
            <w:pPr>
              <w:pStyle w:val="TableFigureCaption"/>
              <w:jc w:val="center"/>
            </w:pPr>
            <w:r w:rsidRPr="00F86759">
              <w:t>Proprietary name and manufacturer</w:t>
            </w:r>
          </w:p>
        </w:tc>
      </w:tr>
      <w:tr w:rsidR="00FC4AB1" w:rsidRPr="00F86759" w:rsidTr="00FC4AB1">
        <w:tc>
          <w:tcPr>
            <w:tcW w:w="0" w:type="auto"/>
            <w:tcBorders>
              <w:bottom w:val="nil"/>
            </w:tcBorders>
            <w:vAlign w:val="center"/>
          </w:tcPr>
          <w:p w:rsidR="00FC4AB1" w:rsidRPr="00F86759" w:rsidRDefault="00FC4AB1" w:rsidP="00FC4AB1">
            <w:pPr>
              <w:pStyle w:val="TableText"/>
            </w:pPr>
            <w:r w:rsidRPr="00F86759">
              <w:rPr>
                <w:smallCaps/>
              </w:rPr>
              <w:t>Prolonged release melatonin</w:t>
            </w:r>
          </w:p>
          <w:p w:rsidR="00FC4AB1" w:rsidRPr="00F86759" w:rsidRDefault="00FC4AB1" w:rsidP="00FC4AB1">
            <w:pPr>
              <w:pStyle w:val="TableText"/>
              <w:rPr>
                <w:b/>
              </w:rPr>
            </w:pPr>
            <w:r w:rsidRPr="00F86759">
              <w:t>1 mg tablet, 60</w:t>
            </w:r>
          </w:p>
        </w:tc>
        <w:tc>
          <w:tcPr>
            <w:tcW w:w="0" w:type="auto"/>
            <w:tcBorders>
              <w:bottom w:val="nil"/>
            </w:tcBorders>
            <w:vAlign w:val="bottom"/>
          </w:tcPr>
          <w:p w:rsidR="00FC4AB1" w:rsidRPr="00F86759" w:rsidRDefault="00FC4AB1" w:rsidP="00FC4AB1">
            <w:pPr>
              <w:pStyle w:val="TableText"/>
              <w:jc w:val="center"/>
            </w:pPr>
            <w:r w:rsidRPr="00F86759">
              <w:t>1</w:t>
            </w:r>
          </w:p>
        </w:tc>
        <w:tc>
          <w:tcPr>
            <w:tcW w:w="0" w:type="auto"/>
            <w:tcBorders>
              <w:bottom w:val="nil"/>
            </w:tcBorders>
            <w:vAlign w:val="bottom"/>
          </w:tcPr>
          <w:p w:rsidR="00FC4AB1" w:rsidRPr="00F86759" w:rsidRDefault="00FC4AB1" w:rsidP="00FC4AB1">
            <w:pPr>
              <w:pStyle w:val="TableText"/>
              <w:jc w:val="center"/>
            </w:pPr>
            <w:r w:rsidRPr="00F86759">
              <w:t>60</w:t>
            </w:r>
          </w:p>
        </w:tc>
        <w:tc>
          <w:tcPr>
            <w:tcW w:w="0" w:type="auto"/>
            <w:tcBorders>
              <w:bottom w:val="nil"/>
            </w:tcBorders>
            <w:vAlign w:val="bottom"/>
          </w:tcPr>
          <w:p w:rsidR="00FC4AB1" w:rsidRPr="00F86759" w:rsidRDefault="00FC4AB1" w:rsidP="00FC4AB1">
            <w:pPr>
              <w:pStyle w:val="TableText"/>
              <w:jc w:val="center"/>
            </w:pPr>
            <w:r w:rsidRPr="00F86759">
              <w:t>5</w:t>
            </w:r>
          </w:p>
        </w:tc>
        <w:tc>
          <w:tcPr>
            <w:tcW w:w="0" w:type="auto"/>
            <w:tcBorders>
              <w:bottom w:val="nil"/>
            </w:tcBorders>
            <w:shd w:val="clear" w:color="auto" w:fill="auto"/>
            <w:vAlign w:val="bottom"/>
          </w:tcPr>
          <w:p w:rsidR="00FC4AB1" w:rsidRPr="00F86759" w:rsidRDefault="00FC4AB1" w:rsidP="00FC4AB1">
            <w:pPr>
              <w:pStyle w:val="TableText"/>
              <w:jc w:val="center"/>
            </w:pPr>
            <w:r w:rsidRPr="00F86759">
              <w:t>$</w:t>
            </w:r>
            <w:r w:rsidR="00244F04">
              <w:rPr>
                <w:noProof/>
                <w:color w:val="000000"/>
                <w:highlight w:val="black"/>
              </w:rPr>
              <w:t>''''''''''''</w:t>
            </w:r>
          </w:p>
        </w:tc>
        <w:tc>
          <w:tcPr>
            <w:tcW w:w="0" w:type="auto"/>
            <w:vMerge w:val="restart"/>
            <w:vAlign w:val="center"/>
          </w:tcPr>
          <w:p w:rsidR="00FC4AB1" w:rsidRPr="00F86759" w:rsidRDefault="00FC4AB1" w:rsidP="00FC4AB1">
            <w:pPr>
              <w:pStyle w:val="TableText"/>
              <w:jc w:val="center"/>
              <w:rPr>
                <w:rFonts w:ascii="Times" w:hAnsi="Times"/>
              </w:rPr>
            </w:pPr>
            <w:r w:rsidRPr="00F86759">
              <w:t>Slenyto</w:t>
            </w:r>
            <w:r w:rsidRPr="00F86759">
              <w:rPr>
                <w:vertAlign w:val="superscript"/>
              </w:rPr>
              <w:t xml:space="preserve">® </w:t>
            </w:r>
            <w:r w:rsidR="0007601C" w:rsidRPr="00F86759">
              <w:rPr>
                <w:vertAlign w:val="superscript"/>
              </w:rPr>
              <w:br/>
            </w:r>
            <w:r w:rsidRPr="00F86759">
              <w:t>Aspen Pharmacare Australia Pty Ltd</w:t>
            </w:r>
          </w:p>
          <w:p w:rsidR="00FC4AB1" w:rsidRPr="00F86759" w:rsidRDefault="00FC4AB1" w:rsidP="00FC4AB1">
            <w:pPr>
              <w:pStyle w:val="TableText"/>
              <w:jc w:val="center"/>
              <w:rPr>
                <w:rFonts w:ascii="Times" w:hAnsi="Times"/>
              </w:rPr>
            </w:pPr>
          </w:p>
        </w:tc>
      </w:tr>
      <w:tr w:rsidR="00FC4AB1" w:rsidRPr="00F86759" w:rsidTr="00FC4AB1">
        <w:tc>
          <w:tcPr>
            <w:tcW w:w="0" w:type="auto"/>
            <w:tcBorders>
              <w:top w:val="nil"/>
            </w:tcBorders>
            <w:vAlign w:val="center"/>
          </w:tcPr>
          <w:p w:rsidR="00FC4AB1" w:rsidRPr="00F86759" w:rsidRDefault="00FC4AB1" w:rsidP="00FC4AB1">
            <w:pPr>
              <w:pStyle w:val="TableText"/>
            </w:pPr>
            <w:r w:rsidRPr="00F86759">
              <w:t>5 mg tablet, 30</w:t>
            </w:r>
          </w:p>
        </w:tc>
        <w:tc>
          <w:tcPr>
            <w:tcW w:w="0" w:type="auto"/>
            <w:tcBorders>
              <w:top w:val="nil"/>
            </w:tcBorders>
            <w:vAlign w:val="bottom"/>
          </w:tcPr>
          <w:p w:rsidR="00FC4AB1" w:rsidRPr="00F86759" w:rsidRDefault="00FC4AB1" w:rsidP="00FC4AB1">
            <w:pPr>
              <w:pStyle w:val="TableText"/>
              <w:jc w:val="center"/>
            </w:pPr>
            <w:r w:rsidRPr="00F86759">
              <w:t>1</w:t>
            </w:r>
          </w:p>
        </w:tc>
        <w:tc>
          <w:tcPr>
            <w:tcW w:w="0" w:type="auto"/>
            <w:tcBorders>
              <w:top w:val="nil"/>
            </w:tcBorders>
            <w:vAlign w:val="bottom"/>
          </w:tcPr>
          <w:p w:rsidR="00FC4AB1" w:rsidRPr="00F86759" w:rsidRDefault="00FC4AB1" w:rsidP="00FC4AB1">
            <w:pPr>
              <w:pStyle w:val="TableText"/>
              <w:jc w:val="center"/>
            </w:pPr>
            <w:r w:rsidRPr="00F86759">
              <w:t>30</w:t>
            </w:r>
          </w:p>
        </w:tc>
        <w:tc>
          <w:tcPr>
            <w:tcW w:w="0" w:type="auto"/>
            <w:tcBorders>
              <w:top w:val="nil"/>
            </w:tcBorders>
            <w:vAlign w:val="bottom"/>
          </w:tcPr>
          <w:p w:rsidR="00FC4AB1" w:rsidRPr="00F86759" w:rsidRDefault="00FC4AB1" w:rsidP="00FC4AB1">
            <w:pPr>
              <w:pStyle w:val="TableText"/>
              <w:jc w:val="center"/>
            </w:pPr>
            <w:r w:rsidRPr="00F86759">
              <w:t>5</w:t>
            </w:r>
          </w:p>
        </w:tc>
        <w:tc>
          <w:tcPr>
            <w:tcW w:w="0" w:type="auto"/>
            <w:tcBorders>
              <w:top w:val="nil"/>
            </w:tcBorders>
            <w:vAlign w:val="bottom"/>
          </w:tcPr>
          <w:p w:rsidR="00FC4AB1" w:rsidRPr="00F86759" w:rsidRDefault="00FC4AB1" w:rsidP="00FC4AB1">
            <w:pPr>
              <w:pStyle w:val="TableText"/>
              <w:jc w:val="center"/>
            </w:pPr>
            <w:r w:rsidRPr="00F86759">
              <w:t>$</w:t>
            </w:r>
            <w:r w:rsidR="00244F04">
              <w:rPr>
                <w:noProof/>
                <w:color w:val="000000"/>
                <w:highlight w:val="black"/>
              </w:rPr>
              <w:t>'''''''''''''''''</w:t>
            </w:r>
          </w:p>
        </w:tc>
        <w:tc>
          <w:tcPr>
            <w:tcW w:w="0" w:type="auto"/>
            <w:vMerge/>
            <w:vAlign w:val="center"/>
          </w:tcPr>
          <w:p w:rsidR="00FC4AB1" w:rsidRPr="00F86759" w:rsidRDefault="00FC4AB1" w:rsidP="00FC4AB1">
            <w:pPr>
              <w:pStyle w:val="TableText"/>
            </w:pPr>
          </w:p>
        </w:tc>
      </w:tr>
    </w:tbl>
    <w:p w:rsidR="00FC4AB1" w:rsidRDefault="00FC4AB1" w:rsidP="00FC4AB1">
      <w:pPr>
        <w:pStyle w:val="TableFigureCaption"/>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08"/>
      </w:tblGrid>
      <w:tr w:rsidR="000948CB" w:rsidRPr="00F86759" w:rsidTr="00D61A4E">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sz w:val="18"/>
                <w:szCs w:val="18"/>
              </w:rPr>
            </w:pPr>
            <w:r w:rsidRPr="00F86759">
              <w:rPr>
                <w:rFonts w:ascii="Arial Narrow" w:hAnsi="Arial Narrow"/>
                <w:b/>
                <w:sz w:val="18"/>
                <w:szCs w:val="18"/>
              </w:rPr>
              <w:t xml:space="preserve">Category / Program:   </w:t>
            </w:r>
          </w:p>
          <w:p w:rsidR="000948CB" w:rsidRPr="00F86759" w:rsidRDefault="000948CB" w:rsidP="005A5C2D">
            <w:pPr>
              <w:rPr>
                <w:rFonts w:ascii="Arial Narrow" w:hAnsi="Arial Narrow"/>
                <w:sz w:val="18"/>
                <w:szCs w:val="18"/>
              </w:rPr>
            </w:pPr>
            <w:r w:rsidRPr="00F86759">
              <w:rPr>
                <w:rFonts w:ascii="Arial Narrow" w:hAnsi="Arial Narrow"/>
                <w:sz w:val="18"/>
                <w:szCs w:val="18"/>
              </w:rPr>
              <w:t xml:space="preserve">GENERAL – General Schedule (Code GE) </w:t>
            </w:r>
          </w:p>
        </w:tc>
      </w:tr>
      <w:tr w:rsidR="000948CB" w:rsidRPr="00F86759" w:rsidTr="00D61A4E">
        <w:trPr>
          <w:trHeight w:val="366"/>
        </w:trPr>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sz w:val="18"/>
                <w:szCs w:val="18"/>
              </w:rPr>
            </w:pPr>
            <w:r w:rsidRPr="00F86759">
              <w:rPr>
                <w:rFonts w:ascii="Arial Narrow" w:hAnsi="Arial Narrow"/>
                <w:b/>
                <w:sz w:val="18"/>
                <w:szCs w:val="18"/>
              </w:rPr>
              <w:t xml:space="preserve">Prescriber type:  </w:t>
            </w: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Dental  </w:t>
            </w:r>
            <w:r w:rsidRPr="00F86759">
              <w:rPr>
                <w:rFonts w:ascii="Arial Narrow" w:hAnsi="Arial Narrow"/>
                <w:sz w:val="18"/>
                <w:szCs w:val="18"/>
              </w:rPr>
              <w:fldChar w:fldCharType="begin">
                <w:ffData>
                  <w:name w:val=""/>
                  <w:enabled/>
                  <w:calcOnExit w:val="0"/>
                  <w:checkBox>
                    <w:sizeAuto/>
                    <w:default w:val="1"/>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Medical Practitioners  </w:t>
            </w:r>
            <w:r w:rsidRPr="00F86759">
              <w:rPr>
                <w:rFonts w:ascii="Arial Narrow" w:hAnsi="Arial Narrow"/>
                <w:sz w:val="18"/>
                <w:szCs w:val="18"/>
              </w:rPr>
              <w:fldChar w:fldCharType="begin">
                <w:ffData>
                  <w:name w:val="Check3"/>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Nurse practitioners  </w:t>
            </w: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Optometrists    </w:t>
            </w:r>
            <w:r w:rsidRPr="00F86759">
              <w:rPr>
                <w:rFonts w:ascii="Arial Narrow" w:hAnsi="Arial Narrow"/>
                <w:sz w:val="18"/>
                <w:szCs w:val="18"/>
              </w:rPr>
              <w:fldChar w:fldCharType="begin">
                <w:ffData>
                  <w:name w:val="Check5"/>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Midwives</w:t>
            </w:r>
          </w:p>
        </w:tc>
      </w:tr>
      <w:tr w:rsidR="000948CB" w:rsidRPr="00F86759" w:rsidTr="00D61A4E">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b/>
                <w:sz w:val="18"/>
                <w:szCs w:val="18"/>
              </w:rPr>
            </w:pPr>
            <w:r w:rsidRPr="00F86759">
              <w:rPr>
                <w:rFonts w:ascii="Arial Narrow" w:hAnsi="Arial Narrow"/>
                <w:b/>
                <w:sz w:val="18"/>
                <w:szCs w:val="18"/>
              </w:rPr>
              <w:t>Restriction Level / Method:</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Unrestricted benefit</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Restricted benefit</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In Writing</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3"/>
                  <w:enabled/>
                  <w:calcOnExit w:val="0"/>
                  <w:checkBox>
                    <w:sizeAuto/>
                    <w:default w:val="1"/>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Telephone/Electronic/Emergency</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Streamlined</w:t>
            </w:r>
          </w:p>
        </w:tc>
      </w:tr>
      <w:tr w:rsidR="000948CB" w:rsidRPr="00F86759" w:rsidTr="00D61A4E">
        <w:tc>
          <w:tcPr>
            <w:tcW w:w="5000" w:type="pct"/>
            <w:vAlign w:val="center"/>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Administrative Advice:</w:t>
            </w:r>
          </w:p>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No increase in the maximum number of repeats may be authorised.</w:t>
            </w:r>
          </w:p>
        </w:tc>
      </w:tr>
      <w:tr w:rsidR="000948CB" w:rsidRPr="00F86759" w:rsidTr="00D61A4E">
        <w:tc>
          <w:tcPr>
            <w:tcW w:w="5000" w:type="pct"/>
            <w:vAlign w:val="center"/>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Administrative Advice:</w:t>
            </w:r>
          </w:p>
          <w:p w:rsidR="000948CB" w:rsidRPr="00F86759" w:rsidRDefault="000948CB" w:rsidP="005A5C2D">
            <w:pPr>
              <w:rPr>
                <w:rFonts w:ascii="Arial Narrow" w:hAnsi="Arial Narrow"/>
                <w:b/>
                <w:bCs/>
                <w:color w:val="333333"/>
                <w:sz w:val="18"/>
                <w:szCs w:val="18"/>
              </w:rPr>
            </w:pPr>
            <w:r w:rsidRPr="00F86759">
              <w:rPr>
                <w:rFonts w:ascii="Arial Narrow" w:hAnsi="Arial Narrow"/>
                <w:color w:val="333333"/>
                <w:sz w:val="18"/>
                <w:szCs w:val="18"/>
              </w:rPr>
              <w:t>Applications for authorisation under this restriction may be made in real time using the Online PBS Authorities system (see www.servicesaustralia.gov.au/HPOS)</w:t>
            </w:r>
            <w:r w:rsidR="00B816DD">
              <w:rPr>
                <w:rFonts w:ascii="Arial Narrow" w:hAnsi="Arial Narrow"/>
                <w:color w:val="333333"/>
                <w:sz w:val="18"/>
                <w:szCs w:val="18"/>
              </w:rPr>
              <w:t xml:space="preserve"> </w:t>
            </w:r>
            <w:r w:rsidRPr="00F86759">
              <w:rPr>
                <w:rFonts w:ascii="Arial Narrow" w:hAnsi="Arial Narrow"/>
                <w:color w:val="333333"/>
                <w:sz w:val="18"/>
                <w:szCs w:val="18"/>
              </w:rPr>
              <w:t>or by telephone by contacting Services Australia on 1800 888 333 (hours of operation 8 a.m. to 5 p.m. EST Monday to Friday).</w:t>
            </w:r>
          </w:p>
        </w:tc>
      </w:tr>
      <w:tr w:rsidR="000948CB" w:rsidRPr="00F86759" w:rsidTr="00D61A4E">
        <w:tc>
          <w:tcPr>
            <w:tcW w:w="5000" w:type="pct"/>
            <w:vAlign w:val="center"/>
          </w:tcPr>
          <w:p w:rsidR="000948CB" w:rsidRPr="00F86759" w:rsidRDefault="000948CB" w:rsidP="005A5C2D">
            <w:pPr>
              <w:rPr>
                <w:rFonts w:ascii="Arial Narrow" w:hAnsi="Arial Narrow"/>
                <w:b/>
                <w:bCs/>
                <w:color w:val="333333"/>
                <w:sz w:val="18"/>
                <w:szCs w:val="18"/>
              </w:rPr>
            </w:pPr>
            <w:r w:rsidRPr="00F86759">
              <w:rPr>
                <w:rFonts w:ascii="Arial Narrow" w:hAnsi="Arial Narrow"/>
                <w:b/>
                <w:bCs/>
                <w:color w:val="333333"/>
                <w:sz w:val="18"/>
                <w:szCs w:val="18"/>
              </w:rPr>
              <w:t xml:space="preserve">Condition: </w:t>
            </w:r>
            <w:r w:rsidRPr="00F86759">
              <w:rPr>
                <w:rFonts w:ascii="Arial Narrow" w:hAnsi="Arial Narrow"/>
                <w:bCs/>
                <w:color w:val="333333"/>
                <w:sz w:val="18"/>
                <w:szCs w:val="18"/>
              </w:rPr>
              <w:t>Insomnia</w:t>
            </w:r>
          </w:p>
        </w:tc>
      </w:tr>
      <w:tr w:rsidR="000948CB" w:rsidRPr="00F86759" w:rsidTr="00D61A4E">
        <w:tc>
          <w:tcPr>
            <w:tcW w:w="5000" w:type="pct"/>
            <w:vAlign w:val="center"/>
            <w:hideMark/>
          </w:tcPr>
          <w:p w:rsidR="000948CB" w:rsidRPr="00F86759" w:rsidRDefault="000948CB" w:rsidP="005A5C2D">
            <w:pPr>
              <w:rPr>
                <w:rFonts w:ascii="Arial Narrow" w:hAnsi="Arial Narrow"/>
                <w:bCs/>
                <w:color w:val="333333"/>
                <w:sz w:val="18"/>
                <w:szCs w:val="18"/>
              </w:rPr>
            </w:pPr>
            <w:r w:rsidRPr="00F86759">
              <w:rPr>
                <w:rFonts w:ascii="Arial Narrow" w:hAnsi="Arial Narrow"/>
                <w:b/>
                <w:bCs/>
                <w:color w:val="333333"/>
                <w:sz w:val="18"/>
                <w:szCs w:val="18"/>
              </w:rPr>
              <w:t xml:space="preserve">Indication: </w:t>
            </w:r>
            <w:r w:rsidRPr="00F86759">
              <w:rPr>
                <w:rFonts w:ascii="Arial Narrow" w:hAnsi="Arial Narrow"/>
                <w:bCs/>
                <w:color w:val="333333"/>
                <w:sz w:val="18"/>
                <w:szCs w:val="18"/>
              </w:rPr>
              <w:t>Insomnia</w:t>
            </w:r>
          </w:p>
          <w:p w:rsidR="000948CB" w:rsidRPr="00F86759" w:rsidRDefault="000948CB" w:rsidP="005A5C2D">
            <w:pPr>
              <w:rPr>
                <w:rFonts w:ascii="Arial Narrow" w:hAnsi="Arial Narrow"/>
                <w:strike/>
                <w:color w:val="333333"/>
                <w:sz w:val="18"/>
                <w:szCs w:val="18"/>
              </w:rPr>
            </w:pPr>
            <w:r w:rsidRPr="00F86759">
              <w:rPr>
                <w:rFonts w:ascii="Arial Narrow" w:hAnsi="Arial Narrow"/>
                <w:color w:val="333333"/>
                <w:sz w:val="18"/>
                <w:szCs w:val="18"/>
              </w:rPr>
              <w:t xml:space="preserve"> </w:t>
            </w:r>
            <w:r w:rsidRPr="00F86759">
              <w:rPr>
                <w:rFonts w:ascii="Arial Narrow" w:hAnsi="Arial Narrow"/>
                <w:strike/>
                <w:color w:val="333333"/>
                <w:sz w:val="18"/>
                <w:szCs w:val="18"/>
              </w:rPr>
              <w:t>For the treatment of insomnia in children and adolescents aged 2-18 with Autism Spectrum Disorder (ASD) and / or Smith-Magenis syndrome, where sleep hygiene measures have been insufficient.</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Treatment Phase:</w:t>
            </w:r>
            <w:r w:rsidRPr="00F86759">
              <w:rPr>
                <w:rFonts w:ascii="Arial Narrow" w:hAnsi="Arial Narrow"/>
                <w:color w:val="333333"/>
                <w:sz w:val="18"/>
                <w:szCs w:val="18"/>
              </w:rPr>
              <w:t xml:space="preserve"> Initial</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Clinical criteria:</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Patient must have autism spectrum disorder; OR</w:t>
            </w:r>
          </w:p>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Patient must have Smith-Magenis Syndrome</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AND</w:t>
            </w:r>
          </w:p>
        </w:tc>
      </w:tr>
      <w:tr w:rsidR="000948CB" w:rsidRPr="00F86759" w:rsidTr="00D61A4E">
        <w:tc>
          <w:tcPr>
            <w:tcW w:w="5000" w:type="pct"/>
            <w:vAlign w:val="center"/>
          </w:tcPr>
          <w:p w:rsidR="000948CB" w:rsidRPr="00F86759" w:rsidRDefault="000948CB" w:rsidP="005A5C2D">
            <w:pPr>
              <w:rPr>
                <w:rFonts w:ascii="Arial Narrow" w:hAnsi="Arial Narrow"/>
                <w:b/>
                <w:bCs/>
                <w:color w:val="333333"/>
                <w:sz w:val="18"/>
                <w:szCs w:val="18"/>
              </w:rPr>
            </w:pPr>
            <w:r w:rsidRPr="00F86759">
              <w:rPr>
                <w:rFonts w:ascii="Arial Narrow" w:hAnsi="Arial Narrow"/>
                <w:b/>
                <w:bCs/>
                <w:color w:val="333333"/>
                <w:sz w:val="18"/>
                <w:szCs w:val="18"/>
              </w:rPr>
              <w:t>Clinical criteria:</w:t>
            </w:r>
          </w:p>
        </w:tc>
      </w:tr>
      <w:tr w:rsidR="000948CB" w:rsidRPr="00F86759" w:rsidTr="00D61A4E">
        <w:tc>
          <w:tcPr>
            <w:tcW w:w="5000" w:type="pct"/>
            <w:vAlign w:val="center"/>
          </w:tcPr>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Patient must have failed to achieve an adequate response to sleep hygiene measures</w:t>
            </w:r>
          </w:p>
          <w:p w:rsidR="000948CB" w:rsidRPr="00F86759" w:rsidRDefault="000948CB" w:rsidP="005A5C2D">
            <w:pPr>
              <w:rPr>
                <w:rFonts w:ascii="Arial Narrow" w:hAnsi="Arial Narrow"/>
                <w:bCs/>
                <w:strike/>
                <w:color w:val="333333"/>
                <w:sz w:val="18"/>
                <w:szCs w:val="18"/>
              </w:rPr>
            </w:pPr>
            <w:r w:rsidRPr="00F86759">
              <w:rPr>
                <w:rFonts w:ascii="Arial Narrow" w:hAnsi="Arial Narrow"/>
                <w:bCs/>
                <w:strike/>
                <w:color w:val="333333"/>
                <w:sz w:val="18"/>
                <w:szCs w:val="18"/>
              </w:rPr>
              <w:t>Patient has failed to get sufficient response to sleep hygiene measures</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Treatment criteria:</w:t>
            </w:r>
          </w:p>
        </w:tc>
      </w:tr>
      <w:tr w:rsidR="000948CB" w:rsidRPr="00F86759" w:rsidTr="00D61A4E">
        <w:tc>
          <w:tcPr>
            <w:tcW w:w="5000" w:type="pct"/>
            <w:vAlign w:val="center"/>
            <w:hideMark/>
          </w:tcPr>
          <w:p w:rsidR="000948CB" w:rsidRPr="00F86759" w:rsidRDefault="000948CB" w:rsidP="005A5C2D">
            <w:pPr>
              <w:autoSpaceDE w:val="0"/>
              <w:autoSpaceDN w:val="0"/>
              <w:adjustRightInd w:val="0"/>
              <w:rPr>
                <w:rFonts w:ascii="Arial Narrow" w:hAnsi="Arial Narrow" w:cs="Arial Narrow"/>
                <w:iCs/>
                <w:sz w:val="20"/>
                <w:szCs w:val="20"/>
              </w:rPr>
            </w:pPr>
            <w:r w:rsidRPr="00F86759">
              <w:rPr>
                <w:rFonts w:ascii="Arial Narrow" w:hAnsi="Arial Narrow" w:cs="Arial Narrow"/>
                <w:iCs/>
                <w:strike/>
                <w:sz w:val="18"/>
                <w:szCs w:val="18"/>
              </w:rPr>
              <w:t>The treatment</w:t>
            </w:r>
            <w:r w:rsidRPr="00F86759">
              <w:rPr>
                <w:rFonts w:ascii="Arial Narrow" w:hAnsi="Arial Narrow" w:cs="Arial Narrow"/>
                <w:iCs/>
                <w:sz w:val="18"/>
                <w:szCs w:val="18"/>
              </w:rPr>
              <w:t xml:space="preserve"> Must be treated in consultation with </w:t>
            </w:r>
            <w:r w:rsidRPr="00F86759">
              <w:rPr>
                <w:rFonts w:ascii="Arial Narrow" w:hAnsi="Arial Narrow" w:cs="Arial Narrow"/>
                <w:iCs/>
                <w:strike/>
                <w:sz w:val="18"/>
                <w:szCs w:val="18"/>
              </w:rPr>
              <w:t>initiated</w:t>
            </w:r>
            <w:r w:rsidRPr="00611950">
              <w:rPr>
                <w:rFonts w:ascii="Arial Narrow" w:hAnsi="Arial Narrow" w:cs="Arial Narrow"/>
                <w:iCs/>
                <w:strike/>
                <w:sz w:val="18"/>
                <w:szCs w:val="18"/>
              </w:rPr>
              <w:t xml:space="preserve"> by</w:t>
            </w:r>
            <w:r w:rsidRPr="00F86759">
              <w:rPr>
                <w:rFonts w:ascii="Arial Narrow" w:hAnsi="Arial Narrow" w:cs="Arial Narrow"/>
                <w:iCs/>
                <w:sz w:val="18"/>
                <w:szCs w:val="18"/>
              </w:rPr>
              <w:t xml:space="preserve"> a paediatrician, sleep physician, neurologist, or psychiatrist</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AND</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Population criteria:</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 xml:space="preserve">Patient must be aged between the ages of 2 to 18 years inclusive </w:t>
            </w:r>
          </w:p>
        </w:tc>
      </w:tr>
    </w:tbl>
    <w:p w:rsidR="000948CB" w:rsidRPr="00F86759" w:rsidRDefault="000948CB" w:rsidP="000948CB"/>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08"/>
      </w:tblGrid>
      <w:tr w:rsidR="000948CB" w:rsidRPr="00F86759" w:rsidTr="00D61A4E">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sz w:val="18"/>
                <w:szCs w:val="18"/>
              </w:rPr>
            </w:pPr>
            <w:r w:rsidRPr="00F86759">
              <w:rPr>
                <w:rFonts w:ascii="Arial Narrow" w:hAnsi="Arial Narrow"/>
                <w:b/>
                <w:sz w:val="18"/>
                <w:szCs w:val="18"/>
              </w:rPr>
              <w:t xml:space="preserve">Category / Program:   </w:t>
            </w:r>
          </w:p>
          <w:p w:rsidR="000948CB" w:rsidRPr="00F86759" w:rsidRDefault="000948CB" w:rsidP="005A5C2D">
            <w:pPr>
              <w:rPr>
                <w:rFonts w:ascii="Arial Narrow" w:hAnsi="Arial Narrow"/>
                <w:sz w:val="18"/>
                <w:szCs w:val="18"/>
              </w:rPr>
            </w:pPr>
            <w:r w:rsidRPr="00F86759">
              <w:rPr>
                <w:rFonts w:ascii="Arial Narrow" w:hAnsi="Arial Narrow"/>
                <w:sz w:val="18"/>
                <w:szCs w:val="18"/>
              </w:rPr>
              <w:t xml:space="preserve">GENERAL – General Schedule (Code GE) </w:t>
            </w:r>
          </w:p>
        </w:tc>
      </w:tr>
      <w:tr w:rsidR="000948CB" w:rsidRPr="00F86759" w:rsidTr="00D61A4E">
        <w:trPr>
          <w:trHeight w:val="366"/>
        </w:trPr>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sz w:val="18"/>
                <w:szCs w:val="18"/>
              </w:rPr>
            </w:pPr>
            <w:r w:rsidRPr="00F86759">
              <w:rPr>
                <w:rFonts w:ascii="Arial Narrow" w:hAnsi="Arial Narrow"/>
                <w:b/>
                <w:sz w:val="18"/>
                <w:szCs w:val="18"/>
              </w:rPr>
              <w:t xml:space="preserve">Prescriber type:  </w:t>
            </w: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Dental  </w:t>
            </w:r>
            <w:r w:rsidRPr="00F86759">
              <w:rPr>
                <w:rFonts w:ascii="Arial Narrow" w:hAnsi="Arial Narrow"/>
                <w:sz w:val="18"/>
                <w:szCs w:val="18"/>
              </w:rPr>
              <w:fldChar w:fldCharType="begin">
                <w:ffData>
                  <w:name w:val=""/>
                  <w:enabled/>
                  <w:calcOnExit w:val="0"/>
                  <w:checkBox>
                    <w:sizeAuto/>
                    <w:default w:val="1"/>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Medical Practitioners  </w:t>
            </w:r>
            <w:r w:rsidRPr="00F86759">
              <w:rPr>
                <w:rFonts w:ascii="Arial Narrow" w:hAnsi="Arial Narrow"/>
                <w:sz w:val="18"/>
                <w:szCs w:val="18"/>
              </w:rPr>
              <w:fldChar w:fldCharType="begin">
                <w:ffData>
                  <w:name w:val="Check3"/>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Nurse practitioners  </w:t>
            </w: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 xml:space="preserve">Optometrists    </w:t>
            </w:r>
            <w:r w:rsidRPr="00F86759">
              <w:rPr>
                <w:rFonts w:ascii="Arial Narrow" w:hAnsi="Arial Narrow"/>
                <w:sz w:val="18"/>
                <w:szCs w:val="18"/>
              </w:rPr>
              <w:fldChar w:fldCharType="begin">
                <w:ffData>
                  <w:name w:val="Check5"/>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Midwives</w:t>
            </w:r>
          </w:p>
        </w:tc>
      </w:tr>
      <w:tr w:rsidR="000948CB" w:rsidRPr="00F86759" w:rsidTr="00D61A4E">
        <w:tc>
          <w:tcPr>
            <w:tcW w:w="5000" w:type="pct"/>
            <w:tcBorders>
              <w:top w:val="single" w:sz="4" w:space="0" w:color="auto"/>
              <w:left w:val="single" w:sz="4" w:space="0" w:color="auto"/>
              <w:bottom w:val="single" w:sz="4" w:space="0" w:color="auto"/>
              <w:right w:val="single" w:sz="4" w:space="0" w:color="auto"/>
            </w:tcBorders>
          </w:tcPr>
          <w:p w:rsidR="000948CB" w:rsidRPr="00F86759" w:rsidRDefault="000948CB" w:rsidP="005A5C2D">
            <w:pPr>
              <w:rPr>
                <w:rFonts w:ascii="Arial Narrow" w:hAnsi="Arial Narrow"/>
                <w:b/>
                <w:sz w:val="18"/>
                <w:szCs w:val="18"/>
              </w:rPr>
            </w:pPr>
            <w:r w:rsidRPr="00F86759">
              <w:rPr>
                <w:rFonts w:ascii="Arial Narrow" w:hAnsi="Arial Narrow"/>
                <w:b/>
                <w:sz w:val="18"/>
                <w:szCs w:val="18"/>
              </w:rPr>
              <w:t>Restriction Level / Method:</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Unrestricted benefit</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1"/>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Restricted benefit</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In Writing</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Check3"/>
                  <w:enabled/>
                  <w:calcOnExit w:val="0"/>
                  <w:checkBox>
                    <w:sizeAuto/>
                    <w:default w:val="1"/>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Telephone/Electronic/Emergency</w:t>
            </w:r>
          </w:p>
          <w:p w:rsidR="000948CB" w:rsidRPr="00F86759" w:rsidRDefault="000948CB" w:rsidP="005A5C2D">
            <w:pPr>
              <w:rPr>
                <w:rFonts w:ascii="Arial Narrow" w:hAnsi="Arial Narrow"/>
                <w:sz w:val="18"/>
                <w:szCs w:val="18"/>
              </w:rPr>
            </w:pPr>
            <w:r w:rsidRPr="00F86759">
              <w:rPr>
                <w:rFonts w:ascii="Arial Narrow" w:hAnsi="Arial Narrow"/>
                <w:sz w:val="18"/>
                <w:szCs w:val="18"/>
              </w:rPr>
              <w:fldChar w:fldCharType="begin">
                <w:ffData>
                  <w:name w:val=""/>
                  <w:enabled/>
                  <w:calcOnExit w:val="0"/>
                  <w:checkBox>
                    <w:sizeAuto/>
                    <w:default w:val="0"/>
                  </w:checkBox>
                </w:ffData>
              </w:fldChar>
            </w:r>
            <w:r w:rsidRPr="00F86759">
              <w:rPr>
                <w:rFonts w:ascii="Arial Narrow" w:hAnsi="Arial Narrow"/>
                <w:sz w:val="18"/>
                <w:szCs w:val="18"/>
              </w:rPr>
              <w:instrText xml:space="preserve"> FORMCHECKBOX </w:instrText>
            </w:r>
            <w:r w:rsidR="003B2269">
              <w:rPr>
                <w:rFonts w:ascii="Arial Narrow" w:hAnsi="Arial Narrow"/>
                <w:sz w:val="18"/>
                <w:szCs w:val="18"/>
              </w:rPr>
            </w:r>
            <w:r w:rsidR="003B2269">
              <w:rPr>
                <w:rFonts w:ascii="Arial Narrow" w:hAnsi="Arial Narrow"/>
                <w:sz w:val="18"/>
                <w:szCs w:val="18"/>
              </w:rPr>
              <w:fldChar w:fldCharType="separate"/>
            </w:r>
            <w:r w:rsidRPr="00F86759">
              <w:rPr>
                <w:rFonts w:ascii="Arial Narrow" w:hAnsi="Arial Narrow"/>
                <w:sz w:val="18"/>
                <w:szCs w:val="18"/>
              </w:rPr>
              <w:fldChar w:fldCharType="end"/>
            </w:r>
            <w:r w:rsidRPr="00F86759">
              <w:rPr>
                <w:rFonts w:ascii="Arial Narrow" w:hAnsi="Arial Narrow"/>
                <w:sz w:val="18"/>
                <w:szCs w:val="18"/>
              </w:rPr>
              <w:t>Authority Required - Streamlined</w:t>
            </w:r>
          </w:p>
        </w:tc>
      </w:tr>
      <w:tr w:rsidR="000948CB" w:rsidRPr="00F86759" w:rsidTr="00D61A4E">
        <w:tc>
          <w:tcPr>
            <w:tcW w:w="5000" w:type="pct"/>
            <w:vAlign w:val="center"/>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Administrative Advice:</w:t>
            </w:r>
          </w:p>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No increase in the maximum number of repeats may be authorised.</w:t>
            </w:r>
          </w:p>
        </w:tc>
      </w:tr>
      <w:tr w:rsidR="000948CB" w:rsidRPr="00F86759" w:rsidTr="00D61A4E">
        <w:tc>
          <w:tcPr>
            <w:tcW w:w="5000" w:type="pct"/>
            <w:vAlign w:val="center"/>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Administrative Advice:</w:t>
            </w:r>
          </w:p>
          <w:p w:rsidR="000948CB" w:rsidRPr="00F86759" w:rsidRDefault="000948CB" w:rsidP="005A5C2D">
            <w:pPr>
              <w:rPr>
                <w:rFonts w:ascii="Arial Narrow" w:hAnsi="Arial Narrow"/>
                <w:b/>
                <w:bCs/>
                <w:color w:val="333333"/>
                <w:sz w:val="18"/>
                <w:szCs w:val="18"/>
              </w:rPr>
            </w:pPr>
            <w:r w:rsidRPr="00F86759">
              <w:rPr>
                <w:rFonts w:ascii="Arial Narrow" w:hAnsi="Arial Narrow"/>
                <w:color w:val="333333"/>
                <w:sz w:val="18"/>
                <w:szCs w:val="18"/>
              </w:rPr>
              <w:t>Applications for authorisation under this restriction may be made in real time using the Online PBS Authorities system (see www.servicesaustralia.gov.au/HPOS)</w:t>
            </w:r>
            <w:r w:rsidR="00B816DD">
              <w:rPr>
                <w:rFonts w:ascii="Arial Narrow" w:hAnsi="Arial Narrow"/>
                <w:color w:val="333333"/>
                <w:sz w:val="18"/>
                <w:szCs w:val="18"/>
              </w:rPr>
              <w:t xml:space="preserve"> </w:t>
            </w:r>
            <w:r w:rsidRPr="00F86759">
              <w:rPr>
                <w:rFonts w:ascii="Arial Narrow" w:hAnsi="Arial Narrow"/>
                <w:color w:val="333333"/>
                <w:sz w:val="18"/>
                <w:szCs w:val="18"/>
              </w:rPr>
              <w:t>or by telephone by contacting Services Australia on 1800 888 333 (hours of operation 8 a.m. to 5 p.m. EST Monday to Friday).</w:t>
            </w:r>
          </w:p>
        </w:tc>
      </w:tr>
      <w:tr w:rsidR="000948CB" w:rsidRPr="00F86759" w:rsidTr="00D61A4E">
        <w:tc>
          <w:tcPr>
            <w:tcW w:w="5000" w:type="pct"/>
            <w:vAlign w:val="center"/>
          </w:tcPr>
          <w:p w:rsidR="000948CB" w:rsidRPr="00F86759" w:rsidRDefault="000948CB" w:rsidP="005A5C2D">
            <w:pPr>
              <w:rPr>
                <w:rFonts w:ascii="Arial Narrow" w:hAnsi="Arial Narrow"/>
                <w:b/>
                <w:bCs/>
                <w:color w:val="333333"/>
                <w:sz w:val="18"/>
                <w:szCs w:val="18"/>
              </w:rPr>
            </w:pPr>
            <w:r w:rsidRPr="00F86759">
              <w:rPr>
                <w:rFonts w:ascii="Arial Narrow" w:hAnsi="Arial Narrow"/>
                <w:b/>
                <w:bCs/>
                <w:color w:val="333333"/>
                <w:sz w:val="18"/>
                <w:szCs w:val="18"/>
              </w:rPr>
              <w:t xml:space="preserve">Condition: </w:t>
            </w:r>
            <w:r w:rsidRPr="00F86759">
              <w:rPr>
                <w:rFonts w:ascii="Arial Narrow" w:hAnsi="Arial Narrow"/>
                <w:bCs/>
                <w:color w:val="333333"/>
                <w:sz w:val="18"/>
                <w:szCs w:val="18"/>
              </w:rPr>
              <w:t>Insomnia</w:t>
            </w:r>
          </w:p>
        </w:tc>
      </w:tr>
      <w:tr w:rsidR="000948CB" w:rsidRPr="00F86759" w:rsidTr="00D61A4E">
        <w:tc>
          <w:tcPr>
            <w:tcW w:w="5000" w:type="pct"/>
            <w:vAlign w:val="center"/>
            <w:hideMark/>
          </w:tcPr>
          <w:p w:rsidR="000948CB" w:rsidRPr="00F86759" w:rsidRDefault="000948CB" w:rsidP="005A5C2D">
            <w:pPr>
              <w:rPr>
                <w:rFonts w:ascii="Arial Narrow" w:hAnsi="Arial Narrow"/>
                <w:bCs/>
                <w:color w:val="333333"/>
                <w:sz w:val="18"/>
                <w:szCs w:val="18"/>
              </w:rPr>
            </w:pPr>
            <w:r w:rsidRPr="00F86759">
              <w:rPr>
                <w:rFonts w:ascii="Arial Narrow" w:hAnsi="Arial Narrow"/>
                <w:b/>
                <w:bCs/>
                <w:color w:val="333333"/>
                <w:sz w:val="18"/>
                <w:szCs w:val="18"/>
              </w:rPr>
              <w:t xml:space="preserve">Indication: </w:t>
            </w:r>
            <w:r w:rsidRPr="00F86759">
              <w:rPr>
                <w:rFonts w:ascii="Arial Narrow" w:hAnsi="Arial Narrow"/>
                <w:bCs/>
                <w:color w:val="333333"/>
                <w:sz w:val="18"/>
                <w:szCs w:val="18"/>
              </w:rPr>
              <w:t>Insomnia</w:t>
            </w:r>
          </w:p>
          <w:p w:rsidR="000948CB" w:rsidRPr="00F86759" w:rsidRDefault="000948CB" w:rsidP="005A5C2D">
            <w:pPr>
              <w:rPr>
                <w:rFonts w:ascii="Arial Narrow" w:hAnsi="Arial Narrow"/>
                <w:strike/>
                <w:color w:val="333333"/>
                <w:sz w:val="18"/>
                <w:szCs w:val="18"/>
              </w:rPr>
            </w:pPr>
            <w:r w:rsidRPr="00F86759">
              <w:rPr>
                <w:rFonts w:ascii="Arial Narrow" w:hAnsi="Arial Narrow"/>
                <w:color w:val="333333"/>
                <w:sz w:val="18"/>
                <w:szCs w:val="18"/>
              </w:rPr>
              <w:t xml:space="preserve"> </w:t>
            </w:r>
            <w:r w:rsidRPr="00F86759">
              <w:rPr>
                <w:rFonts w:ascii="Arial Narrow" w:hAnsi="Arial Narrow"/>
                <w:strike/>
                <w:color w:val="333333"/>
                <w:sz w:val="18"/>
                <w:szCs w:val="18"/>
              </w:rPr>
              <w:t>For the treatment of insomnia in children and adolescents aged 2-18 with Autism Spectrum Disorder (ASD) and / or Smith-Magenis syndrome, where sleep hygiene measures have been insufficient.</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Treatment Phase:</w:t>
            </w:r>
            <w:r w:rsidRPr="00F86759">
              <w:rPr>
                <w:rFonts w:ascii="Arial Narrow" w:hAnsi="Arial Narrow"/>
                <w:color w:val="333333"/>
                <w:sz w:val="18"/>
                <w:szCs w:val="18"/>
              </w:rPr>
              <w:t xml:space="preserve"> Continuing</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Clinical criteria:</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color w:val="333333"/>
                <w:sz w:val="18"/>
                <w:szCs w:val="18"/>
              </w:rPr>
              <w:t>Patient must have previously received PBS-subsidised treatment with this drug for this condition.</w:t>
            </w:r>
          </w:p>
        </w:tc>
      </w:tr>
      <w:tr w:rsidR="000948CB" w:rsidRPr="00F86759" w:rsidTr="00D61A4E">
        <w:tc>
          <w:tcPr>
            <w:tcW w:w="5000" w:type="pct"/>
            <w:vAlign w:val="center"/>
          </w:tcPr>
          <w:p w:rsidR="000948CB" w:rsidRPr="00F86759" w:rsidRDefault="000948CB" w:rsidP="005A5C2D">
            <w:pPr>
              <w:rPr>
                <w:rFonts w:ascii="Arial Narrow" w:hAnsi="Arial Narrow"/>
                <w:strike/>
                <w:color w:val="333333"/>
                <w:sz w:val="18"/>
                <w:szCs w:val="18"/>
              </w:rPr>
            </w:pPr>
            <w:r w:rsidRPr="00F86759">
              <w:rPr>
                <w:rFonts w:ascii="Arial Narrow" w:hAnsi="Arial Narrow"/>
                <w:strike/>
                <w:color w:val="333333"/>
                <w:sz w:val="18"/>
                <w:szCs w:val="18"/>
              </w:rPr>
              <w:t>Patient must have autism spectrum disorder,</w:t>
            </w:r>
          </w:p>
          <w:p w:rsidR="000948CB" w:rsidRPr="00F86759" w:rsidRDefault="000948CB" w:rsidP="005A5C2D">
            <w:pPr>
              <w:rPr>
                <w:rFonts w:ascii="Arial Narrow" w:hAnsi="Arial Narrow"/>
                <w:strike/>
                <w:color w:val="333333"/>
                <w:sz w:val="18"/>
                <w:szCs w:val="18"/>
              </w:rPr>
            </w:pPr>
            <w:r w:rsidRPr="00F86759">
              <w:rPr>
                <w:rFonts w:ascii="Arial Narrow" w:hAnsi="Arial Narrow"/>
                <w:strike/>
                <w:color w:val="333333"/>
                <w:sz w:val="18"/>
                <w:szCs w:val="18"/>
              </w:rPr>
              <w:t>OR</w:t>
            </w:r>
          </w:p>
          <w:p w:rsidR="000948CB" w:rsidRPr="00F86759" w:rsidRDefault="000948CB" w:rsidP="005A5C2D">
            <w:pPr>
              <w:rPr>
                <w:rFonts w:ascii="Arial Narrow" w:hAnsi="Arial Narrow"/>
                <w:strike/>
                <w:color w:val="333333"/>
                <w:sz w:val="18"/>
                <w:szCs w:val="18"/>
              </w:rPr>
            </w:pPr>
            <w:r w:rsidRPr="00F86759">
              <w:rPr>
                <w:rFonts w:ascii="Arial Narrow" w:hAnsi="Arial Narrow"/>
                <w:strike/>
                <w:color w:val="333333"/>
                <w:sz w:val="18"/>
                <w:szCs w:val="18"/>
              </w:rPr>
              <w:t>Patient must have Smith-Magenis Syndrome</w:t>
            </w:r>
          </w:p>
          <w:p w:rsidR="000948CB" w:rsidRPr="00F86759" w:rsidRDefault="000948CB" w:rsidP="005A5C2D">
            <w:pPr>
              <w:rPr>
                <w:rFonts w:ascii="Arial Narrow" w:hAnsi="Arial Narrow"/>
                <w:strike/>
                <w:color w:val="333333"/>
                <w:sz w:val="18"/>
                <w:szCs w:val="18"/>
              </w:rPr>
            </w:pPr>
            <w:r w:rsidRPr="00F86759">
              <w:rPr>
                <w:rFonts w:ascii="Arial Narrow" w:hAnsi="Arial Narrow"/>
                <w:strike/>
                <w:color w:val="333333"/>
                <w:sz w:val="18"/>
                <w:szCs w:val="18"/>
              </w:rPr>
              <w:t>AND</w:t>
            </w:r>
          </w:p>
          <w:p w:rsidR="000948CB" w:rsidRPr="00F86759" w:rsidRDefault="000948CB" w:rsidP="005A5C2D">
            <w:pPr>
              <w:rPr>
                <w:rFonts w:ascii="Arial Narrow" w:hAnsi="Arial Narrow"/>
                <w:strike/>
                <w:color w:val="333333"/>
                <w:sz w:val="18"/>
                <w:szCs w:val="18"/>
              </w:rPr>
            </w:pPr>
            <w:r w:rsidRPr="00F86759">
              <w:rPr>
                <w:rFonts w:ascii="Arial Narrow" w:hAnsi="Arial Narrow"/>
                <w:strike/>
                <w:color w:val="333333"/>
                <w:sz w:val="18"/>
                <w:szCs w:val="18"/>
              </w:rPr>
              <w:t>Patient has failed to get sufficient response to sleep hygiene measures</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AND</w:t>
            </w:r>
          </w:p>
        </w:tc>
      </w:tr>
      <w:tr w:rsidR="000948CB" w:rsidRPr="00F86759" w:rsidTr="00D61A4E">
        <w:tc>
          <w:tcPr>
            <w:tcW w:w="5000" w:type="pct"/>
            <w:vAlign w:val="center"/>
            <w:hideMark/>
          </w:tcPr>
          <w:p w:rsidR="000948CB" w:rsidRPr="00F86759" w:rsidRDefault="000948CB" w:rsidP="005A5C2D">
            <w:pPr>
              <w:rPr>
                <w:rFonts w:ascii="Arial Narrow" w:hAnsi="Arial Narrow"/>
                <w:strike/>
                <w:color w:val="333333"/>
                <w:sz w:val="18"/>
                <w:szCs w:val="18"/>
              </w:rPr>
            </w:pPr>
            <w:r w:rsidRPr="00F86759">
              <w:rPr>
                <w:rFonts w:ascii="Arial Narrow" w:hAnsi="Arial Narrow"/>
                <w:b/>
                <w:bCs/>
                <w:strike/>
                <w:color w:val="333333"/>
                <w:sz w:val="18"/>
                <w:szCs w:val="18"/>
              </w:rPr>
              <w:t>Treatment criteria:</w:t>
            </w:r>
          </w:p>
        </w:tc>
      </w:tr>
      <w:tr w:rsidR="000948CB" w:rsidRPr="00F86759" w:rsidTr="00D61A4E">
        <w:tc>
          <w:tcPr>
            <w:tcW w:w="5000" w:type="pct"/>
            <w:vAlign w:val="center"/>
            <w:hideMark/>
          </w:tcPr>
          <w:p w:rsidR="000948CB" w:rsidRPr="00F86759" w:rsidRDefault="000948CB" w:rsidP="005A5C2D">
            <w:pPr>
              <w:autoSpaceDE w:val="0"/>
              <w:autoSpaceDN w:val="0"/>
              <w:adjustRightInd w:val="0"/>
              <w:rPr>
                <w:rFonts w:ascii="Arial Narrow" w:hAnsi="Arial Narrow" w:cs="Arial Narrow"/>
                <w:iCs/>
                <w:strike/>
                <w:sz w:val="20"/>
                <w:szCs w:val="20"/>
              </w:rPr>
            </w:pPr>
            <w:r w:rsidRPr="00F86759">
              <w:rPr>
                <w:rFonts w:ascii="Arial Narrow" w:hAnsi="Arial Narrow" w:cs="Arial Narrow"/>
                <w:iCs/>
                <w:strike/>
                <w:sz w:val="18"/>
                <w:szCs w:val="18"/>
              </w:rPr>
              <w:t>The treatment Must be treated initiated by a paediatrician, sleep physician, neurologist, or psychiatrist</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AND</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b/>
                <w:bCs/>
                <w:color w:val="333333"/>
                <w:sz w:val="18"/>
                <w:szCs w:val="18"/>
              </w:rPr>
              <w:t>Treatment criteria:</w:t>
            </w:r>
          </w:p>
        </w:tc>
      </w:tr>
      <w:tr w:rsidR="000948CB" w:rsidRPr="00F86759" w:rsidTr="00D61A4E">
        <w:tc>
          <w:tcPr>
            <w:tcW w:w="5000" w:type="pct"/>
            <w:vAlign w:val="center"/>
            <w:hideMark/>
          </w:tcPr>
          <w:p w:rsidR="000948CB" w:rsidRPr="00F86759" w:rsidRDefault="000948CB" w:rsidP="005A5C2D">
            <w:pPr>
              <w:rPr>
                <w:rFonts w:ascii="Arial Narrow" w:hAnsi="Arial Narrow"/>
                <w:color w:val="333333"/>
                <w:sz w:val="18"/>
                <w:szCs w:val="18"/>
              </w:rPr>
            </w:pPr>
            <w:r w:rsidRPr="00F86759">
              <w:rPr>
                <w:rFonts w:ascii="Arial Narrow" w:hAnsi="Arial Narrow"/>
                <w:strike/>
                <w:color w:val="333333"/>
                <w:sz w:val="18"/>
                <w:szCs w:val="18"/>
              </w:rPr>
              <w:t>Patient must be aged</w:t>
            </w:r>
            <w:r w:rsidRPr="00F86759">
              <w:rPr>
                <w:rFonts w:ascii="Arial Narrow" w:hAnsi="Arial Narrow"/>
                <w:color w:val="333333"/>
                <w:sz w:val="18"/>
                <w:szCs w:val="18"/>
              </w:rPr>
              <w:t xml:space="preserve"> Treatment must have commenced between the ages of 2 to 18 years inclusive </w:t>
            </w:r>
          </w:p>
        </w:tc>
      </w:tr>
    </w:tbl>
    <w:p w:rsidR="000948CB" w:rsidRPr="000948CB" w:rsidRDefault="000948CB" w:rsidP="000948CB">
      <w:pPr>
        <w:pStyle w:val="ExecSumBodyText"/>
        <w:numPr>
          <w:ilvl w:val="0"/>
          <w:numId w:val="0"/>
        </w:numPr>
        <w:ind w:left="720"/>
      </w:pPr>
    </w:p>
    <w:p w:rsidR="00FC4AB1" w:rsidRPr="00F86759" w:rsidRDefault="00FC4AB1" w:rsidP="00FC4AB1">
      <w:pPr>
        <w:pStyle w:val="ExecSumBodyText"/>
      </w:pPr>
      <w:r w:rsidRPr="00F86759">
        <w:t xml:space="preserve">Although the submission included initial and continuing </w:t>
      </w:r>
      <w:r w:rsidR="00DB0EBC" w:rsidRPr="00F86759">
        <w:t>restrictions</w:t>
      </w:r>
      <w:r w:rsidR="00365B26">
        <w:t xml:space="preserve">, the continuing restriction criteria did not include a response assessment criteria. </w:t>
      </w:r>
      <w:r w:rsidRPr="00F86759">
        <w:t>The product information state</w:t>
      </w:r>
      <w:r w:rsidR="00054B7D">
        <w:t>d</w:t>
      </w:r>
      <w:r w:rsidRPr="00F86759">
        <w:t xml:space="preserve"> that “after at least 3 months of treatment, the treatment effect should be evaluated, with stopping treatment considered if no clinically relevant treatment effect is seen”.</w:t>
      </w:r>
      <w:r w:rsidR="00B816DD">
        <w:t xml:space="preserve"> </w:t>
      </w:r>
      <w:r w:rsidRPr="00F86759">
        <w:t>The economic analysis is based on cost per responder, and the financial model included in the submission was based on the premise that only responders would continue with treatment.</w:t>
      </w:r>
    </w:p>
    <w:p w:rsidR="00FC4AB1" w:rsidRPr="00F86759" w:rsidRDefault="00FC4AB1" w:rsidP="00FC4AB1">
      <w:pPr>
        <w:pStyle w:val="ExecSumBodyText"/>
      </w:pPr>
      <w:r w:rsidRPr="00F86759">
        <w:t xml:space="preserve">The initial </w:t>
      </w:r>
      <w:r w:rsidR="00054B7D">
        <w:t xml:space="preserve">restriction criteria </w:t>
      </w:r>
      <w:r w:rsidRPr="00F86759">
        <w:t>limits prescribing to a paediatrician, sleep physician, neurologist, or a psychiatrist.</w:t>
      </w:r>
      <w:r w:rsidR="009E583B" w:rsidRPr="00F86759">
        <w:t xml:space="preserve"> </w:t>
      </w:r>
      <w:r w:rsidR="00C817FF" w:rsidRPr="00F86759">
        <w:t>However, i</w:t>
      </w:r>
      <w:r w:rsidR="00EF4A52" w:rsidRPr="00F86759">
        <w:t xml:space="preserve">nsomnia </w:t>
      </w:r>
      <w:r w:rsidR="00C817FF" w:rsidRPr="00F86759">
        <w:t xml:space="preserve">is likely to </w:t>
      </w:r>
      <w:r w:rsidR="00EF4A52" w:rsidRPr="00F86759">
        <w:t xml:space="preserve">be </w:t>
      </w:r>
      <w:r w:rsidR="009E583B" w:rsidRPr="00F86759">
        <w:t>managed in general practice</w:t>
      </w:r>
      <w:r w:rsidRPr="00F86759">
        <w:t>.</w:t>
      </w:r>
      <w:r w:rsidR="00B93772" w:rsidRPr="00F86759">
        <w:t xml:space="preserve"> The Pre-Sub-Committee Response (PSCR) argued insomnia in ASD does not resolve with age and the combination of ASD and insomnia as co-morbid conditions and associated safety concerns justified the restriction of initiating melatonin to these practitioners.</w:t>
      </w:r>
      <w:r w:rsidRPr="00F86759">
        <w:t xml:space="preserve"> </w:t>
      </w:r>
      <w:r w:rsidR="00B93772" w:rsidRPr="00F86759">
        <w:rPr>
          <w:lang w:eastAsia="en-US"/>
        </w:rPr>
        <w:t>The ESC considered</w:t>
      </w:r>
      <w:r w:rsidR="00F36FEF" w:rsidRPr="00F86759">
        <w:rPr>
          <w:lang w:eastAsia="en-US"/>
        </w:rPr>
        <w:t xml:space="preserve"> there was limited justification to limit prescribing of melatonin to specialised practitioners</w:t>
      </w:r>
      <w:r w:rsidR="008A4DF5" w:rsidRPr="00F86759">
        <w:rPr>
          <w:lang w:eastAsia="en-US"/>
        </w:rPr>
        <w:t>.</w:t>
      </w:r>
    </w:p>
    <w:p w:rsidR="00FC4AB1" w:rsidRPr="00F86759" w:rsidRDefault="00FC4AB1" w:rsidP="00FC4AB1">
      <w:pPr>
        <w:pStyle w:val="ExecSumBodyText"/>
      </w:pPr>
      <w:r w:rsidRPr="00F86759">
        <w:t>The restriction specifie</w:t>
      </w:r>
      <w:r w:rsidR="00054B7D">
        <w:t>d</w:t>
      </w:r>
      <w:r w:rsidRPr="00F86759">
        <w:t xml:space="preserve"> an age range of eligibility for treatment with prolonged release melatonin. </w:t>
      </w:r>
      <w:r w:rsidR="00054B7D">
        <w:t xml:space="preserve">The evaluation considered it </w:t>
      </w:r>
      <w:r w:rsidRPr="00F86759">
        <w:t xml:space="preserve">may not be equitable or practical to limit the age for treatment to 18 years, </w:t>
      </w:r>
      <w:r w:rsidR="00DB0EBC" w:rsidRPr="00F86759">
        <w:t xml:space="preserve">if patients who are achieving a clinical benefit are </w:t>
      </w:r>
      <w:r w:rsidR="00C817FF" w:rsidRPr="00F86759">
        <w:t xml:space="preserve">required </w:t>
      </w:r>
      <w:r w:rsidR="00DB0EBC" w:rsidRPr="00F86759">
        <w:t>to discontinue at this age.</w:t>
      </w:r>
    </w:p>
    <w:p w:rsidR="00FC4AB1" w:rsidRPr="00F86759" w:rsidRDefault="00FC4AB1" w:rsidP="000F19C0">
      <w:pPr>
        <w:pStyle w:val="ExecSumBodyText"/>
      </w:pPr>
      <w:r w:rsidRPr="00F86759">
        <w:t>The proposed restriction is for insomnia</w:t>
      </w:r>
      <w:r w:rsidR="000F19C0" w:rsidRPr="00F86759">
        <w:t>.</w:t>
      </w:r>
      <w:r w:rsidR="00C817FF" w:rsidRPr="00F86759">
        <w:t xml:space="preserve"> </w:t>
      </w:r>
      <w:r w:rsidRPr="00F86759">
        <w:t xml:space="preserve">It is unclear whether the definition of </w:t>
      </w:r>
      <w:r w:rsidRPr="00625543">
        <w:t xml:space="preserve">impaired sleep used in the inclusion criteria in the NEU_CH_7911 trial </w:t>
      </w:r>
      <w:r w:rsidR="00C817FF" w:rsidRPr="00625543">
        <w:t xml:space="preserve">(see paragraph </w:t>
      </w:r>
      <w:r w:rsidR="00D22DEA" w:rsidRPr="00625543">
        <w:t>6.</w:t>
      </w:r>
      <w:r w:rsidR="00625543" w:rsidRPr="00625543">
        <w:t>10</w:t>
      </w:r>
      <w:r w:rsidR="00C817FF" w:rsidRPr="00F86759">
        <w:t xml:space="preserve">) </w:t>
      </w:r>
      <w:r w:rsidRPr="00F86759">
        <w:t>is consistent with the definition of insomnia in children used in clinical practice, and therefore whether the study results will be applicable to the PBS population.</w:t>
      </w:r>
    </w:p>
    <w:p w:rsidR="00591957" w:rsidRPr="00F86759" w:rsidRDefault="00FC4AB1" w:rsidP="00FC4AB1">
      <w:pPr>
        <w:pStyle w:val="ExecSumBodyText"/>
        <w:rPr>
          <w:color w:val="0066FF"/>
        </w:rPr>
      </w:pPr>
      <w:r w:rsidRPr="00F86759">
        <w:t xml:space="preserve">The </w:t>
      </w:r>
      <w:r w:rsidR="00C817FF" w:rsidRPr="00F86759">
        <w:t xml:space="preserve">requested </w:t>
      </w:r>
      <w:r w:rsidRPr="00F86759">
        <w:t xml:space="preserve">restriction only allows the use of prolonged release melatonin when sleep hygiene measures were insufficient. </w:t>
      </w:r>
      <w:r w:rsidR="00365B26">
        <w:t xml:space="preserve">Adequate </w:t>
      </w:r>
      <w:r w:rsidRPr="00F86759">
        <w:t xml:space="preserve">information on whether the population included in study NEU_CH_7911 met this criterion was not available. </w:t>
      </w:r>
      <w:r w:rsidR="00054B7D">
        <w:t xml:space="preserve">The evaluation considered </w:t>
      </w:r>
      <w:r w:rsidR="00473692">
        <w:t>it</w:t>
      </w:r>
      <w:r w:rsidRPr="00F86759">
        <w:t xml:space="preserve"> is unclear what constitutes ‘insufficient’ response to sleep hygiene measures for the purposes of the restriction</w:t>
      </w:r>
      <w:r w:rsidRPr="00F86759">
        <w:rPr>
          <w:color w:val="0066FF"/>
        </w:rPr>
        <w:t>.</w:t>
      </w:r>
    </w:p>
    <w:p w:rsidR="00902E6A" w:rsidRPr="00902E6A" w:rsidRDefault="00A557DB" w:rsidP="00902E6A">
      <w:pPr>
        <w:pStyle w:val="ExecSumBodyText"/>
        <w:rPr>
          <w:color w:val="000000" w:themeColor="text1"/>
        </w:rPr>
      </w:pPr>
      <w:r w:rsidRPr="00F86759">
        <w:rPr>
          <w:color w:val="000000" w:themeColor="text1"/>
        </w:rPr>
        <w:t>The</w:t>
      </w:r>
      <w:r w:rsidR="00E85B71" w:rsidRPr="00F86759">
        <w:rPr>
          <w:color w:val="000000" w:themeColor="text1"/>
        </w:rPr>
        <w:t xml:space="preserve"> </w:t>
      </w:r>
      <w:r w:rsidR="00B93772" w:rsidRPr="00F86759">
        <w:rPr>
          <w:color w:val="000000" w:themeColor="text1"/>
        </w:rPr>
        <w:t>PSCR</w:t>
      </w:r>
      <w:r w:rsidR="0036491D" w:rsidRPr="00F86759">
        <w:rPr>
          <w:color w:val="000000" w:themeColor="text1"/>
        </w:rPr>
        <w:t xml:space="preserve"> indicated</w:t>
      </w:r>
      <w:r w:rsidR="00BA227A" w:rsidRPr="00F86759">
        <w:rPr>
          <w:color w:val="000000" w:themeColor="text1"/>
        </w:rPr>
        <w:t xml:space="preserve"> a willingness on the part of the sponsor to work with the PBAC to devise</w:t>
      </w:r>
      <w:r w:rsidR="00B93772" w:rsidRPr="00F86759">
        <w:rPr>
          <w:color w:val="000000" w:themeColor="text1"/>
        </w:rPr>
        <w:t xml:space="preserve"> clinically</w:t>
      </w:r>
      <w:r w:rsidR="00BA227A" w:rsidRPr="00F86759">
        <w:rPr>
          <w:color w:val="000000" w:themeColor="text1"/>
        </w:rPr>
        <w:t xml:space="preserve"> appropriate restrictions for Slenyto</w:t>
      </w:r>
      <w:r w:rsidR="00BA227A" w:rsidRPr="00F86759">
        <w:rPr>
          <w:rFonts w:cstheme="minorHAnsi"/>
          <w:color w:val="000000" w:themeColor="text1"/>
        </w:rPr>
        <w:t>®</w:t>
      </w:r>
      <w:r w:rsidR="00BA227A" w:rsidRPr="00F86759">
        <w:rPr>
          <w:color w:val="000000" w:themeColor="text1"/>
        </w:rPr>
        <w:t xml:space="preserve"> if recommended for listing. The</w:t>
      </w:r>
      <w:r w:rsidRPr="00F86759">
        <w:rPr>
          <w:color w:val="000000" w:themeColor="text1"/>
        </w:rPr>
        <w:t xml:space="preserve"> ESC considered it would be appropriate for any potential listing for melatonin to include response criteria for continuing therapy that were based on best clinical practice.</w:t>
      </w:r>
    </w:p>
    <w:p w:rsidR="00902E6A" w:rsidRPr="00F90A91" w:rsidRDefault="00902E6A" w:rsidP="00902E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50DB8" w:rsidRPr="00F86759" w:rsidRDefault="00203181" w:rsidP="004E18E9">
      <w:pPr>
        <w:pStyle w:val="2-SectionHeading"/>
      </w:pPr>
      <w:bookmarkStart w:id="5" w:name="_Toc62036844"/>
      <w:r w:rsidRPr="00F86759">
        <w:t xml:space="preserve">Population and </w:t>
      </w:r>
      <w:r w:rsidR="008E0D3C" w:rsidRPr="00F86759">
        <w:t>d</w:t>
      </w:r>
      <w:r w:rsidRPr="00F86759">
        <w:t>isease</w:t>
      </w:r>
      <w:bookmarkEnd w:id="5"/>
    </w:p>
    <w:p w:rsidR="00FC4AB1" w:rsidRPr="00F86759" w:rsidRDefault="00FC4AB1" w:rsidP="00FC4AB1">
      <w:pPr>
        <w:pStyle w:val="ExecSumBodyText"/>
      </w:pPr>
      <w:r w:rsidRPr="00F86759">
        <w:t xml:space="preserve">ASD includes a range of developmental disorders characterised by impairment in functions related to central nervous system maturation, including a varied mixture of impaired capacity for reciprocal socio-communicative interaction and a restricted, stereotyped repetitive repertoire of interests and activities (World Health Organization, 2013). In comparison to typically developing children where prevalence of insomnia is between 1-6%, children with ASD have much higher prevalence, which some authors estimate to be between 40-80% (Cortesi, Giannotti, Ivanenko, &amp; Johnson, 2010). </w:t>
      </w:r>
    </w:p>
    <w:p w:rsidR="00FC4AB1" w:rsidRPr="00F86759" w:rsidRDefault="00FC4AB1" w:rsidP="00E771D9">
      <w:pPr>
        <w:pStyle w:val="ExecSumBodyText"/>
      </w:pPr>
      <w:r w:rsidRPr="00F86759">
        <w:t xml:space="preserve">SMS is a developmental disorder caused by the loss of retinoic acid induced 1 (RAI1) in the chromosome 17 (17p11.2). Common symptoms include mild to moderate intellectual disability, delayed speech and language skills, distinctive facial features, sleep disturbances, and behavioural problems (Elsea &amp; Girirajan, 2008). Many patients with SMS also have ASD comorbidity (Laje et al., 2010). </w:t>
      </w:r>
    </w:p>
    <w:p w:rsidR="0069793F" w:rsidRPr="00F86759" w:rsidRDefault="0069793F" w:rsidP="003A589E">
      <w:pPr>
        <w:pStyle w:val="ExecSumBodyText"/>
      </w:pPr>
      <w:r w:rsidRPr="00F86759">
        <w:t>Melatonin is a hormone secreted by the pineal gland. Melatonin secretion increases soon after the onset of darkness, peaks between 2 a.m. and 4 a.m., and diminishes during the second half of the night. Melatonin is involved in several physiological processes in animals and humans, including modulating synchronisation of the biological clock and promot</w:t>
      </w:r>
      <w:r w:rsidR="001722B6">
        <w:t>ing</w:t>
      </w:r>
      <w:r w:rsidRPr="00F86759">
        <w:t xml:space="preserve"> sleep. </w:t>
      </w:r>
      <w:r w:rsidR="00611950" w:rsidRPr="00F86759">
        <w:t>Lower melatonin concentrations have been found in blood and urine samples from children with autism which might explain the abnormal development of sleep/wake cycles (Phillips and Appleton, 2004).</w:t>
      </w:r>
      <w:r w:rsidR="00611950" w:rsidRPr="00611950">
        <w:t xml:space="preserve"> </w:t>
      </w:r>
      <w:r w:rsidR="00611950" w:rsidRPr="00F86759">
        <w:t>Studies show that in people with SMS, melatonin is secreted during the day instead of in the evening or crepuscular hours. This tends to cause an inversion of the circadian rhythm (De Leersnyder et al, 2003; De Leersnyder et al, 2011).</w:t>
      </w:r>
    </w:p>
    <w:p w:rsidR="00894489" w:rsidRPr="00F86759" w:rsidRDefault="00FC4AB1" w:rsidP="00E771D9">
      <w:pPr>
        <w:pStyle w:val="ExecSumBodyText"/>
      </w:pPr>
      <w:r w:rsidRPr="00F86759">
        <w:t xml:space="preserve">In a developing child, sleep serves multiple functions, including energy conservation, brain growth, memory consolidation, and cognition (Wiggs &amp; Stores, 2001). The consequences of disrupted sleep in children with ASD and/or SMS includes repercussions on the mental and physical health of the children and their carers. Evidence suggests that sleep disorders in children are associated with decreased educational performance, increased psychopathology and increased risk of self-harm and suicidal ideation (Hysing et al., 2015; Kronholm et al., 2015; Wong et al., 2011). There is a strong correlation in children between insomnia and increased risk of negative health related quality of life (HRQOL) and mental health problems (Combs et al., 2016). </w:t>
      </w:r>
    </w:p>
    <w:p w:rsidR="00902E6A" w:rsidRDefault="00E771D9" w:rsidP="00902E6A">
      <w:pPr>
        <w:pStyle w:val="ExecSumBodyText"/>
      </w:pPr>
      <w:r w:rsidRPr="00F86759">
        <w:t>Broadly, for children and adolescents with ASD and/or SMS and sleep disturbance, clinicians should assess for medications and coexisting conditions that could contribute to the sleep disturbance and should address identified issues. All guidelines generally suggest that behavioural strategies and sleep hygiene training should be the first-line treatment approach for sleep disturbance. Clinicians should then offer melatonin if behavioural strategies have not been helpful and contributing coexisting conditions and use of concomitant medications have been addressed, starting with a low dose. At present, most guidelines</w:t>
      </w:r>
      <w:r w:rsidR="009E583B" w:rsidRPr="00F86759">
        <w:t xml:space="preserve"> for the management of insomnia in children with ASD or other neurogenetic disorders</w:t>
      </w:r>
      <w:r w:rsidRPr="00F86759">
        <w:t xml:space="preserve"> (eTG, UpToDate) suggest only short term treatment with melatonin. This is in contrast with the submission, which suggests that, in patients with response, treatment with melatonin could continue indefinitely. </w:t>
      </w:r>
      <w:r w:rsidR="00511B56" w:rsidRPr="00F86759">
        <w:t>The PSCR argued that most guidelines for the target population predate the development of Slenyto</w:t>
      </w:r>
      <w:r w:rsidR="00511B56" w:rsidRPr="00F86759">
        <w:rPr>
          <w:rFonts w:cstheme="minorHAnsi"/>
        </w:rPr>
        <w:t>®</w:t>
      </w:r>
      <w:r w:rsidR="00511B56" w:rsidRPr="00F86759">
        <w:t xml:space="preserve"> and noted that recent guidelines updates from the American Academy of Neurology and Practice guideline state that melatonin should be offered to children and adolescents with ASD if behavioural strategies have not been helpful and further argued a high purity pharmaceutical grade of melatonin should be used when available</w:t>
      </w:r>
      <w:r w:rsidR="00511B56" w:rsidRPr="00F86759">
        <w:rPr>
          <w:rStyle w:val="FootnoteReference"/>
        </w:rPr>
        <w:footnoteReference w:id="1"/>
      </w:r>
      <w:r w:rsidR="00511B56" w:rsidRPr="00F86759">
        <w:t>.</w:t>
      </w:r>
    </w:p>
    <w:p w:rsidR="00902E6A" w:rsidRPr="00F90A91" w:rsidRDefault="00902E6A" w:rsidP="00902E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50DB8" w:rsidRPr="00F86759" w:rsidRDefault="00B50DB8" w:rsidP="004E18E9">
      <w:pPr>
        <w:pStyle w:val="2-SectionHeading"/>
      </w:pPr>
      <w:bookmarkStart w:id="6" w:name="_Toc62036845"/>
      <w:r w:rsidRPr="00F86759">
        <w:t>Comparator</w:t>
      </w:r>
      <w:bookmarkEnd w:id="6"/>
    </w:p>
    <w:p w:rsidR="00A05472" w:rsidRPr="00F86759" w:rsidRDefault="00E771D9" w:rsidP="00E771D9">
      <w:pPr>
        <w:pStyle w:val="ExecSumBodyText"/>
        <w:rPr>
          <w:snapToGrid/>
          <w:lang w:val="en-US"/>
        </w:rPr>
      </w:pPr>
      <w:r w:rsidRPr="00F86759">
        <w:t xml:space="preserve">The submission nominated standard supportive care, consisting of behavioural therapy including sleep hygiene, environmental, dietary, and psychological measures, and represented by placebo in the included trial, as the main comparator. The submission stated that this was the appropriate comparator as there are currently no regimens registered or PBS-listed in Australia with demonstrated efficacy, safety and cost-effectiveness in patients with ASD and/or SMS with insomnia. </w:t>
      </w:r>
    </w:p>
    <w:p w:rsidR="002C2775" w:rsidRPr="00F86759" w:rsidRDefault="00E771D9" w:rsidP="00E771D9">
      <w:pPr>
        <w:pStyle w:val="ExecSumBodyText"/>
      </w:pPr>
      <w:r w:rsidRPr="00F86759">
        <w:t xml:space="preserve">At present, melatonin may be prescribed primarily via private scripts for the proposed PBS population in Australia, although the extent to which this occurs is unknown. </w:t>
      </w:r>
      <w:r w:rsidR="001722B6">
        <w:t xml:space="preserve">The evaluation noted </w:t>
      </w:r>
      <w:r w:rsidRPr="00F86759">
        <w:t xml:space="preserve">existing forms of melatonin available via private script </w:t>
      </w:r>
      <w:r w:rsidR="001722B6">
        <w:t xml:space="preserve">may </w:t>
      </w:r>
      <w:r w:rsidRPr="00F86759">
        <w:t>be a secondary compara</w:t>
      </w:r>
      <w:r w:rsidR="00473692">
        <w:t>tor</w:t>
      </w:r>
      <w:r w:rsidRPr="00F86759">
        <w:t>.</w:t>
      </w:r>
    </w:p>
    <w:p w:rsidR="00902E6A" w:rsidRPr="004B6CCC" w:rsidRDefault="00E85B71" w:rsidP="00902E6A">
      <w:pPr>
        <w:pStyle w:val="ExecSumBodyText"/>
      </w:pPr>
      <w:r w:rsidRPr="00F86759">
        <w:rPr>
          <w:snapToGrid/>
          <w:lang w:val="en-US"/>
        </w:rPr>
        <w:t>The PSCR</w:t>
      </w:r>
      <w:r w:rsidR="00A878FB">
        <w:rPr>
          <w:snapToGrid/>
          <w:lang w:val="en-US"/>
        </w:rPr>
        <w:t xml:space="preserve"> and Pre-PBAC Response</w:t>
      </w:r>
      <w:r w:rsidRPr="00F86759">
        <w:rPr>
          <w:snapToGrid/>
          <w:lang w:val="en-US"/>
        </w:rPr>
        <w:t xml:space="preserve"> argued that alternative forms of melatonin, including Circadin</w:t>
      </w:r>
      <w:r w:rsidR="006C0B59" w:rsidRPr="00F86759">
        <w:rPr>
          <w:snapToGrid/>
          <w:lang w:val="en-US"/>
        </w:rPr>
        <w:t xml:space="preserve">® </w:t>
      </w:r>
      <w:r w:rsidRPr="00F86759">
        <w:rPr>
          <w:snapToGrid/>
          <w:lang w:val="en-US"/>
        </w:rPr>
        <w:t>and extemporaneously compounded preparations were not relevant comparators, as</w:t>
      </w:r>
      <w:r w:rsidR="00BA227A" w:rsidRPr="00F86759">
        <w:rPr>
          <w:snapToGrid/>
          <w:lang w:val="en-US"/>
        </w:rPr>
        <w:t xml:space="preserve"> Slenyto</w:t>
      </w:r>
      <w:r w:rsidR="00BA227A" w:rsidRPr="00F86759">
        <w:rPr>
          <w:rFonts w:cstheme="minorHAnsi"/>
          <w:snapToGrid/>
          <w:lang w:val="en-US"/>
        </w:rPr>
        <w:t>®</w:t>
      </w:r>
      <w:r w:rsidR="00BA227A" w:rsidRPr="00F86759">
        <w:rPr>
          <w:snapToGrid/>
          <w:lang w:val="en-US"/>
        </w:rPr>
        <w:t xml:space="preserve"> was a specially formulated preparation for paediatric populations and further argued that</w:t>
      </w:r>
      <w:r w:rsidRPr="00F86759">
        <w:rPr>
          <w:snapToGrid/>
          <w:lang w:val="en-US"/>
        </w:rPr>
        <w:t xml:space="preserve"> Circadin</w:t>
      </w:r>
      <w:r w:rsidR="00BA227A" w:rsidRPr="00F86759">
        <w:rPr>
          <w:rFonts w:cstheme="minorHAnsi"/>
          <w:snapToGrid/>
          <w:lang w:val="en-US"/>
        </w:rPr>
        <w:t>®</w:t>
      </w:r>
      <w:r w:rsidRPr="00F86759">
        <w:rPr>
          <w:snapToGrid/>
          <w:lang w:val="en-US"/>
        </w:rPr>
        <w:t xml:space="preserve"> is not indicated for the paediatric population and that compounded preparations are immediate release and are therefore not relevant comparators.</w:t>
      </w:r>
    </w:p>
    <w:p w:rsidR="00902E6A" w:rsidRPr="00F90A91" w:rsidRDefault="00902E6A" w:rsidP="00902E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223D5A" w:rsidRPr="00F86759" w:rsidRDefault="00223D5A" w:rsidP="00223D5A">
      <w:pPr>
        <w:pStyle w:val="2-SectionHeading"/>
        <w:numPr>
          <w:ilvl w:val="0"/>
          <w:numId w:val="1"/>
        </w:numPr>
      </w:pPr>
      <w:bookmarkStart w:id="7" w:name="_Toc62036846"/>
      <w:bookmarkStart w:id="8" w:name="_Toc22897640"/>
      <w:r w:rsidRPr="00F86759">
        <w:t>Consideration of the evidence</w:t>
      </w:r>
      <w:bookmarkEnd w:id="7"/>
    </w:p>
    <w:p w:rsidR="00902E6A" w:rsidRPr="00836F75" w:rsidRDefault="00902E6A" w:rsidP="00126F5D">
      <w:pPr>
        <w:widowControl w:val="0"/>
        <w:spacing w:before="240" w:line="276" w:lineRule="auto"/>
        <w:outlineLvl w:val="1"/>
        <w:rPr>
          <w:rFonts w:asciiTheme="minorHAnsi" w:hAnsiTheme="minorHAnsi"/>
          <w:b/>
          <w:bCs/>
          <w:i/>
          <w:snapToGrid w:val="0"/>
          <w:sz w:val="28"/>
          <w:szCs w:val="28"/>
        </w:rPr>
      </w:pPr>
      <w:bookmarkStart w:id="9" w:name="_Toc62036847"/>
      <w:r w:rsidRPr="00836F75">
        <w:rPr>
          <w:rFonts w:asciiTheme="minorHAnsi" w:hAnsiTheme="minorHAnsi"/>
          <w:b/>
          <w:bCs/>
          <w:i/>
          <w:snapToGrid w:val="0"/>
          <w:sz w:val="28"/>
          <w:szCs w:val="28"/>
        </w:rPr>
        <w:t>Sponsor hearing</w:t>
      </w:r>
    </w:p>
    <w:p w:rsidR="00902E6A" w:rsidRPr="007A14FF" w:rsidRDefault="007A14FF" w:rsidP="00902E6A">
      <w:pPr>
        <w:widowControl w:val="0"/>
        <w:numPr>
          <w:ilvl w:val="1"/>
          <w:numId w:val="1"/>
        </w:numPr>
        <w:spacing w:after="120"/>
        <w:rPr>
          <w:rFonts w:asciiTheme="minorHAnsi" w:hAnsiTheme="minorHAnsi"/>
          <w:bCs/>
          <w:snapToGrid w:val="0"/>
        </w:rPr>
      </w:pPr>
      <w:r w:rsidRPr="007A14FF">
        <w:rPr>
          <w:rFonts w:asciiTheme="minorHAnsi" w:hAnsiTheme="minorHAnsi"/>
          <w:bCs/>
          <w:snapToGrid w:val="0"/>
        </w:rPr>
        <w:t>The sponsor requested a hearing</w:t>
      </w:r>
      <w:r w:rsidR="00473692">
        <w:rPr>
          <w:rFonts w:asciiTheme="minorHAnsi" w:hAnsiTheme="minorHAnsi"/>
          <w:bCs/>
          <w:snapToGrid w:val="0"/>
        </w:rPr>
        <w:t xml:space="preserve"> for this submission</w:t>
      </w:r>
      <w:r w:rsidRPr="007A14FF">
        <w:rPr>
          <w:rFonts w:asciiTheme="minorHAnsi" w:hAnsiTheme="minorHAnsi"/>
          <w:bCs/>
          <w:snapToGrid w:val="0"/>
        </w:rPr>
        <w:t xml:space="preserve">. </w:t>
      </w:r>
      <w:r w:rsidR="006339E7" w:rsidRPr="002204DB">
        <w:rPr>
          <w:rFonts w:asciiTheme="minorHAnsi" w:hAnsiTheme="minorHAnsi"/>
          <w:bCs/>
          <w:snapToGrid w:val="0"/>
        </w:rPr>
        <w:t xml:space="preserve">The clinicians highlighted the importance of an affordable controlled-release formulation of melatonin that </w:t>
      </w:r>
      <w:r w:rsidR="001722B6" w:rsidRPr="002204DB">
        <w:rPr>
          <w:rFonts w:asciiTheme="minorHAnsi" w:hAnsiTheme="minorHAnsi"/>
          <w:bCs/>
          <w:snapToGrid w:val="0"/>
        </w:rPr>
        <w:t xml:space="preserve">is </w:t>
      </w:r>
      <w:r w:rsidR="006339E7" w:rsidRPr="002204DB">
        <w:rPr>
          <w:rFonts w:asciiTheme="minorHAnsi" w:hAnsiTheme="minorHAnsi"/>
          <w:bCs/>
          <w:snapToGrid w:val="0"/>
        </w:rPr>
        <w:t xml:space="preserve">formulated to be easily taken by children with insomnia and highlighted there are few pharmaceutical options for children with this condition. </w:t>
      </w:r>
      <w:r w:rsidR="00EE2EBE">
        <w:rPr>
          <w:rFonts w:asciiTheme="minorHAnsi" w:hAnsiTheme="minorHAnsi"/>
          <w:bCs/>
          <w:snapToGrid w:val="0"/>
        </w:rPr>
        <w:t xml:space="preserve">The clinicians stated oral aversion is common in patients with ASD and SMS and it is important for any medication for this population to be tasteless and small in size. </w:t>
      </w:r>
      <w:r w:rsidR="006339E7">
        <w:rPr>
          <w:rFonts w:asciiTheme="minorHAnsi" w:hAnsiTheme="minorHAnsi"/>
          <w:bCs/>
          <w:snapToGrid w:val="0"/>
        </w:rPr>
        <w:t>The clinicians commented that children with ASD respond differently to melatonin and many require</w:t>
      </w:r>
      <w:r w:rsidR="002204DB">
        <w:rPr>
          <w:rFonts w:asciiTheme="minorHAnsi" w:hAnsiTheme="minorHAnsi"/>
          <w:bCs/>
          <w:snapToGrid w:val="0"/>
        </w:rPr>
        <w:t xml:space="preserve"> high doses. </w:t>
      </w:r>
      <w:r w:rsidR="00EE2EBE">
        <w:rPr>
          <w:rFonts w:asciiTheme="minorHAnsi" w:hAnsiTheme="minorHAnsi"/>
          <w:bCs/>
          <w:snapToGrid w:val="0"/>
        </w:rPr>
        <w:t>The clinicians highlighted the significant impact insomnia has on parents and carers quality of life.</w:t>
      </w:r>
      <w:r w:rsidR="00B816DD">
        <w:rPr>
          <w:rFonts w:asciiTheme="minorHAnsi" w:hAnsiTheme="minorHAnsi"/>
          <w:bCs/>
          <w:snapToGrid w:val="0"/>
        </w:rPr>
        <w:t xml:space="preserve"> </w:t>
      </w:r>
      <w:r w:rsidR="00EE2EBE" w:rsidRPr="002204DB">
        <w:rPr>
          <w:rFonts w:asciiTheme="minorHAnsi" w:hAnsiTheme="minorHAnsi"/>
          <w:bCs/>
          <w:snapToGrid w:val="0"/>
        </w:rPr>
        <w:t xml:space="preserve">The clinicians noted children with SMS are </w:t>
      </w:r>
      <w:r w:rsidR="00EE2EBE">
        <w:rPr>
          <w:rFonts w:asciiTheme="minorHAnsi" w:hAnsiTheme="minorHAnsi"/>
          <w:bCs/>
          <w:snapToGrid w:val="0"/>
        </w:rPr>
        <w:t>often the worst sleepers among their patients and highlighted the very high clinical need for effective treatment options for insomnia in this population.</w:t>
      </w:r>
      <w:r w:rsidR="00B816DD">
        <w:rPr>
          <w:rFonts w:asciiTheme="minorHAnsi" w:hAnsiTheme="minorHAnsi"/>
          <w:bCs/>
          <w:snapToGrid w:val="0"/>
        </w:rPr>
        <w:t xml:space="preserve"> </w:t>
      </w:r>
    </w:p>
    <w:p w:rsidR="00902E6A" w:rsidRPr="00836F75" w:rsidRDefault="00902E6A" w:rsidP="00126F5D">
      <w:pPr>
        <w:widowControl w:val="0"/>
        <w:spacing w:before="240" w:line="276" w:lineRule="auto"/>
        <w:outlineLvl w:val="1"/>
        <w:rPr>
          <w:rFonts w:asciiTheme="minorHAnsi" w:hAnsiTheme="minorHAnsi"/>
          <w:b/>
          <w:bCs/>
          <w:i/>
          <w:snapToGrid w:val="0"/>
          <w:sz w:val="28"/>
          <w:szCs w:val="28"/>
        </w:rPr>
      </w:pPr>
      <w:r w:rsidRPr="00836F75">
        <w:rPr>
          <w:rFonts w:asciiTheme="minorHAnsi" w:hAnsiTheme="minorHAnsi"/>
          <w:b/>
          <w:bCs/>
          <w:i/>
          <w:snapToGrid w:val="0"/>
          <w:sz w:val="28"/>
          <w:szCs w:val="28"/>
        </w:rPr>
        <w:t>Consumer comments</w:t>
      </w:r>
    </w:p>
    <w:p w:rsidR="00126F5D" w:rsidRPr="00126F5D" w:rsidRDefault="00126F5D" w:rsidP="00126F5D">
      <w:pPr>
        <w:widowControl w:val="0"/>
        <w:numPr>
          <w:ilvl w:val="1"/>
          <w:numId w:val="1"/>
        </w:numPr>
        <w:spacing w:after="120"/>
        <w:rPr>
          <w:rFonts w:asciiTheme="minorHAnsi" w:hAnsiTheme="minorHAnsi"/>
          <w:bCs/>
          <w:snapToGrid w:val="0"/>
        </w:rPr>
      </w:pPr>
      <w:r w:rsidRPr="00126F5D">
        <w:rPr>
          <w:rFonts w:asciiTheme="minorHAnsi" w:hAnsiTheme="minorHAnsi"/>
          <w:bCs/>
          <w:snapToGrid w:val="0"/>
        </w:rPr>
        <w:t xml:space="preserve">No consumer comments were received. </w:t>
      </w:r>
      <w:r w:rsidR="008C58B9">
        <w:rPr>
          <w:rFonts w:asciiTheme="minorHAnsi" w:hAnsiTheme="minorHAnsi"/>
          <w:bCs/>
          <w:snapToGrid w:val="0"/>
        </w:rPr>
        <w:t>However, t</w:t>
      </w:r>
      <w:r w:rsidRPr="00126F5D">
        <w:rPr>
          <w:rFonts w:asciiTheme="minorHAnsi" w:hAnsiTheme="minorHAnsi"/>
          <w:bCs/>
          <w:snapToGrid w:val="0"/>
        </w:rPr>
        <w:t xml:space="preserve">he PBAC noted input from the Consumer Evidence and Engagement Unit </w:t>
      </w:r>
      <w:r w:rsidR="009A0FB2">
        <w:rPr>
          <w:rFonts w:asciiTheme="minorHAnsi" w:hAnsiTheme="minorHAnsi"/>
          <w:bCs/>
          <w:snapToGrid w:val="0"/>
        </w:rPr>
        <w:t xml:space="preserve">of the Department of Health </w:t>
      </w:r>
      <w:r w:rsidRPr="00126F5D">
        <w:rPr>
          <w:rFonts w:asciiTheme="minorHAnsi" w:hAnsiTheme="minorHAnsi"/>
          <w:bCs/>
          <w:snapToGrid w:val="0"/>
        </w:rPr>
        <w:t xml:space="preserve">on this item. This input consisted of a meeting summary with representatives from Smith-Magenis Syndrome Australia. </w:t>
      </w:r>
      <w:r w:rsidR="00473692">
        <w:rPr>
          <w:rFonts w:asciiTheme="minorHAnsi" w:hAnsiTheme="minorHAnsi"/>
          <w:bCs/>
          <w:snapToGrid w:val="0"/>
        </w:rPr>
        <w:t xml:space="preserve">The PBAC noted that SMS Australia estimated the prevalence of SMS was likely to be around 1,000 individuals (based on a prevalence of 1 in 15,000 to 25,000). </w:t>
      </w:r>
      <w:r w:rsidRPr="00126F5D">
        <w:rPr>
          <w:rFonts w:asciiTheme="minorHAnsi" w:hAnsiTheme="minorHAnsi"/>
          <w:bCs/>
          <w:snapToGrid w:val="0"/>
        </w:rPr>
        <w:t xml:space="preserve">The PBAC noted almost all individuals with </w:t>
      </w:r>
      <w:r w:rsidR="0014519D">
        <w:rPr>
          <w:rFonts w:asciiTheme="minorHAnsi" w:hAnsiTheme="minorHAnsi"/>
          <w:bCs/>
          <w:snapToGrid w:val="0"/>
        </w:rPr>
        <w:t xml:space="preserve">SMS </w:t>
      </w:r>
      <w:r w:rsidRPr="00126F5D">
        <w:rPr>
          <w:rFonts w:asciiTheme="minorHAnsi" w:hAnsiTheme="minorHAnsi"/>
          <w:bCs/>
          <w:snapToGrid w:val="0"/>
        </w:rPr>
        <w:t xml:space="preserve">have chronic sleep problems; with night-time waking being the most concerning for parents. This concern is due to both the impact of lack of sleep on mood and learning during the day, as well as the difficulty associated with supervising individuals who may wake and wander during the night. The PBAC noted the advice from SMS Australia that melatonin helps to reduce night-time waking and prolongs sleep but many families remained worried about the lack of regulation around melatonin. </w:t>
      </w:r>
      <w:r w:rsidR="00FD6EE4">
        <w:rPr>
          <w:rFonts w:asciiTheme="minorHAnsi" w:hAnsiTheme="minorHAnsi"/>
          <w:bCs/>
          <w:snapToGrid w:val="0"/>
        </w:rPr>
        <w:t xml:space="preserve">The PBAC noted the advice that prolonged release melatonin was the most beneficial formulation for people with SMS as it was primarily </w:t>
      </w:r>
      <w:r w:rsidR="008C58B9">
        <w:rPr>
          <w:rFonts w:asciiTheme="minorHAnsi" w:hAnsiTheme="minorHAnsi"/>
          <w:bCs/>
          <w:snapToGrid w:val="0"/>
        </w:rPr>
        <w:t xml:space="preserve">night-time </w:t>
      </w:r>
      <w:r w:rsidR="00FD6EE4">
        <w:rPr>
          <w:rFonts w:asciiTheme="minorHAnsi" w:hAnsiTheme="minorHAnsi"/>
          <w:bCs/>
          <w:snapToGrid w:val="0"/>
        </w:rPr>
        <w:t>waking that is the issue, rather than sleep latency. The PBAC noted a high proportion of patients with SMS are currently using various formulations of melatonin.</w:t>
      </w:r>
      <w:r w:rsidR="00B816DD">
        <w:rPr>
          <w:rFonts w:asciiTheme="minorHAnsi" w:hAnsiTheme="minorHAnsi"/>
          <w:bCs/>
          <w:snapToGrid w:val="0"/>
        </w:rPr>
        <w:t xml:space="preserve"> </w:t>
      </w:r>
      <w:r w:rsidR="00FD6EE4">
        <w:rPr>
          <w:rFonts w:asciiTheme="minorHAnsi" w:hAnsiTheme="minorHAnsi"/>
          <w:bCs/>
          <w:snapToGrid w:val="0"/>
        </w:rPr>
        <w:t xml:space="preserve"> </w:t>
      </w:r>
    </w:p>
    <w:p w:rsidR="00B60939" w:rsidRPr="00F86759" w:rsidRDefault="00B60939" w:rsidP="00126F5D">
      <w:pPr>
        <w:pStyle w:val="3-SubsectionHeading"/>
      </w:pPr>
      <w:r w:rsidRPr="00F86759">
        <w:t>Clinical trial</w:t>
      </w:r>
      <w:bookmarkEnd w:id="8"/>
      <w:bookmarkEnd w:id="9"/>
    </w:p>
    <w:p w:rsidR="007F1017" w:rsidRPr="00F86759" w:rsidRDefault="00A73134" w:rsidP="00071C87">
      <w:pPr>
        <w:pStyle w:val="ExecSumBodyText"/>
        <w:rPr>
          <w:color w:val="0066FF"/>
        </w:rPr>
      </w:pPr>
      <w:r w:rsidRPr="00F86759">
        <w:rPr>
          <w:snapToGrid/>
          <w:lang w:val="en-US"/>
        </w:rPr>
        <w:t xml:space="preserve">The submission </w:t>
      </w:r>
      <w:r w:rsidR="00D5243B" w:rsidRPr="00F86759">
        <w:rPr>
          <w:snapToGrid/>
          <w:lang w:val="en-US"/>
        </w:rPr>
        <w:t>wa</w:t>
      </w:r>
      <w:r w:rsidRPr="00F86759">
        <w:rPr>
          <w:snapToGrid/>
          <w:lang w:val="en-US"/>
        </w:rPr>
        <w:t xml:space="preserve">s based on one head-to-head trial comparing </w:t>
      </w:r>
      <w:r w:rsidR="00E771D9" w:rsidRPr="00F86759">
        <w:rPr>
          <w:snapToGrid/>
          <w:lang w:val="en-US"/>
        </w:rPr>
        <w:t xml:space="preserve">prolonged release melatonin </w:t>
      </w:r>
      <w:r w:rsidRPr="00F86759">
        <w:rPr>
          <w:snapToGrid/>
          <w:lang w:val="en-US"/>
        </w:rPr>
        <w:t xml:space="preserve">to </w:t>
      </w:r>
      <w:r w:rsidR="00E771D9" w:rsidRPr="00F86759">
        <w:rPr>
          <w:snapToGrid/>
          <w:lang w:val="en-US"/>
        </w:rPr>
        <w:t>placebo</w:t>
      </w:r>
      <w:r w:rsidRPr="00F86759">
        <w:rPr>
          <w:snapToGrid/>
          <w:lang w:val="en-US"/>
        </w:rPr>
        <w:t xml:space="preserve"> (n=</w:t>
      </w:r>
      <w:r w:rsidR="00E771D9" w:rsidRPr="00F86759">
        <w:rPr>
          <w:snapToGrid/>
          <w:lang w:val="en-US"/>
        </w:rPr>
        <w:t xml:space="preserve">125; NEU_CH_7911), in children with ASD and/or </w:t>
      </w:r>
      <w:r w:rsidR="003E605C" w:rsidRPr="00F86759">
        <w:rPr>
          <w:snapToGrid/>
          <w:lang w:val="en-US"/>
        </w:rPr>
        <w:t xml:space="preserve">neurodevelopmental disabilities caused by neurogenetic diseases (including </w:t>
      </w:r>
      <w:r w:rsidR="00C51786">
        <w:rPr>
          <w:snapToGrid/>
          <w:lang w:val="en-US"/>
        </w:rPr>
        <w:t>SMS</w:t>
      </w:r>
      <w:r w:rsidR="003E605C" w:rsidRPr="00F86759">
        <w:rPr>
          <w:snapToGrid/>
          <w:lang w:val="en-US"/>
        </w:rPr>
        <w:t>, Angelman syndrome, Bourneville’s disease [tuberous sclerosis])</w:t>
      </w:r>
      <w:r w:rsidR="00E771D9" w:rsidRPr="00F86759">
        <w:rPr>
          <w:snapToGrid/>
          <w:lang w:val="en-US"/>
        </w:rPr>
        <w:t xml:space="preserve"> aged between 2 and 18 years with </w:t>
      </w:r>
      <w:r w:rsidR="003E605C" w:rsidRPr="00F86759">
        <w:rPr>
          <w:snapToGrid/>
          <w:lang w:val="en-US"/>
        </w:rPr>
        <w:t>impaired sleep</w:t>
      </w:r>
      <w:r w:rsidR="00E771D9" w:rsidRPr="00F86759">
        <w:rPr>
          <w:snapToGrid/>
          <w:lang w:val="en-US"/>
        </w:rPr>
        <w:t xml:space="preserve">. </w:t>
      </w:r>
      <w:r w:rsidR="00071C87" w:rsidRPr="00F86759">
        <w:rPr>
          <w:snapToGrid/>
          <w:lang w:val="en-US"/>
        </w:rPr>
        <w:t xml:space="preserve">Only 4 of the enrolled participants had </w:t>
      </w:r>
      <w:r w:rsidR="00C51786">
        <w:rPr>
          <w:snapToGrid/>
          <w:lang w:val="en-US"/>
        </w:rPr>
        <w:t>SMS</w:t>
      </w:r>
      <w:r w:rsidR="00071C87" w:rsidRPr="00F86759">
        <w:rPr>
          <w:snapToGrid/>
          <w:lang w:val="en-US"/>
        </w:rPr>
        <w:t xml:space="preserve"> and no other participants with neurogenetic diseases were recruited.</w:t>
      </w:r>
    </w:p>
    <w:p w:rsidR="00862502" w:rsidRPr="00F86759" w:rsidRDefault="00A73134" w:rsidP="002E4F02">
      <w:pPr>
        <w:pStyle w:val="ExecSumBodyText"/>
      </w:pPr>
      <w:r w:rsidRPr="00F86759">
        <w:rPr>
          <w:snapToGrid/>
          <w:lang w:val="en-US"/>
        </w:rPr>
        <w:t>Details of the trial presented in the submission are provided in the table below.</w:t>
      </w:r>
    </w:p>
    <w:p w:rsidR="00B97892" w:rsidRPr="00F86759" w:rsidRDefault="008E0D3C" w:rsidP="00C51786">
      <w:pPr>
        <w:pStyle w:val="TableFigureCaption"/>
        <w:keepLines/>
      </w:pPr>
      <w:r w:rsidRPr="00F86759">
        <w:t xml:space="preserve">Table </w:t>
      </w:r>
      <w:r w:rsidR="003E605C" w:rsidRPr="00F86759">
        <w:t>2</w:t>
      </w:r>
      <w:r w:rsidRPr="00F86759">
        <w:t>:</w:t>
      </w:r>
      <w:r w:rsidR="00BC591F" w:rsidRPr="00F86759">
        <w:t xml:space="preserve"> </w:t>
      </w:r>
      <w:r w:rsidRPr="00F86759">
        <w:t>Trial and associated reports presented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B97892" w:rsidRPr="00F86759" w:rsidTr="0007601C">
        <w:trPr>
          <w:tblHeader/>
        </w:trPr>
        <w:tc>
          <w:tcPr>
            <w:tcW w:w="796" w:type="pct"/>
            <w:tcBorders>
              <w:bottom w:val="single" w:sz="4" w:space="0" w:color="auto"/>
            </w:tcBorders>
            <w:vAlign w:val="center"/>
          </w:tcPr>
          <w:p w:rsidR="00B97892" w:rsidRPr="00F86759" w:rsidRDefault="00B97892" w:rsidP="00C51786">
            <w:pPr>
              <w:pStyle w:val="Tableheadingrow"/>
              <w:keepLines/>
            </w:pPr>
            <w:r w:rsidRPr="00F86759">
              <w:t>Trial ID</w:t>
            </w:r>
          </w:p>
        </w:tc>
        <w:tc>
          <w:tcPr>
            <w:tcW w:w="3027" w:type="pct"/>
            <w:tcBorders>
              <w:bottom w:val="single" w:sz="4" w:space="0" w:color="auto"/>
            </w:tcBorders>
            <w:vAlign w:val="center"/>
          </w:tcPr>
          <w:p w:rsidR="00B97892" w:rsidRPr="00F86759" w:rsidRDefault="00B97892" w:rsidP="00C51786">
            <w:pPr>
              <w:pStyle w:val="Tableheadingrow"/>
              <w:keepLines/>
            </w:pPr>
            <w:r w:rsidRPr="00F86759">
              <w:t>Protocol title/ Publication title</w:t>
            </w:r>
          </w:p>
        </w:tc>
        <w:tc>
          <w:tcPr>
            <w:tcW w:w="1177" w:type="pct"/>
            <w:tcBorders>
              <w:bottom w:val="single" w:sz="4" w:space="0" w:color="auto"/>
            </w:tcBorders>
            <w:vAlign w:val="center"/>
          </w:tcPr>
          <w:p w:rsidR="00B97892" w:rsidRPr="00F86759" w:rsidRDefault="00B97892" w:rsidP="00C51786">
            <w:pPr>
              <w:pStyle w:val="Tableheadingrow"/>
              <w:keepLines/>
            </w:pPr>
            <w:r w:rsidRPr="00F86759">
              <w:t>Publication citation</w:t>
            </w:r>
          </w:p>
        </w:tc>
      </w:tr>
      <w:tr w:rsidR="00B97892" w:rsidRPr="00F86759" w:rsidTr="0007601C">
        <w:tc>
          <w:tcPr>
            <w:tcW w:w="796" w:type="pct"/>
            <w:vMerge w:val="restart"/>
            <w:tcBorders>
              <w:bottom w:val="single" w:sz="4" w:space="0" w:color="auto"/>
            </w:tcBorders>
            <w:vAlign w:val="center"/>
          </w:tcPr>
          <w:p w:rsidR="00B97892" w:rsidRPr="00F86759" w:rsidRDefault="00B97892" w:rsidP="00C51786">
            <w:pPr>
              <w:pStyle w:val="TableText"/>
              <w:keepLines/>
            </w:pPr>
            <w:r w:rsidRPr="00F86759">
              <w:t>NEU_CH_7911</w:t>
            </w:r>
          </w:p>
        </w:tc>
        <w:tc>
          <w:tcPr>
            <w:tcW w:w="3027" w:type="pct"/>
            <w:tcBorders>
              <w:bottom w:val="nil"/>
            </w:tcBorders>
          </w:tcPr>
          <w:p w:rsidR="00B97892" w:rsidRPr="00F86759" w:rsidRDefault="00B97892" w:rsidP="00C51786">
            <w:pPr>
              <w:pStyle w:val="TableText"/>
              <w:keepLines/>
              <w:rPr>
                <w:szCs w:val="18"/>
              </w:rPr>
            </w:pPr>
            <w:r w:rsidRPr="00F86759">
              <w:rPr>
                <w:szCs w:val="18"/>
              </w:rPr>
              <w:t>A randomized, placebo-controlled study to investigate the efficacy and safety of Circadin to alleviate sleep disturbances in children with neurodevelopmental disabilities</w:t>
            </w:r>
            <w:r w:rsidR="00B816DD">
              <w:rPr>
                <w:szCs w:val="18"/>
              </w:rPr>
              <w:t xml:space="preserve"> </w:t>
            </w:r>
          </w:p>
        </w:tc>
        <w:tc>
          <w:tcPr>
            <w:tcW w:w="1177" w:type="pct"/>
            <w:tcBorders>
              <w:bottom w:val="nil"/>
            </w:tcBorders>
          </w:tcPr>
          <w:p w:rsidR="00B97892" w:rsidRPr="00F86759" w:rsidRDefault="00B97892" w:rsidP="00C51786">
            <w:pPr>
              <w:pStyle w:val="TableText"/>
              <w:keepLines/>
            </w:pPr>
            <w:r w:rsidRPr="00F86759">
              <w:t>19 June 2018</w:t>
            </w:r>
          </w:p>
        </w:tc>
      </w:tr>
      <w:tr w:rsidR="00B97892" w:rsidRPr="00F86759" w:rsidTr="0007601C">
        <w:tc>
          <w:tcPr>
            <w:tcW w:w="796" w:type="pct"/>
            <w:vMerge/>
            <w:tcBorders>
              <w:bottom w:val="single" w:sz="4" w:space="0" w:color="auto"/>
            </w:tcBorders>
            <w:vAlign w:val="center"/>
          </w:tcPr>
          <w:p w:rsidR="00B97892" w:rsidRPr="00F86759" w:rsidRDefault="00B97892" w:rsidP="00C51786">
            <w:pPr>
              <w:pStyle w:val="TableText"/>
              <w:keepLines/>
            </w:pPr>
          </w:p>
        </w:tc>
        <w:tc>
          <w:tcPr>
            <w:tcW w:w="3027" w:type="pct"/>
            <w:tcBorders>
              <w:top w:val="nil"/>
              <w:bottom w:val="nil"/>
            </w:tcBorders>
          </w:tcPr>
          <w:p w:rsidR="00B97892" w:rsidRPr="00F86759" w:rsidRDefault="00B97892" w:rsidP="00C51786">
            <w:pPr>
              <w:pStyle w:val="TableText"/>
              <w:keepLines/>
              <w:rPr>
                <w:szCs w:val="18"/>
              </w:rPr>
            </w:pPr>
            <w:r w:rsidRPr="00F86759">
              <w:t xml:space="preserve"> </w:t>
            </w:r>
            <w:r w:rsidRPr="00F86759">
              <w:rPr>
                <w:szCs w:val="18"/>
              </w:rPr>
              <w:t xml:space="preserve">Maras A, Schroder CM, Malow BA, et al. Long-Term Efficacy and Safety of Pediatric Prolonged-Release Melatonin for Insomnia in Children with Autism Spectrum Disorder. </w:t>
            </w:r>
          </w:p>
        </w:tc>
        <w:tc>
          <w:tcPr>
            <w:tcW w:w="1177" w:type="pct"/>
            <w:tcBorders>
              <w:top w:val="nil"/>
              <w:bottom w:val="nil"/>
            </w:tcBorders>
          </w:tcPr>
          <w:p w:rsidR="00B97892" w:rsidRPr="00F86759" w:rsidRDefault="00B97892" w:rsidP="00C51786">
            <w:pPr>
              <w:pStyle w:val="TableText"/>
              <w:keepLines/>
            </w:pPr>
            <w:r w:rsidRPr="00F86759">
              <w:rPr>
                <w:szCs w:val="18"/>
              </w:rPr>
              <w:t>J Child Adolesc Psychopharmacol. 2018 Dec;28(10):699-710</w:t>
            </w:r>
          </w:p>
        </w:tc>
      </w:tr>
      <w:tr w:rsidR="00B97892" w:rsidRPr="00F86759" w:rsidTr="0007601C">
        <w:tc>
          <w:tcPr>
            <w:tcW w:w="796" w:type="pct"/>
            <w:vMerge/>
            <w:tcBorders>
              <w:bottom w:val="single" w:sz="4" w:space="0" w:color="auto"/>
            </w:tcBorders>
            <w:vAlign w:val="center"/>
          </w:tcPr>
          <w:p w:rsidR="00B97892" w:rsidRPr="00F86759" w:rsidRDefault="00B97892" w:rsidP="00C51786">
            <w:pPr>
              <w:pStyle w:val="TableText"/>
              <w:keepLines/>
            </w:pPr>
          </w:p>
        </w:tc>
        <w:tc>
          <w:tcPr>
            <w:tcW w:w="3027" w:type="pct"/>
            <w:tcBorders>
              <w:top w:val="nil"/>
              <w:bottom w:val="nil"/>
            </w:tcBorders>
          </w:tcPr>
          <w:p w:rsidR="00B97892" w:rsidRPr="00F86759" w:rsidRDefault="00B97892" w:rsidP="00C51786">
            <w:pPr>
              <w:pStyle w:val="TableText"/>
              <w:keepLines/>
              <w:rPr>
                <w:szCs w:val="18"/>
              </w:rPr>
            </w:pPr>
            <w:r w:rsidRPr="00F86759">
              <w:rPr>
                <w:szCs w:val="18"/>
              </w:rPr>
              <w:t xml:space="preserve">Malow BA, Findling RL, Schroder CM, et al. Sleep, Growth, and Puberty After 2 Years of Prolonged-Release Melatonin in Children With Autism Spectrum Disorder. </w:t>
            </w:r>
          </w:p>
        </w:tc>
        <w:tc>
          <w:tcPr>
            <w:tcW w:w="1177" w:type="pct"/>
            <w:tcBorders>
              <w:top w:val="nil"/>
              <w:bottom w:val="nil"/>
            </w:tcBorders>
          </w:tcPr>
          <w:p w:rsidR="00B97892" w:rsidRPr="00F86759" w:rsidRDefault="00B97892" w:rsidP="00C51786">
            <w:pPr>
              <w:pStyle w:val="TableText"/>
              <w:keepLines/>
            </w:pPr>
            <w:r w:rsidRPr="00F86759">
              <w:rPr>
                <w:szCs w:val="18"/>
              </w:rPr>
              <w:t>J Am Acad Child Adolesc Psychiatry. 2020 Jan 23:S0890-8567(20)30034-4.</w:t>
            </w:r>
          </w:p>
        </w:tc>
      </w:tr>
      <w:tr w:rsidR="00B97892" w:rsidRPr="00F86759" w:rsidTr="0007601C">
        <w:tc>
          <w:tcPr>
            <w:tcW w:w="796" w:type="pct"/>
            <w:vMerge/>
            <w:tcBorders>
              <w:bottom w:val="single" w:sz="4" w:space="0" w:color="auto"/>
            </w:tcBorders>
            <w:vAlign w:val="center"/>
          </w:tcPr>
          <w:p w:rsidR="00B97892" w:rsidRPr="00F86759" w:rsidRDefault="00B97892" w:rsidP="00C51786">
            <w:pPr>
              <w:pStyle w:val="TableText"/>
              <w:keepLines/>
            </w:pPr>
          </w:p>
        </w:tc>
        <w:tc>
          <w:tcPr>
            <w:tcW w:w="3027" w:type="pct"/>
            <w:tcBorders>
              <w:top w:val="nil"/>
              <w:bottom w:val="nil"/>
            </w:tcBorders>
          </w:tcPr>
          <w:p w:rsidR="00B97892" w:rsidRPr="00F86759" w:rsidRDefault="00B97892" w:rsidP="00C51786">
            <w:pPr>
              <w:pStyle w:val="TableText"/>
              <w:keepLines/>
              <w:rPr>
                <w:szCs w:val="18"/>
              </w:rPr>
            </w:pPr>
            <w:r w:rsidRPr="00F86759">
              <w:rPr>
                <w:szCs w:val="18"/>
              </w:rPr>
              <w:t xml:space="preserve">Schroder CM, Malow BA, Maras A, et al. Pediatric Prolonged-Release Melatonin for Sleep in Children with Autism Spectrum Disorder: Impact on Child Behavior and Caregiver's Quality of Life. </w:t>
            </w:r>
          </w:p>
        </w:tc>
        <w:tc>
          <w:tcPr>
            <w:tcW w:w="1177" w:type="pct"/>
            <w:tcBorders>
              <w:top w:val="nil"/>
              <w:bottom w:val="nil"/>
            </w:tcBorders>
          </w:tcPr>
          <w:p w:rsidR="00B97892" w:rsidRPr="00F86759" w:rsidRDefault="00B97892" w:rsidP="00C51786">
            <w:pPr>
              <w:pStyle w:val="TableText"/>
              <w:keepLines/>
            </w:pPr>
            <w:r w:rsidRPr="00F86759">
              <w:rPr>
                <w:szCs w:val="18"/>
              </w:rPr>
              <w:t>J Autism Dev Disord. 2019 Aug;49(8):3218-3230.</w:t>
            </w:r>
          </w:p>
        </w:tc>
      </w:tr>
      <w:tr w:rsidR="00B97892" w:rsidRPr="00F86759" w:rsidTr="0007601C">
        <w:tc>
          <w:tcPr>
            <w:tcW w:w="796" w:type="pct"/>
            <w:vMerge/>
            <w:tcBorders>
              <w:bottom w:val="single" w:sz="4" w:space="0" w:color="auto"/>
            </w:tcBorders>
            <w:vAlign w:val="center"/>
          </w:tcPr>
          <w:p w:rsidR="00B97892" w:rsidRPr="00F86759" w:rsidRDefault="00B97892" w:rsidP="00C51786">
            <w:pPr>
              <w:pStyle w:val="TableText"/>
              <w:keepLines/>
            </w:pPr>
          </w:p>
        </w:tc>
        <w:tc>
          <w:tcPr>
            <w:tcW w:w="3027" w:type="pct"/>
            <w:tcBorders>
              <w:top w:val="nil"/>
              <w:bottom w:val="single" w:sz="4" w:space="0" w:color="auto"/>
            </w:tcBorders>
          </w:tcPr>
          <w:p w:rsidR="00B97892" w:rsidRPr="00F86759" w:rsidRDefault="00B97892" w:rsidP="00C51786">
            <w:pPr>
              <w:pStyle w:val="TableText"/>
              <w:keepLines/>
              <w:rPr>
                <w:szCs w:val="18"/>
              </w:rPr>
            </w:pPr>
            <w:r w:rsidRPr="00F86759">
              <w:rPr>
                <w:szCs w:val="18"/>
              </w:rPr>
              <w:t xml:space="preserve">Gringras P, Nir T, Breddy J, et al. Efficacy and Safety of Pediatric Prolonged-Release Melatonin for Insomnia in Children With Autism Spectrum Disorder. </w:t>
            </w:r>
          </w:p>
        </w:tc>
        <w:tc>
          <w:tcPr>
            <w:tcW w:w="1177" w:type="pct"/>
            <w:tcBorders>
              <w:top w:val="nil"/>
              <w:bottom w:val="single" w:sz="4" w:space="0" w:color="auto"/>
            </w:tcBorders>
          </w:tcPr>
          <w:p w:rsidR="00B97892" w:rsidRPr="00F86759" w:rsidRDefault="00B97892" w:rsidP="00C51786">
            <w:pPr>
              <w:pStyle w:val="TableText"/>
              <w:keepLines/>
            </w:pPr>
            <w:r w:rsidRPr="00F86759">
              <w:rPr>
                <w:szCs w:val="18"/>
              </w:rPr>
              <w:t>J Am Acad Child Adolesc Psychiatry. 2017 Nov;56(11):948-957.e4.</w:t>
            </w:r>
          </w:p>
        </w:tc>
      </w:tr>
    </w:tbl>
    <w:p w:rsidR="00B97892" w:rsidRPr="00F86759" w:rsidRDefault="00B97892" w:rsidP="00C51786">
      <w:pPr>
        <w:pStyle w:val="TableFigureFooter"/>
        <w:keepNext/>
        <w:keepLines/>
        <w:rPr>
          <w:sz w:val="20"/>
        </w:rPr>
      </w:pPr>
      <w:r w:rsidRPr="00F86759">
        <w:t>Source: Table 2.3, pp.52-53 of the submission</w:t>
      </w:r>
    </w:p>
    <w:p w:rsidR="00B97892" w:rsidRPr="00F86759" w:rsidRDefault="00B97892" w:rsidP="00B97892">
      <w:pPr>
        <w:pStyle w:val="Tableheadingrow"/>
        <w:rPr>
          <w:lang w:val="en-AU"/>
        </w:rPr>
      </w:pPr>
    </w:p>
    <w:p w:rsidR="007F1017" w:rsidRPr="00F86759" w:rsidRDefault="008F120A" w:rsidP="00EC5836">
      <w:pPr>
        <w:pStyle w:val="ExecSumBodyText"/>
        <w:rPr>
          <w:color w:val="0066FF"/>
        </w:rPr>
      </w:pPr>
      <w:r w:rsidRPr="00F86759">
        <w:t xml:space="preserve">The key features of the </w:t>
      </w:r>
      <w:r w:rsidR="003E605C" w:rsidRPr="00F86759">
        <w:t>NEU_CH_7911 trial</w:t>
      </w:r>
      <w:r w:rsidRPr="00F86759">
        <w:t xml:space="preserve"> are summarised in the table below.</w:t>
      </w:r>
      <w:r w:rsidR="00BC591F" w:rsidRPr="00F86759">
        <w:t xml:space="preserve"> </w:t>
      </w:r>
    </w:p>
    <w:p w:rsidR="007F1017" w:rsidRPr="00F86759" w:rsidRDefault="003E605C" w:rsidP="00230DB1">
      <w:pPr>
        <w:pStyle w:val="TableFigureCaption"/>
      </w:pPr>
      <w:r w:rsidRPr="00F86759">
        <w:t>Table 3</w:t>
      </w:r>
      <w:r w:rsidR="007F1017" w:rsidRPr="00F86759">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30"/>
        <w:gridCol w:w="1863"/>
        <w:gridCol w:w="511"/>
        <w:gridCol w:w="1795"/>
        <w:gridCol w:w="1944"/>
        <w:gridCol w:w="1387"/>
      </w:tblGrid>
      <w:tr w:rsidR="00B41614" w:rsidRPr="00F86759" w:rsidTr="003E605C">
        <w:trPr>
          <w:cantSplit/>
          <w:tblHeader/>
        </w:trPr>
        <w:tc>
          <w:tcPr>
            <w:tcW w:w="0" w:type="auto"/>
            <w:shd w:val="clear" w:color="auto" w:fill="auto"/>
            <w:vAlign w:val="center"/>
          </w:tcPr>
          <w:p w:rsidR="007F1017" w:rsidRPr="00F86759" w:rsidRDefault="007F1017" w:rsidP="001E34DF">
            <w:pPr>
              <w:pStyle w:val="Tableheadingrow"/>
            </w:pPr>
            <w:r w:rsidRPr="00F86759">
              <w:t>Trial</w:t>
            </w:r>
          </w:p>
        </w:tc>
        <w:tc>
          <w:tcPr>
            <w:tcW w:w="0" w:type="auto"/>
            <w:shd w:val="clear" w:color="auto" w:fill="auto"/>
            <w:vAlign w:val="center"/>
          </w:tcPr>
          <w:p w:rsidR="007F1017" w:rsidRPr="00F86759" w:rsidRDefault="007F1017" w:rsidP="00EC5836">
            <w:pPr>
              <w:pStyle w:val="Tableheadingrow"/>
              <w:jc w:val="center"/>
            </w:pPr>
            <w:r w:rsidRPr="00F86759">
              <w:t>N</w:t>
            </w:r>
          </w:p>
        </w:tc>
        <w:tc>
          <w:tcPr>
            <w:tcW w:w="0" w:type="auto"/>
            <w:shd w:val="clear" w:color="auto" w:fill="auto"/>
            <w:vAlign w:val="center"/>
          </w:tcPr>
          <w:p w:rsidR="007F1017" w:rsidRPr="00F86759" w:rsidRDefault="007F1017" w:rsidP="00EC5836">
            <w:pPr>
              <w:pStyle w:val="Tableheadingrow"/>
              <w:jc w:val="center"/>
            </w:pPr>
            <w:r w:rsidRPr="00F86759">
              <w:t>Design/ duration</w:t>
            </w:r>
          </w:p>
        </w:tc>
        <w:tc>
          <w:tcPr>
            <w:tcW w:w="0" w:type="auto"/>
            <w:shd w:val="clear" w:color="auto" w:fill="auto"/>
            <w:vAlign w:val="center"/>
          </w:tcPr>
          <w:p w:rsidR="007F1017" w:rsidRPr="00F86759" w:rsidRDefault="007F1017" w:rsidP="00EC5836">
            <w:pPr>
              <w:pStyle w:val="Tableheadingrow"/>
              <w:jc w:val="center"/>
            </w:pPr>
            <w:r w:rsidRPr="00F86759">
              <w:t>Risk of bias</w:t>
            </w:r>
          </w:p>
        </w:tc>
        <w:tc>
          <w:tcPr>
            <w:tcW w:w="0" w:type="auto"/>
            <w:shd w:val="clear" w:color="auto" w:fill="auto"/>
            <w:vAlign w:val="center"/>
          </w:tcPr>
          <w:p w:rsidR="007F1017" w:rsidRPr="00F86759" w:rsidRDefault="007F1017" w:rsidP="00EC5836">
            <w:pPr>
              <w:pStyle w:val="Tableheadingrow"/>
              <w:jc w:val="center"/>
            </w:pPr>
            <w:r w:rsidRPr="00F86759">
              <w:t>Patient population</w:t>
            </w:r>
          </w:p>
        </w:tc>
        <w:tc>
          <w:tcPr>
            <w:tcW w:w="0" w:type="auto"/>
            <w:shd w:val="clear" w:color="auto" w:fill="auto"/>
            <w:vAlign w:val="center"/>
          </w:tcPr>
          <w:p w:rsidR="007F1017" w:rsidRPr="00F86759" w:rsidRDefault="007F1017" w:rsidP="00EC5836">
            <w:pPr>
              <w:pStyle w:val="Tableheadingrow"/>
              <w:jc w:val="center"/>
            </w:pPr>
            <w:r w:rsidRPr="00F86759">
              <w:t>Outcomes</w:t>
            </w:r>
          </w:p>
        </w:tc>
        <w:tc>
          <w:tcPr>
            <w:tcW w:w="0" w:type="auto"/>
            <w:shd w:val="clear" w:color="auto" w:fill="auto"/>
            <w:vAlign w:val="center"/>
          </w:tcPr>
          <w:p w:rsidR="007F1017" w:rsidRPr="00F86759" w:rsidRDefault="007F1017" w:rsidP="00EC5836">
            <w:pPr>
              <w:pStyle w:val="Tableheadingrow"/>
              <w:jc w:val="center"/>
            </w:pPr>
            <w:r w:rsidRPr="00F86759">
              <w:t>Use in modelled evaluation</w:t>
            </w:r>
          </w:p>
        </w:tc>
      </w:tr>
      <w:tr w:rsidR="00B41614" w:rsidRPr="00F86759" w:rsidTr="00B97892">
        <w:trPr>
          <w:cantSplit/>
        </w:trPr>
        <w:tc>
          <w:tcPr>
            <w:tcW w:w="0" w:type="auto"/>
            <w:tcBorders>
              <w:bottom w:val="single" w:sz="4" w:space="0" w:color="auto"/>
            </w:tcBorders>
            <w:shd w:val="clear" w:color="auto" w:fill="auto"/>
            <w:vAlign w:val="center"/>
          </w:tcPr>
          <w:p w:rsidR="007F1017" w:rsidRPr="00F86759" w:rsidRDefault="003E605C" w:rsidP="00EC5836">
            <w:pPr>
              <w:pStyle w:val="TableText"/>
              <w:rPr>
                <w:lang w:val="en-US"/>
              </w:rPr>
            </w:pPr>
            <w:r w:rsidRPr="00F86759">
              <w:rPr>
                <w:lang w:val="en-US"/>
              </w:rPr>
              <w:t>NEU_CH_7911</w:t>
            </w:r>
          </w:p>
        </w:tc>
        <w:tc>
          <w:tcPr>
            <w:tcW w:w="0" w:type="auto"/>
            <w:tcBorders>
              <w:bottom w:val="single" w:sz="4" w:space="0" w:color="auto"/>
            </w:tcBorders>
            <w:shd w:val="clear" w:color="auto" w:fill="auto"/>
            <w:vAlign w:val="center"/>
          </w:tcPr>
          <w:p w:rsidR="007F1017" w:rsidRPr="00F86759" w:rsidRDefault="003E605C" w:rsidP="00EC5836">
            <w:pPr>
              <w:pStyle w:val="TableText"/>
              <w:jc w:val="center"/>
              <w:rPr>
                <w:lang w:val="en-US"/>
              </w:rPr>
            </w:pPr>
            <w:r w:rsidRPr="00F86759">
              <w:rPr>
                <w:lang w:val="en-US"/>
              </w:rPr>
              <w:t>1</w:t>
            </w:r>
            <w:r w:rsidR="007F1017" w:rsidRPr="00F86759">
              <w:rPr>
                <w:lang w:val="en-US"/>
              </w:rPr>
              <w:t>25</w:t>
            </w:r>
          </w:p>
        </w:tc>
        <w:tc>
          <w:tcPr>
            <w:tcW w:w="0" w:type="auto"/>
            <w:tcBorders>
              <w:bottom w:val="single" w:sz="4" w:space="0" w:color="auto"/>
            </w:tcBorders>
            <w:shd w:val="clear" w:color="auto" w:fill="auto"/>
            <w:vAlign w:val="center"/>
          </w:tcPr>
          <w:p w:rsidR="003E605C" w:rsidRPr="00F86759" w:rsidRDefault="003E605C" w:rsidP="003E605C">
            <w:pPr>
              <w:pStyle w:val="TableText"/>
              <w:jc w:val="center"/>
              <w:rPr>
                <w:lang w:val="en-US"/>
              </w:rPr>
            </w:pPr>
            <w:r w:rsidRPr="00F86759">
              <w:rPr>
                <w:lang w:val="en-US"/>
              </w:rPr>
              <w:t xml:space="preserve">Randomised, double blinded, multi centre, </w:t>
            </w:r>
          </w:p>
          <w:p w:rsidR="007F1017" w:rsidRPr="00F86759" w:rsidRDefault="003E605C" w:rsidP="003E605C">
            <w:pPr>
              <w:pStyle w:val="TableText"/>
              <w:jc w:val="center"/>
              <w:rPr>
                <w:lang w:val="en-US"/>
              </w:rPr>
            </w:pPr>
            <w:r w:rsidRPr="00F86759">
              <w:rPr>
                <w:lang w:val="en-US"/>
              </w:rPr>
              <w:t>13 week double blind period followed by up to 2 years open label treatment</w:t>
            </w:r>
          </w:p>
        </w:tc>
        <w:tc>
          <w:tcPr>
            <w:tcW w:w="0" w:type="auto"/>
            <w:tcBorders>
              <w:bottom w:val="single" w:sz="4" w:space="0" w:color="auto"/>
            </w:tcBorders>
            <w:shd w:val="clear" w:color="auto" w:fill="auto"/>
            <w:vAlign w:val="center"/>
          </w:tcPr>
          <w:p w:rsidR="007F1017" w:rsidRPr="00F86759" w:rsidRDefault="003E605C" w:rsidP="00EC5836">
            <w:pPr>
              <w:pStyle w:val="TableText"/>
              <w:jc w:val="center"/>
              <w:rPr>
                <w:lang w:val="en-US"/>
              </w:rPr>
            </w:pPr>
            <w:r w:rsidRPr="00F86759">
              <w:rPr>
                <w:lang w:val="en-US"/>
              </w:rPr>
              <w:t>High</w:t>
            </w:r>
          </w:p>
        </w:tc>
        <w:tc>
          <w:tcPr>
            <w:tcW w:w="0" w:type="auto"/>
            <w:tcBorders>
              <w:bottom w:val="single" w:sz="4" w:space="0" w:color="auto"/>
            </w:tcBorders>
            <w:shd w:val="clear" w:color="auto" w:fill="auto"/>
            <w:vAlign w:val="center"/>
          </w:tcPr>
          <w:p w:rsidR="007F1017" w:rsidRPr="00F86759" w:rsidRDefault="003E605C" w:rsidP="00EC5836">
            <w:pPr>
              <w:pStyle w:val="TableText"/>
              <w:jc w:val="center"/>
              <w:rPr>
                <w:lang w:val="en-US"/>
              </w:rPr>
            </w:pPr>
            <w:r w:rsidRPr="00F86759">
              <w:rPr>
                <w:lang w:val="en-US"/>
              </w:rPr>
              <w:t>Children aged between 2-18 years with ASD and/or SMS, with impaired sleep</w:t>
            </w:r>
          </w:p>
        </w:tc>
        <w:tc>
          <w:tcPr>
            <w:tcW w:w="0" w:type="auto"/>
            <w:tcBorders>
              <w:bottom w:val="single" w:sz="4" w:space="0" w:color="auto"/>
            </w:tcBorders>
            <w:shd w:val="clear" w:color="auto" w:fill="auto"/>
            <w:vAlign w:val="center"/>
          </w:tcPr>
          <w:p w:rsidR="003E605C" w:rsidRPr="00F86759" w:rsidRDefault="003E605C" w:rsidP="00EC5836">
            <w:pPr>
              <w:pStyle w:val="TableText"/>
              <w:jc w:val="center"/>
              <w:rPr>
                <w:lang w:val="en-US"/>
              </w:rPr>
            </w:pPr>
            <w:r w:rsidRPr="00F86759">
              <w:rPr>
                <w:lang w:val="en-US"/>
              </w:rPr>
              <w:t>Total sleep time</w:t>
            </w:r>
            <w:r w:rsidR="00C51786">
              <w:rPr>
                <w:lang w:val="en-US"/>
              </w:rPr>
              <w:t>;</w:t>
            </w:r>
          </w:p>
          <w:p w:rsidR="003E605C" w:rsidRPr="00F86759" w:rsidRDefault="003E605C" w:rsidP="00EC5836">
            <w:pPr>
              <w:pStyle w:val="TableText"/>
              <w:jc w:val="center"/>
              <w:rPr>
                <w:lang w:val="en-US"/>
              </w:rPr>
            </w:pPr>
            <w:r w:rsidRPr="00F86759">
              <w:rPr>
                <w:lang w:val="en-US"/>
              </w:rPr>
              <w:t>Sleep latency</w:t>
            </w:r>
            <w:r w:rsidR="00C51786">
              <w:rPr>
                <w:lang w:val="en-US"/>
              </w:rPr>
              <w:t>;</w:t>
            </w:r>
          </w:p>
          <w:p w:rsidR="007F1017" w:rsidRPr="00F86759" w:rsidRDefault="003E605C" w:rsidP="00EC5836">
            <w:pPr>
              <w:pStyle w:val="TableText"/>
              <w:jc w:val="center"/>
              <w:rPr>
                <w:lang w:val="en-US"/>
              </w:rPr>
            </w:pPr>
            <w:r w:rsidRPr="00F86759">
              <w:rPr>
                <w:lang w:val="en-US"/>
              </w:rPr>
              <w:t xml:space="preserve">Responder (increase in total sleep time </w:t>
            </w:r>
            <w:r w:rsidRPr="00F86759">
              <w:rPr>
                <w:rFonts w:ascii="Calibri" w:hAnsi="Calibri" w:cs="Calibri"/>
                <w:lang w:val="en-US"/>
              </w:rPr>
              <w:t>≥</w:t>
            </w:r>
            <w:r w:rsidRPr="00F86759">
              <w:rPr>
                <w:lang w:val="en-US"/>
              </w:rPr>
              <w:t xml:space="preserve">45 min and/or reduction in sleep latency </w:t>
            </w:r>
            <w:r w:rsidRPr="00F86759">
              <w:rPr>
                <w:rFonts w:ascii="Calibri" w:hAnsi="Calibri" w:cs="Calibri"/>
                <w:lang w:val="en-US"/>
              </w:rPr>
              <w:t>≥</w:t>
            </w:r>
            <w:r w:rsidRPr="00F86759">
              <w:rPr>
                <w:lang w:val="en-US"/>
              </w:rPr>
              <w:t>15 min)</w:t>
            </w:r>
          </w:p>
        </w:tc>
        <w:tc>
          <w:tcPr>
            <w:tcW w:w="0" w:type="auto"/>
            <w:tcBorders>
              <w:bottom w:val="single" w:sz="4" w:space="0" w:color="auto"/>
            </w:tcBorders>
            <w:shd w:val="clear" w:color="auto" w:fill="auto"/>
            <w:vAlign w:val="center"/>
          </w:tcPr>
          <w:p w:rsidR="007F1017" w:rsidRPr="00F86759" w:rsidRDefault="003E605C" w:rsidP="00EC5836">
            <w:pPr>
              <w:pStyle w:val="TableText"/>
              <w:jc w:val="center"/>
              <w:rPr>
                <w:lang w:val="en-US"/>
              </w:rPr>
            </w:pPr>
            <w:r w:rsidRPr="00F86759">
              <w:rPr>
                <w:lang w:val="en-US"/>
              </w:rPr>
              <w:t>Total sleep time and/or sleep latency responders</w:t>
            </w:r>
          </w:p>
        </w:tc>
      </w:tr>
    </w:tbl>
    <w:p w:rsidR="00045017" w:rsidRPr="00F86759" w:rsidRDefault="00045017" w:rsidP="00EC5836">
      <w:pPr>
        <w:pStyle w:val="TableFigureFooter"/>
      </w:pPr>
      <w:r w:rsidRPr="00F86759">
        <w:t xml:space="preserve">Source: </w:t>
      </w:r>
      <w:r w:rsidR="003E605C" w:rsidRPr="00F86759">
        <w:t>Table 2.4, p.56</w:t>
      </w:r>
      <w:r w:rsidRPr="00F86759">
        <w:t xml:space="preserve"> of the submission</w:t>
      </w:r>
      <w:r w:rsidR="003E605C" w:rsidRPr="00F86759">
        <w:t>; NEU_CH_7911 CSR</w:t>
      </w:r>
    </w:p>
    <w:p w:rsidR="00620C25" w:rsidRPr="00F86759" w:rsidRDefault="003E605C" w:rsidP="00EC5836">
      <w:pPr>
        <w:pStyle w:val="TableFigureFooter"/>
        <w:rPr>
          <w:sz w:val="20"/>
        </w:rPr>
      </w:pPr>
      <w:r w:rsidRPr="00F86759">
        <w:t xml:space="preserve">Abbreviations: ASD, Autism Spectrum Disorders; SMS, Smith-Magenis Syndrome </w:t>
      </w:r>
    </w:p>
    <w:p w:rsidR="00404E8A" w:rsidRPr="00F86759" w:rsidRDefault="00404E8A" w:rsidP="00404E8A">
      <w:pPr>
        <w:pStyle w:val="ExecSumBodyText"/>
        <w:rPr>
          <w:color w:val="0066FF"/>
        </w:rPr>
      </w:pPr>
      <w:r w:rsidRPr="00F86759">
        <w:t xml:space="preserve">The NEU_CH_7911 study had a potentially high risk of </w:t>
      </w:r>
      <w:r w:rsidR="00D20D94" w:rsidRPr="00F86759">
        <w:t xml:space="preserve">attrition </w:t>
      </w:r>
      <w:r w:rsidRPr="00F86759">
        <w:t>bias</w:t>
      </w:r>
      <w:r w:rsidR="00D20D94" w:rsidRPr="00F86759">
        <w:t xml:space="preserve"> due to incomplete outcome data</w:t>
      </w:r>
      <w:r w:rsidRPr="00F86759">
        <w:t>. There were differences between treatment arms in the numbers of parents completing valid sleep and nap diaries, with lower completion rates in the placebo arm</w:t>
      </w:r>
      <w:r w:rsidR="00931035" w:rsidRPr="00F86759">
        <w:t xml:space="preserve"> (79% vs 90% in the melatonin treatment arm)</w:t>
      </w:r>
      <w:r w:rsidRPr="00F86759">
        <w:t>. Information from the sleep and nap diaries informed both the primary (total sleep time) and secondary (sleep latency) outcomes upon which the submission was based.</w:t>
      </w:r>
      <w:r w:rsidRPr="00F86759">
        <w:rPr>
          <w:color w:val="0066FF"/>
        </w:rPr>
        <w:t xml:space="preserve"> </w:t>
      </w:r>
    </w:p>
    <w:p w:rsidR="004D2CFE" w:rsidRPr="00F86759" w:rsidRDefault="004D2CFE" w:rsidP="004D2CFE">
      <w:pPr>
        <w:pStyle w:val="ExecSumBodyText"/>
      </w:pPr>
      <w:r w:rsidRPr="00F86759">
        <w:t xml:space="preserve">The NEU_CH_7911 randomised trial included an initial 4 week sleep hygiene period with no </w:t>
      </w:r>
      <w:r w:rsidR="00C9185E" w:rsidRPr="00F86759">
        <w:t>pharmacological treatment</w:t>
      </w:r>
      <w:r w:rsidRPr="00F86759">
        <w:t xml:space="preserve">. In this phase, children who did not have a documented history of sleep hygiene and behavioural intervention at screening underwent 4 weeks of basic sleep hygiene and behavioural intervention. This period also served as a wash-out period from any hypnotics; a gradual withdrawal took place during the first 2 weeks and a complete withdrawal of prohibited medications took place during the last 2 weeks. Patients who did not respond to sleep hygiene measures, or who had a documented history of non-response, were eligible to continue into the double-blind treatment period. </w:t>
      </w:r>
      <w:r w:rsidR="00404E8A" w:rsidRPr="00F86759">
        <w:t xml:space="preserve">The placebo arm of the trial may not adequately represent standard supportive care, which was the nominated comparator. No behavioural measures were allowed to continue during </w:t>
      </w:r>
      <w:r w:rsidR="00C51786">
        <w:t xml:space="preserve">the </w:t>
      </w:r>
      <w:r w:rsidR="00404E8A" w:rsidRPr="00F86759">
        <w:t>trial period, however in practice sleep hygiene training or psychotherapeutic measures such as behavioural therapies are likely to continue to be offered. The trial was therefore unable to derive the added benefit of melatonin versus standard supportive care.</w:t>
      </w:r>
    </w:p>
    <w:p w:rsidR="004D2CFE" w:rsidRPr="00F86759" w:rsidRDefault="004D2CFE" w:rsidP="004D2CFE">
      <w:pPr>
        <w:pStyle w:val="ExecSumBodyText"/>
      </w:pPr>
      <w:r w:rsidRPr="00F86759">
        <w:t xml:space="preserve">The double blind period commenced with a 2 week single-blind placebo run-in, followed by a randomised double-blind efficacy and safety study of 13 weeks prolonged release melatonin (2 mg with optional escalation to 5 mg after 3 weeks) or placebo treatment (with optional dose escalation as in the active arm). Children then continued on 2 </w:t>
      </w:r>
      <w:r w:rsidR="003A5D58">
        <w:t xml:space="preserve">mg </w:t>
      </w:r>
      <w:r w:rsidRPr="00F86759">
        <w:t>or 5 mg of prolonged release melatonin or placebo for the remaining 10 weeks of double-blind treatment, with an efficacy assessment visit at week 15 (i.e. following 13 weeks of double blind treatment).</w:t>
      </w:r>
    </w:p>
    <w:p w:rsidR="004D2CFE" w:rsidRPr="00F86759" w:rsidRDefault="004D2CFE" w:rsidP="004D2CFE">
      <w:pPr>
        <w:pStyle w:val="ExecSumBodyText"/>
      </w:pPr>
      <w:r w:rsidRPr="00F86759">
        <w:t>All completers then received open label prolonged release melatonin, according to the final dose in the double-blind phase, for 91 weeks with optional dose adjustment (2, 5 or 10 mg/day) after the first 13 weeks of open label treatment. A 2-week single-blind placebo period (withdrawal phase) then followed. There is a lack of comparative evidence supporting the use of a 10 mg dose of prolonged release melatonin.</w:t>
      </w:r>
      <w:r w:rsidR="00711A0C" w:rsidRPr="00F86759">
        <w:t xml:space="preserve"> </w:t>
      </w:r>
    </w:p>
    <w:p w:rsidR="00B7253F" w:rsidRPr="00F86759" w:rsidRDefault="00711A0C" w:rsidP="00711A0C">
      <w:pPr>
        <w:pStyle w:val="ExecSumBodyText"/>
      </w:pPr>
      <w:r w:rsidRPr="00F86759">
        <w:t xml:space="preserve">The trial enrolled children 2 to 17.5 years with a confirmed history of either ASD according to the Diagnostic and Statistical Manual of Mental Disorders (DSM-5/4) criteria or International Classification of Diseases 10th Revision (ICD-10), or neurodevelopmental disabilities caused by neurogenetic diseases (including </w:t>
      </w:r>
      <w:r w:rsidR="0014519D">
        <w:t>SMS</w:t>
      </w:r>
      <w:r w:rsidRPr="00F86759">
        <w:t xml:space="preserve">); and sleep problems including: a minimum of 3 months of impaired sleep defined as ≤6 hours of continuous sleep and/or ≥ 0.5 hour sleep latency from light off in 3 out of 5 nights per week for 2 weeks based on parent reports and patient medical history. </w:t>
      </w:r>
      <w:r w:rsidR="00E2053D" w:rsidRPr="00F86759">
        <w:t xml:space="preserve">It is unclear whether the definition of impaired sleep used in the </w:t>
      </w:r>
      <w:r w:rsidR="00F22C26" w:rsidRPr="00F86759">
        <w:t xml:space="preserve">trial </w:t>
      </w:r>
      <w:r w:rsidR="00E2053D" w:rsidRPr="00F86759">
        <w:t>inclusion criteria is consistent with the definition of insomnia in children used in clinical practice</w:t>
      </w:r>
      <w:r w:rsidR="00E2053D" w:rsidRPr="00F86759">
        <w:rPr>
          <w:snapToGrid/>
          <w:lang w:val="en-US"/>
        </w:rPr>
        <w:t>.</w:t>
      </w:r>
      <w:r w:rsidR="00AA15C1" w:rsidRPr="00F86759">
        <w:rPr>
          <w:snapToGrid/>
          <w:lang w:val="en-US"/>
        </w:rPr>
        <w:t xml:space="preserve"> </w:t>
      </w:r>
      <w:r w:rsidR="00AA15C1" w:rsidRPr="00F86759">
        <w:rPr>
          <w:iCs/>
          <w:snapToGrid/>
          <w:lang w:val="en-US"/>
        </w:rPr>
        <w:t xml:space="preserve">It is also unclear whether the </w:t>
      </w:r>
      <w:r w:rsidR="008E67A5" w:rsidRPr="00F86759">
        <w:rPr>
          <w:iCs/>
          <w:snapToGrid/>
          <w:lang w:val="en-US"/>
        </w:rPr>
        <w:t xml:space="preserve">trial </w:t>
      </w:r>
      <w:r w:rsidR="00AA15C1" w:rsidRPr="00F86759">
        <w:rPr>
          <w:iCs/>
          <w:snapToGrid/>
          <w:lang w:val="en-US"/>
        </w:rPr>
        <w:t xml:space="preserve">population </w:t>
      </w:r>
      <w:r w:rsidR="008E67A5" w:rsidRPr="00F86759">
        <w:t>had experienced an inadequate response to sleep hygiene measures, as required under</w:t>
      </w:r>
      <w:r w:rsidR="008B399C" w:rsidRPr="00F86759">
        <w:t xml:space="preserve"> the requested restriction</w:t>
      </w:r>
      <w:r w:rsidR="008E67A5" w:rsidRPr="00F86759">
        <w:t>.</w:t>
      </w:r>
      <w:r w:rsidR="008B399C" w:rsidRPr="00F86759">
        <w:t xml:space="preserve"> </w:t>
      </w:r>
    </w:p>
    <w:p w:rsidR="00E57712" w:rsidRPr="00F86759" w:rsidRDefault="00E57712" w:rsidP="00711A0C">
      <w:pPr>
        <w:pStyle w:val="ExecSumBodyText"/>
      </w:pPr>
      <w:r w:rsidRPr="00F86759">
        <w:t>The clinical relevance of a responder as defined in the submission</w:t>
      </w:r>
      <w:r w:rsidR="00711A0C" w:rsidRPr="00F86759">
        <w:t xml:space="preserve"> (increase in</w:t>
      </w:r>
      <w:r w:rsidR="006377E4">
        <w:t xml:space="preserve"> </w:t>
      </w:r>
      <w:r w:rsidR="00711A0C" w:rsidRPr="00F86759">
        <w:t>total sleep time ≥45 min and/or reduction in sleep latency ≥15 min</w:t>
      </w:r>
      <w:r w:rsidR="006377E4">
        <w:t xml:space="preserve"> per night after 13 weeks of double-blind treatment</w:t>
      </w:r>
      <w:r w:rsidR="00711A0C" w:rsidRPr="00F86759">
        <w:t xml:space="preserve">) </w:t>
      </w:r>
      <w:r w:rsidRPr="00F86759">
        <w:t xml:space="preserve">was unclear. The total change in sleep time and/or sleep latency was assessed </w:t>
      </w:r>
      <w:r w:rsidR="006377E4">
        <w:t xml:space="preserve">as an absolute change from </w:t>
      </w:r>
      <w:r w:rsidRPr="00F86759">
        <w:t>baseline</w:t>
      </w:r>
      <w:r w:rsidR="006377E4">
        <w:t xml:space="preserve"> (rather than a relative change from baseline)</w:t>
      </w:r>
      <w:r w:rsidRPr="00F86759">
        <w:t>, and the clinical relevance of an absolute change is likely to vary based on the age of the child. There is</w:t>
      </w:r>
      <w:r w:rsidR="00D22DEA" w:rsidRPr="00F86759">
        <w:t xml:space="preserve"> large</w:t>
      </w:r>
      <w:r w:rsidRPr="00F86759">
        <w:t xml:space="preserve"> variability in normal sleep durations for normally developing children within the age range requested, and the absolute treatment difference specified in the responder analysis is less than the natural variation in sleep times in children across the included age groups. </w:t>
      </w:r>
      <w:r w:rsidR="00711A0C" w:rsidRPr="00F86759">
        <w:t>I</w:t>
      </w:r>
      <w:r w:rsidRPr="00F86759">
        <w:t xml:space="preserve">t is difficult to </w:t>
      </w:r>
      <w:r w:rsidR="00711A0C" w:rsidRPr="00F86759">
        <w:t>interpret</w:t>
      </w:r>
      <w:r w:rsidRPr="00F86759">
        <w:t xml:space="preserve"> how beneficial a small change in total sleep time or sleep latency is.</w:t>
      </w:r>
    </w:p>
    <w:p w:rsidR="00B60939" w:rsidRPr="00F86759" w:rsidRDefault="00B60939" w:rsidP="00EC5836">
      <w:pPr>
        <w:pStyle w:val="3-SubsectionHeading"/>
      </w:pPr>
      <w:bookmarkStart w:id="10" w:name="_Toc22897641"/>
      <w:bookmarkStart w:id="11" w:name="_Toc62036848"/>
      <w:r w:rsidRPr="00F86759">
        <w:t>Comparative effectiveness</w:t>
      </w:r>
      <w:bookmarkEnd w:id="10"/>
      <w:bookmarkEnd w:id="11"/>
    </w:p>
    <w:p w:rsidR="002C2775" w:rsidRPr="00F86759" w:rsidRDefault="00404E8A" w:rsidP="00404E8A">
      <w:pPr>
        <w:pStyle w:val="ExecSumBodyText"/>
      </w:pPr>
      <w:r w:rsidRPr="00F86759">
        <w:rPr>
          <w:snapToGrid/>
          <w:lang w:val="en-US"/>
        </w:rPr>
        <w:t>Results for change from baseline in total sleep time after 13 weeks of double blind treatment, the primary outcome in the NEU_CH_7911 trial, are summarised in Table 4.</w:t>
      </w:r>
    </w:p>
    <w:p w:rsidR="00404E8A" w:rsidRPr="00F86759" w:rsidRDefault="00404E8A" w:rsidP="00C51786">
      <w:pPr>
        <w:pStyle w:val="Tableheadingrow"/>
        <w:keepLines/>
      </w:pPr>
      <w:r w:rsidRPr="00F86759">
        <w:t>Table 4: Change from baseline in total sleep time (FAS)</w:t>
      </w:r>
    </w:p>
    <w:tbl>
      <w:tblPr>
        <w:tblStyle w:val="TableGrid"/>
        <w:tblW w:w="5000" w:type="pct"/>
        <w:tblLook w:val="04A0" w:firstRow="1" w:lastRow="0" w:firstColumn="1" w:lastColumn="0" w:noHBand="0" w:noVBand="1"/>
        <w:tblCaption w:val="Table 4: Change from baseline in total sleep time (FAS)"/>
      </w:tblPr>
      <w:tblGrid>
        <w:gridCol w:w="2444"/>
        <w:gridCol w:w="453"/>
        <w:gridCol w:w="2061"/>
        <w:gridCol w:w="426"/>
        <w:gridCol w:w="1747"/>
        <w:gridCol w:w="1886"/>
      </w:tblGrid>
      <w:tr w:rsidR="00404E8A" w:rsidRPr="00F86759" w:rsidTr="00450ECC">
        <w:trPr>
          <w:tblHeader/>
        </w:trPr>
        <w:tc>
          <w:tcPr>
            <w:tcW w:w="1355" w:type="pct"/>
          </w:tcPr>
          <w:p w:rsidR="00404E8A" w:rsidRPr="00F86759" w:rsidRDefault="00404E8A" w:rsidP="00C51786">
            <w:pPr>
              <w:pStyle w:val="TableText"/>
              <w:keepLines/>
            </w:pPr>
          </w:p>
        </w:tc>
        <w:tc>
          <w:tcPr>
            <w:tcW w:w="251" w:type="pct"/>
            <w:vAlign w:val="center"/>
          </w:tcPr>
          <w:p w:rsidR="00404E8A" w:rsidRPr="00F86759" w:rsidRDefault="00404E8A" w:rsidP="00C51786">
            <w:pPr>
              <w:pStyle w:val="TableText"/>
              <w:keepLines/>
              <w:jc w:val="center"/>
              <w:rPr>
                <w:b/>
              </w:rPr>
            </w:pPr>
            <w:r w:rsidRPr="00F86759">
              <w:rPr>
                <w:b/>
              </w:rPr>
              <w:t>n</w:t>
            </w:r>
          </w:p>
        </w:tc>
        <w:tc>
          <w:tcPr>
            <w:tcW w:w="1143" w:type="pct"/>
            <w:vAlign w:val="center"/>
          </w:tcPr>
          <w:p w:rsidR="00404E8A" w:rsidRPr="00F86759" w:rsidRDefault="00404E8A" w:rsidP="00C51786">
            <w:pPr>
              <w:pStyle w:val="TableText"/>
              <w:keepLines/>
              <w:jc w:val="center"/>
              <w:rPr>
                <w:b/>
              </w:rPr>
            </w:pPr>
            <w:r w:rsidRPr="00F86759">
              <w:rPr>
                <w:b/>
              </w:rPr>
              <w:t>Prolonged release melatonin (N=58)</w:t>
            </w:r>
          </w:p>
        </w:tc>
        <w:tc>
          <w:tcPr>
            <w:tcW w:w="236" w:type="pct"/>
            <w:vAlign w:val="center"/>
          </w:tcPr>
          <w:p w:rsidR="00404E8A" w:rsidRPr="00F86759" w:rsidRDefault="00404E8A" w:rsidP="00C51786">
            <w:pPr>
              <w:pStyle w:val="TableText"/>
              <w:keepLines/>
              <w:jc w:val="center"/>
              <w:rPr>
                <w:b/>
              </w:rPr>
            </w:pPr>
            <w:r w:rsidRPr="00F86759">
              <w:rPr>
                <w:b/>
              </w:rPr>
              <w:t>n</w:t>
            </w:r>
          </w:p>
        </w:tc>
        <w:tc>
          <w:tcPr>
            <w:tcW w:w="969" w:type="pct"/>
            <w:vAlign w:val="center"/>
          </w:tcPr>
          <w:p w:rsidR="00404E8A" w:rsidRPr="00F86759" w:rsidRDefault="00404E8A" w:rsidP="00C51786">
            <w:pPr>
              <w:pStyle w:val="TableText"/>
              <w:keepLines/>
              <w:jc w:val="center"/>
              <w:rPr>
                <w:b/>
              </w:rPr>
            </w:pPr>
            <w:r w:rsidRPr="00F86759">
              <w:rPr>
                <w:b/>
              </w:rPr>
              <w:t>Placebo</w:t>
            </w:r>
          </w:p>
          <w:p w:rsidR="00404E8A" w:rsidRPr="00F86759" w:rsidRDefault="00404E8A" w:rsidP="00C51786">
            <w:pPr>
              <w:pStyle w:val="TableText"/>
              <w:keepLines/>
              <w:jc w:val="center"/>
              <w:rPr>
                <w:b/>
              </w:rPr>
            </w:pPr>
            <w:r w:rsidRPr="00F86759">
              <w:rPr>
                <w:b/>
              </w:rPr>
              <w:t>(N=61)</w:t>
            </w:r>
          </w:p>
        </w:tc>
        <w:tc>
          <w:tcPr>
            <w:tcW w:w="1046" w:type="pct"/>
            <w:vAlign w:val="center"/>
          </w:tcPr>
          <w:p w:rsidR="00404E8A" w:rsidRPr="00F86759" w:rsidRDefault="00404E8A" w:rsidP="00C51786">
            <w:pPr>
              <w:pStyle w:val="TableText"/>
              <w:keepLines/>
              <w:jc w:val="center"/>
              <w:rPr>
                <w:b/>
              </w:rPr>
            </w:pPr>
            <w:r w:rsidRPr="00F86759">
              <w:rPr>
                <w:b/>
              </w:rPr>
              <w:t>Treatment difference (95% CI)</w:t>
            </w:r>
          </w:p>
        </w:tc>
      </w:tr>
      <w:tr w:rsidR="003221C8" w:rsidRPr="00F86759" w:rsidTr="00450ECC">
        <w:tc>
          <w:tcPr>
            <w:tcW w:w="1355" w:type="pct"/>
          </w:tcPr>
          <w:p w:rsidR="003221C8" w:rsidRPr="00F86759" w:rsidRDefault="003221C8" w:rsidP="00C51786">
            <w:pPr>
              <w:pStyle w:val="TableText"/>
              <w:keepLines/>
            </w:pPr>
            <w:r w:rsidRPr="00F86759">
              <w:t>Baseline</w:t>
            </w:r>
          </w:p>
        </w:tc>
        <w:tc>
          <w:tcPr>
            <w:tcW w:w="251" w:type="pct"/>
            <w:vAlign w:val="center"/>
          </w:tcPr>
          <w:p w:rsidR="003221C8" w:rsidRPr="00F86759" w:rsidRDefault="003221C8" w:rsidP="00C51786">
            <w:pPr>
              <w:pStyle w:val="TableText"/>
              <w:keepLines/>
              <w:jc w:val="center"/>
              <w:rPr>
                <w:b/>
              </w:rPr>
            </w:pPr>
            <w:r w:rsidRPr="00F86759">
              <w:rPr>
                <w:b/>
              </w:rPr>
              <w:t>-</w:t>
            </w:r>
          </w:p>
        </w:tc>
        <w:tc>
          <w:tcPr>
            <w:tcW w:w="1143" w:type="pct"/>
            <w:vAlign w:val="center"/>
          </w:tcPr>
          <w:p w:rsidR="003221C8" w:rsidRPr="00F86759" w:rsidRDefault="003221C8" w:rsidP="00C51786">
            <w:pPr>
              <w:pStyle w:val="TableText"/>
              <w:keepLines/>
              <w:jc w:val="center"/>
            </w:pPr>
            <w:r w:rsidRPr="00F86759">
              <w:t>NR</w:t>
            </w:r>
          </w:p>
        </w:tc>
        <w:tc>
          <w:tcPr>
            <w:tcW w:w="236" w:type="pct"/>
            <w:vAlign w:val="center"/>
          </w:tcPr>
          <w:p w:rsidR="003221C8" w:rsidRPr="00F86759" w:rsidRDefault="003221C8" w:rsidP="00C51786">
            <w:pPr>
              <w:pStyle w:val="TableText"/>
              <w:keepLines/>
              <w:jc w:val="center"/>
              <w:rPr>
                <w:b/>
              </w:rPr>
            </w:pPr>
            <w:r w:rsidRPr="00F86759">
              <w:rPr>
                <w:b/>
              </w:rPr>
              <w:t>-</w:t>
            </w:r>
          </w:p>
        </w:tc>
        <w:tc>
          <w:tcPr>
            <w:tcW w:w="969" w:type="pct"/>
            <w:vAlign w:val="center"/>
          </w:tcPr>
          <w:p w:rsidR="003221C8" w:rsidRPr="00F86759" w:rsidRDefault="003221C8" w:rsidP="00C51786">
            <w:pPr>
              <w:pStyle w:val="TableText"/>
              <w:keepLines/>
              <w:jc w:val="center"/>
            </w:pPr>
            <w:r w:rsidRPr="00F86759">
              <w:t>NR</w:t>
            </w:r>
          </w:p>
        </w:tc>
        <w:tc>
          <w:tcPr>
            <w:tcW w:w="1046" w:type="pct"/>
            <w:vAlign w:val="center"/>
          </w:tcPr>
          <w:p w:rsidR="003221C8" w:rsidRPr="00F86759" w:rsidRDefault="003221C8" w:rsidP="00C51786">
            <w:pPr>
              <w:pStyle w:val="TableText"/>
              <w:keepLines/>
              <w:jc w:val="center"/>
              <w:rPr>
                <w:b/>
              </w:rPr>
            </w:pPr>
            <w:r w:rsidRPr="00F86759">
              <w:rPr>
                <w:b/>
              </w:rPr>
              <w:t>-</w:t>
            </w:r>
          </w:p>
        </w:tc>
      </w:tr>
      <w:tr w:rsidR="00404E8A" w:rsidRPr="00F86759" w:rsidTr="00450ECC">
        <w:tc>
          <w:tcPr>
            <w:tcW w:w="1355" w:type="pct"/>
          </w:tcPr>
          <w:p w:rsidR="00404E8A" w:rsidRPr="00F86759" w:rsidRDefault="00404E8A" w:rsidP="00C51786">
            <w:pPr>
              <w:pStyle w:val="TableText"/>
              <w:keepLines/>
            </w:pPr>
            <w:r w:rsidRPr="00F86759">
              <w:t xml:space="preserve">Total sleep time week 13, mean minutes </w:t>
            </w:r>
            <w:r w:rsidR="008568C8">
              <w:t xml:space="preserve">per night </w:t>
            </w:r>
            <w:r w:rsidRPr="00F86759">
              <w:t>(SD)</w:t>
            </w:r>
          </w:p>
        </w:tc>
        <w:tc>
          <w:tcPr>
            <w:tcW w:w="251" w:type="pct"/>
            <w:vMerge w:val="restart"/>
            <w:vAlign w:val="center"/>
          </w:tcPr>
          <w:p w:rsidR="00404E8A" w:rsidRPr="00F86759" w:rsidRDefault="00404E8A" w:rsidP="00C51786">
            <w:pPr>
              <w:pStyle w:val="TableText"/>
              <w:keepLines/>
              <w:jc w:val="center"/>
            </w:pPr>
            <w:r w:rsidRPr="00F86759">
              <w:t>52</w:t>
            </w:r>
          </w:p>
        </w:tc>
        <w:tc>
          <w:tcPr>
            <w:tcW w:w="1143" w:type="pct"/>
            <w:vAlign w:val="center"/>
          </w:tcPr>
          <w:p w:rsidR="00404E8A" w:rsidRPr="00F86759" w:rsidRDefault="00404E8A" w:rsidP="00C51786">
            <w:pPr>
              <w:pStyle w:val="TableText"/>
              <w:keepLines/>
              <w:jc w:val="center"/>
            </w:pPr>
            <w:r w:rsidRPr="00F86759">
              <w:t>507.57 (86.77)</w:t>
            </w:r>
          </w:p>
        </w:tc>
        <w:tc>
          <w:tcPr>
            <w:tcW w:w="236" w:type="pct"/>
            <w:vMerge w:val="restart"/>
            <w:vAlign w:val="center"/>
          </w:tcPr>
          <w:p w:rsidR="00404E8A" w:rsidRPr="00F86759" w:rsidRDefault="00404E8A" w:rsidP="00C51786">
            <w:pPr>
              <w:pStyle w:val="TableText"/>
              <w:keepLines/>
              <w:jc w:val="center"/>
            </w:pPr>
            <w:r w:rsidRPr="00F86759">
              <w:t>48</w:t>
            </w:r>
          </w:p>
        </w:tc>
        <w:tc>
          <w:tcPr>
            <w:tcW w:w="969" w:type="pct"/>
            <w:vAlign w:val="center"/>
          </w:tcPr>
          <w:p w:rsidR="00404E8A" w:rsidRPr="00F86759" w:rsidRDefault="00404E8A" w:rsidP="00C51786">
            <w:pPr>
              <w:pStyle w:val="TableText"/>
              <w:keepLines/>
              <w:jc w:val="center"/>
            </w:pPr>
            <w:r w:rsidRPr="00F86759">
              <w:t>487.89 (92.10)</w:t>
            </w:r>
          </w:p>
        </w:tc>
        <w:tc>
          <w:tcPr>
            <w:tcW w:w="1046" w:type="pct"/>
            <w:vAlign w:val="center"/>
          </w:tcPr>
          <w:p w:rsidR="00404E8A" w:rsidRPr="00F86759" w:rsidRDefault="00404E8A" w:rsidP="00C51786">
            <w:pPr>
              <w:pStyle w:val="TableText"/>
              <w:keepLines/>
              <w:jc w:val="center"/>
              <w:rPr>
                <w:b/>
              </w:rPr>
            </w:pPr>
            <w:r w:rsidRPr="00F86759">
              <w:rPr>
                <w:b/>
              </w:rPr>
              <w:t>-</w:t>
            </w:r>
          </w:p>
        </w:tc>
      </w:tr>
      <w:tr w:rsidR="00404E8A" w:rsidRPr="00F86759" w:rsidTr="00450ECC">
        <w:tc>
          <w:tcPr>
            <w:tcW w:w="1355" w:type="pct"/>
          </w:tcPr>
          <w:p w:rsidR="00404E8A" w:rsidRPr="00F86759" w:rsidRDefault="00404E8A" w:rsidP="00C51786">
            <w:pPr>
              <w:pStyle w:val="TableText"/>
              <w:keepLines/>
            </w:pPr>
            <w:r w:rsidRPr="00F86759">
              <w:t>Change from baseline, adjusted treatment means (SE)</w:t>
            </w:r>
          </w:p>
        </w:tc>
        <w:tc>
          <w:tcPr>
            <w:tcW w:w="251" w:type="pct"/>
            <w:vMerge/>
            <w:vAlign w:val="center"/>
          </w:tcPr>
          <w:p w:rsidR="00404E8A" w:rsidRPr="00F86759" w:rsidRDefault="00404E8A" w:rsidP="00C51786">
            <w:pPr>
              <w:pStyle w:val="TableText"/>
              <w:keepLines/>
              <w:jc w:val="center"/>
            </w:pPr>
          </w:p>
        </w:tc>
        <w:tc>
          <w:tcPr>
            <w:tcW w:w="1143" w:type="pct"/>
            <w:vAlign w:val="center"/>
          </w:tcPr>
          <w:p w:rsidR="00404E8A" w:rsidRPr="00F86759" w:rsidRDefault="00404E8A" w:rsidP="00C51786">
            <w:pPr>
              <w:pStyle w:val="TableText"/>
              <w:keepLines/>
              <w:jc w:val="center"/>
            </w:pPr>
            <w:r w:rsidRPr="00F86759">
              <w:t>51.03 (10.46)</w:t>
            </w:r>
          </w:p>
        </w:tc>
        <w:tc>
          <w:tcPr>
            <w:tcW w:w="236" w:type="pct"/>
            <w:vMerge/>
            <w:vAlign w:val="center"/>
          </w:tcPr>
          <w:p w:rsidR="00404E8A" w:rsidRPr="00F86759" w:rsidRDefault="00404E8A" w:rsidP="00C51786">
            <w:pPr>
              <w:pStyle w:val="TableText"/>
              <w:keepLines/>
              <w:jc w:val="center"/>
            </w:pPr>
          </w:p>
        </w:tc>
        <w:tc>
          <w:tcPr>
            <w:tcW w:w="969" w:type="pct"/>
            <w:vAlign w:val="center"/>
          </w:tcPr>
          <w:p w:rsidR="00404E8A" w:rsidRPr="00F86759" w:rsidRDefault="00404E8A" w:rsidP="00C51786">
            <w:pPr>
              <w:pStyle w:val="TableText"/>
              <w:keepLines/>
              <w:jc w:val="center"/>
            </w:pPr>
            <w:r w:rsidRPr="00F86759">
              <w:t>18.71 (10.82)</w:t>
            </w:r>
          </w:p>
        </w:tc>
        <w:tc>
          <w:tcPr>
            <w:tcW w:w="1046" w:type="pct"/>
            <w:vAlign w:val="center"/>
          </w:tcPr>
          <w:p w:rsidR="00404E8A" w:rsidRPr="00F86759" w:rsidRDefault="00404E8A" w:rsidP="00C51786">
            <w:pPr>
              <w:pStyle w:val="TableText"/>
              <w:keepLines/>
              <w:jc w:val="center"/>
              <w:rPr>
                <w:b/>
              </w:rPr>
            </w:pPr>
            <w:r w:rsidRPr="00F86759">
              <w:rPr>
                <w:b/>
              </w:rPr>
              <w:t>32.32 (2.38, 62.26)</w:t>
            </w:r>
          </w:p>
        </w:tc>
      </w:tr>
    </w:tbl>
    <w:p w:rsidR="00404E8A" w:rsidRPr="00F86759" w:rsidRDefault="00404E8A" w:rsidP="00C51786">
      <w:pPr>
        <w:pStyle w:val="TableFigureFooter"/>
        <w:keepNext/>
        <w:keepLines/>
      </w:pPr>
      <w:r w:rsidRPr="00F86759">
        <w:t>Source: Table 8, p.67 NEU_CH_7911 CSR; Table 14.2.1.3, pp.102-103, Section 141 and 142 tables 2 year data update.pdf</w:t>
      </w:r>
    </w:p>
    <w:p w:rsidR="00404E8A" w:rsidRPr="00F86759" w:rsidRDefault="00404E8A" w:rsidP="00C51786">
      <w:pPr>
        <w:pStyle w:val="TableFigureFooter"/>
        <w:keepNext/>
        <w:keepLines/>
      </w:pPr>
      <w:r w:rsidRPr="00F86759">
        <w:t>Abbreviations: FAS, full analysis set; SD, standard deviation; SE, standard error</w:t>
      </w:r>
    </w:p>
    <w:p w:rsidR="00404E8A" w:rsidRPr="00F86759" w:rsidRDefault="00404E8A" w:rsidP="00C51786">
      <w:pPr>
        <w:pStyle w:val="TableFigureFooter"/>
        <w:keepNext/>
        <w:keepLines/>
      </w:pPr>
      <w:r w:rsidRPr="00F86759">
        <w:t>Note: Analysis conducted on the full analysis set using a mixed-effects model for repeated measures (MMRM) model with the value at week 3 and week 13 as the dependent variable, with fixed effects for visit, the mean baseline value, randomised treatment and the mean baseline value and randomi</w:t>
      </w:r>
      <w:r w:rsidR="004C19F3" w:rsidRPr="00F86759">
        <w:t>s</w:t>
      </w:r>
      <w:r w:rsidRPr="00F86759">
        <w:t xml:space="preserve">ed treatment both nested within visit </w:t>
      </w:r>
    </w:p>
    <w:p w:rsidR="00404E8A" w:rsidRPr="00F86759" w:rsidRDefault="00404E8A" w:rsidP="00404E8A">
      <w:pPr>
        <w:pStyle w:val="ExecSumBodyText"/>
      </w:pPr>
      <w:r w:rsidRPr="00F86759">
        <w:rPr>
          <w:snapToGrid/>
        </w:rPr>
        <w:t>Total sleep time was calculated based on the mean total daily sleep time recorded in the sleep and nap diaries over the 14 days prior to the assessment point. After 13 weeks of double blind treatment, children in the prolonged release melatonin treatment group achieved a mean change of 51 minutes of increase in total sleep time</w:t>
      </w:r>
      <w:r w:rsidR="009A0FB2">
        <w:rPr>
          <w:snapToGrid/>
        </w:rPr>
        <w:t xml:space="preserve"> per night</w:t>
      </w:r>
      <w:r w:rsidRPr="00F86759">
        <w:rPr>
          <w:snapToGrid/>
        </w:rPr>
        <w:t xml:space="preserve">, compared to 19 minutes for children in the placebo group. The treatment difference was 32 minutes, </w:t>
      </w:r>
      <w:r w:rsidR="00032CB4" w:rsidRPr="00F86759">
        <w:rPr>
          <w:snapToGrid/>
        </w:rPr>
        <w:t>which</w:t>
      </w:r>
      <w:r w:rsidRPr="00F86759">
        <w:rPr>
          <w:snapToGrid/>
        </w:rPr>
        <w:t xml:space="preserve"> was statistically significant. The estimate was associated with wide confidence intervals, with the lower bound being only 2.4 minutes.</w:t>
      </w:r>
    </w:p>
    <w:p w:rsidR="00E57712" w:rsidRPr="00F86759" w:rsidRDefault="00E57712" w:rsidP="00927404">
      <w:pPr>
        <w:pStyle w:val="ExecSumBodyText"/>
      </w:pPr>
      <w:r w:rsidRPr="00F86759">
        <w:t xml:space="preserve">A number of secondary and exploratory outcomes were assessed, including additional sleep and nap diary variables and </w:t>
      </w:r>
      <w:r w:rsidR="00711A0C" w:rsidRPr="00F86759">
        <w:t>patient reported outcome measures</w:t>
      </w:r>
      <w:r w:rsidRPr="00F86759">
        <w:t>.</w:t>
      </w:r>
      <w:r w:rsidR="00591635">
        <w:t xml:space="preserve"> Of the secondary outcomes, </w:t>
      </w:r>
      <w:r w:rsidRPr="00F86759">
        <w:t>only sleep latency and the externalising behaviour subscore of the Strengths and Difficulties Questionnaire</w:t>
      </w:r>
      <w:r w:rsidR="00927404" w:rsidRPr="00F86759">
        <w:t xml:space="preserve"> (SDQ)</w:t>
      </w:r>
      <w:r w:rsidRPr="00F86759">
        <w:t xml:space="preserve"> showed statistically significant improvements associated with treatment with melatonin. </w:t>
      </w:r>
      <w:r w:rsidR="00927404" w:rsidRPr="00F86759">
        <w:t>There was no statistically significant difference between treatment groups for other variables including d</w:t>
      </w:r>
      <w:r w:rsidRPr="00F86759">
        <w:t>uration of wake time</w:t>
      </w:r>
      <w:r w:rsidR="00927404" w:rsidRPr="00F86759">
        <w:t>, n</w:t>
      </w:r>
      <w:r w:rsidRPr="00F86759">
        <w:t>umber of awakenings</w:t>
      </w:r>
      <w:r w:rsidR="00927404" w:rsidRPr="00F86759">
        <w:t>, longest sleep period, t</w:t>
      </w:r>
      <w:r w:rsidRPr="00F86759">
        <w:t>otal time in bed per night</w:t>
      </w:r>
      <w:r w:rsidR="00927404" w:rsidRPr="00F86759">
        <w:t>, s</w:t>
      </w:r>
      <w:r w:rsidRPr="00F86759">
        <w:t>leep disturbance (</w:t>
      </w:r>
      <w:r w:rsidR="00927404" w:rsidRPr="00F86759">
        <w:t>Composite Sleep Disturbance [</w:t>
      </w:r>
      <w:r w:rsidRPr="00F86759">
        <w:t>CSDI</w:t>
      </w:r>
      <w:r w:rsidR="00927404" w:rsidRPr="00F86759">
        <w:t>]</w:t>
      </w:r>
      <w:r w:rsidRPr="00F86759">
        <w:t xml:space="preserve"> score)</w:t>
      </w:r>
      <w:r w:rsidR="00927404" w:rsidRPr="00F86759">
        <w:t>, s</w:t>
      </w:r>
      <w:r w:rsidRPr="00F86759">
        <w:t>ocial functioning (</w:t>
      </w:r>
      <w:r w:rsidR="00927404" w:rsidRPr="00F86759">
        <w:t>Children’s Global Assessment [</w:t>
      </w:r>
      <w:r w:rsidRPr="00F86759">
        <w:t>CGAS</w:t>
      </w:r>
      <w:r w:rsidR="00927404" w:rsidRPr="00F86759">
        <w:t>]</w:t>
      </w:r>
      <w:r w:rsidRPr="00F86759">
        <w:t xml:space="preserve"> score)</w:t>
      </w:r>
      <w:r w:rsidR="00927404" w:rsidRPr="00F86759">
        <w:t>, or other scores on the SDQ.</w:t>
      </w:r>
    </w:p>
    <w:p w:rsidR="00B434C2" w:rsidRPr="00F86759" w:rsidRDefault="00B434C2" w:rsidP="00B434C2">
      <w:pPr>
        <w:pStyle w:val="ExecSumBodyText"/>
      </w:pPr>
      <w:r w:rsidRPr="00F86759">
        <w:t>Results of secondary outcomes are presented in the table below.</w:t>
      </w:r>
    </w:p>
    <w:p w:rsidR="00B434C2" w:rsidRPr="00F86759" w:rsidRDefault="00576806" w:rsidP="00663BE5">
      <w:pPr>
        <w:pStyle w:val="TableFigureCaption"/>
        <w:keepLines/>
        <w:widowControl w:val="0"/>
      </w:pPr>
      <w:r w:rsidRPr="00F86759">
        <w:t>Table 5</w:t>
      </w:r>
      <w:r w:rsidR="00B434C2" w:rsidRPr="00F86759">
        <w:t>: Change from baseline in the secondary outcomes in the NEU_CH_7911 trial (FAS)</w:t>
      </w:r>
    </w:p>
    <w:tbl>
      <w:tblPr>
        <w:tblStyle w:val="TableGrid"/>
        <w:tblW w:w="5000" w:type="pct"/>
        <w:tblLook w:val="04A0" w:firstRow="1" w:lastRow="0" w:firstColumn="1" w:lastColumn="0" w:noHBand="0" w:noVBand="1"/>
        <w:tblCaption w:val="Table 5: Change from baseline in the secondary outcomes in the NEU_CH_7911 trial (FAS)"/>
      </w:tblPr>
      <w:tblGrid>
        <w:gridCol w:w="2442"/>
        <w:gridCol w:w="453"/>
        <w:gridCol w:w="1821"/>
        <w:gridCol w:w="896"/>
        <w:gridCol w:w="1517"/>
        <w:gridCol w:w="1888"/>
      </w:tblGrid>
      <w:tr w:rsidR="00B434C2" w:rsidRPr="00F86759" w:rsidTr="003B2269">
        <w:trPr>
          <w:tblHeader/>
        </w:trPr>
        <w:tc>
          <w:tcPr>
            <w:tcW w:w="1354" w:type="pct"/>
          </w:tcPr>
          <w:p w:rsidR="00B434C2" w:rsidRPr="00F86759" w:rsidRDefault="00B434C2" w:rsidP="00663BE5">
            <w:pPr>
              <w:pStyle w:val="TableText"/>
              <w:keepLines/>
              <w:widowControl w:val="0"/>
            </w:pPr>
          </w:p>
        </w:tc>
        <w:tc>
          <w:tcPr>
            <w:tcW w:w="251" w:type="pct"/>
            <w:vAlign w:val="center"/>
          </w:tcPr>
          <w:p w:rsidR="00B434C2" w:rsidRPr="00F86759" w:rsidRDefault="00B434C2" w:rsidP="00663BE5">
            <w:pPr>
              <w:pStyle w:val="TableText"/>
              <w:keepLines/>
              <w:widowControl w:val="0"/>
              <w:jc w:val="center"/>
            </w:pPr>
            <w:r w:rsidRPr="00F86759">
              <w:rPr>
                <w:b/>
              </w:rPr>
              <w:t>n</w:t>
            </w:r>
          </w:p>
        </w:tc>
        <w:tc>
          <w:tcPr>
            <w:tcW w:w="1010" w:type="pct"/>
            <w:vAlign w:val="center"/>
          </w:tcPr>
          <w:p w:rsidR="00B434C2" w:rsidRPr="00F86759" w:rsidRDefault="00B434C2" w:rsidP="00663BE5">
            <w:pPr>
              <w:pStyle w:val="TableText"/>
              <w:keepLines/>
              <w:widowControl w:val="0"/>
              <w:jc w:val="center"/>
            </w:pPr>
            <w:r w:rsidRPr="00F86759">
              <w:rPr>
                <w:b/>
              </w:rPr>
              <w:t>Prolonged release melatonin (N=58)</w:t>
            </w:r>
          </w:p>
        </w:tc>
        <w:tc>
          <w:tcPr>
            <w:tcW w:w="497" w:type="pct"/>
            <w:vAlign w:val="center"/>
          </w:tcPr>
          <w:p w:rsidR="00B434C2" w:rsidRPr="00F86759" w:rsidRDefault="00B434C2" w:rsidP="00663BE5">
            <w:pPr>
              <w:pStyle w:val="TableText"/>
              <w:keepLines/>
              <w:widowControl w:val="0"/>
              <w:jc w:val="center"/>
            </w:pPr>
            <w:r w:rsidRPr="00F86759">
              <w:rPr>
                <w:b/>
              </w:rPr>
              <w:t>n</w:t>
            </w:r>
          </w:p>
        </w:tc>
        <w:tc>
          <w:tcPr>
            <w:tcW w:w="841" w:type="pct"/>
            <w:vAlign w:val="center"/>
          </w:tcPr>
          <w:p w:rsidR="00B434C2" w:rsidRPr="00F86759" w:rsidRDefault="00B434C2" w:rsidP="00663BE5">
            <w:pPr>
              <w:pStyle w:val="TableText"/>
              <w:keepLines/>
              <w:widowControl w:val="0"/>
              <w:jc w:val="center"/>
              <w:rPr>
                <w:b/>
              </w:rPr>
            </w:pPr>
            <w:r w:rsidRPr="00F86759">
              <w:rPr>
                <w:b/>
              </w:rPr>
              <w:t>Placebo</w:t>
            </w:r>
          </w:p>
          <w:p w:rsidR="00B434C2" w:rsidRPr="00F86759" w:rsidRDefault="00B434C2" w:rsidP="00663BE5">
            <w:pPr>
              <w:pStyle w:val="TableText"/>
              <w:keepLines/>
              <w:widowControl w:val="0"/>
              <w:jc w:val="center"/>
            </w:pPr>
            <w:r w:rsidRPr="00F86759">
              <w:rPr>
                <w:b/>
              </w:rPr>
              <w:t>(N=61)</w:t>
            </w:r>
          </w:p>
        </w:tc>
        <w:tc>
          <w:tcPr>
            <w:tcW w:w="1047" w:type="pct"/>
            <w:vAlign w:val="center"/>
          </w:tcPr>
          <w:p w:rsidR="00B434C2" w:rsidRPr="00F86759" w:rsidRDefault="00B434C2" w:rsidP="00663BE5">
            <w:pPr>
              <w:pStyle w:val="TableText"/>
              <w:keepLines/>
              <w:widowControl w:val="0"/>
              <w:jc w:val="center"/>
              <w:rPr>
                <w:b/>
              </w:rPr>
            </w:pPr>
            <w:r w:rsidRPr="00F86759">
              <w:rPr>
                <w:b/>
              </w:rPr>
              <w:t>Treatment difference (95% CI)</w:t>
            </w:r>
          </w:p>
        </w:tc>
      </w:tr>
      <w:tr w:rsidR="00B434C2" w:rsidRPr="00F86759" w:rsidTr="00C56F45">
        <w:tc>
          <w:tcPr>
            <w:tcW w:w="1354" w:type="pct"/>
          </w:tcPr>
          <w:p w:rsidR="00B434C2" w:rsidRPr="00F86759" w:rsidRDefault="00B434C2" w:rsidP="00663BE5">
            <w:pPr>
              <w:pStyle w:val="TableText"/>
              <w:keepLines/>
              <w:widowControl w:val="0"/>
            </w:pPr>
            <w:r w:rsidRPr="00F86759">
              <w:t xml:space="preserve">Sleep latency (minutes) </w:t>
            </w:r>
          </w:p>
        </w:tc>
        <w:tc>
          <w:tcPr>
            <w:tcW w:w="251" w:type="pct"/>
            <w:vAlign w:val="center"/>
          </w:tcPr>
          <w:p w:rsidR="00B434C2" w:rsidRPr="00F86759" w:rsidRDefault="00B434C2" w:rsidP="00663BE5">
            <w:pPr>
              <w:pStyle w:val="TableText"/>
              <w:keepLines/>
              <w:widowControl w:val="0"/>
              <w:jc w:val="center"/>
            </w:pPr>
            <w:r w:rsidRPr="00F86759">
              <w:t>52</w:t>
            </w:r>
          </w:p>
        </w:tc>
        <w:tc>
          <w:tcPr>
            <w:tcW w:w="1010" w:type="pct"/>
            <w:vAlign w:val="center"/>
          </w:tcPr>
          <w:p w:rsidR="00B434C2" w:rsidRPr="00F86759" w:rsidRDefault="00B434C2" w:rsidP="00663BE5">
            <w:pPr>
              <w:pStyle w:val="TableText"/>
              <w:keepLines/>
              <w:widowControl w:val="0"/>
              <w:jc w:val="center"/>
            </w:pPr>
            <w:r w:rsidRPr="00F86759">
              <w:t>-37.77 (6.82)</w:t>
            </w:r>
          </w:p>
        </w:tc>
        <w:tc>
          <w:tcPr>
            <w:tcW w:w="497" w:type="pct"/>
            <w:vAlign w:val="center"/>
          </w:tcPr>
          <w:p w:rsidR="00B434C2" w:rsidRPr="00F86759" w:rsidRDefault="00B434C2" w:rsidP="00663BE5">
            <w:pPr>
              <w:pStyle w:val="TableText"/>
              <w:keepLines/>
              <w:widowControl w:val="0"/>
              <w:jc w:val="center"/>
            </w:pPr>
            <w:r w:rsidRPr="00F86759">
              <w:t>48</w:t>
            </w:r>
          </w:p>
        </w:tc>
        <w:tc>
          <w:tcPr>
            <w:tcW w:w="841" w:type="pct"/>
            <w:vAlign w:val="center"/>
          </w:tcPr>
          <w:p w:rsidR="00B434C2" w:rsidRPr="00F86759" w:rsidRDefault="00B434C2" w:rsidP="00663BE5">
            <w:pPr>
              <w:pStyle w:val="TableText"/>
              <w:keepLines/>
              <w:widowControl w:val="0"/>
              <w:jc w:val="center"/>
            </w:pPr>
            <w:r w:rsidRPr="00F86759">
              <w:t>-12.57 (7.01)</w:t>
            </w:r>
          </w:p>
        </w:tc>
        <w:tc>
          <w:tcPr>
            <w:tcW w:w="1047" w:type="pct"/>
            <w:vAlign w:val="center"/>
          </w:tcPr>
          <w:p w:rsidR="00B434C2" w:rsidRPr="00F86759" w:rsidRDefault="00B434C2" w:rsidP="00663BE5">
            <w:pPr>
              <w:pStyle w:val="TableText"/>
              <w:keepLines/>
              <w:widowControl w:val="0"/>
              <w:jc w:val="center"/>
              <w:rPr>
                <w:b/>
              </w:rPr>
            </w:pPr>
            <w:r w:rsidRPr="00F86759">
              <w:rPr>
                <w:b/>
              </w:rPr>
              <w:t>-25.20 (-44.61, -5.80)</w:t>
            </w:r>
          </w:p>
        </w:tc>
      </w:tr>
      <w:tr w:rsidR="00B434C2" w:rsidRPr="00F86759" w:rsidTr="00C56F45">
        <w:tc>
          <w:tcPr>
            <w:tcW w:w="1354" w:type="pct"/>
          </w:tcPr>
          <w:p w:rsidR="00B434C2" w:rsidRPr="00F86759" w:rsidRDefault="00B434C2" w:rsidP="00663BE5">
            <w:pPr>
              <w:pStyle w:val="TableText"/>
              <w:keepLines/>
              <w:widowControl w:val="0"/>
            </w:pPr>
            <w:r w:rsidRPr="00F86759">
              <w:t>Duration of wake time (minutes)</w:t>
            </w:r>
          </w:p>
        </w:tc>
        <w:tc>
          <w:tcPr>
            <w:tcW w:w="251" w:type="pct"/>
            <w:vAlign w:val="center"/>
          </w:tcPr>
          <w:p w:rsidR="00B434C2" w:rsidRPr="00F86759" w:rsidRDefault="00B434C2" w:rsidP="00663BE5">
            <w:pPr>
              <w:pStyle w:val="TableText"/>
              <w:keepLines/>
              <w:widowControl w:val="0"/>
              <w:jc w:val="center"/>
            </w:pPr>
            <w:r w:rsidRPr="00F86759">
              <w:t>47</w:t>
            </w:r>
          </w:p>
        </w:tc>
        <w:tc>
          <w:tcPr>
            <w:tcW w:w="1010" w:type="pct"/>
            <w:vAlign w:val="center"/>
          </w:tcPr>
          <w:p w:rsidR="00B434C2" w:rsidRPr="00F86759" w:rsidRDefault="00B434C2" w:rsidP="00663BE5">
            <w:pPr>
              <w:pStyle w:val="TableText"/>
              <w:keepLines/>
              <w:widowControl w:val="0"/>
              <w:jc w:val="center"/>
            </w:pPr>
            <w:r w:rsidRPr="00F86759">
              <w:t>-10.32 (2.41)</w:t>
            </w:r>
          </w:p>
        </w:tc>
        <w:tc>
          <w:tcPr>
            <w:tcW w:w="497" w:type="pct"/>
            <w:vAlign w:val="center"/>
          </w:tcPr>
          <w:p w:rsidR="00B434C2" w:rsidRPr="00F86759" w:rsidRDefault="00B434C2" w:rsidP="00663BE5">
            <w:pPr>
              <w:pStyle w:val="TableText"/>
              <w:keepLines/>
              <w:widowControl w:val="0"/>
              <w:jc w:val="center"/>
            </w:pPr>
            <w:r w:rsidRPr="00F86759">
              <w:t>42</w:t>
            </w:r>
          </w:p>
        </w:tc>
        <w:tc>
          <w:tcPr>
            <w:tcW w:w="841" w:type="pct"/>
            <w:vAlign w:val="center"/>
          </w:tcPr>
          <w:p w:rsidR="00B434C2" w:rsidRPr="00F86759" w:rsidRDefault="00B434C2" w:rsidP="00663BE5">
            <w:pPr>
              <w:pStyle w:val="TableText"/>
              <w:keepLines/>
              <w:widowControl w:val="0"/>
              <w:jc w:val="center"/>
            </w:pPr>
            <w:r w:rsidRPr="00F86759">
              <w:t>-10.26 (2.5)</w:t>
            </w:r>
          </w:p>
        </w:tc>
        <w:tc>
          <w:tcPr>
            <w:tcW w:w="1047" w:type="pct"/>
            <w:vAlign w:val="center"/>
          </w:tcPr>
          <w:p w:rsidR="00B434C2" w:rsidRPr="00F86759" w:rsidRDefault="00B434C2" w:rsidP="00663BE5">
            <w:pPr>
              <w:pStyle w:val="TableText"/>
              <w:keepLines/>
              <w:widowControl w:val="0"/>
              <w:jc w:val="center"/>
            </w:pPr>
            <w:r w:rsidRPr="00F86759">
              <w:t>-0.06 (-6.98, 6.86)</w:t>
            </w:r>
          </w:p>
        </w:tc>
      </w:tr>
      <w:tr w:rsidR="00B434C2" w:rsidRPr="00F86759" w:rsidTr="00C56F45">
        <w:tc>
          <w:tcPr>
            <w:tcW w:w="1354" w:type="pct"/>
          </w:tcPr>
          <w:p w:rsidR="00B434C2" w:rsidRPr="00F86759" w:rsidRDefault="00B434C2" w:rsidP="00663BE5">
            <w:pPr>
              <w:pStyle w:val="TableText"/>
              <w:keepLines/>
              <w:widowControl w:val="0"/>
            </w:pPr>
            <w:r w:rsidRPr="00F86759">
              <w:t>Number of awakenings</w:t>
            </w:r>
          </w:p>
        </w:tc>
        <w:tc>
          <w:tcPr>
            <w:tcW w:w="251" w:type="pct"/>
          </w:tcPr>
          <w:p w:rsidR="00B434C2" w:rsidRPr="00F86759" w:rsidRDefault="00B434C2" w:rsidP="00663BE5">
            <w:pPr>
              <w:pStyle w:val="TableText"/>
              <w:keepLines/>
              <w:widowControl w:val="0"/>
              <w:jc w:val="center"/>
            </w:pPr>
            <w:r w:rsidRPr="00F86759">
              <w:t>52</w:t>
            </w:r>
          </w:p>
        </w:tc>
        <w:tc>
          <w:tcPr>
            <w:tcW w:w="1010" w:type="pct"/>
          </w:tcPr>
          <w:p w:rsidR="00B434C2" w:rsidRPr="00F86759" w:rsidRDefault="00B434C2" w:rsidP="00663BE5">
            <w:pPr>
              <w:pStyle w:val="TableText"/>
              <w:keepLines/>
              <w:widowControl w:val="0"/>
              <w:jc w:val="center"/>
            </w:pPr>
            <w:r w:rsidRPr="00F86759">
              <w:t>-0.31 (0.09)</w:t>
            </w:r>
          </w:p>
        </w:tc>
        <w:tc>
          <w:tcPr>
            <w:tcW w:w="497" w:type="pct"/>
          </w:tcPr>
          <w:p w:rsidR="00B434C2" w:rsidRPr="00F86759" w:rsidRDefault="00B434C2" w:rsidP="00663BE5">
            <w:pPr>
              <w:pStyle w:val="TableText"/>
              <w:keepLines/>
              <w:widowControl w:val="0"/>
              <w:jc w:val="center"/>
            </w:pPr>
            <w:r w:rsidRPr="00F86759">
              <w:t>48</w:t>
            </w:r>
          </w:p>
        </w:tc>
        <w:tc>
          <w:tcPr>
            <w:tcW w:w="841" w:type="pct"/>
          </w:tcPr>
          <w:p w:rsidR="00B434C2" w:rsidRPr="00F86759" w:rsidRDefault="00B434C2" w:rsidP="00663BE5">
            <w:pPr>
              <w:pStyle w:val="TableText"/>
              <w:keepLines/>
              <w:widowControl w:val="0"/>
              <w:jc w:val="center"/>
            </w:pPr>
            <w:r w:rsidRPr="00F86759">
              <w:t>-0.20 (0.09)</w:t>
            </w:r>
          </w:p>
        </w:tc>
        <w:tc>
          <w:tcPr>
            <w:tcW w:w="1047" w:type="pct"/>
          </w:tcPr>
          <w:p w:rsidR="00B434C2" w:rsidRPr="00F86759" w:rsidRDefault="00B434C2" w:rsidP="00663BE5">
            <w:pPr>
              <w:pStyle w:val="TableText"/>
              <w:keepLines/>
              <w:widowControl w:val="0"/>
              <w:jc w:val="center"/>
            </w:pPr>
            <w:r w:rsidRPr="00F86759">
              <w:t>-0.11 (-0.36, 0.14)</w:t>
            </w:r>
          </w:p>
        </w:tc>
      </w:tr>
      <w:tr w:rsidR="00B434C2" w:rsidRPr="00F86759" w:rsidTr="00C56F45">
        <w:tc>
          <w:tcPr>
            <w:tcW w:w="1354" w:type="pct"/>
          </w:tcPr>
          <w:p w:rsidR="00B434C2" w:rsidRPr="00F86759" w:rsidRDefault="00B434C2" w:rsidP="00663BE5">
            <w:pPr>
              <w:pStyle w:val="TableText"/>
              <w:keepLines/>
              <w:widowControl w:val="0"/>
            </w:pPr>
            <w:r w:rsidRPr="00F86759">
              <w:t>Longest sleep period (minutes)</w:t>
            </w:r>
          </w:p>
        </w:tc>
        <w:tc>
          <w:tcPr>
            <w:tcW w:w="251" w:type="pct"/>
          </w:tcPr>
          <w:p w:rsidR="00B434C2" w:rsidRPr="00F86759" w:rsidRDefault="00B434C2" w:rsidP="00663BE5">
            <w:pPr>
              <w:pStyle w:val="TableText"/>
              <w:keepLines/>
              <w:widowControl w:val="0"/>
              <w:jc w:val="center"/>
            </w:pPr>
            <w:r w:rsidRPr="00F86759">
              <w:t>51</w:t>
            </w:r>
          </w:p>
        </w:tc>
        <w:tc>
          <w:tcPr>
            <w:tcW w:w="1010" w:type="pct"/>
          </w:tcPr>
          <w:p w:rsidR="00B434C2" w:rsidRPr="00F86759" w:rsidRDefault="00B434C2" w:rsidP="00663BE5">
            <w:pPr>
              <w:pStyle w:val="TableText"/>
              <w:keepLines/>
              <w:widowControl w:val="0"/>
              <w:jc w:val="center"/>
            </w:pPr>
            <w:r w:rsidRPr="00F86759">
              <w:t>71.99 (14.76)</w:t>
            </w:r>
          </w:p>
        </w:tc>
        <w:tc>
          <w:tcPr>
            <w:tcW w:w="497" w:type="pct"/>
          </w:tcPr>
          <w:p w:rsidR="00B434C2" w:rsidRPr="00F86759" w:rsidRDefault="00B434C2" w:rsidP="00663BE5">
            <w:pPr>
              <w:pStyle w:val="TableText"/>
              <w:keepLines/>
              <w:widowControl w:val="0"/>
              <w:jc w:val="center"/>
            </w:pPr>
            <w:r w:rsidRPr="00F86759">
              <w:t>44</w:t>
            </w:r>
          </w:p>
        </w:tc>
        <w:tc>
          <w:tcPr>
            <w:tcW w:w="841" w:type="pct"/>
          </w:tcPr>
          <w:p w:rsidR="00B434C2" w:rsidRPr="00F86759" w:rsidRDefault="00B434C2" w:rsidP="00663BE5">
            <w:pPr>
              <w:pStyle w:val="TableText"/>
              <w:keepLines/>
              <w:widowControl w:val="0"/>
              <w:jc w:val="center"/>
            </w:pPr>
            <w:r w:rsidRPr="00F86759">
              <w:t>30.01 (15.49)</w:t>
            </w:r>
          </w:p>
        </w:tc>
        <w:tc>
          <w:tcPr>
            <w:tcW w:w="1047" w:type="pct"/>
          </w:tcPr>
          <w:p w:rsidR="00B434C2" w:rsidRPr="00F86759" w:rsidRDefault="00B434C2" w:rsidP="00663BE5">
            <w:pPr>
              <w:pStyle w:val="TableText"/>
              <w:keepLines/>
              <w:widowControl w:val="0"/>
              <w:jc w:val="center"/>
            </w:pPr>
            <w:r w:rsidRPr="00F86759">
              <w:t>41.98 (-0.57, 84.53)</w:t>
            </w:r>
          </w:p>
        </w:tc>
      </w:tr>
      <w:tr w:rsidR="00B434C2" w:rsidRPr="00F86759" w:rsidTr="00C56F45">
        <w:tc>
          <w:tcPr>
            <w:tcW w:w="1354" w:type="pct"/>
          </w:tcPr>
          <w:p w:rsidR="00B434C2" w:rsidRPr="00F86759" w:rsidRDefault="00B434C2" w:rsidP="00663BE5">
            <w:pPr>
              <w:pStyle w:val="TableText"/>
              <w:keepLines/>
              <w:widowControl w:val="0"/>
            </w:pPr>
            <w:r w:rsidRPr="00F86759">
              <w:t>Total time in bed per night (minutes)</w:t>
            </w:r>
          </w:p>
        </w:tc>
        <w:tc>
          <w:tcPr>
            <w:tcW w:w="251" w:type="pct"/>
          </w:tcPr>
          <w:p w:rsidR="00B434C2" w:rsidRPr="00F86759" w:rsidRDefault="00B434C2" w:rsidP="00663BE5">
            <w:pPr>
              <w:pStyle w:val="TableText"/>
              <w:keepLines/>
              <w:widowControl w:val="0"/>
              <w:jc w:val="center"/>
            </w:pPr>
            <w:r w:rsidRPr="00F86759">
              <w:t>52</w:t>
            </w:r>
          </w:p>
        </w:tc>
        <w:tc>
          <w:tcPr>
            <w:tcW w:w="1010" w:type="pct"/>
          </w:tcPr>
          <w:p w:rsidR="00B434C2" w:rsidRPr="00F86759" w:rsidRDefault="00B434C2" w:rsidP="00663BE5">
            <w:pPr>
              <w:pStyle w:val="TableText"/>
              <w:keepLines/>
              <w:widowControl w:val="0"/>
              <w:jc w:val="center"/>
            </w:pPr>
            <w:r w:rsidRPr="00F86759">
              <w:t>13.30 (8.98)</w:t>
            </w:r>
          </w:p>
        </w:tc>
        <w:tc>
          <w:tcPr>
            <w:tcW w:w="497" w:type="pct"/>
          </w:tcPr>
          <w:p w:rsidR="00B434C2" w:rsidRPr="00F86759" w:rsidRDefault="00B434C2" w:rsidP="00663BE5">
            <w:pPr>
              <w:pStyle w:val="TableText"/>
              <w:keepLines/>
              <w:widowControl w:val="0"/>
              <w:jc w:val="center"/>
            </w:pPr>
            <w:r w:rsidRPr="00F86759">
              <w:t>48</w:t>
            </w:r>
          </w:p>
        </w:tc>
        <w:tc>
          <w:tcPr>
            <w:tcW w:w="841" w:type="pct"/>
          </w:tcPr>
          <w:p w:rsidR="00B434C2" w:rsidRPr="00F86759" w:rsidRDefault="00B434C2" w:rsidP="00663BE5">
            <w:pPr>
              <w:pStyle w:val="TableText"/>
              <w:keepLines/>
              <w:widowControl w:val="0"/>
              <w:jc w:val="center"/>
            </w:pPr>
            <w:r w:rsidRPr="00F86759">
              <w:t>8.58 (9.23)</w:t>
            </w:r>
          </w:p>
        </w:tc>
        <w:tc>
          <w:tcPr>
            <w:tcW w:w="1047" w:type="pct"/>
          </w:tcPr>
          <w:p w:rsidR="00B434C2" w:rsidRPr="00F86759" w:rsidRDefault="00B434C2" w:rsidP="00663BE5">
            <w:pPr>
              <w:pStyle w:val="TableText"/>
              <w:keepLines/>
              <w:widowControl w:val="0"/>
              <w:jc w:val="center"/>
            </w:pPr>
            <w:r w:rsidRPr="00F86759">
              <w:t>4.72 (-20.82, 30.26)</w:t>
            </w:r>
          </w:p>
        </w:tc>
      </w:tr>
      <w:tr w:rsidR="00B434C2" w:rsidRPr="00F86759" w:rsidTr="00C56F45">
        <w:tc>
          <w:tcPr>
            <w:tcW w:w="1354" w:type="pct"/>
          </w:tcPr>
          <w:p w:rsidR="00B434C2" w:rsidRPr="00F86759" w:rsidRDefault="00B434C2" w:rsidP="00663BE5">
            <w:pPr>
              <w:pStyle w:val="TableText"/>
              <w:keepLines/>
              <w:widowControl w:val="0"/>
            </w:pPr>
            <w:r w:rsidRPr="00F86759">
              <w:t>Sleep disturbance (CSDI score)</w:t>
            </w:r>
          </w:p>
        </w:tc>
        <w:tc>
          <w:tcPr>
            <w:tcW w:w="251" w:type="pct"/>
          </w:tcPr>
          <w:p w:rsidR="00B434C2" w:rsidRPr="00F86759" w:rsidRDefault="00B434C2" w:rsidP="00663BE5">
            <w:pPr>
              <w:pStyle w:val="TableText"/>
              <w:keepLines/>
              <w:widowControl w:val="0"/>
              <w:jc w:val="center"/>
            </w:pPr>
            <w:r w:rsidRPr="00F86759">
              <w:t>55</w:t>
            </w:r>
          </w:p>
        </w:tc>
        <w:tc>
          <w:tcPr>
            <w:tcW w:w="1010" w:type="pct"/>
          </w:tcPr>
          <w:p w:rsidR="00B434C2" w:rsidRPr="00F86759" w:rsidRDefault="00B434C2" w:rsidP="00663BE5">
            <w:pPr>
              <w:pStyle w:val="TableText"/>
              <w:keepLines/>
              <w:widowControl w:val="0"/>
              <w:jc w:val="center"/>
            </w:pPr>
            <w:r w:rsidRPr="00F86759">
              <w:t>-2.44 (0.35)</w:t>
            </w:r>
          </w:p>
        </w:tc>
        <w:tc>
          <w:tcPr>
            <w:tcW w:w="497" w:type="pct"/>
          </w:tcPr>
          <w:p w:rsidR="00B434C2" w:rsidRPr="00F86759" w:rsidRDefault="00B434C2" w:rsidP="00663BE5">
            <w:pPr>
              <w:pStyle w:val="TableText"/>
              <w:keepLines/>
              <w:widowControl w:val="0"/>
              <w:jc w:val="center"/>
            </w:pPr>
            <w:r w:rsidRPr="00F86759">
              <w:t>49</w:t>
            </w:r>
          </w:p>
        </w:tc>
        <w:tc>
          <w:tcPr>
            <w:tcW w:w="841" w:type="pct"/>
          </w:tcPr>
          <w:p w:rsidR="00B434C2" w:rsidRPr="00F86759" w:rsidRDefault="00B434C2" w:rsidP="00663BE5">
            <w:pPr>
              <w:pStyle w:val="TableText"/>
              <w:keepLines/>
              <w:widowControl w:val="0"/>
              <w:jc w:val="center"/>
            </w:pPr>
            <w:r w:rsidRPr="00F86759">
              <w:t>-1.52 (0.37)</w:t>
            </w:r>
          </w:p>
        </w:tc>
        <w:tc>
          <w:tcPr>
            <w:tcW w:w="1047" w:type="pct"/>
          </w:tcPr>
          <w:p w:rsidR="00B434C2" w:rsidRPr="00F86759" w:rsidRDefault="00B434C2" w:rsidP="00663BE5">
            <w:pPr>
              <w:pStyle w:val="TableText"/>
              <w:keepLines/>
              <w:widowControl w:val="0"/>
              <w:jc w:val="center"/>
            </w:pPr>
            <w:r w:rsidRPr="00F86759">
              <w:t>-0.92 (-1.93, 0.09)</w:t>
            </w:r>
          </w:p>
        </w:tc>
      </w:tr>
      <w:tr w:rsidR="00B434C2" w:rsidRPr="00F86759" w:rsidTr="00C56F45">
        <w:tc>
          <w:tcPr>
            <w:tcW w:w="1354" w:type="pct"/>
          </w:tcPr>
          <w:p w:rsidR="00B434C2" w:rsidRPr="00F86759" w:rsidRDefault="00B434C2" w:rsidP="00663BE5">
            <w:pPr>
              <w:pStyle w:val="TableText"/>
              <w:keepLines/>
              <w:widowControl w:val="0"/>
            </w:pPr>
            <w:r w:rsidRPr="00F86759">
              <w:t>Social functioning (CGAS score)</w:t>
            </w:r>
          </w:p>
        </w:tc>
        <w:tc>
          <w:tcPr>
            <w:tcW w:w="251" w:type="pct"/>
          </w:tcPr>
          <w:p w:rsidR="00B434C2" w:rsidRPr="00F86759" w:rsidRDefault="00B434C2" w:rsidP="00663BE5">
            <w:pPr>
              <w:pStyle w:val="TableText"/>
              <w:keepLines/>
              <w:widowControl w:val="0"/>
              <w:jc w:val="center"/>
            </w:pPr>
            <w:r w:rsidRPr="00F86759">
              <w:t>55</w:t>
            </w:r>
          </w:p>
        </w:tc>
        <w:tc>
          <w:tcPr>
            <w:tcW w:w="1010" w:type="pct"/>
          </w:tcPr>
          <w:p w:rsidR="00B434C2" w:rsidRPr="00F86759" w:rsidRDefault="00B434C2" w:rsidP="00663BE5">
            <w:pPr>
              <w:pStyle w:val="TableText"/>
              <w:keepLines/>
              <w:widowControl w:val="0"/>
              <w:jc w:val="center"/>
            </w:pPr>
            <w:r w:rsidRPr="00F86759">
              <w:t>1.96 (1.33)</w:t>
            </w:r>
          </w:p>
        </w:tc>
        <w:tc>
          <w:tcPr>
            <w:tcW w:w="497" w:type="pct"/>
          </w:tcPr>
          <w:p w:rsidR="00B434C2" w:rsidRPr="00F86759" w:rsidRDefault="00B434C2" w:rsidP="00663BE5">
            <w:pPr>
              <w:pStyle w:val="TableText"/>
              <w:keepLines/>
              <w:widowControl w:val="0"/>
              <w:jc w:val="center"/>
            </w:pPr>
            <w:r w:rsidRPr="00F86759">
              <w:t>49</w:t>
            </w:r>
          </w:p>
        </w:tc>
        <w:tc>
          <w:tcPr>
            <w:tcW w:w="841" w:type="pct"/>
          </w:tcPr>
          <w:p w:rsidR="00B434C2" w:rsidRPr="00F86759" w:rsidRDefault="00B434C2" w:rsidP="00663BE5">
            <w:pPr>
              <w:pStyle w:val="TableText"/>
              <w:keepLines/>
              <w:widowControl w:val="0"/>
              <w:jc w:val="center"/>
            </w:pPr>
            <w:r w:rsidRPr="00F86759">
              <w:t>1.84 (1.36)</w:t>
            </w:r>
          </w:p>
        </w:tc>
        <w:tc>
          <w:tcPr>
            <w:tcW w:w="1047" w:type="pct"/>
          </w:tcPr>
          <w:p w:rsidR="00B434C2" w:rsidRPr="00F86759" w:rsidRDefault="00B434C2" w:rsidP="00663BE5">
            <w:pPr>
              <w:pStyle w:val="TableText"/>
              <w:keepLines/>
              <w:widowControl w:val="0"/>
              <w:jc w:val="center"/>
            </w:pPr>
            <w:r w:rsidRPr="00F86759">
              <w:t>0.13 (-3.64, 3.89)</w:t>
            </w:r>
          </w:p>
        </w:tc>
      </w:tr>
      <w:tr w:rsidR="00B434C2" w:rsidRPr="00F86759" w:rsidTr="00C56F45">
        <w:tc>
          <w:tcPr>
            <w:tcW w:w="1354" w:type="pct"/>
          </w:tcPr>
          <w:p w:rsidR="00B434C2" w:rsidRPr="00F86759" w:rsidRDefault="00B434C2" w:rsidP="00663BE5">
            <w:pPr>
              <w:pStyle w:val="TableText"/>
              <w:keepLines/>
              <w:widowControl w:val="0"/>
            </w:pPr>
            <w:r w:rsidRPr="00F86759">
              <w:t>Behaviour (SDQ total score)</w:t>
            </w:r>
          </w:p>
        </w:tc>
        <w:tc>
          <w:tcPr>
            <w:tcW w:w="251" w:type="pct"/>
          </w:tcPr>
          <w:p w:rsidR="00B434C2" w:rsidRPr="00F86759" w:rsidRDefault="00B434C2" w:rsidP="00663BE5">
            <w:pPr>
              <w:pStyle w:val="TableText"/>
              <w:keepLines/>
              <w:widowControl w:val="0"/>
              <w:jc w:val="center"/>
            </w:pPr>
            <w:r w:rsidRPr="00F86759">
              <w:t>54</w:t>
            </w:r>
          </w:p>
        </w:tc>
        <w:tc>
          <w:tcPr>
            <w:tcW w:w="1010" w:type="pct"/>
          </w:tcPr>
          <w:p w:rsidR="00B434C2" w:rsidRPr="00F86759" w:rsidRDefault="00B434C2" w:rsidP="00663BE5">
            <w:pPr>
              <w:pStyle w:val="TableText"/>
              <w:keepLines/>
              <w:widowControl w:val="0"/>
              <w:jc w:val="center"/>
            </w:pPr>
            <w:r w:rsidRPr="00F86759">
              <w:t>-0.84 (0.39)</w:t>
            </w:r>
          </w:p>
        </w:tc>
        <w:tc>
          <w:tcPr>
            <w:tcW w:w="497" w:type="pct"/>
          </w:tcPr>
          <w:p w:rsidR="00B434C2" w:rsidRPr="00F86759" w:rsidRDefault="00B434C2" w:rsidP="00663BE5">
            <w:pPr>
              <w:pStyle w:val="TableText"/>
              <w:keepLines/>
              <w:widowControl w:val="0"/>
              <w:jc w:val="center"/>
            </w:pPr>
            <w:r w:rsidRPr="00F86759">
              <w:t>49</w:t>
            </w:r>
          </w:p>
        </w:tc>
        <w:tc>
          <w:tcPr>
            <w:tcW w:w="841" w:type="pct"/>
          </w:tcPr>
          <w:p w:rsidR="00B434C2" w:rsidRPr="00F86759" w:rsidRDefault="00B434C2" w:rsidP="00663BE5">
            <w:pPr>
              <w:pStyle w:val="TableText"/>
              <w:keepLines/>
              <w:widowControl w:val="0"/>
              <w:jc w:val="center"/>
            </w:pPr>
            <w:r w:rsidRPr="00F86759">
              <w:t>0.17 (0.41)</w:t>
            </w:r>
          </w:p>
        </w:tc>
        <w:tc>
          <w:tcPr>
            <w:tcW w:w="1047" w:type="pct"/>
          </w:tcPr>
          <w:p w:rsidR="00B434C2" w:rsidRPr="00F86759" w:rsidRDefault="00B434C2" w:rsidP="00663BE5">
            <w:pPr>
              <w:pStyle w:val="TableText"/>
              <w:keepLines/>
              <w:widowControl w:val="0"/>
              <w:jc w:val="center"/>
            </w:pPr>
            <w:r w:rsidRPr="00F86759">
              <w:t>-1.01 (-2.12, 0.11)</w:t>
            </w:r>
          </w:p>
        </w:tc>
      </w:tr>
      <w:tr w:rsidR="00B434C2" w:rsidRPr="00F86759" w:rsidTr="00C56F45">
        <w:tc>
          <w:tcPr>
            <w:tcW w:w="1354" w:type="pct"/>
          </w:tcPr>
          <w:p w:rsidR="00B434C2" w:rsidRPr="00F86759" w:rsidRDefault="00B434C2" w:rsidP="00663BE5">
            <w:pPr>
              <w:pStyle w:val="TableText"/>
              <w:keepLines/>
              <w:widowControl w:val="0"/>
            </w:pPr>
            <w:r w:rsidRPr="00F86759">
              <w:t>Externalising behaviour (SDQ subscore)</w:t>
            </w:r>
          </w:p>
        </w:tc>
        <w:tc>
          <w:tcPr>
            <w:tcW w:w="251" w:type="pct"/>
          </w:tcPr>
          <w:p w:rsidR="00B434C2" w:rsidRPr="00F86759" w:rsidRDefault="00B434C2" w:rsidP="00663BE5">
            <w:pPr>
              <w:pStyle w:val="TableText"/>
              <w:keepLines/>
              <w:widowControl w:val="0"/>
              <w:jc w:val="center"/>
            </w:pPr>
            <w:r w:rsidRPr="00F86759">
              <w:t>54</w:t>
            </w:r>
          </w:p>
        </w:tc>
        <w:tc>
          <w:tcPr>
            <w:tcW w:w="1010" w:type="pct"/>
          </w:tcPr>
          <w:p w:rsidR="00B434C2" w:rsidRPr="00F86759" w:rsidRDefault="00B434C2" w:rsidP="00663BE5">
            <w:pPr>
              <w:pStyle w:val="TableText"/>
              <w:keepLines/>
              <w:widowControl w:val="0"/>
              <w:jc w:val="center"/>
            </w:pPr>
            <w:r w:rsidRPr="00F86759">
              <w:t>-0.70 (0.24)</w:t>
            </w:r>
          </w:p>
        </w:tc>
        <w:tc>
          <w:tcPr>
            <w:tcW w:w="497" w:type="pct"/>
          </w:tcPr>
          <w:p w:rsidR="00B434C2" w:rsidRPr="00F86759" w:rsidRDefault="00B434C2" w:rsidP="00663BE5">
            <w:pPr>
              <w:pStyle w:val="TableText"/>
              <w:keepLines/>
              <w:widowControl w:val="0"/>
              <w:jc w:val="center"/>
            </w:pPr>
            <w:r w:rsidRPr="00F86759">
              <w:t>49</w:t>
            </w:r>
          </w:p>
        </w:tc>
        <w:tc>
          <w:tcPr>
            <w:tcW w:w="841" w:type="pct"/>
          </w:tcPr>
          <w:p w:rsidR="00B434C2" w:rsidRPr="00F86759" w:rsidRDefault="00B434C2" w:rsidP="00663BE5">
            <w:pPr>
              <w:pStyle w:val="TableText"/>
              <w:keepLines/>
              <w:widowControl w:val="0"/>
              <w:jc w:val="center"/>
            </w:pPr>
            <w:r w:rsidRPr="00F86759">
              <w:t>0.13 (0.26)</w:t>
            </w:r>
          </w:p>
        </w:tc>
        <w:tc>
          <w:tcPr>
            <w:tcW w:w="1047" w:type="pct"/>
          </w:tcPr>
          <w:p w:rsidR="00B434C2" w:rsidRPr="00F86759" w:rsidRDefault="00B434C2" w:rsidP="00663BE5">
            <w:pPr>
              <w:pStyle w:val="TableText"/>
              <w:keepLines/>
              <w:widowControl w:val="0"/>
              <w:jc w:val="center"/>
              <w:rPr>
                <w:b/>
              </w:rPr>
            </w:pPr>
            <w:r w:rsidRPr="00F86759">
              <w:rPr>
                <w:b/>
              </w:rPr>
              <w:t>-0.83 (-1.54, -0.13)</w:t>
            </w:r>
          </w:p>
        </w:tc>
      </w:tr>
      <w:tr w:rsidR="00B434C2" w:rsidRPr="00F86759" w:rsidTr="00C56F45">
        <w:tc>
          <w:tcPr>
            <w:tcW w:w="1354" w:type="pct"/>
          </w:tcPr>
          <w:p w:rsidR="00B434C2" w:rsidRPr="00F86759" w:rsidRDefault="00B434C2" w:rsidP="00663BE5">
            <w:pPr>
              <w:pStyle w:val="TableText"/>
              <w:keepLines/>
              <w:widowControl w:val="0"/>
            </w:pPr>
            <w:r w:rsidRPr="00F86759">
              <w:t>Impact score (SDQ subscore)</w:t>
            </w:r>
          </w:p>
        </w:tc>
        <w:tc>
          <w:tcPr>
            <w:tcW w:w="251" w:type="pct"/>
          </w:tcPr>
          <w:p w:rsidR="00B434C2" w:rsidRPr="00F86759" w:rsidRDefault="00B434C2" w:rsidP="00663BE5">
            <w:pPr>
              <w:pStyle w:val="TableText"/>
              <w:keepLines/>
              <w:widowControl w:val="0"/>
              <w:jc w:val="center"/>
            </w:pPr>
            <w:r w:rsidRPr="00F86759">
              <w:t>54</w:t>
            </w:r>
          </w:p>
        </w:tc>
        <w:tc>
          <w:tcPr>
            <w:tcW w:w="1010" w:type="pct"/>
          </w:tcPr>
          <w:p w:rsidR="00B434C2" w:rsidRPr="00F86759" w:rsidRDefault="00B434C2" w:rsidP="00663BE5">
            <w:pPr>
              <w:pStyle w:val="TableText"/>
              <w:keepLines/>
              <w:widowControl w:val="0"/>
              <w:jc w:val="center"/>
            </w:pPr>
            <w:r w:rsidRPr="00F86759">
              <w:t>-0.57 (0.28)</w:t>
            </w:r>
          </w:p>
        </w:tc>
        <w:tc>
          <w:tcPr>
            <w:tcW w:w="497" w:type="pct"/>
          </w:tcPr>
          <w:p w:rsidR="00B434C2" w:rsidRPr="00F86759" w:rsidRDefault="00B434C2" w:rsidP="00663BE5">
            <w:pPr>
              <w:pStyle w:val="TableText"/>
              <w:keepLines/>
              <w:widowControl w:val="0"/>
              <w:jc w:val="center"/>
            </w:pPr>
            <w:r w:rsidRPr="00F86759">
              <w:t>49</w:t>
            </w:r>
          </w:p>
        </w:tc>
        <w:tc>
          <w:tcPr>
            <w:tcW w:w="841" w:type="pct"/>
          </w:tcPr>
          <w:p w:rsidR="00B434C2" w:rsidRPr="00F86759" w:rsidRDefault="00B434C2" w:rsidP="00663BE5">
            <w:pPr>
              <w:pStyle w:val="TableText"/>
              <w:keepLines/>
              <w:widowControl w:val="0"/>
              <w:jc w:val="center"/>
            </w:pPr>
            <w:r w:rsidRPr="00F86759">
              <w:t>0.16 (0.30)</w:t>
            </w:r>
          </w:p>
        </w:tc>
        <w:tc>
          <w:tcPr>
            <w:tcW w:w="1047" w:type="pct"/>
          </w:tcPr>
          <w:p w:rsidR="00B434C2" w:rsidRPr="00F86759" w:rsidRDefault="00B434C2" w:rsidP="00663BE5">
            <w:pPr>
              <w:pStyle w:val="TableText"/>
              <w:keepLines/>
              <w:widowControl w:val="0"/>
              <w:jc w:val="center"/>
            </w:pPr>
            <w:r w:rsidRPr="00F86759">
              <w:t>-0.74 (-1.55, 0.08)</w:t>
            </w:r>
          </w:p>
        </w:tc>
      </w:tr>
    </w:tbl>
    <w:p w:rsidR="00B434C2" w:rsidRPr="00F86759" w:rsidRDefault="00B434C2" w:rsidP="00663BE5">
      <w:pPr>
        <w:pStyle w:val="TableFigureFooter"/>
        <w:keepNext/>
        <w:keepLines/>
        <w:widowControl w:val="0"/>
      </w:pPr>
      <w:r w:rsidRPr="00F86759">
        <w:t>Source: Section 2.5.1, pp.75-84 of the submission; Table 8, p.67 NEU_CH_7911 CSR; Table 14.2.1.3, pp.102-103, Section 141 and 142 tables 2 year data update.pdf</w:t>
      </w:r>
    </w:p>
    <w:p w:rsidR="00B434C2" w:rsidRPr="00F86759" w:rsidRDefault="00B434C2" w:rsidP="00663BE5">
      <w:pPr>
        <w:pStyle w:val="TableFigureFooter"/>
        <w:keepNext/>
        <w:keepLines/>
        <w:widowControl w:val="0"/>
      </w:pPr>
      <w:r w:rsidRPr="00F86759">
        <w:t>Abbreviations: CI, confidence interval; CGAS, Children’s Global Assessment Scale; CSDI, Composite Sleep Disturbance Index; FAS, full analysis set; SD, standard deviation; SDQ, Strengths and Difficulties Questionnaire; SE, standard error</w:t>
      </w:r>
    </w:p>
    <w:p w:rsidR="00B434C2" w:rsidRPr="00F86759" w:rsidRDefault="00B434C2" w:rsidP="00663BE5">
      <w:pPr>
        <w:pStyle w:val="TableFigureFooter"/>
        <w:keepNext/>
        <w:keepLines/>
        <w:widowControl w:val="0"/>
      </w:pPr>
      <w:r w:rsidRPr="00F86759">
        <w:t xml:space="preserve">Note: Analysis conducted on the full analysis set using a mixed-effects model for repeated measures (MMRM) model with the value at week 3 and week 13 as the dependent variable, with fixed effects for visit, the mean baseline value, randomised treatment and the mean baseline value and randomized treatment both nested within visit </w:t>
      </w:r>
    </w:p>
    <w:p w:rsidR="00404E8A" w:rsidRPr="00F86759" w:rsidRDefault="00404E8A" w:rsidP="00404E8A">
      <w:pPr>
        <w:pStyle w:val="ExecSumBodyText"/>
      </w:pPr>
      <w:r w:rsidRPr="00F86759">
        <w:rPr>
          <w:snapToGrid/>
          <w:lang w:val="en-US"/>
        </w:rPr>
        <w:t xml:space="preserve">Results for the exploratory responder analyses, the outcomes used in the economic analyses, are summarised in Table </w:t>
      </w:r>
      <w:r w:rsidR="007C786F" w:rsidRPr="00F86759">
        <w:rPr>
          <w:snapToGrid/>
          <w:lang w:val="en-US"/>
        </w:rPr>
        <w:t>6</w:t>
      </w:r>
      <w:r w:rsidRPr="00F86759">
        <w:rPr>
          <w:snapToGrid/>
          <w:lang w:val="en-US"/>
        </w:rPr>
        <w:t>.</w:t>
      </w:r>
    </w:p>
    <w:p w:rsidR="00404E8A" w:rsidRPr="00F86759" w:rsidRDefault="00576806" w:rsidP="00404E8A">
      <w:pPr>
        <w:pStyle w:val="Tableheadingrow"/>
      </w:pPr>
      <w:r w:rsidRPr="00F86759">
        <w:t>Table 6</w:t>
      </w:r>
      <w:r w:rsidR="00404E8A" w:rsidRPr="00F86759">
        <w:t>: Proportion of responders (TST and sleep latency) (FAS)</w:t>
      </w:r>
    </w:p>
    <w:tbl>
      <w:tblPr>
        <w:tblStyle w:val="TableGrid"/>
        <w:tblW w:w="5000" w:type="pct"/>
        <w:tblLayout w:type="fixed"/>
        <w:tblLook w:val="04A0" w:firstRow="1" w:lastRow="0" w:firstColumn="1" w:lastColumn="0" w:noHBand="0" w:noVBand="1"/>
        <w:tblCaption w:val="Table 6: Proportion of responders (TST and sleep latency) (FAS)"/>
      </w:tblPr>
      <w:tblGrid>
        <w:gridCol w:w="1987"/>
        <w:gridCol w:w="1757"/>
        <w:gridCol w:w="1758"/>
        <w:gridCol w:w="1757"/>
        <w:gridCol w:w="1758"/>
      </w:tblGrid>
      <w:tr w:rsidR="00711A0C" w:rsidRPr="00F86759" w:rsidTr="003B2269">
        <w:trPr>
          <w:tblHeader/>
        </w:trPr>
        <w:tc>
          <w:tcPr>
            <w:tcW w:w="1102" w:type="pct"/>
          </w:tcPr>
          <w:p w:rsidR="00711A0C" w:rsidRPr="00F86759" w:rsidRDefault="00711A0C" w:rsidP="006C5D11">
            <w:pPr>
              <w:pStyle w:val="TableText"/>
            </w:pPr>
          </w:p>
        </w:tc>
        <w:tc>
          <w:tcPr>
            <w:tcW w:w="974" w:type="pct"/>
          </w:tcPr>
          <w:p w:rsidR="00711A0C" w:rsidRPr="00F86759" w:rsidRDefault="00711A0C" w:rsidP="006C5D11">
            <w:pPr>
              <w:pStyle w:val="TableText"/>
              <w:jc w:val="center"/>
              <w:rPr>
                <w:b/>
              </w:rPr>
            </w:pPr>
            <w:r w:rsidRPr="00F86759">
              <w:rPr>
                <w:b/>
              </w:rPr>
              <w:t>Prolonged release melatonin (n=58)</w:t>
            </w:r>
          </w:p>
          <w:p w:rsidR="00711A0C" w:rsidRPr="00F86759" w:rsidRDefault="00711A0C" w:rsidP="006C5D11">
            <w:pPr>
              <w:pStyle w:val="TableText"/>
              <w:jc w:val="center"/>
              <w:rPr>
                <w:b/>
              </w:rPr>
            </w:pPr>
            <w:r w:rsidRPr="00F86759">
              <w:rPr>
                <w:b/>
              </w:rPr>
              <w:t>N (%)</w:t>
            </w:r>
          </w:p>
        </w:tc>
        <w:tc>
          <w:tcPr>
            <w:tcW w:w="975" w:type="pct"/>
          </w:tcPr>
          <w:p w:rsidR="00711A0C" w:rsidRPr="00F86759" w:rsidRDefault="00711A0C" w:rsidP="006C5D11">
            <w:pPr>
              <w:pStyle w:val="TableText"/>
              <w:jc w:val="center"/>
              <w:rPr>
                <w:b/>
              </w:rPr>
            </w:pPr>
            <w:r w:rsidRPr="00F86759">
              <w:rPr>
                <w:b/>
              </w:rPr>
              <w:t xml:space="preserve">Placebo </w:t>
            </w:r>
          </w:p>
          <w:p w:rsidR="00711A0C" w:rsidRPr="00F86759" w:rsidRDefault="00711A0C" w:rsidP="006C5D11">
            <w:pPr>
              <w:pStyle w:val="TableText"/>
              <w:jc w:val="center"/>
              <w:rPr>
                <w:b/>
              </w:rPr>
            </w:pPr>
            <w:r w:rsidRPr="00F86759">
              <w:rPr>
                <w:b/>
              </w:rPr>
              <w:t>(n=61)</w:t>
            </w:r>
          </w:p>
          <w:p w:rsidR="00711A0C" w:rsidRPr="00F86759" w:rsidRDefault="00711A0C" w:rsidP="006C5D11">
            <w:pPr>
              <w:pStyle w:val="TableText"/>
              <w:jc w:val="center"/>
              <w:rPr>
                <w:b/>
              </w:rPr>
            </w:pPr>
            <w:r w:rsidRPr="00F86759">
              <w:rPr>
                <w:b/>
              </w:rPr>
              <w:t>N (%)</w:t>
            </w:r>
          </w:p>
        </w:tc>
        <w:tc>
          <w:tcPr>
            <w:tcW w:w="974" w:type="pct"/>
            <w:vAlign w:val="center"/>
          </w:tcPr>
          <w:p w:rsidR="00711A0C" w:rsidRPr="00F86759" w:rsidDel="008C7ADF" w:rsidRDefault="002F7B81" w:rsidP="00EB0732">
            <w:pPr>
              <w:pStyle w:val="TableText"/>
              <w:jc w:val="center"/>
              <w:rPr>
                <w:b/>
              </w:rPr>
            </w:pPr>
            <w:r w:rsidRPr="00F86759">
              <w:rPr>
                <w:b/>
              </w:rPr>
              <w:t>Odds ratio (95% CI)</w:t>
            </w:r>
          </w:p>
        </w:tc>
        <w:tc>
          <w:tcPr>
            <w:tcW w:w="975" w:type="pct"/>
            <w:vAlign w:val="center"/>
          </w:tcPr>
          <w:p w:rsidR="00711A0C" w:rsidRPr="00F86759" w:rsidRDefault="00711A0C" w:rsidP="00EB0732">
            <w:pPr>
              <w:pStyle w:val="TableText"/>
              <w:jc w:val="center"/>
              <w:rPr>
                <w:b/>
              </w:rPr>
            </w:pPr>
            <w:r w:rsidRPr="00F86759">
              <w:rPr>
                <w:b/>
              </w:rPr>
              <w:t>Risk difference (95% CI)</w:t>
            </w:r>
          </w:p>
        </w:tc>
      </w:tr>
      <w:tr w:rsidR="00711A0C" w:rsidRPr="00F86759" w:rsidTr="00EB0732">
        <w:tc>
          <w:tcPr>
            <w:tcW w:w="5000" w:type="pct"/>
            <w:gridSpan w:val="5"/>
          </w:tcPr>
          <w:p w:rsidR="00711A0C" w:rsidRPr="00F86759" w:rsidRDefault="00711A0C" w:rsidP="006C5D11">
            <w:pPr>
              <w:pStyle w:val="TableText"/>
              <w:rPr>
                <w:b/>
              </w:rPr>
            </w:pPr>
            <w:r w:rsidRPr="00F86759">
              <w:rPr>
                <w:b/>
              </w:rPr>
              <w:t>Total sleep time responders (</w:t>
            </w:r>
            <w:r w:rsidRPr="00F86759">
              <w:rPr>
                <w:rFonts w:ascii="Calibri" w:hAnsi="Calibri" w:cs="Calibri"/>
                <w:b/>
              </w:rPr>
              <w:t>≥</w:t>
            </w:r>
            <w:r w:rsidRPr="00F86759">
              <w:rPr>
                <w:b/>
              </w:rPr>
              <w:t xml:space="preserve">45 min increase in total sleep time </w:t>
            </w:r>
            <w:r w:rsidR="009A0FB2">
              <w:rPr>
                <w:b/>
              </w:rPr>
              <w:t xml:space="preserve">per night </w:t>
            </w:r>
            <w:r w:rsidRPr="00F86759">
              <w:rPr>
                <w:b/>
              </w:rPr>
              <w:t>from baseline)</w:t>
            </w:r>
          </w:p>
        </w:tc>
      </w:tr>
      <w:tr w:rsidR="00711A0C" w:rsidRPr="00F86759" w:rsidTr="00EB0732">
        <w:tc>
          <w:tcPr>
            <w:tcW w:w="1102" w:type="pct"/>
            <w:vAlign w:val="center"/>
          </w:tcPr>
          <w:p w:rsidR="00711A0C" w:rsidRPr="00F86759" w:rsidRDefault="00711A0C" w:rsidP="00EB0732">
            <w:pPr>
              <w:pStyle w:val="TableText"/>
            </w:pPr>
            <w:r w:rsidRPr="00F86759">
              <w:t>Week 3</w:t>
            </w:r>
          </w:p>
        </w:tc>
        <w:tc>
          <w:tcPr>
            <w:tcW w:w="974" w:type="pct"/>
            <w:vAlign w:val="center"/>
          </w:tcPr>
          <w:p w:rsidR="00711A0C" w:rsidRPr="00F86759" w:rsidRDefault="00711A0C" w:rsidP="006C5D11">
            <w:pPr>
              <w:pStyle w:val="TableText"/>
              <w:jc w:val="center"/>
            </w:pPr>
            <w:r w:rsidRPr="00F86759">
              <w:t>19 (32.8)</w:t>
            </w:r>
          </w:p>
        </w:tc>
        <w:tc>
          <w:tcPr>
            <w:tcW w:w="975" w:type="pct"/>
            <w:vAlign w:val="center"/>
          </w:tcPr>
          <w:p w:rsidR="00711A0C" w:rsidRPr="00F86759" w:rsidRDefault="00711A0C" w:rsidP="006C5D11">
            <w:pPr>
              <w:pStyle w:val="TableText"/>
              <w:jc w:val="center"/>
            </w:pPr>
            <w:r w:rsidRPr="00F86759">
              <w:t>11 (18.0)</w:t>
            </w:r>
          </w:p>
        </w:tc>
        <w:tc>
          <w:tcPr>
            <w:tcW w:w="974" w:type="pct"/>
          </w:tcPr>
          <w:p w:rsidR="00711A0C" w:rsidRPr="00F86759" w:rsidDel="008C7ADF" w:rsidRDefault="002F7B81" w:rsidP="008C7ADF">
            <w:pPr>
              <w:pStyle w:val="TableText"/>
              <w:jc w:val="center"/>
            </w:pPr>
            <w:r w:rsidRPr="00F86759">
              <w:t>2.6 (0.99, 6.58)</w:t>
            </w:r>
          </w:p>
        </w:tc>
        <w:tc>
          <w:tcPr>
            <w:tcW w:w="975" w:type="pct"/>
            <w:vAlign w:val="center"/>
          </w:tcPr>
          <w:p w:rsidR="00711A0C" w:rsidRPr="00F86759" w:rsidRDefault="00711A0C" w:rsidP="008C7ADF">
            <w:pPr>
              <w:pStyle w:val="TableText"/>
              <w:jc w:val="center"/>
            </w:pPr>
            <w:r w:rsidRPr="00F86759">
              <w:t>-0.15 (-0.30, 0.01)</w:t>
            </w:r>
          </w:p>
        </w:tc>
      </w:tr>
      <w:tr w:rsidR="00711A0C" w:rsidRPr="00F86759" w:rsidTr="00EB0732">
        <w:tc>
          <w:tcPr>
            <w:tcW w:w="1102" w:type="pct"/>
            <w:vAlign w:val="center"/>
          </w:tcPr>
          <w:p w:rsidR="00711A0C" w:rsidRPr="00F86759" w:rsidRDefault="00711A0C" w:rsidP="00EB0732">
            <w:pPr>
              <w:pStyle w:val="TableText"/>
            </w:pPr>
            <w:r w:rsidRPr="00F86759">
              <w:t>Week 13 (end double blind period)</w:t>
            </w:r>
          </w:p>
        </w:tc>
        <w:tc>
          <w:tcPr>
            <w:tcW w:w="974" w:type="pct"/>
            <w:vAlign w:val="center"/>
          </w:tcPr>
          <w:p w:rsidR="00711A0C" w:rsidRPr="00F86759" w:rsidRDefault="00711A0C" w:rsidP="006C5D11">
            <w:pPr>
              <w:pStyle w:val="TableText"/>
              <w:jc w:val="center"/>
            </w:pPr>
            <w:r w:rsidRPr="00F86759">
              <w:t>22 (37.9)</w:t>
            </w:r>
          </w:p>
        </w:tc>
        <w:tc>
          <w:tcPr>
            <w:tcW w:w="975" w:type="pct"/>
            <w:vAlign w:val="center"/>
          </w:tcPr>
          <w:p w:rsidR="00711A0C" w:rsidRPr="00F86759" w:rsidRDefault="00711A0C" w:rsidP="006C5D11">
            <w:pPr>
              <w:pStyle w:val="TableText"/>
              <w:jc w:val="center"/>
            </w:pPr>
            <w:r w:rsidRPr="00F86759">
              <w:t>10 (16.4)</w:t>
            </w:r>
          </w:p>
        </w:tc>
        <w:tc>
          <w:tcPr>
            <w:tcW w:w="974" w:type="pct"/>
            <w:vAlign w:val="center"/>
          </w:tcPr>
          <w:p w:rsidR="00711A0C" w:rsidRPr="00967358" w:rsidDel="004D2CFE" w:rsidRDefault="009F6262" w:rsidP="00EB0732">
            <w:pPr>
              <w:pStyle w:val="TableText"/>
              <w:jc w:val="center"/>
              <w:rPr>
                <w:b/>
                <w:bCs w:val="0"/>
              </w:rPr>
            </w:pPr>
            <w:r w:rsidRPr="00967358">
              <w:rPr>
                <w:b/>
                <w:bCs w:val="0"/>
              </w:rPr>
              <w:t>5.8 (1.80, 18.36)</w:t>
            </w:r>
          </w:p>
        </w:tc>
        <w:tc>
          <w:tcPr>
            <w:tcW w:w="975" w:type="pct"/>
            <w:vAlign w:val="center"/>
          </w:tcPr>
          <w:p w:rsidR="00711A0C" w:rsidRPr="00967358" w:rsidRDefault="00711A0C" w:rsidP="00EB0732">
            <w:pPr>
              <w:pStyle w:val="TableText"/>
              <w:jc w:val="center"/>
              <w:rPr>
                <w:b/>
                <w:bCs w:val="0"/>
              </w:rPr>
            </w:pPr>
            <w:r w:rsidRPr="00967358">
              <w:rPr>
                <w:b/>
                <w:bCs w:val="0"/>
              </w:rPr>
              <w:t>-0.22 (-0.36, -0.06)</w:t>
            </w:r>
          </w:p>
        </w:tc>
      </w:tr>
      <w:tr w:rsidR="00711A0C" w:rsidRPr="00F86759" w:rsidTr="00EB0732">
        <w:tc>
          <w:tcPr>
            <w:tcW w:w="5000" w:type="pct"/>
            <w:gridSpan w:val="5"/>
            <w:vAlign w:val="center"/>
          </w:tcPr>
          <w:p w:rsidR="00711A0C" w:rsidRPr="00F86759" w:rsidRDefault="00711A0C" w:rsidP="00EB0732">
            <w:pPr>
              <w:pStyle w:val="TableText"/>
              <w:rPr>
                <w:b/>
              </w:rPr>
            </w:pPr>
            <w:r w:rsidRPr="00F86759">
              <w:rPr>
                <w:b/>
              </w:rPr>
              <w:t>Sleep latency responders (</w:t>
            </w:r>
            <w:r w:rsidRPr="00F86759">
              <w:rPr>
                <w:rFonts w:ascii="Calibri" w:hAnsi="Calibri" w:cs="Calibri"/>
                <w:b/>
              </w:rPr>
              <w:t>≥</w:t>
            </w:r>
            <w:r w:rsidRPr="00F86759">
              <w:rPr>
                <w:b/>
              </w:rPr>
              <w:t xml:space="preserve">15 min decrease in sleep latency </w:t>
            </w:r>
            <w:r w:rsidR="006377E4">
              <w:rPr>
                <w:b/>
              </w:rPr>
              <w:t xml:space="preserve">per night </w:t>
            </w:r>
            <w:r w:rsidRPr="00F86759">
              <w:rPr>
                <w:b/>
              </w:rPr>
              <w:t>from baseline)</w:t>
            </w:r>
          </w:p>
        </w:tc>
      </w:tr>
      <w:tr w:rsidR="00711A0C" w:rsidRPr="00F86759" w:rsidTr="00EB0732">
        <w:tc>
          <w:tcPr>
            <w:tcW w:w="1102" w:type="pct"/>
            <w:vAlign w:val="center"/>
          </w:tcPr>
          <w:p w:rsidR="00711A0C" w:rsidRPr="00F86759" w:rsidRDefault="00711A0C" w:rsidP="00EB0732">
            <w:pPr>
              <w:pStyle w:val="TableText"/>
            </w:pPr>
            <w:r w:rsidRPr="00F86759">
              <w:t>Week 3</w:t>
            </w:r>
          </w:p>
        </w:tc>
        <w:tc>
          <w:tcPr>
            <w:tcW w:w="974" w:type="pct"/>
            <w:vAlign w:val="center"/>
          </w:tcPr>
          <w:p w:rsidR="00711A0C" w:rsidRPr="00F86759" w:rsidRDefault="00711A0C" w:rsidP="006C5D11">
            <w:pPr>
              <w:pStyle w:val="TableText"/>
              <w:jc w:val="center"/>
            </w:pPr>
            <w:r w:rsidRPr="00F86759">
              <w:t>29 (50.0)</w:t>
            </w:r>
          </w:p>
        </w:tc>
        <w:tc>
          <w:tcPr>
            <w:tcW w:w="975" w:type="pct"/>
            <w:vAlign w:val="center"/>
          </w:tcPr>
          <w:p w:rsidR="00711A0C" w:rsidRPr="00F86759" w:rsidRDefault="00711A0C" w:rsidP="006C5D11">
            <w:pPr>
              <w:pStyle w:val="TableText"/>
              <w:jc w:val="center"/>
            </w:pPr>
            <w:r w:rsidRPr="00F86759">
              <w:t>15 (24.6)</w:t>
            </w:r>
          </w:p>
        </w:tc>
        <w:tc>
          <w:tcPr>
            <w:tcW w:w="974" w:type="pct"/>
          </w:tcPr>
          <w:p w:rsidR="00711A0C" w:rsidRPr="007F58E9" w:rsidDel="004D2CFE" w:rsidRDefault="009F6262" w:rsidP="004D2CFE">
            <w:pPr>
              <w:pStyle w:val="TableText"/>
              <w:jc w:val="center"/>
              <w:rPr>
                <w:b/>
                <w:bCs w:val="0"/>
              </w:rPr>
            </w:pPr>
            <w:r w:rsidRPr="007F58E9">
              <w:rPr>
                <w:b/>
                <w:bCs w:val="0"/>
              </w:rPr>
              <w:t>4.3 (1.7, 10.5)</w:t>
            </w:r>
          </w:p>
        </w:tc>
        <w:tc>
          <w:tcPr>
            <w:tcW w:w="975" w:type="pct"/>
          </w:tcPr>
          <w:p w:rsidR="00711A0C" w:rsidRPr="007F58E9" w:rsidRDefault="00711A0C" w:rsidP="004D2CFE">
            <w:pPr>
              <w:pStyle w:val="TableText"/>
              <w:jc w:val="center"/>
              <w:rPr>
                <w:b/>
                <w:bCs w:val="0"/>
              </w:rPr>
            </w:pPr>
            <w:r w:rsidRPr="007F58E9">
              <w:rPr>
                <w:b/>
                <w:bCs w:val="0"/>
              </w:rPr>
              <w:t>-0.25 (-0.41, -0.08)</w:t>
            </w:r>
          </w:p>
        </w:tc>
      </w:tr>
      <w:tr w:rsidR="00711A0C" w:rsidRPr="00F86759" w:rsidTr="00EB0732">
        <w:tc>
          <w:tcPr>
            <w:tcW w:w="1102" w:type="pct"/>
            <w:vAlign w:val="center"/>
          </w:tcPr>
          <w:p w:rsidR="00711A0C" w:rsidRPr="00F86759" w:rsidRDefault="00711A0C" w:rsidP="00EB0732">
            <w:pPr>
              <w:pStyle w:val="TableText"/>
            </w:pPr>
            <w:r w:rsidRPr="00F86759">
              <w:t>Week 13 (end double blind period)</w:t>
            </w:r>
          </w:p>
        </w:tc>
        <w:tc>
          <w:tcPr>
            <w:tcW w:w="974" w:type="pct"/>
            <w:vAlign w:val="center"/>
          </w:tcPr>
          <w:p w:rsidR="00711A0C" w:rsidRPr="00F86759" w:rsidRDefault="00711A0C" w:rsidP="00EB0732">
            <w:pPr>
              <w:pStyle w:val="TableText"/>
              <w:jc w:val="center"/>
            </w:pPr>
            <w:r w:rsidRPr="00F86759">
              <w:t>37 (63.8)</w:t>
            </w:r>
          </w:p>
        </w:tc>
        <w:tc>
          <w:tcPr>
            <w:tcW w:w="975" w:type="pct"/>
            <w:vAlign w:val="center"/>
          </w:tcPr>
          <w:p w:rsidR="00711A0C" w:rsidRPr="00F86759" w:rsidRDefault="00711A0C" w:rsidP="00EB0732">
            <w:pPr>
              <w:pStyle w:val="TableText"/>
              <w:jc w:val="center"/>
            </w:pPr>
            <w:r w:rsidRPr="00F86759">
              <w:t>20 (32.8)</w:t>
            </w:r>
          </w:p>
        </w:tc>
        <w:tc>
          <w:tcPr>
            <w:tcW w:w="974" w:type="pct"/>
            <w:vAlign w:val="center"/>
          </w:tcPr>
          <w:p w:rsidR="00711A0C" w:rsidRPr="007F58E9" w:rsidDel="004D2CFE" w:rsidRDefault="009F6262" w:rsidP="00EB0732">
            <w:pPr>
              <w:pStyle w:val="TableText"/>
              <w:jc w:val="center"/>
              <w:rPr>
                <w:b/>
                <w:bCs w:val="0"/>
              </w:rPr>
            </w:pPr>
            <w:r w:rsidRPr="007F58E9">
              <w:rPr>
                <w:b/>
                <w:bCs w:val="0"/>
              </w:rPr>
              <w:t>3.8 (1.8, 8.3)</w:t>
            </w:r>
          </w:p>
        </w:tc>
        <w:tc>
          <w:tcPr>
            <w:tcW w:w="975" w:type="pct"/>
            <w:vAlign w:val="center"/>
          </w:tcPr>
          <w:p w:rsidR="00711A0C" w:rsidRPr="007F58E9" w:rsidRDefault="00711A0C" w:rsidP="00EB0732">
            <w:pPr>
              <w:pStyle w:val="TableText"/>
              <w:jc w:val="center"/>
              <w:rPr>
                <w:b/>
                <w:bCs w:val="0"/>
              </w:rPr>
            </w:pPr>
            <w:r w:rsidRPr="007F58E9">
              <w:rPr>
                <w:b/>
                <w:bCs w:val="0"/>
              </w:rPr>
              <w:t>-0.31 (-0.46, -0.13)</w:t>
            </w:r>
          </w:p>
        </w:tc>
      </w:tr>
    </w:tbl>
    <w:p w:rsidR="00404E8A" w:rsidRPr="00F86759" w:rsidRDefault="00404E8A" w:rsidP="000A36C3">
      <w:pPr>
        <w:pStyle w:val="TableFooter"/>
      </w:pPr>
      <w:r w:rsidRPr="00F86759">
        <w:t>Source: Table 2.23, p.87 of the submission</w:t>
      </w:r>
    </w:p>
    <w:p w:rsidR="006B5E82" w:rsidRPr="00F86759" w:rsidRDefault="00404E8A" w:rsidP="00576806">
      <w:pPr>
        <w:pStyle w:val="ExecSumBodyText"/>
      </w:pPr>
      <w:r w:rsidRPr="00F86759">
        <w:t>Response rates for both total sleep time and sleep latency were statistically significantly different between treatment groups in favour of prolonged release melatonin</w:t>
      </w:r>
      <w:r w:rsidR="004A4B9D" w:rsidRPr="00F86759">
        <w:t xml:space="preserve"> after 13 weeks of treatment</w:t>
      </w:r>
      <w:r w:rsidRPr="00F86759">
        <w:t>.</w:t>
      </w:r>
      <w:r w:rsidR="006B5E82" w:rsidRPr="00F86759">
        <w:t xml:space="preserve"> </w:t>
      </w:r>
    </w:p>
    <w:p w:rsidR="009F6262" w:rsidRPr="00F86759" w:rsidRDefault="009F6262" w:rsidP="00157306">
      <w:pPr>
        <w:pStyle w:val="ExecSumBodyText"/>
      </w:pPr>
      <w:r w:rsidRPr="00F86759">
        <w:t xml:space="preserve">The responder rates applied in the economic analysis were based on the percentage of participants who were </w:t>
      </w:r>
      <w:r w:rsidR="00157306" w:rsidRPr="00F86759">
        <w:t>either a total sleep time and/or sleep latency responder. The data for this was not presented in the C</w:t>
      </w:r>
      <w:r w:rsidR="00663BE5">
        <w:t xml:space="preserve">linical </w:t>
      </w:r>
      <w:r w:rsidR="00157306" w:rsidRPr="00F86759">
        <w:t>S</w:t>
      </w:r>
      <w:r w:rsidR="00663BE5">
        <w:t xml:space="preserve">tudy </w:t>
      </w:r>
      <w:r w:rsidR="00157306" w:rsidRPr="00F86759">
        <w:t>R</w:t>
      </w:r>
      <w:r w:rsidR="00663BE5">
        <w:t>eport</w:t>
      </w:r>
      <w:r w:rsidR="00157306" w:rsidRPr="00F86759">
        <w:t xml:space="preserve">, but was reported (percentages only) in one of the publications arising from the key trial (Gringras et al., 2017). At the end of the double blind treatment period, these percentages were reported as 68.9% versus 39.3% in the prolonged release melatonin and placebo treatment arms respectively. </w:t>
      </w:r>
    </w:p>
    <w:p w:rsidR="00970E07" w:rsidRPr="00F86759" w:rsidRDefault="00970E07" w:rsidP="00970E07">
      <w:pPr>
        <w:pStyle w:val="ExecSumBodyText"/>
      </w:pPr>
      <w:r w:rsidRPr="00F86759">
        <w:t>Response rates based on the 52 week assessment in the open label phase were used in the economic analysis, both for the cost per responder at 1 year</w:t>
      </w:r>
      <w:r w:rsidR="00FD2791" w:rsidRPr="00F86759">
        <w:t xml:space="preserve"> analysis</w:t>
      </w:r>
      <w:r w:rsidRPr="00F86759">
        <w:t xml:space="preserve"> and to inform the extrapolation in the cost per responder</w:t>
      </w:r>
      <w:r w:rsidR="00FD2791" w:rsidRPr="00F86759">
        <w:t>-</w:t>
      </w:r>
      <w:r w:rsidRPr="00F86759">
        <w:t>year analys</w:t>
      </w:r>
      <w:r w:rsidR="00FD2791" w:rsidRPr="00F86759">
        <w:t>i</w:t>
      </w:r>
      <w:r w:rsidRPr="00F86759">
        <w:t xml:space="preserve">s. These results were not provided in the submission, however the value applied in the </w:t>
      </w:r>
      <w:r w:rsidR="00702197" w:rsidRPr="00F86759">
        <w:t>economic model</w:t>
      </w:r>
      <w:r w:rsidRPr="00F86759">
        <w:t xml:space="preserve"> for the proportion of responders at 52 weeks, in the treatment group who had originally been randomised to melatonin, was 72.4%.</w:t>
      </w:r>
    </w:p>
    <w:p w:rsidR="00E2053D" w:rsidRPr="00F86759" w:rsidRDefault="00E2053D" w:rsidP="00E2053D">
      <w:pPr>
        <w:pStyle w:val="ExecSumBodyText"/>
      </w:pPr>
      <w:r w:rsidRPr="00F86759">
        <w:t xml:space="preserve">The submission stated that the change from baseline for reduction in sleep latency was maintained for the duration of the open label period. The </w:t>
      </w:r>
      <w:r w:rsidR="00DE1329" w:rsidRPr="00F86759">
        <w:t xml:space="preserve">ESC noted </w:t>
      </w:r>
      <w:r w:rsidR="00663BE5">
        <w:t xml:space="preserve">the </w:t>
      </w:r>
      <w:r w:rsidRPr="00F86759">
        <w:t xml:space="preserve">original placebo group did not achieve the same improvements in </w:t>
      </w:r>
      <w:r w:rsidR="00DE1329" w:rsidRPr="00F86759">
        <w:t xml:space="preserve">total sleep time (Figure 1) or </w:t>
      </w:r>
      <w:r w:rsidRPr="00F86759">
        <w:t>sleep latency</w:t>
      </w:r>
      <w:r w:rsidR="00DE1329" w:rsidRPr="00F86759">
        <w:t xml:space="preserve"> (Figure 2) a</w:t>
      </w:r>
      <w:r w:rsidRPr="00F86759">
        <w:t xml:space="preserve">s the original melatonin group during the open label period. It is unclear why this pattern of results occurred; some of the treatment effect during the double-blind period may have been due to on-trial behaviour and/or </w:t>
      </w:r>
      <w:r w:rsidR="005A7938" w:rsidRPr="00F86759">
        <w:t>how missing data was adjusted for in the analysis</w:t>
      </w:r>
      <w:r w:rsidRPr="00F86759">
        <w:t>.</w:t>
      </w:r>
    </w:p>
    <w:p w:rsidR="00DE1329" w:rsidRPr="00F86759" w:rsidRDefault="00DE1329" w:rsidP="00DE1329">
      <w:pPr>
        <w:pStyle w:val="ExecSumBodyText"/>
        <w:keepNext/>
        <w:keepLines/>
        <w:numPr>
          <w:ilvl w:val="0"/>
          <w:numId w:val="0"/>
        </w:numPr>
      </w:pPr>
      <w:r w:rsidRPr="00F86759">
        <w:rPr>
          <w:rFonts w:ascii="Arial Narrow" w:eastAsiaTheme="majorEastAsia" w:hAnsi="Arial Narrow" w:cs="Times New Roman"/>
          <w:b/>
          <w:snapToGrid/>
          <w:sz w:val="20"/>
          <w:lang w:val="en-US"/>
        </w:rPr>
        <w:t>Figure 1: Change</w:t>
      </w:r>
      <w:r w:rsidRPr="00F86759">
        <w:t xml:space="preserve"> </w:t>
      </w:r>
      <w:r w:rsidRPr="00F86759">
        <w:rPr>
          <w:rFonts w:ascii="Arial Narrow" w:eastAsiaTheme="majorEastAsia" w:hAnsi="Arial Narrow" w:cs="Times New Roman"/>
          <w:b/>
          <w:snapToGrid/>
          <w:sz w:val="20"/>
          <w:lang w:val="en-US"/>
        </w:rPr>
        <w:t xml:space="preserve">from baseline in mean total sleep time (minutes) </w:t>
      </w:r>
      <w:r w:rsidR="009A0FB2">
        <w:rPr>
          <w:rFonts w:ascii="Arial Narrow" w:eastAsiaTheme="majorEastAsia" w:hAnsi="Arial Narrow" w:cs="Times New Roman"/>
          <w:b/>
          <w:snapToGrid/>
          <w:sz w:val="20"/>
          <w:lang w:val="en-US"/>
        </w:rPr>
        <w:t xml:space="preserve">per night </w:t>
      </w:r>
      <w:r w:rsidRPr="00F86759">
        <w:rPr>
          <w:rFonts w:ascii="Arial Narrow" w:eastAsiaTheme="majorEastAsia" w:hAnsi="Arial Narrow" w:cs="Times New Roman"/>
          <w:b/>
          <w:snapToGrid/>
          <w:sz w:val="20"/>
          <w:lang w:val="en-US"/>
        </w:rPr>
        <w:t>during the double-blind and open-label periods</w:t>
      </w:r>
    </w:p>
    <w:p w:rsidR="00DE1329" w:rsidRPr="00F86759" w:rsidRDefault="00DE1329" w:rsidP="00DE1329">
      <w:pPr>
        <w:pStyle w:val="ExecSumBodyText"/>
        <w:keepNext/>
        <w:keepLines/>
        <w:numPr>
          <w:ilvl w:val="0"/>
          <w:numId w:val="0"/>
        </w:numPr>
      </w:pPr>
      <w:r w:rsidRPr="00F86759">
        <w:rPr>
          <w:rFonts w:cstheme="minorHAnsi"/>
          <w:noProof/>
        </w:rPr>
        <w:drawing>
          <wp:anchor distT="0" distB="0" distL="114300" distR="114300" simplePos="0" relativeHeight="251659264" behindDoc="1" locked="0" layoutInCell="1" allowOverlap="1" wp14:anchorId="682A2CA2" wp14:editId="6EF93C19">
            <wp:simplePos x="0" y="0"/>
            <wp:positionH relativeFrom="column">
              <wp:posOffset>0</wp:posOffset>
            </wp:positionH>
            <wp:positionV relativeFrom="paragraph">
              <wp:posOffset>259715</wp:posOffset>
            </wp:positionV>
            <wp:extent cx="5638800" cy="3093085"/>
            <wp:effectExtent l="0" t="0" r="0" b="0"/>
            <wp:wrapTight wrapText="bothSides">
              <wp:wrapPolygon edited="0">
                <wp:start x="0" y="0"/>
                <wp:lineTo x="0" y="21418"/>
                <wp:lineTo x="21527" y="21418"/>
                <wp:lineTo x="21527" y="0"/>
                <wp:lineTo x="0" y="0"/>
              </wp:wrapPolygon>
            </wp:wrapTight>
            <wp:docPr id="167" name="Picture 167" title="Figure 1: Change from baseline in mean total sleep time (minutes) per night during the double-blind and open-label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09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329" w:rsidRPr="00F86759" w:rsidRDefault="00DE1329" w:rsidP="00904E77">
      <w:pPr>
        <w:pStyle w:val="ExecSumBodyText"/>
        <w:keepNext/>
        <w:keepLines/>
        <w:numPr>
          <w:ilvl w:val="0"/>
          <w:numId w:val="0"/>
        </w:numPr>
        <w:spacing w:after="0"/>
        <w:rPr>
          <w:rFonts w:ascii="Arial Narrow" w:hAnsi="Arial Narrow"/>
          <w:sz w:val="18"/>
          <w:szCs w:val="22"/>
        </w:rPr>
      </w:pPr>
      <w:r w:rsidRPr="00F86759">
        <w:rPr>
          <w:rFonts w:ascii="Arial Narrow" w:hAnsi="Arial Narrow"/>
          <w:sz w:val="18"/>
          <w:szCs w:val="22"/>
        </w:rPr>
        <w:t>Source: Figure 2.6, p.94 of the submission</w:t>
      </w:r>
    </w:p>
    <w:p w:rsidR="00DE1329" w:rsidRPr="00F86759" w:rsidRDefault="00DE1329" w:rsidP="00904E77">
      <w:pPr>
        <w:pStyle w:val="TableFigureFooter"/>
        <w:keepNext/>
        <w:keepLines/>
        <w:spacing w:after="0"/>
      </w:pPr>
      <w:r w:rsidRPr="00F86759">
        <w:t>Notes: Visit 3: 3 weeks (double-blind), Visit 4: 13 weeks (double-blind); Visit 5: 26 weeks (open label); Visit 6: 39 weeks (open label); Visit 7: 52 weeks (open label)</w:t>
      </w:r>
    </w:p>
    <w:p w:rsidR="00DE1329" w:rsidRPr="00F86759" w:rsidRDefault="00DE1329" w:rsidP="00DE1329">
      <w:pPr>
        <w:pStyle w:val="ExecSumBodyText"/>
        <w:numPr>
          <w:ilvl w:val="0"/>
          <w:numId w:val="0"/>
        </w:numPr>
      </w:pPr>
    </w:p>
    <w:p w:rsidR="00904E77" w:rsidRPr="00F86759" w:rsidRDefault="00904E77" w:rsidP="00904E77">
      <w:pPr>
        <w:pStyle w:val="ExecSumBodyText"/>
        <w:keepNext/>
        <w:keepLines/>
        <w:numPr>
          <w:ilvl w:val="0"/>
          <w:numId w:val="0"/>
        </w:numPr>
        <w:rPr>
          <w:rFonts w:ascii="Arial Narrow" w:eastAsiaTheme="majorEastAsia" w:hAnsi="Arial Narrow" w:cs="Times New Roman"/>
          <w:b/>
          <w:snapToGrid/>
          <w:sz w:val="20"/>
          <w:lang w:val="en-US"/>
        </w:rPr>
      </w:pPr>
      <w:r w:rsidRPr="00F86759">
        <w:rPr>
          <w:rFonts w:ascii="Arial Narrow" w:eastAsiaTheme="majorEastAsia" w:hAnsi="Arial Narrow" w:cs="Times New Roman"/>
          <w:b/>
          <w:snapToGrid/>
          <w:sz w:val="20"/>
          <w:lang w:val="en-US"/>
        </w:rPr>
        <w:t>Figure 2: Change from baseline in mean sleep latency (minutes) during the double-blind and open-label periods</w:t>
      </w:r>
    </w:p>
    <w:p w:rsidR="00904E77" w:rsidRPr="00F86759" w:rsidRDefault="00904E77" w:rsidP="00904E77">
      <w:pPr>
        <w:pStyle w:val="ExecSumBodyText"/>
        <w:keepNext/>
        <w:keepLines/>
        <w:numPr>
          <w:ilvl w:val="0"/>
          <w:numId w:val="0"/>
        </w:numPr>
        <w:rPr>
          <w:rFonts w:ascii="Arial Narrow" w:eastAsiaTheme="majorEastAsia" w:hAnsi="Arial Narrow" w:cs="Times New Roman"/>
          <w:b/>
          <w:snapToGrid/>
          <w:sz w:val="20"/>
          <w:lang w:val="en-US"/>
        </w:rPr>
      </w:pPr>
      <w:r w:rsidRPr="00F86759">
        <w:rPr>
          <w:noProof/>
        </w:rPr>
        <w:drawing>
          <wp:anchor distT="0" distB="0" distL="114300" distR="114300" simplePos="0" relativeHeight="251661312" behindDoc="1" locked="0" layoutInCell="1" allowOverlap="1" wp14:anchorId="78FFC90B" wp14:editId="0939BD60">
            <wp:simplePos x="0" y="0"/>
            <wp:positionH relativeFrom="column">
              <wp:posOffset>-101600</wp:posOffset>
            </wp:positionH>
            <wp:positionV relativeFrom="paragraph">
              <wp:posOffset>86360</wp:posOffset>
            </wp:positionV>
            <wp:extent cx="5384165" cy="3779520"/>
            <wp:effectExtent l="0" t="0" r="6985" b="0"/>
            <wp:wrapTight wrapText="bothSides">
              <wp:wrapPolygon edited="0">
                <wp:start x="0" y="0"/>
                <wp:lineTo x="0" y="21448"/>
                <wp:lineTo x="21552" y="21448"/>
                <wp:lineTo x="21552" y="0"/>
                <wp:lineTo x="0" y="0"/>
              </wp:wrapPolygon>
            </wp:wrapTight>
            <wp:docPr id="168" name="Picture 168" title="Figure 2: Change from baseline in mean sleep latency (minutes) during the double-blind and open-label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377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E77" w:rsidRPr="00F86759" w:rsidRDefault="00904E77" w:rsidP="00904E77">
      <w:pPr>
        <w:pStyle w:val="ExecSumBodyText"/>
        <w:keepNext/>
        <w:keepLines/>
        <w:numPr>
          <w:ilvl w:val="0"/>
          <w:numId w:val="0"/>
        </w:numPr>
        <w:rPr>
          <w:rFonts w:ascii="Arial Narrow" w:eastAsiaTheme="majorEastAsia" w:hAnsi="Arial Narrow" w:cs="Times New Roman"/>
          <w:b/>
          <w:snapToGrid/>
          <w:sz w:val="20"/>
          <w:lang w:val="en-US"/>
        </w:rPr>
      </w:pPr>
    </w:p>
    <w:p w:rsidR="00904E77" w:rsidRPr="00F86759" w:rsidRDefault="00904E77" w:rsidP="00904E77">
      <w:pPr>
        <w:pStyle w:val="ExecSumBodyText"/>
        <w:keepNext/>
        <w:keepLines/>
        <w:numPr>
          <w:ilvl w:val="0"/>
          <w:numId w:val="0"/>
        </w:numPr>
        <w:rPr>
          <w:rFonts w:ascii="Arial Narrow" w:eastAsiaTheme="majorEastAsia" w:hAnsi="Arial Narrow" w:cs="Times New Roman"/>
          <w:b/>
          <w:snapToGrid/>
          <w:sz w:val="20"/>
          <w:lang w:val="en-US"/>
        </w:rPr>
      </w:pPr>
    </w:p>
    <w:p w:rsidR="00904E77" w:rsidRPr="00F86759" w:rsidRDefault="00904E77" w:rsidP="00904E77">
      <w:pPr>
        <w:pStyle w:val="ExecSumBodyText"/>
        <w:keepNext/>
        <w:keepLines/>
        <w:numPr>
          <w:ilvl w:val="0"/>
          <w:numId w:val="0"/>
        </w:numPr>
        <w:rPr>
          <w:noProof/>
        </w:rPr>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p>
    <w:p w:rsidR="00904E77" w:rsidRPr="00F86759" w:rsidRDefault="00904E77" w:rsidP="00904E77">
      <w:pPr>
        <w:pStyle w:val="TableFigureFooter"/>
        <w:keepNext/>
        <w:keepLines/>
      </w:pPr>
      <w:r w:rsidRPr="00F86759">
        <w:t>Source: Figure 2.7, p.95 of the submission</w:t>
      </w:r>
    </w:p>
    <w:p w:rsidR="00904E77" w:rsidRPr="00F86759" w:rsidRDefault="00904E77" w:rsidP="00904E77">
      <w:pPr>
        <w:pStyle w:val="TableFigureFooter"/>
        <w:keepNext/>
        <w:keepLines/>
      </w:pPr>
      <w:r w:rsidRPr="00F86759">
        <w:t>Notes: Visit 3: 3 weeks (double-blind), Visit 4: 13 weeks (double-blind); Visit 5: 26 weeks (open label); Visit 6: 39 weeks (open label); Visit 7: 52 weeks (open label)</w:t>
      </w:r>
    </w:p>
    <w:p w:rsidR="00994271" w:rsidRPr="00F86759" w:rsidRDefault="00994271" w:rsidP="005E7CC7">
      <w:pPr>
        <w:pStyle w:val="ExecSumBodyText"/>
      </w:pPr>
      <w:r w:rsidRPr="00F86759">
        <w:t xml:space="preserve">The ESC noted the arguments in the submission and PSCR, however agreed with the commentary and </w:t>
      </w:r>
      <w:r w:rsidR="00702197" w:rsidRPr="00F86759">
        <w:t xml:space="preserve">remained uncertain whether </w:t>
      </w:r>
      <w:r w:rsidRPr="00F86759">
        <w:t>the definition of responder, as defined in the submission, was clinically relevant. The ESC was concerned that the wide confidence margins on the</w:t>
      </w:r>
      <w:r w:rsidR="00ED6E93" w:rsidRPr="00F86759">
        <w:t xml:space="preserve"> primary outcome,</w:t>
      </w:r>
      <w:r w:rsidRPr="00F86759">
        <w:t xml:space="preserve"> the</w:t>
      </w:r>
      <w:r w:rsidR="00ED6E93" w:rsidRPr="00F86759">
        <w:t xml:space="preserve"> unreasonable</w:t>
      </w:r>
      <w:r w:rsidRPr="00F86759">
        <w:t xml:space="preserve"> assumptio</w:t>
      </w:r>
      <w:r w:rsidR="00ED6E93" w:rsidRPr="00F86759">
        <w:t>n that a single definition of responder was</w:t>
      </w:r>
      <w:r w:rsidR="0036491D" w:rsidRPr="00F86759">
        <w:t xml:space="preserve"> meaningfully</w:t>
      </w:r>
      <w:r w:rsidRPr="00F86759">
        <w:t xml:space="preserve"> applicable to the entire age range</w:t>
      </w:r>
      <w:r w:rsidR="00516A6C">
        <w:t>,</w:t>
      </w:r>
      <w:r w:rsidRPr="00F86759">
        <w:t xml:space="preserve"> and lack of statistically significant changes to the majority of</w:t>
      </w:r>
      <w:r w:rsidR="0036491D" w:rsidRPr="00F86759">
        <w:t xml:space="preserve"> secondary</w:t>
      </w:r>
      <w:r w:rsidRPr="00F86759">
        <w:t xml:space="preserve"> behavioural variables associated with the observed changes in total sleep time and sleep latency</w:t>
      </w:r>
      <w:r w:rsidR="00CE085B">
        <w:t>,</w:t>
      </w:r>
      <w:r w:rsidR="00ED6E93" w:rsidRPr="00F86759">
        <w:t xml:space="preserve"> all created substantial uncertainty as to the clinical relevance of the</w:t>
      </w:r>
      <w:r w:rsidR="005D1C6C" w:rsidRPr="00F86759">
        <w:t xml:space="preserve"> results and</w:t>
      </w:r>
      <w:r w:rsidR="00ED6E93" w:rsidRPr="00F86759">
        <w:t xml:space="preserve"> responder definition.</w:t>
      </w:r>
    </w:p>
    <w:p w:rsidR="00B60939" w:rsidRPr="00F86759" w:rsidRDefault="00B60939" w:rsidP="00F86759">
      <w:pPr>
        <w:pStyle w:val="3-SubsectionHeading"/>
      </w:pPr>
      <w:bookmarkStart w:id="12" w:name="_Toc22897642"/>
      <w:bookmarkStart w:id="13" w:name="_Toc62036849"/>
      <w:r w:rsidRPr="00F86759">
        <w:t>Comparative harms</w:t>
      </w:r>
      <w:bookmarkEnd w:id="12"/>
      <w:bookmarkEnd w:id="13"/>
    </w:p>
    <w:p w:rsidR="00B60939" w:rsidRPr="00F86759" w:rsidRDefault="00970E07" w:rsidP="00970E07">
      <w:pPr>
        <w:pStyle w:val="ExecSumBodyText"/>
      </w:pPr>
      <w:r w:rsidRPr="00F86759">
        <w:t xml:space="preserve">A summary of adverse events reported during the double blind phase of trial NEU-CH-7911 is reported in Table </w:t>
      </w:r>
      <w:r w:rsidR="007C786F" w:rsidRPr="00F86759">
        <w:t>7</w:t>
      </w:r>
      <w:r w:rsidRPr="00F86759">
        <w:t xml:space="preserve"> below. </w:t>
      </w:r>
    </w:p>
    <w:p w:rsidR="00970E07" w:rsidRPr="00F86759" w:rsidRDefault="00970E07" w:rsidP="00970E07">
      <w:pPr>
        <w:pStyle w:val="TableFigureCaption"/>
      </w:pPr>
      <w:r w:rsidRPr="00F86759">
        <w:t xml:space="preserve">Table </w:t>
      </w:r>
      <w:r w:rsidR="006B5E82" w:rsidRPr="00F86759">
        <w:t>7</w:t>
      </w:r>
      <w:r w:rsidRPr="00F86759">
        <w:t>: Summary of adverse events in the NEU_CH_7911 trial (safety set)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1886"/>
        <w:gridCol w:w="1882"/>
      </w:tblGrid>
      <w:tr w:rsidR="00970E07" w:rsidRPr="00F86759" w:rsidTr="00E2053D">
        <w:trPr>
          <w:tblHeader/>
        </w:trPr>
        <w:tc>
          <w:tcPr>
            <w:tcW w:w="5186" w:type="dxa"/>
            <w:vMerge w:val="restart"/>
            <w:vAlign w:val="center"/>
          </w:tcPr>
          <w:p w:rsidR="00970E07" w:rsidRPr="00F86759" w:rsidRDefault="00970E07" w:rsidP="006C5D11">
            <w:pPr>
              <w:pStyle w:val="Tableheadingrow"/>
            </w:pPr>
          </w:p>
          <w:p w:rsidR="00970E07" w:rsidRPr="00F86759" w:rsidRDefault="00970E07" w:rsidP="006C5D11">
            <w:pPr>
              <w:pStyle w:val="Tableheadingrow"/>
            </w:pPr>
          </w:p>
        </w:tc>
        <w:tc>
          <w:tcPr>
            <w:tcW w:w="3831" w:type="dxa"/>
            <w:gridSpan w:val="2"/>
            <w:vAlign w:val="center"/>
          </w:tcPr>
          <w:p w:rsidR="00970E07" w:rsidRPr="00F86759" w:rsidRDefault="00970E07" w:rsidP="006C5D11">
            <w:pPr>
              <w:pStyle w:val="Tableheadingrow"/>
              <w:jc w:val="center"/>
            </w:pPr>
            <w:r w:rsidRPr="00F86759">
              <w:t>Double blind phase</w:t>
            </w:r>
          </w:p>
        </w:tc>
      </w:tr>
      <w:tr w:rsidR="00970E07" w:rsidRPr="00F86759" w:rsidTr="00E2053D">
        <w:trPr>
          <w:tblHeader/>
        </w:trPr>
        <w:tc>
          <w:tcPr>
            <w:tcW w:w="5186" w:type="dxa"/>
            <w:vMerge/>
            <w:vAlign w:val="center"/>
          </w:tcPr>
          <w:p w:rsidR="00970E07" w:rsidRPr="00F86759" w:rsidRDefault="00970E07" w:rsidP="006C5D11">
            <w:pPr>
              <w:pStyle w:val="Tableheadingrow"/>
            </w:pPr>
          </w:p>
        </w:tc>
        <w:tc>
          <w:tcPr>
            <w:tcW w:w="1915" w:type="dxa"/>
            <w:vAlign w:val="center"/>
          </w:tcPr>
          <w:p w:rsidR="00970E07" w:rsidRPr="00F86759" w:rsidRDefault="00970E07" w:rsidP="006C5D11">
            <w:pPr>
              <w:pStyle w:val="Tableheadingrow"/>
              <w:jc w:val="center"/>
            </w:pPr>
            <w:r w:rsidRPr="00F86759">
              <w:t>Prolonged release melatonin</w:t>
            </w:r>
          </w:p>
          <w:p w:rsidR="00970E07" w:rsidRPr="00F86759" w:rsidRDefault="00970E07" w:rsidP="006C5D11">
            <w:pPr>
              <w:pStyle w:val="Tableheadingrow"/>
              <w:jc w:val="center"/>
            </w:pPr>
            <w:r w:rsidRPr="00F86759">
              <w:t>N=60</w:t>
            </w:r>
          </w:p>
        </w:tc>
        <w:tc>
          <w:tcPr>
            <w:tcW w:w="1916" w:type="dxa"/>
            <w:vAlign w:val="center"/>
          </w:tcPr>
          <w:p w:rsidR="00970E07" w:rsidRPr="00F86759" w:rsidRDefault="00970E07" w:rsidP="006C5D11">
            <w:pPr>
              <w:pStyle w:val="Tableheadingrow"/>
              <w:jc w:val="center"/>
            </w:pPr>
            <w:r w:rsidRPr="00F86759">
              <w:t>Placebo</w:t>
            </w:r>
          </w:p>
          <w:p w:rsidR="00970E07" w:rsidRPr="00F86759" w:rsidRDefault="00970E07" w:rsidP="006C5D11">
            <w:pPr>
              <w:pStyle w:val="Tableheadingrow"/>
              <w:jc w:val="center"/>
            </w:pPr>
            <w:r w:rsidRPr="00F86759">
              <w:t>N=65</w:t>
            </w:r>
          </w:p>
        </w:tc>
      </w:tr>
      <w:tr w:rsidR="00970E07" w:rsidRPr="00F86759" w:rsidTr="00E2053D">
        <w:tc>
          <w:tcPr>
            <w:tcW w:w="0" w:type="auto"/>
            <w:vAlign w:val="center"/>
          </w:tcPr>
          <w:p w:rsidR="00970E07" w:rsidRPr="00F86759" w:rsidRDefault="00970E07" w:rsidP="006C5D11">
            <w:pPr>
              <w:pStyle w:val="TableText"/>
            </w:pPr>
            <w:r w:rsidRPr="00F86759">
              <w:t>Number of patients with at least one treatment emergent adverse event</w:t>
            </w:r>
          </w:p>
        </w:tc>
        <w:tc>
          <w:tcPr>
            <w:tcW w:w="1915" w:type="dxa"/>
            <w:vAlign w:val="center"/>
          </w:tcPr>
          <w:p w:rsidR="00970E07" w:rsidRPr="00F86759" w:rsidRDefault="00970E07" w:rsidP="006C5D11">
            <w:pPr>
              <w:pStyle w:val="TableText"/>
              <w:jc w:val="center"/>
            </w:pPr>
            <w:r w:rsidRPr="00F86759">
              <w:t>51 (85%)</w:t>
            </w:r>
          </w:p>
        </w:tc>
        <w:tc>
          <w:tcPr>
            <w:tcW w:w="1916" w:type="dxa"/>
            <w:vAlign w:val="center"/>
          </w:tcPr>
          <w:p w:rsidR="00970E07" w:rsidRPr="00F86759" w:rsidRDefault="00970E07" w:rsidP="006C5D11">
            <w:pPr>
              <w:pStyle w:val="TableText"/>
              <w:jc w:val="center"/>
            </w:pPr>
            <w:r w:rsidRPr="00F86759">
              <w:t>50 (76.9%)</w:t>
            </w:r>
          </w:p>
        </w:tc>
      </w:tr>
      <w:tr w:rsidR="00970E07" w:rsidRPr="00F86759" w:rsidTr="00E2053D">
        <w:tc>
          <w:tcPr>
            <w:tcW w:w="0" w:type="auto"/>
            <w:vAlign w:val="center"/>
          </w:tcPr>
          <w:p w:rsidR="00970E07" w:rsidRPr="00F86759" w:rsidRDefault="00970E07" w:rsidP="006C5D11">
            <w:pPr>
              <w:pStyle w:val="TableText"/>
            </w:pPr>
            <w:r w:rsidRPr="00F86759">
              <w:t>Number of patients with at least one treatment related adverse event</w:t>
            </w:r>
          </w:p>
        </w:tc>
        <w:tc>
          <w:tcPr>
            <w:tcW w:w="1915" w:type="dxa"/>
            <w:vAlign w:val="center"/>
          </w:tcPr>
          <w:p w:rsidR="00970E07" w:rsidRPr="00F86759" w:rsidRDefault="00970E07" w:rsidP="006C5D11">
            <w:pPr>
              <w:pStyle w:val="TableText"/>
              <w:jc w:val="center"/>
            </w:pPr>
            <w:r w:rsidRPr="00F86759">
              <w:t>12 (20%)</w:t>
            </w:r>
          </w:p>
        </w:tc>
        <w:tc>
          <w:tcPr>
            <w:tcW w:w="1916" w:type="dxa"/>
            <w:vAlign w:val="center"/>
          </w:tcPr>
          <w:p w:rsidR="00970E07" w:rsidRPr="00F86759" w:rsidRDefault="00970E07" w:rsidP="006C5D11">
            <w:pPr>
              <w:pStyle w:val="TableText"/>
              <w:jc w:val="center"/>
            </w:pPr>
            <w:r w:rsidRPr="00F86759">
              <w:t>11 (16.9%)</w:t>
            </w:r>
          </w:p>
        </w:tc>
      </w:tr>
      <w:tr w:rsidR="00970E07" w:rsidRPr="00F86759" w:rsidTr="00E2053D">
        <w:tc>
          <w:tcPr>
            <w:tcW w:w="0" w:type="auto"/>
            <w:vAlign w:val="center"/>
          </w:tcPr>
          <w:p w:rsidR="00970E07" w:rsidRPr="00F86759" w:rsidRDefault="00970E07" w:rsidP="006C5D11">
            <w:pPr>
              <w:pStyle w:val="TableText"/>
            </w:pPr>
            <w:r w:rsidRPr="00F86759">
              <w:t>Number of patients with at least one severe adverse event</w:t>
            </w:r>
          </w:p>
        </w:tc>
        <w:tc>
          <w:tcPr>
            <w:tcW w:w="1915" w:type="dxa"/>
            <w:vAlign w:val="center"/>
          </w:tcPr>
          <w:p w:rsidR="00970E07" w:rsidRPr="00F86759" w:rsidRDefault="00970E07" w:rsidP="006C5D11">
            <w:pPr>
              <w:pStyle w:val="TableText"/>
              <w:jc w:val="center"/>
            </w:pPr>
            <w:r w:rsidRPr="00F86759">
              <w:t>15 (25%)</w:t>
            </w:r>
          </w:p>
        </w:tc>
        <w:tc>
          <w:tcPr>
            <w:tcW w:w="1916" w:type="dxa"/>
            <w:vAlign w:val="center"/>
          </w:tcPr>
          <w:p w:rsidR="00970E07" w:rsidRPr="00F86759" w:rsidRDefault="00970E07" w:rsidP="006C5D11">
            <w:pPr>
              <w:pStyle w:val="TableText"/>
              <w:jc w:val="center"/>
            </w:pPr>
            <w:r w:rsidRPr="00F86759">
              <w:t>13 (20%)</w:t>
            </w:r>
          </w:p>
        </w:tc>
      </w:tr>
      <w:tr w:rsidR="00970E07" w:rsidRPr="00F86759" w:rsidTr="00E2053D">
        <w:tc>
          <w:tcPr>
            <w:tcW w:w="0" w:type="auto"/>
            <w:vAlign w:val="center"/>
          </w:tcPr>
          <w:p w:rsidR="00970E07" w:rsidRPr="00F86759" w:rsidRDefault="00970E07" w:rsidP="006C5D11">
            <w:pPr>
              <w:pStyle w:val="TableText"/>
              <w:rPr>
                <w:b/>
              </w:rPr>
            </w:pPr>
            <w:r w:rsidRPr="00F86759">
              <w:rPr>
                <w:b/>
              </w:rPr>
              <w:t>Commonly reported adverse events</w:t>
            </w:r>
          </w:p>
        </w:tc>
        <w:tc>
          <w:tcPr>
            <w:tcW w:w="1915" w:type="dxa"/>
            <w:vAlign w:val="center"/>
          </w:tcPr>
          <w:p w:rsidR="00970E07" w:rsidRPr="00F86759" w:rsidRDefault="00970E07" w:rsidP="006C5D11">
            <w:pPr>
              <w:pStyle w:val="TableText"/>
              <w:jc w:val="center"/>
            </w:pPr>
          </w:p>
        </w:tc>
        <w:tc>
          <w:tcPr>
            <w:tcW w:w="1916" w:type="dxa"/>
            <w:vAlign w:val="center"/>
          </w:tcPr>
          <w:p w:rsidR="00970E07" w:rsidRPr="00F86759" w:rsidRDefault="00970E07" w:rsidP="006C5D11">
            <w:pPr>
              <w:pStyle w:val="TableText"/>
              <w:jc w:val="center"/>
            </w:pPr>
          </w:p>
        </w:tc>
      </w:tr>
      <w:tr w:rsidR="00970E07" w:rsidRPr="00F86759" w:rsidTr="00E2053D">
        <w:tc>
          <w:tcPr>
            <w:tcW w:w="0" w:type="auto"/>
          </w:tcPr>
          <w:p w:rsidR="00970E07" w:rsidRPr="00F86759" w:rsidRDefault="00970E07" w:rsidP="006C5D11">
            <w:pPr>
              <w:pStyle w:val="TableText"/>
            </w:pPr>
            <w:r w:rsidRPr="00F86759">
              <w:t>Somnolence</w:t>
            </w:r>
          </w:p>
        </w:tc>
        <w:tc>
          <w:tcPr>
            <w:tcW w:w="1915" w:type="dxa"/>
            <w:vAlign w:val="center"/>
          </w:tcPr>
          <w:p w:rsidR="00970E07" w:rsidRPr="00F86759" w:rsidRDefault="00970E07" w:rsidP="006C5D11">
            <w:pPr>
              <w:pStyle w:val="TableText"/>
              <w:jc w:val="center"/>
            </w:pPr>
            <w:r w:rsidRPr="00F86759">
              <w:t>17 (28.3%)</w:t>
            </w:r>
          </w:p>
        </w:tc>
        <w:tc>
          <w:tcPr>
            <w:tcW w:w="1916" w:type="dxa"/>
            <w:vAlign w:val="center"/>
          </w:tcPr>
          <w:p w:rsidR="00970E07" w:rsidRPr="00F86759" w:rsidRDefault="00970E07" w:rsidP="006C5D11">
            <w:pPr>
              <w:pStyle w:val="TableText"/>
              <w:jc w:val="center"/>
            </w:pPr>
            <w:r w:rsidRPr="00F86759">
              <w:t>8 (12.3%)</w:t>
            </w:r>
          </w:p>
        </w:tc>
      </w:tr>
      <w:tr w:rsidR="00970E07" w:rsidRPr="00F86759" w:rsidTr="00E2053D">
        <w:tc>
          <w:tcPr>
            <w:tcW w:w="0" w:type="auto"/>
          </w:tcPr>
          <w:p w:rsidR="00970E07" w:rsidRPr="00F86759" w:rsidRDefault="00970E07" w:rsidP="006C5D11">
            <w:pPr>
              <w:pStyle w:val="TableText"/>
            </w:pPr>
            <w:r w:rsidRPr="00F86759">
              <w:t>Fatigue</w:t>
            </w:r>
          </w:p>
        </w:tc>
        <w:tc>
          <w:tcPr>
            <w:tcW w:w="1915" w:type="dxa"/>
            <w:vAlign w:val="center"/>
          </w:tcPr>
          <w:p w:rsidR="00970E07" w:rsidRPr="00F86759" w:rsidRDefault="00970E07" w:rsidP="006C5D11">
            <w:pPr>
              <w:pStyle w:val="TableText"/>
              <w:jc w:val="center"/>
            </w:pPr>
            <w:r w:rsidRPr="00F86759">
              <w:t>15 (25.0%)</w:t>
            </w:r>
          </w:p>
        </w:tc>
        <w:tc>
          <w:tcPr>
            <w:tcW w:w="1916" w:type="dxa"/>
            <w:vAlign w:val="center"/>
          </w:tcPr>
          <w:p w:rsidR="00970E07" w:rsidRPr="00F86759" w:rsidRDefault="00970E07" w:rsidP="006C5D11">
            <w:pPr>
              <w:pStyle w:val="TableText"/>
              <w:jc w:val="center"/>
            </w:pPr>
            <w:r w:rsidRPr="00F86759">
              <w:t>12 (18.5%)</w:t>
            </w:r>
          </w:p>
        </w:tc>
      </w:tr>
      <w:tr w:rsidR="00970E07" w:rsidRPr="00F86759" w:rsidTr="00E2053D">
        <w:tc>
          <w:tcPr>
            <w:tcW w:w="0" w:type="auto"/>
          </w:tcPr>
          <w:p w:rsidR="00970E07" w:rsidRPr="00F86759" w:rsidRDefault="00970E07" w:rsidP="006C5D11">
            <w:pPr>
              <w:pStyle w:val="TableText"/>
            </w:pPr>
            <w:r w:rsidRPr="00F86759">
              <w:t>Mood swings</w:t>
            </w:r>
          </w:p>
        </w:tc>
        <w:tc>
          <w:tcPr>
            <w:tcW w:w="1915" w:type="dxa"/>
            <w:vAlign w:val="center"/>
          </w:tcPr>
          <w:p w:rsidR="00970E07" w:rsidRPr="00F86759" w:rsidRDefault="00970E07" w:rsidP="006C5D11">
            <w:pPr>
              <w:pStyle w:val="TableText"/>
              <w:jc w:val="center"/>
            </w:pPr>
            <w:r w:rsidRPr="00F86759">
              <w:t>10 (16.7%)</w:t>
            </w:r>
          </w:p>
        </w:tc>
        <w:tc>
          <w:tcPr>
            <w:tcW w:w="1916" w:type="dxa"/>
            <w:vAlign w:val="center"/>
          </w:tcPr>
          <w:p w:rsidR="00970E07" w:rsidRPr="00F86759" w:rsidRDefault="00970E07" w:rsidP="006C5D11">
            <w:pPr>
              <w:pStyle w:val="TableText"/>
              <w:jc w:val="center"/>
            </w:pPr>
            <w:r w:rsidRPr="00F86759">
              <w:t>11 (16.9%)</w:t>
            </w:r>
          </w:p>
        </w:tc>
      </w:tr>
      <w:tr w:rsidR="00970E07" w:rsidRPr="00F86759" w:rsidTr="00E2053D">
        <w:tc>
          <w:tcPr>
            <w:tcW w:w="0" w:type="auto"/>
          </w:tcPr>
          <w:p w:rsidR="00970E07" w:rsidRPr="00F86759" w:rsidRDefault="00970E07" w:rsidP="006C5D11">
            <w:pPr>
              <w:pStyle w:val="TableText"/>
            </w:pPr>
            <w:r w:rsidRPr="00F86759">
              <w:t>Upper respiratory tract infection</w:t>
            </w:r>
          </w:p>
        </w:tc>
        <w:tc>
          <w:tcPr>
            <w:tcW w:w="1915" w:type="dxa"/>
            <w:vAlign w:val="center"/>
          </w:tcPr>
          <w:p w:rsidR="00970E07" w:rsidRPr="00F86759" w:rsidRDefault="00970E07" w:rsidP="006C5D11">
            <w:pPr>
              <w:pStyle w:val="TableText"/>
              <w:jc w:val="center"/>
            </w:pPr>
            <w:r w:rsidRPr="00F86759">
              <w:t>9 (15.0%)</w:t>
            </w:r>
          </w:p>
        </w:tc>
        <w:tc>
          <w:tcPr>
            <w:tcW w:w="1916" w:type="dxa"/>
            <w:vAlign w:val="center"/>
          </w:tcPr>
          <w:p w:rsidR="00970E07" w:rsidRPr="00F86759" w:rsidRDefault="00970E07" w:rsidP="006C5D11">
            <w:pPr>
              <w:pStyle w:val="TableText"/>
              <w:jc w:val="center"/>
            </w:pPr>
            <w:r w:rsidRPr="00F86759">
              <w:t>7 (10.8%)</w:t>
            </w:r>
          </w:p>
        </w:tc>
      </w:tr>
      <w:tr w:rsidR="00970E07" w:rsidRPr="00F86759" w:rsidTr="00E2053D">
        <w:tc>
          <w:tcPr>
            <w:tcW w:w="0" w:type="auto"/>
          </w:tcPr>
          <w:p w:rsidR="00970E07" w:rsidRPr="00F86759" w:rsidRDefault="00970E07" w:rsidP="006C5D11">
            <w:pPr>
              <w:pStyle w:val="TableText"/>
            </w:pPr>
            <w:r w:rsidRPr="00F86759">
              <w:t>Vomiting</w:t>
            </w:r>
          </w:p>
        </w:tc>
        <w:tc>
          <w:tcPr>
            <w:tcW w:w="1915" w:type="dxa"/>
            <w:vAlign w:val="center"/>
          </w:tcPr>
          <w:p w:rsidR="00970E07" w:rsidRPr="00F86759" w:rsidRDefault="00970E07" w:rsidP="006C5D11">
            <w:pPr>
              <w:pStyle w:val="TableText"/>
              <w:jc w:val="center"/>
            </w:pPr>
            <w:r w:rsidRPr="00F86759">
              <w:t>8 (13.3%)</w:t>
            </w:r>
          </w:p>
        </w:tc>
        <w:tc>
          <w:tcPr>
            <w:tcW w:w="1916" w:type="dxa"/>
            <w:vAlign w:val="center"/>
          </w:tcPr>
          <w:p w:rsidR="00970E07" w:rsidRPr="00F86759" w:rsidRDefault="00970E07" w:rsidP="006C5D11">
            <w:pPr>
              <w:pStyle w:val="TableText"/>
              <w:jc w:val="center"/>
            </w:pPr>
            <w:r w:rsidRPr="00F86759">
              <w:t>10 (15.4%)</w:t>
            </w:r>
          </w:p>
        </w:tc>
      </w:tr>
      <w:tr w:rsidR="00970E07" w:rsidRPr="00F86759" w:rsidTr="00E2053D">
        <w:tc>
          <w:tcPr>
            <w:tcW w:w="0" w:type="auto"/>
          </w:tcPr>
          <w:p w:rsidR="00970E07" w:rsidRPr="00F86759" w:rsidRDefault="00970E07" w:rsidP="006C5D11">
            <w:pPr>
              <w:pStyle w:val="TableText"/>
            </w:pPr>
            <w:r w:rsidRPr="00F86759">
              <w:t>Agitation</w:t>
            </w:r>
          </w:p>
        </w:tc>
        <w:tc>
          <w:tcPr>
            <w:tcW w:w="1915" w:type="dxa"/>
            <w:vAlign w:val="center"/>
          </w:tcPr>
          <w:p w:rsidR="00970E07" w:rsidRPr="00F86759" w:rsidRDefault="00970E07" w:rsidP="006C5D11">
            <w:pPr>
              <w:pStyle w:val="TableText"/>
              <w:jc w:val="center"/>
            </w:pPr>
            <w:r w:rsidRPr="00F86759">
              <w:t>11 (18.3%)</w:t>
            </w:r>
          </w:p>
        </w:tc>
        <w:tc>
          <w:tcPr>
            <w:tcW w:w="1916" w:type="dxa"/>
            <w:vAlign w:val="center"/>
          </w:tcPr>
          <w:p w:rsidR="00970E07" w:rsidRPr="00F86759" w:rsidRDefault="00970E07" w:rsidP="006C5D11">
            <w:pPr>
              <w:pStyle w:val="TableText"/>
              <w:jc w:val="center"/>
            </w:pPr>
            <w:r w:rsidRPr="00F86759">
              <w:t>7 (10.8%)</w:t>
            </w:r>
          </w:p>
        </w:tc>
      </w:tr>
      <w:tr w:rsidR="00970E07" w:rsidRPr="00F86759" w:rsidTr="00E2053D">
        <w:tc>
          <w:tcPr>
            <w:tcW w:w="0" w:type="auto"/>
          </w:tcPr>
          <w:p w:rsidR="00970E07" w:rsidRPr="00F86759" w:rsidRDefault="00970E07" w:rsidP="006C5D11">
            <w:pPr>
              <w:pStyle w:val="TableText"/>
            </w:pPr>
            <w:r w:rsidRPr="00F86759">
              <w:t>Headache</w:t>
            </w:r>
          </w:p>
        </w:tc>
        <w:tc>
          <w:tcPr>
            <w:tcW w:w="1915" w:type="dxa"/>
            <w:vAlign w:val="center"/>
          </w:tcPr>
          <w:p w:rsidR="00970E07" w:rsidRPr="00F86759" w:rsidRDefault="00970E07" w:rsidP="006C5D11">
            <w:pPr>
              <w:pStyle w:val="TableText"/>
              <w:jc w:val="center"/>
            </w:pPr>
            <w:r w:rsidRPr="00F86759">
              <w:t>8 (13.3%)</w:t>
            </w:r>
          </w:p>
        </w:tc>
        <w:tc>
          <w:tcPr>
            <w:tcW w:w="1916" w:type="dxa"/>
            <w:vAlign w:val="center"/>
          </w:tcPr>
          <w:p w:rsidR="00970E07" w:rsidRPr="00F86759" w:rsidRDefault="00970E07" w:rsidP="006C5D11">
            <w:pPr>
              <w:pStyle w:val="TableText"/>
              <w:jc w:val="center"/>
            </w:pPr>
            <w:r w:rsidRPr="00F86759">
              <w:t>4 (6.2%)</w:t>
            </w:r>
          </w:p>
        </w:tc>
      </w:tr>
      <w:tr w:rsidR="00970E07" w:rsidRPr="00F86759" w:rsidTr="00E2053D">
        <w:tc>
          <w:tcPr>
            <w:tcW w:w="0" w:type="auto"/>
          </w:tcPr>
          <w:p w:rsidR="00970E07" w:rsidRPr="00F86759" w:rsidRDefault="00970E07" w:rsidP="006C5D11">
            <w:pPr>
              <w:pStyle w:val="TableText"/>
            </w:pPr>
            <w:r w:rsidRPr="00F86759">
              <w:t>Cough</w:t>
            </w:r>
          </w:p>
        </w:tc>
        <w:tc>
          <w:tcPr>
            <w:tcW w:w="1915" w:type="dxa"/>
            <w:vAlign w:val="center"/>
          </w:tcPr>
          <w:p w:rsidR="00970E07" w:rsidRPr="00F86759" w:rsidRDefault="00970E07" w:rsidP="006C5D11">
            <w:pPr>
              <w:pStyle w:val="TableText"/>
              <w:jc w:val="center"/>
            </w:pPr>
            <w:r w:rsidRPr="00F86759">
              <w:t>7 (11.7%)</w:t>
            </w:r>
          </w:p>
        </w:tc>
        <w:tc>
          <w:tcPr>
            <w:tcW w:w="1916" w:type="dxa"/>
            <w:vAlign w:val="center"/>
          </w:tcPr>
          <w:p w:rsidR="00970E07" w:rsidRPr="00F86759" w:rsidRDefault="00970E07" w:rsidP="006C5D11">
            <w:pPr>
              <w:pStyle w:val="TableText"/>
              <w:jc w:val="center"/>
            </w:pPr>
            <w:r w:rsidRPr="00F86759">
              <w:t>5 (7.7%)</w:t>
            </w:r>
          </w:p>
        </w:tc>
      </w:tr>
      <w:tr w:rsidR="00970E07" w:rsidRPr="00F86759" w:rsidTr="00E2053D">
        <w:tc>
          <w:tcPr>
            <w:tcW w:w="0" w:type="auto"/>
          </w:tcPr>
          <w:p w:rsidR="00970E07" w:rsidRPr="00F86759" w:rsidRDefault="00970E07" w:rsidP="006C5D11">
            <w:pPr>
              <w:pStyle w:val="TableText"/>
            </w:pPr>
            <w:r w:rsidRPr="00F86759">
              <w:t>Dyspnoea</w:t>
            </w:r>
          </w:p>
        </w:tc>
        <w:tc>
          <w:tcPr>
            <w:tcW w:w="1915" w:type="dxa"/>
            <w:vAlign w:val="center"/>
          </w:tcPr>
          <w:p w:rsidR="00970E07" w:rsidRPr="00F86759" w:rsidRDefault="00970E07" w:rsidP="006C5D11">
            <w:pPr>
              <w:pStyle w:val="TableText"/>
              <w:jc w:val="center"/>
            </w:pPr>
            <w:r w:rsidRPr="00F86759">
              <w:t>6 (10.0%)</w:t>
            </w:r>
          </w:p>
        </w:tc>
        <w:tc>
          <w:tcPr>
            <w:tcW w:w="1916" w:type="dxa"/>
            <w:vAlign w:val="center"/>
          </w:tcPr>
          <w:p w:rsidR="00970E07" w:rsidRPr="00F86759" w:rsidRDefault="00970E07" w:rsidP="006C5D11">
            <w:pPr>
              <w:pStyle w:val="TableText"/>
              <w:jc w:val="center"/>
            </w:pPr>
            <w:r w:rsidRPr="00F86759">
              <w:t>4 (6.2%)</w:t>
            </w:r>
          </w:p>
        </w:tc>
      </w:tr>
      <w:tr w:rsidR="00970E07" w:rsidRPr="00F86759" w:rsidTr="00E2053D">
        <w:tc>
          <w:tcPr>
            <w:tcW w:w="0" w:type="auto"/>
          </w:tcPr>
          <w:p w:rsidR="00970E07" w:rsidRPr="00F86759" w:rsidRDefault="00970E07" w:rsidP="006C5D11">
            <w:pPr>
              <w:pStyle w:val="TableText"/>
            </w:pPr>
            <w:r w:rsidRPr="00F86759">
              <w:t>Rash</w:t>
            </w:r>
          </w:p>
        </w:tc>
        <w:tc>
          <w:tcPr>
            <w:tcW w:w="1915" w:type="dxa"/>
            <w:vAlign w:val="center"/>
          </w:tcPr>
          <w:p w:rsidR="00970E07" w:rsidRPr="00F86759" w:rsidRDefault="00970E07" w:rsidP="006C5D11">
            <w:pPr>
              <w:pStyle w:val="TableText"/>
              <w:jc w:val="center"/>
            </w:pPr>
            <w:r w:rsidRPr="00F86759">
              <w:t>3 (5.0%)</w:t>
            </w:r>
          </w:p>
        </w:tc>
        <w:tc>
          <w:tcPr>
            <w:tcW w:w="1916" w:type="dxa"/>
            <w:vAlign w:val="center"/>
          </w:tcPr>
          <w:p w:rsidR="00970E07" w:rsidRPr="00F86759" w:rsidRDefault="00970E07" w:rsidP="006C5D11">
            <w:pPr>
              <w:pStyle w:val="TableText"/>
              <w:jc w:val="center"/>
            </w:pPr>
            <w:r w:rsidRPr="00F86759">
              <w:t>3 (4.6%)</w:t>
            </w:r>
          </w:p>
        </w:tc>
      </w:tr>
      <w:tr w:rsidR="00970E07" w:rsidRPr="00F86759" w:rsidTr="00E2053D">
        <w:tc>
          <w:tcPr>
            <w:tcW w:w="0" w:type="auto"/>
          </w:tcPr>
          <w:p w:rsidR="00970E07" w:rsidRPr="00F86759" w:rsidRDefault="00970E07" w:rsidP="006C5D11">
            <w:pPr>
              <w:pStyle w:val="TableText"/>
              <w:rPr>
                <w:b/>
              </w:rPr>
            </w:pPr>
            <w:r w:rsidRPr="00F86759">
              <w:rPr>
                <w:b/>
              </w:rPr>
              <w:t>Commonly reported severe adverse events</w:t>
            </w:r>
          </w:p>
        </w:tc>
        <w:tc>
          <w:tcPr>
            <w:tcW w:w="1915" w:type="dxa"/>
            <w:vAlign w:val="center"/>
          </w:tcPr>
          <w:p w:rsidR="00970E07" w:rsidRPr="00F86759" w:rsidRDefault="00970E07" w:rsidP="006C5D11">
            <w:pPr>
              <w:pStyle w:val="TableText"/>
              <w:jc w:val="center"/>
            </w:pPr>
          </w:p>
        </w:tc>
        <w:tc>
          <w:tcPr>
            <w:tcW w:w="1916" w:type="dxa"/>
            <w:vAlign w:val="center"/>
          </w:tcPr>
          <w:p w:rsidR="00970E07" w:rsidRPr="00F86759" w:rsidRDefault="00970E07" w:rsidP="006C5D11">
            <w:pPr>
              <w:pStyle w:val="TableText"/>
              <w:jc w:val="center"/>
            </w:pPr>
          </w:p>
        </w:tc>
      </w:tr>
      <w:tr w:rsidR="00970E07" w:rsidRPr="00F86759" w:rsidTr="00E2053D">
        <w:tc>
          <w:tcPr>
            <w:tcW w:w="0" w:type="auto"/>
          </w:tcPr>
          <w:p w:rsidR="00970E07" w:rsidRPr="00F86759" w:rsidRDefault="00970E07" w:rsidP="006C5D11">
            <w:pPr>
              <w:pStyle w:val="TableText"/>
            </w:pPr>
            <w:r w:rsidRPr="00F86759">
              <w:t>Somnolence</w:t>
            </w:r>
          </w:p>
        </w:tc>
        <w:tc>
          <w:tcPr>
            <w:tcW w:w="1915" w:type="dxa"/>
            <w:vAlign w:val="center"/>
          </w:tcPr>
          <w:p w:rsidR="00970E07" w:rsidRPr="00F86759" w:rsidRDefault="00970E07" w:rsidP="006C5D11">
            <w:pPr>
              <w:pStyle w:val="TableText"/>
              <w:jc w:val="center"/>
            </w:pPr>
            <w:r w:rsidRPr="00F86759">
              <w:t>6 (10.0%)</w:t>
            </w:r>
          </w:p>
        </w:tc>
        <w:tc>
          <w:tcPr>
            <w:tcW w:w="1916" w:type="dxa"/>
            <w:vAlign w:val="center"/>
          </w:tcPr>
          <w:p w:rsidR="00970E07" w:rsidRPr="00F86759" w:rsidRDefault="00970E07" w:rsidP="006C5D11">
            <w:pPr>
              <w:pStyle w:val="TableText"/>
              <w:jc w:val="center"/>
            </w:pPr>
            <w:r w:rsidRPr="00F86759">
              <w:t>3 (4.6%)</w:t>
            </w:r>
          </w:p>
        </w:tc>
      </w:tr>
      <w:tr w:rsidR="00970E07" w:rsidRPr="00F86759" w:rsidTr="00E2053D">
        <w:tc>
          <w:tcPr>
            <w:tcW w:w="0" w:type="auto"/>
          </w:tcPr>
          <w:p w:rsidR="00970E07" w:rsidRPr="00F86759" w:rsidRDefault="00970E07" w:rsidP="006C5D11">
            <w:pPr>
              <w:pStyle w:val="TableText"/>
            </w:pPr>
            <w:r w:rsidRPr="00F86759">
              <w:t>Fatigue</w:t>
            </w:r>
          </w:p>
        </w:tc>
        <w:tc>
          <w:tcPr>
            <w:tcW w:w="1915" w:type="dxa"/>
            <w:vAlign w:val="center"/>
          </w:tcPr>
          <w:p w:rsidR="00970E07" w:rsidRPr="00F86759" w:rsidRDefault="00970E07" w:rsidP="006C5D11">
            <w:pPr>
              <w:pStyle w:val="TableText"/>
              <w:jc w:val="center"/>
            </w:pPr>
            <w:r w:rsidRPr="00F86759">
              <w:t>4 (6.7%)</w:t>
            </w:r>
          </w:p>
        </w:tc>
        <w:tc>
          <w:tcPr>
            <w:tcW w:w="1916" w:type="dxa"/>
            <w:vAlign w:val="center"/>
          </w:tcPr>
          <w:p w:rsidR="00970E07" w:rsidRPr="00F86759" w:rsidRDefault="00970E07" w:rsidP="006C5D11">
            <w:pPr>
              <w:pStyle w:val="TableText"/>
              <w:jc w:val="center"/>
            </w:pPr>
            <w:r w:rsidRPr="00F86759">
              <w:t>2 (3.1%)</w:t>
            </w:r>
          </w:p>
        </w:tc>
      </w:tr>
      <w:tr w:rsidR="00970E07" w:rsidRPr="00F86759" w:rsidTr="00E2053D">
        <w:tc>
          <w:tcPr>
            <w:tcW w:w="0" w:type="auto"/>
          </w:tcPr>
          <w:p w:rsidR="00970E07" w:rsidRPr="00F86759" w:rsidRDefault="00970E07" w:rsidP="006C5D11">
            <w:pPr>
              <w:pStyle w:val="TableText"/>
            </w:pPr>
            <w:r w:rsidRPr="00F86759">
              <w:t>Mood swings</w:t>
            </w:r>
          </w:p>
        </w:tc>
        <w:tc>
          <w:tcPr>
            <w:tcW w:w="1915" w:type="dxa"/>
            <w:vAlign w:val="center"/>
          </w:tcPr>
          <w:p w:rsidR="00970E07" w:rsidRPr="00F86759" w:rsidRDefault="00970E07" w:rsidP="006C5D11">
            <w:pPr>
              <w:pStyle w:val="TableText"/>
              <w:jc w:val="center"/>
            </w:pPr>
            <w:r w:rsidRPr="00F86759">
              <w:t>4 (6.7%)</w:t>
            </w:r>
          </w:p>
        </w:tc>
        <w:tc>
          <w:tcPr>
            <w:tcW w:w="1916" w:type="dxa"/>
            <w:vAlign w:val="center"/>
          </w:tcPr>
          <w:p w:rsidR="00970E07" w:rsidRPr="00F86759" w:rsidRDefault="00970E07" w:rsidP="006C5D11">
            <w:pPr>
              <w:pStyle w:val="TableText"/>
              <w:jc w:val="center"/>
            </w:pPr>
            <w:r w:rsidRPr="00F86759">
              <w:t>5 (7.7%)</w:t>
            </w:r>
          </w:p>
        </w:tc>
      </w:tr>
      <w:tr w:rsidR="00970E07" w:rsidRPr="00F86759" w:rsidTr="00E2053D">
        <w:tc>
          <w:tcPr>
            <w:tcW w:w="0" w:type="auto"/>
          </w:tcPr>
          <w:p w:rsidR="00970E07" w:rsidRPr="00F86759" w:rsidRDefault="00970E07" w:rsidP="006C5D11">
            <w:pPr>
              <w:pStyle w:val="TableText"/>
              <w:rPr>
                <w:b/>
              </w:rPr>
            </w:pPr>
            <w:r w:rsidRPr="00F86759">
              <w:rPr>
                <w:b/>
              </w:rPr>
              <w:t>Most commonly reported treatment related adverse events</w:t>
            </w:r>
          </w:p>
        </w:tc>
        <w:tc>
          <w:tcPr>
            <w:tcW w:w="1915" w:type="dxa"/>
            <w:vAlign w:val="center"/>
          </w:tcPr>
          <w:p w:rsidR="00970E07" w:rsidRPr="00F86759" w:rsidRDefault="00970E07" w:rsidP="006C5D11">
            <w:pPr>
              <w:pStyle w:val="TableText"/>
              <w:jc w:val="center"/>
            </w:pPr>
          </w:p>
        </w:tc>
        <w:tc>
          <w:tcPr>
            <w:tcW w:w="1916" w:type="dxa"/>
            <w:vAlign w:val="center"/>
          </w:tcPr>
          <w:p w:rsidR="00970E07" w:rsidRPr="00F86759" w:rsidRDefault="00970E07" w:rsidP="006C5D11">
            <w:pPr>
              <w:pStyle w:val="TableText"/>
              <w:jc w:val="center"/>
            </w:pPr>
          </w:p>
        </w:tc>
      </w:tr>
      <w:tr w:rsidR="00970E07" w:rsidRPr="00F86759" w:rsidTr="00E2053D">
        <w:tc>
          <w:tcPr>
            <w:tcW w:w="0" w:type="auto"/>
          </w:tcPr>
          <w:p w:rsidR="00970E07" w:rsidRPr="00F86759" w:rsidRDefault="00970E07" w:rsidP="006C5D11">
            <w:pPr>
              <w:pStyle w:val="TableText"/>
            </w:pPr>
            <w:r w:rsidRPr="00F86759">
              <w:t>Somnolence</w:t>
            </w:r>
          </w:p>
        </w:tc>
        <w:tc>
          <w:tcPr>
            <w:tcW w:w="1915" w:type="dxa"/>
            <w:vAlign w:val="center"/>
          </w:tcPr>
          <w:p w:rsidR="00970E07" w:rsidRPr="00F86759" w:rsidRDefault="00970E07" w:rsidP="006C5D11">
            <w:pPr>
              <w:pStyle w:val="TableText"/>
              <w:jc w:val="center"/>
            </w:pPr>
            <w:r w:rsidRPr="00F86759">
              <w:t>7 (11.7%)</w:t>
            </w:r>
          </w:p>
        </w:tc>
        <w:tc>
          <w:tcPr>
            <w:tcW w:w="1916" w:type="dxa"/>
            <w:vAlign w:val="center"/>
          </w:tcPr>
          <w:p w:rsidR="00970E07" w:rsidRPr="00F86759" w:rsidRDefault="00970E07" w:rsidP="006C5D11">
            <w:pPr>
              <w:pStyle w:val="TableText"/>
              <w:jc w:val="center"/>
            </w:pPr>
            <w:r w:rsidRPr="00F86759">
              <w:t>2 (3.1%)</w:t>
            </w:r>
          </w:p>
        </w:tc>
      </w:tr>
      <w:tr w:rsidR="00970E07" w:rsidRPr="00F86759" w:rsidTr="00E2053D">
        <w:tc>
          <w:tcPr>
            <w:tcW w:w="0" w:type="auto"/>
          </w:tcPr>
          <w:p w:rsidR="00970E07" w:rsidRPr="00F86759" w:rsidRDefault="00970E07" w:rsidP="006C5D11">
            <w:pPr>
              <w:pStyle w:val="TableText"/>
            </w:pPr>
            <w:r w:rsidRPr="00F86759">
              <w:t>Fatigue</w:t>
            </w:r>
          </w:p>
        </w:tc>
        <w:tc>
          <w:tcPr>
            <w:tcW w:w="1915" w:type="dxa"/>
            <w:vAlign w:val="center"/>
          </w:tcPr>
          <w:p w:rsidR="00970E07" w:rsidRPr="00F86759" w:rsidRDefault="00970E07" w:rsidP="006C5D11">
            <w:pPr>
              <w:pStyle w:val="TableText"/>
              <w:jc w:val="center"/>
            </w:pPr>
            <w:r w:rsidRPr="00F86759">
              <w:t>2 (3.3%)</w:t>
            </w:r>
          </w:p>
        </w:tc>
        <w:tc>
          <w:tcPr>
            <w:tcW w:w="1916" w:type="dxa"/>
            <w:vAlign w:val="center"/>
          </w:tcPr>
          <w:p w:rsidR="00970E07" w:rsidRPr="00F86759" w:rsidRDefault="00970E07" w:rsidP="006C5D11">
            <w:pPr>
              <w:pStyle w:val="TableText"/>
              <w:jc w:val="center"/>
            </w:pPr>
            <w:r w:rsidRPr="00F86759">
              <w:t>3 (4.6%)</w:t>
            </w:r>
          </w:p>
        </w:tc>
      </w:tr>
      <w:tr w:rsidR="00970E07" w:rsidRPr="00F86759" w:rsidTr="00E2053D">
        <w:tc>
          <w:tcPr>
            <w:tcW w:w="0" w:type="auto"/>
          </w:tcPr>
          <w:p w:rsidR="00970E07" w:rsidRPr="00F86759" w:rsidRDefault="00970E07" w:rsidP="006C5D11">
            <w:pPr>
              <w:pStyle w:val="TableText"/>
            </w:pPr>
            <w:r w:rsidRPr="00F86759">
              <w:t>Mood swings</w:t>
            </w:r>
          </w:p>
        </w:tc>
        <w:tc>
          <w:tcPr>
            <w:tcW w:w="1915" w:type="dxa"/>
            <w:vAlign w:val="center"/>
          </w:tcPr>
          <w:p w:rsidR="00970E07" w:rsidRPr="00F86759" w:rsidRDefault="00970E07" w:rsidP="006C5D11">
            <w:pPr>
              <w:pStyle w:val="TableText"/>
              <w:jc w:val="center"/>
            </w:pPr>
            <w:r w:rsidRPr="00F86759">
              <w:t>1 (1.7%)</w:t>
            </w:r>
          </w:p>
        </w:tc>
        <w:tc>
          <w:tcPr>
            <w:tcW w:w="1916" w:type="dxa"/>
            <w:vAlign w:val="center"/>
          </w:tcPr>
          <w:p w:rsidR="00970E07" w:rsidRPr="00F86759" w:rsidRDefault="00970E07" w:rsidP="006C5D11">
            <w:pPr>
              <w:pStyle w:val="TableText"/>
              <w:jc w:val="center"/>
            </w:pPr>
            <w:r w:rsidRPr="00F86759">
              <w:t>4 (6.2%)</w:t>
            </w:r>
          </w:p>
        </w:tc>
      </w:tr>
    </w:tbl>
    <w:p w:rsidR="00970E07" w:rsidRPr="00F86759" w:rsidRDefault="00970E07" w:rsidP="00970E07">
      <w:pPr>
        <w:pStyle w:val="TableFigureFooter"/>
        <w:rPr>
          <w:sz w:val="20"/>
        </w:rPr>
      </w:pPr>
      <w:r w:rsidRPr="00F86759">
        <w:t>Source: Table 2.24, pp.89-90; Table 2.25, p.90; Table 2.26, p.91 of the submission</w:t>
      </w:r>
    </w:p>
    <w:p w:rsidR="00970E07" w:rsidRPr="00F86759" w:rsidRDefault="00970E07" w:rsidP="00970E07">
      <w:pPr>
        <w:pStyle w:val="ExecSumBodyText"/>
      </w:pPr>
      <w:r w:rsidRPr="00F86759">
        <w:t>During the double-blind phase, severe adverse events were reported by 15 (25.0%) patients in the prolonged release melatonin group and 13 (20.0%) patients in the placebo group. Severe adverse events including somnolence and fatigue were more commonly reported in the prolonged release melatonin group.</w:t>
      </w:r>
    </w:p>
    <w:p w:rsidR="00970E07" w:rsidRPr="00F86759" w:rsidRDefault="00970E07" w:rsidP="00970E07">
      <w:pPr>
        <w:pStyle w:val="ExecSumBodyText"/>
      </w:pPr>
      <w:r w:rsidRPr="00F86759">
        <w:t>Treatment-related adverse events were reported by 12 (20%) patients (28 events) in the prolonged release melatonin group and 11 (16.9%) patients (17 events) in the placebo group. Somnolence and fatigue were more commonly reported as treatment related adverse events in the prolonged release melatonin group compared to placebo, whereas mood swings were more commonly reported as treatment-related adverse event in the placebo group.</w:t>
      </w:r>
    </w:p>
    <w:p w:rsidR="00970E07" w:rsidRPr="00F86759" w:rsidRDefault="00970E07" w:rsidP="00970E07">
      <w:pPr>
        <w:pStyle w:val="ExecSumBodyText"/>
      </w:pPr>
      <w:r w:rsidRPr="00F86759">
        <w:t xml:space="preserve">The submission assessed growth as a potential adverse event of special interest. </w:t>
      </w:r>
      <w:r w:rsidR="00702197" w:rsidRPr="00F86759">
        <w:t>No statistically significant differences between patients treated with prolonged release melatonin and placebo were noted, however a</w:t>
      </w:r>
      <w:r w:rsidRPr="00F86759">
        <w:t xml:space="preserve"> period of 13-26 weeks is too brief to reliably assess growth outcomes. The impact of long-term use of melatonin on growth remains unclear.</w:t>
      </w:r>
    </w:p>
    <w:p w:rsidR="00511B56" w:rsidRPr="00F86759" w:rsidRDefault="00970E07" w:rsidP="00845C9C">
      <w:pPr>
        <w:pStyle w:val="ExecSumBodyText"/>
      </w:pPr>
      <w:r w:rsidRPr="00F86759">
        <w:t>The submission presented the results of the Tanner asse</w:t>
      </w:r>
      <w:r w:rsidR="00576806" w:rsidRPr="00F86759">
        <w:t>ssments of pubertal development</w:t>
      </w:r>
      <w:r w:rsidRPr="00F86759">
        <w:t xml:space="preserve">. </w:t>
      </w:r>
      <w:r w:rsidR="00702197" w:rsidRPr="00F86759">
        <w:t>There was no apparent differences in pubertal development between patients treated with prolonged release melatonin and placebo; however, d</w:t>
      </w:r>
      <w:r w:rsidRPr="00F86759">
        <w:t>ue to the relatively short double blind period with crossover into active treatment for the open label period, it is difficult to ascertain the possible effects of prolonged release melatonin on pubertal development. Longer term safety studies are required to determine whether the long-term use of melatonin may have adverse effects on pubertal development.</w:t>
      </w:r>
      <w:r w:rsidR="00845C9C">
        <w:t xml:space="preserve"> </w:t>
      </w:r>
      <w:r w:rsidR="00511B56" w:rsidRPr="00F86759">
        <w:t xml:space="preserve">The PSCR and </w:t>
      </w:r>
      <w:r w:rsidR="00663BE5">
        <w:t xml:space="preserve">the </w:t>
      </w:r>
      <w:r w:rsidR="00511B56" w:rsidRPr="00F86759">
        <w:t xml:space="preserve">ESC acknowledged the need for longer term safety data. </w:t>
      </w:r>
    </w:p>
    <w:p w:rsidR="007F1017" w:rsidRPr="00F86759" w:rsidRDefault="007F1017" w:rsidP="00F86759">
      <w:pPr>
        <w:pStyle w:val="3-SubsectionHeading"/>
      </w:pPr>
      <w:bookmarkStart w:id="14" w:name="_Toc22897643"/>
      <w:bookmarkStart w:id="15" w:name="_Toc62036850"/>
      <w:r w:rsidRPr="00F86759">
        <w:t>Benefits/harms</w:t>
      </w:r>
      <w:bookmarkEnd w:id="14"/>
      <w:bookmarkEnd w:id="15"/>
    </w:p>
    <w:p w:rsidR="00970E07" w:rsidRPr="00F86759" w:rsidRDefault="00970E07" w:rsidP="00D2155B">
      <w:pPr>
        <w:pStyle w:val="ExecSumBodyText"/>
      </w:pPr>
      <w:r w:rsidRPr="00F86759">
        <w:rPr>
          <w:snapToGrid/>
          <w:lang w:val="en-US"/>
        </w:rPr>
        <w:t xml:space="preserve">On the basis of the direct evidence presented in the submission (13 weeks of double blind treatment in NEU_CH_7911), for every 100 children </w:t>
      </w:r>
      <w:r w:rsidR="00BD666C" w:rsidRPr="00F86759">
        <w:rPr>
          <w:snapToGrid/>
          <w:lang w:val="en-US"/>
        </w:rPr>
        <w:t xml:space="preserve">(aged 2 to 18 years) </w:t>
      </w:r>
      <w:r w:rsidRPr="00F86759">
        <w:rPr>
          <w:snapToGrid/>
          <w:lang w:val="en-US"/>
        </w:rPr>
        <w:t>with ASD and/or SMS and insomnia treated with prolonged release melatonin in comparison with placebo:</w:t>
      </w:r>
    </w:p>
    <w:p w:rsidR="003159E4" w:rsidRPr="00F86759" w:rsidRDefault="003159E4" w:rsidP="003159E4">
      <w:pPr>
        <w:pStyle w:val="Bulletpoints"/>
        <w:numPr>
          <w:ilvl w:val="1"/>
          <w:numId w:val="2"/>
        </w:numPr>
      </w:pPr>
      <w:r w:rsidRPr="00F86759">
        <w:t>Patients would experience, on average, approximately 32 minutes additional sleep time per night.</w:t>
      </w:r>
    </w:p>
    <w:p w:rsidR="000F1034" w:rsidRPr="00F86759" w:rsidRDefault="000F1034" w:rsidP="000F1034">
      <w:pPr>
        <w:pStyle w:val="Bulletpoints"/>
        <w:numPr>
          <w:ilvl w:val="1"/>
          <w:numId w:val="2"/>
        </w:numPr>
      </w:pPr>
      <w:r w:rsidRPr="00F86759">
        <w:t>Approximately 22 more patients would achieve an increase of ≥45 minutes of total sleep time</w:t>
      </w:r>
      <w:r w:rsidR="009A0FB2">
        <w:t xml:space="preserve"> per night</w:t>
      </w:r>
      <w:r w:rsidR="006377E4">
        <w:t>.</w:t>
      </w:r>
    </w:p>
    <w:p w:rsidR="000F1034" w:rsidRPr="00F86759" w:rsidRDefault="000F1034" w:rsidP="000F1034">
      <w:pPr>
        <w:pStyle w:val="Bulletpoints"/>
        <w:numPr>
          <w:ilvl w:val="1"/>
          <w:numId w:val="2"/>
        </w:numPr>
      </w:pPr>
      <w:r w:rsidRPr="00F86759">
        <w:t>Approximately 31 more patients would achieve a reduction of ≥15 minutes in sleep latency.</w:t>
      </w:r>
    </w:p>
    <w:p w:rsidR="001572CD" w:rsidRPr="00F86759" w:rsidRDefault="001572CD" w:rsidP="00E2053D">
      <w:pPr>
        <w:pStyle w:val="Bulletpoints"/>
        <w:numPr>
          <w:ilvl w:val="1"/>
          <w:numId w:val="2"/>
        </w:numPr>
      </w:pPr>
      <w:r w:rsidRPr="00F86759">
        <w:t>Approximately 16 more patients would experience somnolence</w:t>
      </w:r>
      <w:r w:rsidR="009A0FB2">
        <w:t xml:space="preserve"> during the day</w:t>
      </w:r>
      <w:r w:rsidRPr="00F86759">
        <w:t xml:space="preserve"> (sleepiness or drowsiness).</w:t>
      </w:r>
    </w:p>
    <w:p w:rsidR="00FC1884" w:rsidRPr="00F86759" w:rsidRDefault="001572CD" w:rsidP="00E2053D">
      <w:pPr>
        <w:pStyle w:val="Bulletpoints"/>
        <w:numPr>
          <w:ilvl w:val="1"/>
          <w:numId w:val="2"/>
        </w:numPr>
      </w:pPr>
      <w:r w:rsidRPr="00F86759">
        <w:t>Approximately 7 more patients would experience fatigue.</w:t>
      </w:r>
      <w:r w:rsidR="00B816DD">
        <w:t xml:space="preserve"> </w:t>
      </w:r>
      <w:r w:rsidR="003270E4" w:rsidRPr="00F86759">
        <w:rPr>
          <w:snapToGrid/>
          <w:lang w:val="en-US"/>
        </w:rPr>
        <w:t> </w:t>
      </w:r>
    </w:p>
    <w:p w:rsidR="00B60939" w:rsidRPr="00F86759" w:rsidRDefault="00B60939" w:rsidP="00F86759">
      <w:pPr>
        <w:pStyle w:val="3-SubsectionHeading"/>
      </w:pPr>
      <w:bookmarkStart w:id="16" w:name="_Toc22897644"/>
      <w:bookmarkStart w:id="17" w:name="_Toc62036851"/>
      <w:r w:rsidRPr="00F86759">
        <w:t>Clinical claim</w:t>
      </w:r>
      <w:bookmarkEnd w:id="16"/>
      <w:bookmarkEnd w:id="17"/>
    </w:p>
    <w:p w:rsidR="001572CD" w:rsidRPr="00F86759" w:rsidRDefault="001572CD" w:rsidP="001572CD">
      <w:pPr>
        <w:pStyle w:val="ExecSumBodyText"/>
      </w:pPr>
      <w:r w:rsidRPr="00F86759">
        <w:t xml:space="preserve">The submission described prolonged release melatonin (2, 5, or 10 mg) as superior in terms of efficacy compared with placebo. No claim was made as to comparative safety. </w:t>
      </w:r>
    </w:p>
    <w:p w:rsidR="003B553A" w:rsidRPr="00F86759" w:rsidRDefault="001572CD" w:rsidP="003B553A">
      <w:pPr>
        <w:pStyle w:val="ExecSumBodyText"/>
      </w:pPr>
      <w:r w:rsidRPr="00F86759">
        <w:t>Whilst a statistically significant treatment difference was observed in favour of prolonged release melatonin in terms of total sleep time, the clinical relevance of the treatment difference was unclear (32 minutes</w:t>
      </w:r>
      <w:r w:rsidR="008568C8">
        <w:t xml:space="preserve"> per night</w:t>
      </w:r>
      <w:r w:rsidRPr="00F86759">
        <w:t xml:space="preserve">). Only 48/61 </w:t>
      </w:r>
      <w:r w:rsidR="003B553A">
        <w:t xml:space="preserve">(79%) </w:t>
      </w:r>
      <w:r w:rsidRPr="00F86759">
        <w:t xml:space="preserve">patients in the placebo arm, and 52/58 </w:t>
      </w:r>
      <w:r w:rsidR="003B553A">
        <w:t xml:space="preserve">(90%) </w:t>
      </w:r>
      <w:r w:rsidRPr="00F86759">
        <w:t>patients in the melatonin arm, were included in the calculation of the primary outcome. The estimate was associated with wide confidence intervals, with the lower bound being only 2.4 minutes</w:t>
      </w:r>
      <w:r w:rsidR="00A5261C">
        <w:t xml:space="preserve"> per night</w:t>
      </w:r>
      <w:r w:rsidRPr="00F86759">
        <w:t>. Further, these changes in sleep time were not accompanied by significant changes in</w:t>
      </w:r>
      <w:r w:rsidR="002244D0" w:rsidRPr="00F86759">
        <w:t xml:space="preserve"> patient or </w:t>
      </w:r>
      <w:r w:rsidRPr="00F86759">
        <w:t xml:space="preserve">carer </w:t>
      </w:r>
      <w:r w:rsidR="002244D0" w:rsidRPr="00F86759">
        <w:t xml:space="preserve">daytime </w:t>
      </w:r>
      <w:r w:rsidRPr="00F86759">
        <w:t>functioning, considered to be important components of any treatment for insomnia.</w:t>
      </w:r>
      <w:r w:rsidR="007A3EBB" w:rsidRPr="00F86759">
        <w:t xml:space="preserve"> </w:t>
      </w:r>
      <w:r w:rsidR="003B553A" w:rsidRPr="00F86759">
        <w:t>The PSCR noted that according to the WHO Five Well-Being Index (WHO-5) 13 weeks of Slenyto® treatment significantly improved caregivers’ quality of life compared with placebo (p=0.01)</w:t>
      </w:r>
      <w:r w:rsidR="00845C9C">
        <w:t>.</w:t>
      </w:r>
      <w:r w:rsidR="003B553A" w:rsidRPr="00F86759">
        <w:t xml:space="preserve"> The ESC noted the WHO-5 was an exploratory outcome and also questioned the clinical significance of the observed improvement in carer quality of life (2.</w:t>
      </w:r>
      <w:r w:rsidR="003B553A">
        <w:t>1</w:t>
      </w:r>
      <w:r w:rsidR="003B553A" w:rsidRPr="00F86759">
        <w:t>7 points on a 25 point scale).</w:t>
      </w:r>
      <w:r w:rsidR="003B553A" w:rsidRPr="00591635">
        <w:t xml:space="preserve"> </w:t>
      </w:r>
      <w:r w:rsidR="003B553A">
        <w:t>The Pre-PBAC Response argued the observed statistically significant improvements in externalising behaviour and caregivers’ quality of life (on the WHO-5 scale) support the clinical relevance of the observed statistically significant differences in sleep-based endpoints.</w:t>
      </w:r>
    </w:p>
    <w:p w:rsidR="001572CD" w:rsidRPr="00F86759" w:rsidRDefault="001572CD" w:rsidP="001572CD">
      <w:pPr>
        <w:pStyle w:val="ExecSumBodyText"/>
      </w:pPr>
      <w:r w:rsidRPr="00F86759">
        <w:t xml:space="preserve">The responder analysis, which forms the basis of the economic and financial analyses, was an exploratory outcome in the NEU_CH_7911 trial. The clinical relevance of a responder as defined in the submission was unclear. The total change in sleep time and/or sleep latency was not assessed relative to baseline, and the clinical relevance of an absolute change is likely to vary based on the age of the child. </w:t>
      </w:r>
      <w:r w:rsidR="00B633C6" w:rsidRPr="00F86759">
        <w:t xml:space="preserve">The ESC noted there </w:t>
      </w:r>
      <w:r w:rsidRPr="00F86759">
        <w:t>is huge variability in normal sleep durations for normally developing children within the age range requested (2-18 years), and the absolute treatment difference specified in the responder analysis is less than the natural variation in sleep times in children across the included age groups.</w:t>
      </w:r>
      <w:r w:rsidR="00647431" w:rsidRPr="00F86759">
        <w:t xml:space="preserve"> </w:t>
      </w:r>
      <w:r w:rsidR="00647431" w:rsidRPr="00F86759">
        <w:rPr>
          <w:iCs/>
        </w:rPr>
        <w:t>The PSCR argued that the responder criteria were valid based on use in studies of tasimelton and zopiclone. However, the ESC noted that the tasimelton and zopiclone studies were both in adults, and so the relevance in a 2-18 year old age group remains unclear</w:t>
      </w:r>
      <w:r w:rsidR="00647431" w:rsidRPr="00F86759">
        <w:t>.</w:t>
      </w:r>
      <w:r w:rsidR="00B816DD">
        <w:t xml:space="preserve"> </w:t>
      </w:r>
      <w:r w:rsidR="00B633C6" w:rsidRPr="00F86759">
        <w:t xml:space="preserve">The ESC therefore agreed </w:t>
      </w:r>
      <w:r w:rsidR="007A3EBB" w:rsidRPr="00F86759">
        <w:t xml:space="preserve">with the evaluation </w:t>
      </w:r>
      <w:r w:rsidR="00B633C6" w:rsidRPr="00F86759">
        <w:t xml:space="preserve">that </w:t>
      </w:r>
      <w:r w:rsidRPr="00F86759">
        <w:t>proportional</w:t>
      </w:r>
      <w:r w:rsidR="006377E4">
        <w:t xml:space="preserve"> (i.e., relative) </w:t>
      </w:r>
      <w:r w:rsidRPr="00F86759">
        <w:t xml:space="preserve">change based on baseline sleep may have been more appropriate. </w:t>
      </w:r>
    </w:p>
    <w:p w:rsidR="00BD596A" w:rsidRPr="00F86759" w:rsidRDefault="00BD596A" w:rsidP="001572CD">
      <w:pPr>
        <w:pStyle w:val="ExecSumBodyText"/>
      </w:pPr>
      <w:r w:rsidRPr="00F86759">
        <w:t>The PSCR</w:t>
      </w:r>
      <w:r w:rsidR="006E6C91" w:rsidRPr="00F86759">
        <w:t xml:space="preserve"> argued the observed adjusted mean improvement of 32.4 minutes of TST was clinical</w:t>
      </w:r>
      <w:r w:rsidR="003363C8" w:rsidRPr="00F86759">
        <w:t>ly</w:t>
      </w:r>
      <w:r w:rsidR="006E6C91" w:rsidRPr="00F86759">
        <w:t xml:space="preserve"> relevant</w:t>
      </w:r>
      <w:r w:rsidR="003363C8" w:rsidRPr="00F86759">
        <w:t xml:space="preserve"> and claimed children with ASD tend to sleep 32.8 minutes less per night than their typically developed peers,</w:t>
      </w:r>
      <w:r w:rsidR="006E6C91" w:rsidRPr="00F86759">
        <w:t xml:space="preserve"> based on a reference to a clinical trial of melatonin (clinicaltrials.gov identifier NCT01906866)</w:t>
      </w:r>
      <w:r w:rsidR="003363C8" w:rsidRPr="00F86759">
        <w:t>. However the ESC noted the provided reference did not appear to contain this statement and could not verify this claim.</w:t>
      </w:r>
    </w:p>
    <w:p w:rsidR="001572CD" w:rsidRPr="00F86759" w:rsidRDefault="001572CD" w:rsidP="001572CD">
      <w:pPr>
        <w:pStyle w:val="ExecSumBodyText"/>
      </w:pPr>
      <w:r w:rsidRPr="00F86759">
        <w:t xml:space="preserve">The recommended starting dose is 2 mg. If an inadequate response has been observed, the dose should be increased to 5 mg, with a maximal dose of 10 mg. Although this is consistent with the product information, the 10 mg dose was only permitted during the open label phase of the included clinical trial, and so there is a lack of comparative and longer term data to support the treatment benefit of this dose. </w:t>
      </w:r>
    </w:p>
    <w:p w:rsidR="001572CD" w:rsidRPr="00F86759" w:rsidRDefault="001572CD" w:rsidP="001572CD">
      <w:pPr>
        <w:pStyle w:val="ExecSumBodyText"/>
      </w:pPr>
      <w:r w:rsidRPr="00F86759">
        <w:t>The diagnosis of insomnia may be difficult in children. It is unclear how insomnia is diagnosed in children and adolescents in Australian clinical practice. The submission suggested that the diagnosis should be based on the DSM-V criteria for insomnia. The trial did not use standardised diagnostic criteria for insomnia as an inclusion criteria, but instead used a definition for ‘impaired sleep’.</w:t>
      </w:r>
    </w:p>
    <w:p w:rsidR="005F7588" w:rsidRPr="00D372C4" w:rsidRDefault="001572CD" w:rsidP="001572CD">
      <w:pPr>
        <w:pStyle w:val="ExecSumBodyText"/>
      </w:pPr>
      <w:r w:rsidRPr="00F86759">
        <w:t>Treatment with prolonged release melatonin was associated with a higher incidence of adverse events including mood swings, somnolence, and fatigue, compared with placebo. Several patients in the trial had dose reductions due to increases in daytime fatigue. Due to the relatively short double blind period with crossover into active treatment for the open label period, it is difficult to ascertain the possible longer term effects of prolonged release melatonin. One potential concern is the effect of long-term treatment with melatonin on pubertal development. Longer term safety studies are required to determine whether the long-term use of melatonin may have adverse effects on pubertal development.</w:t>
      </w:r>
      <w:r w:rsidR="00285FCA" w:rsidRPr="00F86759">
        <w:t xml:space="preserve"> The ESC considered that based on the available evidence</w:t>
      </w:r>
      <w:r w:rsidR="000253EA" w:rsidRPr="00F86759">
        <w:t xml:space="preserve"> and lack of long-term safety data</w:t>
      </w:r>
      <w:r w:rsidR="00285FCA" w:rsidRPr="00F86759">
        <w:t xml:space="preserve">, a claim of inferior comparative safety to placebo was </w:t>
      </w:r>
      <w:r w:rsidR="000253EA" w:rsidRPr="00F86759">
        <w:t>reasonable</w:t>
      </w:r>
      <w:r w:rsidR="00285FCA" w:rsidRPr="00F86759">
        <w:t xml:space="preserve"> for </w:t>
      </w:r>
      <w:r w:rsidR="00285FCA" w:rsidRPr="00D372C4">
        <w:t>prolonged release melatonin.</w:t>
      </w:r>
    </w:p>
    <w:p w:rsidR="00902E6A" w:rsidRPr="00D372C4" w:rsidRDefault="00902E6A" w:rsidP="00902E6A">
      <w:pPr>
        <w:pStyle w:val="ExecSumBodyText"/>
      </w:pPr>
      <w:r w:rsidRPr="00D372C4">
        <w:t>The PBAC considered that the claim of superior comparative effectiveness was reasonable</w:t>
      </w:r>
      <w:r w:rsidR="00BE2157" w:rsidRPr="00D372C4">
        <w:t xml:space="preserve"> but the clinical significance of the benefit was uncertain</w:t>
      </w:r>
      <w:r w:rsidRPr="00D372C4">
        <w:t>.</w:t>
      </w:r>
    </w:p>
    <w:p w:rsidR="00902E6A" w:rsidRPr="00D372C4" w:rsidRDefault="00902E6A" w:rsidP="00902E6A">
      <w:pPr>
        <w:pStyle w:val="ExecSumBodyText"/>
      </w:pPr>
      <w:r w:rsidRPr="00D372C4">
        <w:t xml:space="preserve">The PBAC </w:t>
      </w:r>
      <w:r w:rsidR="00D372C4">
        <w:t xml:space="preserve">noted the submission did not include a comparative safety claim but </w:t>
      </w:r>
      <w:r w:rsidRPr="00D372C4">
        <w:t xml:space="preserve">considered that </w:t>
      </w:r>
      <w:r w:rsidR="000933AB" w:rsidRPr="00D372C4">
        <w:t xml:space="preserve">a </w:t>
      </w:r>
      <w:r w:rsidRPr="00D372C4">
        <w:t>claim of inferior comparative safety w</w:t>
      </w:r>
      <w:r w:rsidR="00D372C4">
        <w:t xml:space="preserve">ould be </w:t>
      </w:r>
      <w:r w:rsidRPr="00D372C4">
        <w:t>reasonable.</w:t>
      </w:r>
    </w:p>
    <w:p w:rsidR="00B60939" w:rsidRPr="00F86759" w:rsidRDefault="00B60939" w:rsidP="00F86759">
      <w:pPr>
        <w:pStyle w:val="3-SubsectionHeading"/>
      </w:pPr>
      <w:bookmarkStart w:id="18" w:name="_Toc22897645"/>
      <w:bookmarkStart w:id="19" w:name="_Toc62036852"/>
      <w:r w:rsidRPr="00D372C4">
        <w:t>Economic analysis</w:t>
      </w:r>
      <w:bookmarkEnd w:id="18"/>
      <w:bookmarkEnd w:id="19"/>
      <w:r w:rsidR="00491B3A" w:rsidRPr="00F86759">
        <w:t xml:space="preserve"> </w:t>
      </w:r>
    </w:p>
    <w:p w:rsidR="001572CD" w:rsidRPr="00F86759" w:rsidRDefault="001572CD" w:rsidP="001572CD">
      <w:pPr>
        <w:pStyle w:val="ExecSumBodyText"/>
        <w:rPr>
          <w:b/>
          <w:bCs/>
          <w:lang w:val="en-US"/>
        </w:rPr>
      </w:pPr>
      <w:r w:rsidRPr="00F86759">
        <w:t xml:space="preserve">The submission presented a trial-based economic evaluation based on the NEU_CH_7911 randomised trial, and a modelled economic evaluation based on cost per year of response, extrapolated over a 9-year time horizon. The type of economic evaluation presented was a cost-effectiveness analysis, reported as a cost per responder and cost per additional responder year. </w:t>
      </w:r>
      <w:r w:rsidR="00BE2157">
        <w:t xml:space="preserve">The pre-PBAC response stated </w:t>
      </w:r>
      <w:r w:rsidR="00157845">
        <w:t>the base case economic analysis in the submission was the cost per r</w:t>
      </w:r>
      <w:r w:rsidR="00D372C4">
        <w:t>esponder and cost per responder-</w:t>
      </w:r>
      <w:r w:rsidR="00157845">
        <w:t>year at 2 years.</w:t>
      </w:r>
      <w:r w:rsidR="00B816DD">
        <w:t xml:space="preserve"> </w:t>
      </w:r>
    </w:p>
    <w:p w:rsidR="008C5739" w:rsidRPr="00F86759" w:rsidRDefault="001572CD" w:rsidP="001572CD">
      <w:pPr>
        <w:pStyle w:val="ExecSumBodyText"/>
      </w:pPr>
      <w:r w:rsidRPr="00F86759">
        <w:t xml:space="preserve">Table </w:t>
      </w:r>
      <w:r w:rsidR="007C786F" w:rsidRPr="00F86759">
        <w:t>8</w:t>
      </w:r>
      <w:r w:rsidRPr="00F86759">
        <w:t xml:space="preserve"> summarises the key components of the economic evaluation.</w:t>
      </w:r>
      <w:r w:rsidR="008C5739" w:rsidRPr="00F86759">
        <w:t xml:space="preserve"> </w:t>
      </w:r>
    </w:p>
    <w:p w:rsidR="001572CD" w:rsidRPr="00F86759" w:rsidRDefault="001572CD" w:rsidP="001572CD">
      <w:pPr>
        <w:pStyle w:val="TableFigureCaption"/>
      </w:pPr>
      <w:r w:rsidRPr="00F86759">
        <w:t xml:space="preserve">Table </w:t>
      </w:r>
      <w:r w:rsidR="006B5E82" w:rsidRPr="00F86759">
        <w:t>8</w:t>
      </w:r>
      <w:r w:rsidRPr="00F86759">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2"/>
        <w:gridCol w:w="5625"/>
      </w:tblGrid>
      <w:tr w:rsidR="001572CD" w:rsidRPr="00F86759" w:rsidTr="006C5D11">
        <w:tc>
          <w:tcPr>
            <w:tcW w:w="1881" w:type="pct"/>
            <w:vAlign w:val="center"/>
          </w:tcPr>
          <w:p w:rsidR="001572CD" w:rsidRPr="00F86759" w:rsidRDefault="001572CD" w:rsidP="006C5D11">
            <w:pPr>
              <w:pStyle w:val="Tableheadingrow"/>
              <w:jc w:val="center"/>
            </w:pPr>
            <w:r w:rsidRPr="00F86759">
              <w:t>Component</w:t>
            </w:r>
          </w:p>
        </w:tc>
        <w:tc>
          <w:tcPr>
            <w:tcW w:w="3119" w:type="pct"/>
          </w:tcPr>
          <w:p w:rsidR="001572CD" w:rsidRPr="00F86759" w:rsidRDefault="001572CD" w:rsidP="006C5D11">
            <w:pPr>
              <w:pStyle w:val="Tableheadingrow"/>
              <w:jc w:val="center"/>
            </w:pPr>
            <w:r w:rsidRPr="00F86759">
              <w:t>Description</w:t>
            </w:r>
          </w:p>
        </w:tc>
      </w:tr>
      <w:tr w:rsidR="001572CD" w:rsidRPr="00F86759" w:rsidTr="006C5D11">
        <w:tc>
          <w:tcPr>
            <w:tcW w:w="1881" w:type="pct"/>
            <w:vAlign w:val="center"/>
          </w:tcPr>
          <w:p w:rsidR="001572CD" w:rsidRPr="00F86759" w:rsidRDefault="001572CD" w:rsidP="006C5D11">
            <w:pPr>
              <w:pStyle w:val="TableText"/>
            </w:pPr>
            <w:r w:rsidRPr="00F86759">
              <w:t>Type of analysis</w:t>
            </w:r>
          </w:p>
        </w:tc>
        <w:tc>
          <w:tcPr>
            <w:tcW w:w="3119" w:type="pct"/>
          </w:tcPr>
          <w:p w:rsidR="001572CD" w:rsidRPr="00F86759" w:rsidRDefault="001572CD" w:rsidP="006C5D11">
            <w:pPr>
              <w:pStyle w:val="TableText"/>
            </w:pPr>
            <w:r w:rsidRPr="00F86759">
              <w:t>Cost-effectiveness analysis</w:t>
            </w:r>
          </w:p>
        </w:tc>
      </w:tr>
      <w:tr w:rsidR="001572CD" w:rsidRPr="00F86759" w:rsidTr="006C5D11">
        <w:tc>
          <w:tcPr>
            <w:tcW w:w="1881" w:type="pct"/>
            <w:vAlign w:val="center"/>
          </w:tcPr>
          <w:p w:rsidR="001572CD" w:rsidRPr="00F86759" w:rsidRDefault="001572CD" w:rsidP="006C5D11">
            <w:pPr>
              <w:pStyle w:val="TableText"/>
            </w:pPr>
            <w:r w:rsidRPr="00F86759">
              <w:t>Outcomes</w:t>
            </w:r>
          </w:p>
        </w:tc>
        <w:tc>
          <w:tcPr>
            <w:tcW w:w="3119" w:type="pct"/>
          </w:tcPr>
          <w:p w:rsidR="001572CD" w:rsidRPr="00F86759" w:rsidRDefault="001572CD" w:rsidP="006C5D11">
            <w:pPr>
              <w:pStyle w:val="TableText"/>
            </w:pPr>
            <w:r w:rsidRPr="00F86759">
              <w:t>Response (</w:t>
            </w:r>
            <w:r w:rsidR="00B3396E" w:rsidRPr="00F86759">
              <w:t xml:space="preserve">defined as an </w:t>
            </w:r>
            <w:r w:rsidRPr="00F86759">
              <w:t>increase in total sleep time of at least 45 minutes</w:t>
            </w:r>
            <w:r w:rsidR="008568C8">
              <w:t xml:space="preserve"> per night</w:t>
            </w:r>
            <w:r w:rsidRPr="00F86759">
              <w:t>, and/or reduction in sleep latency of at least 15 minutes</w:t>
            </w:r>
            <w:r w:rsidR="008568C8">
              <w:t xml:space="preserve"> per night</w:t>
            </w:r>
            <w:r w:rsidRPr="00F86759">
              <w:t>)</w:t>
            </w:r>
          </w:p>
        </w:tc>
      </w:tr>
      <w:tr w:rsidR="001572CD" w:rsidRPr="00F86759" w:rsidTr="006C5D11">
        <w:tc>
          <w:tcPr>
            <w:tcW w:w="1881" w:type="pct"/>
            <w:vAlign w:val="center"/>
          </w:tcPr>
          <w:p w:rsidR="001572CD" w:rsidRPr="00F86759" w:rsidRDefault="001572CD" w:rsidP="006C5D11">
            <w:pPr>
              <w:pStyle w:val="TableText"/>
            </w:pPr>
            <w:r w:rsidRPr="00F86759">
              <w:t>Time horizon</w:t>
            </w:r>
          </w:p>
        </w:tc>
        <w:tc>
          <w:tcPr>
            <w:tcW w:w="3119" w:type="pct"/>
          </w:tcPr>
          <w:p w:rsidR="001572CD" w:rsidRPr="00F86759" w:rsidRDefault="001572CD" w:rsidP="00B3396E">
            <w:pPr>
              <w:pStyle w:val="TableText"/>
            </w:pPr>
            <w:r w:rsidRPr="00F86759">
              <w:t xml:space="preserve">2 years for the cost per responder analysis and 9 years for the cost per responder year analysis, </w:t>
            </w:r>
            <w:r w:rsidR="00B3396E" w:rsidRPr="00F86759">
              <w:t xml:space="preserve">extrapolated from </w:t>
            </w:r>
            <w:r w:rsidRPr="00F86759">
              <w:t>13 weeks</w:t>
            </w:r>
            <w:r w:rsidR="00B3396E" w:rsidRPr="00F86759">
              <w:t xml:space="preserve"> in the</w:t>
            </w:r>
            <w:r w:rsidR="00B71674" w:rsidRPr="00F86759">
              <w:t xml:space="preserve"> </w:t>
            </w:r>
            <w:r w:rsidRPr="00F86759">
              <w:t>double blind period in the trial</w:t>
            </w:r>
          </w:p>
        </w:tc>
      </w:tr>
      <w:tr w:rsidR="001572CD" w:rsidRPr="00F86759" w:rsidTr="006C5D11">
        <w:tc>
          <w:tcPr>
            <w:tcW w:w="1881" w:type="pct"/>
            <w:vAlign w:val="center"/>
          </w:tcPr>
          <w:p w:rsidR="001572CD" w:rsidRPr="00F86759" w:rsidRDefault="001572CD" w:rsidP="006C5D11">
            <w:pPr>
              <w:pStyle w:val="TableText"/>
            </w:pPr>
            <w:r w:rsidRPr="00F86759">
              <w:t>Methods used to generate results</w:t>
            </w:r>
          </w:p>
        </w:tc>
        <w:tc>
          <w:tcPr>
            <w:tcW w:w="3119" w:type="pct"/>
          </w:tcPr>
          <w:p w:rsidR="001572CD" w:rsidRPr="00F86759" w:rsidRDefault="001572CD" w:rsidP="006C5D11">
            <w:pPr>
              <w:pStyle w:val="TableText"/>
            </w:pPr>
            <w:r w:rsidRPr="00F86759">
              <w:t>Trial-based analysis, with assumptions used to extrapolate beyond the duration of the trial</w:t>
            </w:r>
          </w:p>
        </w:tc>
      </w:tr>
      <w:tr w:rsidR="001572CD" w:rsidRPr="00F86759" w:rsidTr="006C5D11">
        <w:tc>
          <w:tcPr>
            <w:tcW w:w="1881" w:type="pct"/>
            <w:vAlign w:val="center"/>
          </w:tcPr>
          <w:p w:rsidR="001572CD" w:rsidRPr="00F86759" w:rsidRDefault="001572CD" w:rsidP="006C5D11">
            <w:pPr>
              <w:pStyle w:val="TableText"/>
            </w:pPr>
            <w:r w:rsidRPr="00F86759">
              <w:t>Software package</w:t>
            </w:r>
          </w:p>
        </w:tc>
        <w:tc>
          <w:tcPr>
            <w:tcW w:w="3119" w:type="pct"/>
          </w:tcPr>
          <w:p w:rsidR="001572CD" w:rsidRPr="00F86759" w:rsidRDefault="001572CD" w:rsidP="006C5D11">
            <w:pPr>
              <w:pStyle w:val="TableText"/>
            </w:pPr>
            <w:r w:rsidRPr="00F86759">
              <w:t>Excel 2010</w:t>
            </w:r>
          </w:p>
        </w:tc>
      </w:tr>
    </w:tbl>
    <w:p w:rsidR="00490B17" w:rsidRPr="00F86759" w:rsidRDefault="001572CD" w:rsidP="001572CD">
      <w:pPr>
        <w:pStyle w:val="TableFigureFooter"/>
      </w:pPr>
      <w:r w:rsidRPr="00F86759">
        <w:t>Source: Table 3.3, p.117 of the submission</w:t>
      </w:r>
    </w:p>
    <w:p w:rsidR="00275C5A" w:rsidRPr="00F86759" w:rsidRDefault="001572CD" w:rsidP="00BB00B3">
      <w:pPr>
        <w:pStyle w:val="ExecSumBodyText"/>
      </w:pPr>
      <w:r w:rsidRPr="00F86759">
        <w:t>A</w:t>
      </w:r>
      <w:r w:rsidR="00D110BD" w:rsidRPr="00F86759">
        <w:t xml:space="preserve"> summary of the key drivers of the </w:t>
      </w:r>
      <w:r w:rsidRPr="00F86759">
        <w:t>analysis</w:t>
      </w:r>
      <w:r w:rsidR="00D110BD" w:rsidRPr="00F86759">
        <w:t xml:space="preserve"> </w:t>
      </w:r>
      <w:r w:rsidRPr="00F86759">
        <w:t xml:space="preserve">is presented in Table </w:t>
      </w:r>
      <w:r w:rsidR="007C786F" w:rsidRPr="00F86759">
        <w:t xml:space="preserve">9 </w:t>
      </w:r>
      <w:r w:rsidRPr="00F86759">
        <w:t>below.</w:t>
      </w:r>
    </w:p>
    <w:p w:rsidR="005C177F" w:rsidRPr="00F86759" w:rsidRDefault="005C177F">
      <w:pPr>
        <w:jc w:val="left"/>
        <w:rPr>
          <w:rFonts w:ascii="Arial Narrow" w:eastAsiaTheme="majorEastAsia" w:hAnsi="Arial Narrow" w:cstheme="majorBidi"/>
          <w:b/>
          <w:bCs/>
          <w:sz w:val="20"/>
        </w:rPr>
      </w:pPr>
      <w:r w:rsidRPr="00F86759">
        <w:br w:type="page"/>
      </w:r>
    </w:p>
    <w:p w:rsidR="00D110BD" w:rsidRPr="00F86759" w:rsidRDefault="00D110BD" w:rsidP="00230DB1">
      <w:pPr>
        <w:pStyle w:val="TableFigureCaption"/>
      </w:pPr>
      <w:r w:rsidRPr="00F86759">
        <w:t xml:space="preserve">Table </w:t>
      </w:r>
      <w:r w:rsidR="006B5E82" w:rsidRPr="00F86759">
        <w:t>9</w:t>
      </w:r>
      <w:r w:rsidRPr="00F86759">
        <w:t>: Key drivers of the model</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6094"/>
        <w:gridCol w:w="1509"/>
      </w:tblGrid>
      <w:tr w:rsidR="00537182" w:rsidRPr="00F86759" w:rsidTr="00E2053D">
        <w:trPr>
          <w:tblHeader/>
        </w:trPr>
        <w:tc>
          <w:tcPr>
            <w:tcW w:w="784" w:type="pct"/>
            <w:shd w:val="clear" w:color="auto" w:fill="auto"/>
            <w:vAlign w:val="center"/>
          </w:tcPr>
          <w:p w:rsidR="00D110BD" w:rsidRPr="00F86759" w:rsidRDefault="00D110BD" w:rsidP="004F3A37">
            <w:pPr>
              <w:pStyle w:val="Tableheadingrow"/>
              <w:jc w:val="center"/>
            </w:pPr>
            <w:r w:rsidRPr="00F86759">
              <w:t>Description</w:t>
            </w:r>
          </w:p>
        </w:tc>
        <w:tc>
          <w:tcPr>
            <w:tcW w:w="3379" w:type="pct"/>
            <w:shd w:val="clear" w:color="auto" w:fill="auto"/>
            <w:vAlign w:val="center"/>
          </w:tcPr>
          <w:p w:rsidR="00D110BD" w:rsidRPr="00F86759" w:rsidRDefault="00D110BD" w:rsidP="004F3A37">
            <w:pPr>
              <w:pStyle w:val="Tableheadingrow"/>
              <w:jc w:val="center"/>
            </w:pPr>
            <w:r w:rsidRPr="00F86759">
              <w:t>Method/Value</w:t>
            </w:r>
          </w:p>
        </w:tc>
        <w:tc>
          <w:tcPr>
            <w:tcW w:w="837" w:type="pct"/>
            <w:shd w:val="clear" w:color="auto" w:fill="auto"/>
            <w:vAlign w:val="center"/>
          </w:tcPr>
          <w:p w:rsidR="00490B17" w:rsidRPr="00F86759" w:rsidRDefault="00D110BD" w:rsidP="004F3A37">
            <w:pPr>
              <w:pStyle w:val="Tableheadingrow"/>
              <w:jc w:val="center"/>
            </w:pPr>
            <w:r w:rsidRPr="00F86759">
              <w:t>Impact</w:t>
            </w:r>
          </w:p>
        </w:tc>
      </w:tr>
      <w:tr w:rsidR="00537182" w:rsidRPr="00F86759" w:rsidTr="00E2053D">
        <w:tc>
          <w:tcPr>
            <w:tcW w:w="784" w:type="pct"/>
            <w:shd w:val="clear" w:color="auto" w:fill="auto"/>
            <w:vAlign w:val="center"/>
          </w:tcPr>
          <w:p w:rsidR="00D110BD" w:rsidRPr="00F86759" w:rsidRDefault="00106B80" w:rsidP="00E5438D">
            <w:pPr>
              <w:pStyle w:val="TableText"/>
              <w:rPr>
                <w:lang w:val="en-US"/>
              </w:rPr>
            </w:pPr>
            <w:r w:rsidRPr="00F86759">
              <w:rPr>
                <w:lang w:val="en-US"/>
              </w:rPr>
              <w:t>Extrapolation</w:t>
            </w:r>
          </w:p>
        </w:tc>
        <w:tc>
          <w:tcPr>
            <w:tcW w:w="3379" w:type="pct"/>
            <w:shd w:val="clear" w:color="auto" w:fill="auto"/>
            <w:vAlign w:val="center"/>
          </w:tcPr>
          <w:p w:rsidR="00106B80" w:rsidRPr="00F86759" w:rsidRDefault="00106B80" w:rsidP="00157845">
            <w:pPr>
              <w:pStyle w:val="TableText"/>
              <w:rPr>
                <w:lang w:val="en-US"/>
              </w:rPr>
            </w:pPr>
            <w:r w:rsidRPr="00F86759">
              <w:rPr>
                <w:lang w:val="en-US"/>
              </w:rPr>
              <w:t xml:space="preserve">Treatment effect continued beyond </w:t>
            </w:r>
            <w:r w:rsidR="001572CD" w:rsidRPr="00F86759">
              <w:rPr>
                <w:lang w:val="en-US"/>
              </w:rPr>
              <w:t>13 week</w:t>
            </w:r>
            <w:r w:rsidRPr="00F86759">
              <w:rPr>
                <w:lang w:val="en-US"/>
              </w:rPr>
              <w:t xml:space="preserve"> trial period for up to </w:t>
            </w:r>
            <w:r w:rsidR="001572CD" w:rsidRPr="00F86759">
              <w:rPr>
                <w:lang w:val="en-US"/>
              </w:rPr>
              <w:t>9 years</w:t>
            </w:r>
            <w:r w:rsidR="004F3A37" w:rsidRPr="00F86759">
              <w:rPr>
                <w:lang w:val="en-US"/>
              </w:rPr>
              <w:t xml:space="preserve">. The base case applied response rates observed in the group originally randomised to prolonged release melatonin at the 52-week open label time point, and assumed that these would be maintained for 2 or 9 years, whilst the response rate in the placebo group was assumed to be zero after 52 weeks. The extrapolated responder rate for melatonin is likely to be significantly higher than what will be observed in clinical practice. Further, extrapolating the treatment effect assumes that this effect will be broadly maintained over long periods of time. There </w:t>
            </w:r>
            <w:r w:rsidR="000F1034" w:rsidRPr="00F86759">
              <w:rPr>
                <w:lang w:val="en-US"/>
              </w:rPr>
              <w:t>wa</w:t>
            </w:r>
            <w:r w:rsidR="004F3A37" w:rsidRPr="00F86759">
              <w:rPr>
                <w:lang w:val="en-US"/>
              </w:rPr>
              <w:t xml:space="preserve">s </w:t>
            </w:r>
            <w:r w:rsidR="000F1034" w:rsidRPr="00F86759">
              <w:rPr>
                <w:lang w:val="en-US"/>
              </w:rPr>
              <w:t xml:space="preserve">no </w:t>
            </w:r>
            <w:r w:rsidR="004F3A37" w:rsidRPr="00F86759">
              <w:rPr>
                <w:lang w:val="en-US"/>
              </w:rPr>
              <w:t>clinical evidence provided in the submission to support this assumption</w:t>
            </w:r>
            <w:r w:rsidR="004B4643" w:rsidRPr="00F86759">
              <w:rPr>
                <w:lang w:val="en-US"/>
              </w:rPr>
              <w:t>.</w:t>
            </w:r>
          </w:p>
        </w:tc>
        <w:tc>
          <w:tcPr>
            <w:tcW w:w="837" w:type="pct"/>
            <w:shd w:val="clear" w:color="auto" w:fill="auto"/>
            <w:vAlign w:val="center"/>
          </w:tcPr>
          <w:p w:rsidR="00D110BD" w:rsidRPr="00F86759" w:rsidRDefault="00D110BD" w:rsidP="004F3A37">
            <w:pPr>
              <w:pStyle w:val="TableText"/>
              <w:rPr>
                <w:lang w:val="en-US"/>
              </w:rPr>
            </w:pPr>
            <w:r w:rsidRPr="00F86759">
              <w:rPr>
                <w:lang w:val="en-US"/>
              </w:rPr>
              <w:t xml:space="preserve">High, favours </w:t>
            </w:r>
            <w:r w:rsidR="001572CD" w:rsidRPr="00F86759">
              <w:rPr>
                <w:lang w:val="en-US"/>
              </w:rPr>
              <w:t>prolonged release melatonin</w:t>
            </w:r>
          </w:p>
          <w:p w:rsidR="00490B17" w:rsidRPr="00F86759" w:rsidRDefault="00490B17" w:rsidP="004F3A37">
            <w:pPr>
              <w:pStyle w:val="TableText"/>
              <w:rPr>
                <w:lang w:val="en-US"/>
              </w:rPr>
            </w:pPr>
          </w:p>
        </w:tc>
      </w:tr>
      <w:tr w:rsidR="00537182" w:rsidRPr="00F86759" w:rsidTr="00E2053D">
        <w:tc>
          <w:tcPr>
            <w:tcW w:w="784" w:type="pct"/>
            <w:shd w:val="clear" w:color="auto" w:fill="auto"/>
            <w:vAlign w:val="center"/>
          </w:tcPr>
          <w:p w:rsidR="00D110BD" w:rsidRPr="00F86759" w:rsidRDefault="004F3A37" w:rsidP="00E5438D">
            <w:pPr>
              <w:pStyle w:val="TableText"/>
              <w:rPr>
                <w:lang w:val="en-US"/>
              </w:rPr>
            </w:pPr>
            <w:r w:rsidRPr="00F86759">
              <w:rPr>
                <w:lang w:val="en-US"/>
              </w:rPr>
              <w:t>Treatment discontinuations</w:t>
            </w:r>
          </w:p>
        </w:tc>
        <w:tc>
          <w:tcPr>
            <w:tcW w:w="3379" w:type="pct"/>
            <w:shd w:val="clear" w:color="auto" w:fill="auto"/>
            <w:vAlign w:val="center"/>
          </w:tcPr>
          <w:p w:rsidR="00D110BD" w:rsidRPr="00F86759" w:rsidRDefault="004F3A37" w:rsidP="004F3A37">
            <w:pPr>
              <w:pStyle w:val="TableText"/>
              <w:rPr>
                <w:lang w:val="en-US"/>
              </w:rPr>
            </w:pPr>
            <w:r w:rsidRPr="00F86759">
              <w:t>Treatment discontinuations in the economic analysis were informed by a time on treatment curve derived from the proportions of patients in the treatment arm who received melatonin during both the double blind and open label periods of the trial, and who discontinued treatment for any reason. This was used to derive cost of melatonin. The submission applied a logarithmic trendline to the observed data in Excel to extrapolate beyond the trial period. The decision to extrapolate proportion of continuing patients to inform cost of treatment with melatonin was not described nor justified in the submission. This results in extremely favourable assumptions; by the end of the 9-year time horizon, only 48% of patients remain on treatment (and thus accumulate drug costs), but 72.4% of patients continue to achieve a response.</w:t>
            </w:r>
          </w:p>
        </w:tc>
        <w:tc>
          <w:tcPr>
            <w:tcW w:w="837" w:type="pct"/>
            <w:shd w:val="clear" w:color="auto" w:fill="auto"/>
            <w:vAlign w:val="center"/>
          </w:tcPr>
          <w:p w:rsidR="004F3A37" w:rsidRPr="00F86759" w:rsidRDefault="004F3A37" w:rsidP="004F3A37">
            <w:pPr>
              <w:pStyle w:val="TableText"/>
              <w:rPr>
                <w:lang w:val="en-US"/>
              </w:rPr>
            </w:pPr>
            <w:r w:rsidRPr="00F86759">
              <w:rPr>
                <w:lang w:val="en-US"/>
              </w:rPr>
              <w:t>High, favours prolonged release melatonin</w:t>
            </w:r>
          </w:p>
          <w:p w:rsidR="00D110BD" w:rsidRPr="00F86759" w:rsidRDefault="00D110BD" w:rsidP="004F3A37">
            <w:pPr>
              <w:pStyle w:val="TableText"/>
              <w:rPr>
                <w:lang w:val="en-US"/>
              </w:rPr>
            </w:pPr>
          </w:p>
        </w:tc>
      </w:tr>
      <w:tr w:rsidR="00537182" w:rsidRPr="00F86759" w:rsidTr="00E2053D">
        <w:tc>
          <w:tcPr>
            <w:tcW w:w="784" w:type="pct"/>
            <w:shd w:val="clear" w:color="auto" w:fill="auto"/>
            <w:vAlign w:val="center"/>
          </w:tcPr>
          <w:p w:rsidR="00D110BD" w:rsidRPr="00F86759" w:rsidRDefault="004F3A37" w:rsidP="00E5438D">
            <w:pPr>
              <w:pStyle w:val="TableText"/>
              <w:rPr>
                <w:lang w:val="en-US"/>
              </w:rPr>
            </w:pPr>
            <w:r w:rsidRPr="00F86759">
              <w:rPr>
                <w:lang w:val="en-US"/>
              </w:rPr>
              <w:t>Outcomes</w:t>
            </w:r>
          </w:p>
        </w:tc>
        <w:tc>
          <w:tcPr>
            <w:tcW w:w="3379" w:type="pct"/>
            <w:shd w:val="clear" w:color="auto" w:fill="auto"/>
            <w:vAlign w:val="center"/>
          </w:tcPr>
          <w:p w:rsidR="00D110BD" w:rsidRPr="00F86759" w:rsidRDefault="004F3A37" w:rsidP="004F3A37">
            <w:pPr>
              <w:pStyle w:val="TableText"/>
              <w:rPr>
                <w:lang w:val="en-US"/>
              </w:rPr>
            </w:pPr>
            <w:r w:rsidRPr="00F86759">
              <w:rPr>
                <w:lang w:val="en-US"/>
              </w:rPr>
              <w:t>In both the trial based analysis estimating cost per responder, and the extrapolated analysis estimating cost per responder-year, the outcome was ‘responder’. Given the large range of normal sleep durations for children within the age in the trial, the absolute treatment difference specified in the responder analysis is less than the natural variation in sleep times in children across the included age groups in the trial. It may also not be appropriate to collapse both total sleep time and sleep latency to form a definition of responder, as differences in sleep latency tended to drive improvements in total sleep time. A proportional change based on baseline sleep may have been more appropriate. At present it is difficult to know how beneficial a small change in total sleep time or sleep latency is. The endpoints of cost per responder and cost per responder year, are therefore difficult to interpret.</w:t>
            </w:r>
          </w:p>
        </w:tc>
        <w:tc>
          <w:tcPr>
            <w:tcW w:w="837" w:type="pct"/>
            <w:shd w:val="clear" w:color="auto" w:fill="auto"/>
            <w:vAlign w:val="center"/>
          </w:tcPr>
          <w:p w:rsidR="00D110BD" w:rsidRPr="00F86759" w:rsidRDefault="00E2053D" w:rsidP="00540FE2">
            <w:pPr>
              <w:pStyle w:val="TableText"/>
              <w:rPr>
                <w:lang w:val="en-US"/>
              </w:rPr>
            </w:pPr>
            <w:r w:rsidRPr="00F86759">
              <w:rPr>
                <w:lang w:val="en-US"/>
              </w:rPr>
              <w:t>Unclear</w:t>
            </w:r>
          </w:p>
        </w:tc>
      </w:tr>
      <w:tr w:rsidR="00E2053D" w:rsidRPr="00F86759" w:rsidTr="00E2053D">
        <w:tc>
          <w:tcPr>
            <w:tcW w:w="784" w:type="pct"/>
            <w:shd w:val="clear" w:color="auto" w:fill="auto"/>
            <w:vAlign w:val="center"/>
          </w:tcPr>
          <w:p w:rsidR="00E2053D" w:rsidRPr="00F86759" w:rsidRDefault="00E2053D" w:rsidP="00E5438D">
            <w:pPr>
              <w:pStyle w:val="TableText"/>
              <w:rPr>
                <w:lang w:val="en-US"/>
              </w:rPr>
            </w:pPr>
            <w:r w:rsidRPr="00F86759">
              <w:rPr>
                <w:lang w:val="en-US"/>
              </w:rPr>
              <w:t>Cost of melatonin</w:t>
            </w:r>
          </w:p>
        </w:tc>
        <w:tc>
          <w:tcPr>
            <w:tcW w:w="3379" w:type="pct"/>
            <w:shd w:val="clear" w:color="auto" w:fill="auto"/>
            <w:vAlign w:val="center"/>
          </w:tcPr>
          <w:p w:rsidR="00E2053D" w:rsidRPr="00F86759" w:rsidRDefault="00E2053D" w:rsidP="004F3A37">
            <w:pPr>
              <w:pStyle w:val="TableText"/>
              <w:rPr>
                <w:lang w:val="en-US"/>
              </w:rPr>
            </w:pPr>
            <w:r w:rsidRPr="00F86759">
              <w:rPr>
                <w:lang w:val="en-US"/>
              </w:rPr>
              <w:t>Drug costs were applied based on the average dose in the NEU_CH_7911 trial, and using a split over dose strengths of 29% (1 mg) and 71% (5 mg). The economic analysis was sensitive to the split across doses</w:t>
            </w:r>
            <w:r w:rsidR="00B97892" w:rsidRPr="00F86759">
              <w:rPr>
                <w:lang w:val="en-US"/>
              </w:rPr>
              <w:t>,</w:t>
            </w:r>
            <w:r w:rsidRPr="00F86759">
              <w:rPr>
                <w:lang w:val="en-US"/>
              </w:rPr>
              <w:t xml:space="preserve"> and the average dose applied. The dose likely to be used i</w:t>
            </w:r>
            <w:r w:rsidR="0022681E" w:rsidRPr="00F86759">
              <w:rPr>
                <w:lang w:val="en-US"/>
              </w:rPr>
              <w:t>n practice is unclear.</w:t>
            </w:r>
          </w:p>
        </w:tc>
        <w:tc>
          <w:tcPr>
            <w:tcW w:w="837" w:type="pct"/>
            <w:shd w:val="clear" w:color="auto" w:fill="auto"/>
            <w:vAlign w:val="center"/>
          </w:tcPr>
          <w:p w:rsidR="00E2053D" w:rsidRPr="00F86759" w:rsidRDefault="0022681E" w:rsidP="00540FE2">
            <w:pPr>
              <w:pStyle w:val="TableText"/>
              <w:rPr>
                <w:lang w:val="en-US"/>
              </w:rPr>
            </w:pPr>
            <w:r w:rsidRPr="00F86759">
              <w:rPr>
                <w:lang w:val="en-US"/>
              </w:rPr>
              <w:t>Unclear</w:t>
            </w:r>
          </w:p>
        </w:tc>
      </w:tr>
    </w:tbl>
    <w:p w:rsidR="004D2CFE" w:rsidRPr="00F86759" w:rsidRDefault="009D792E" w:rsidP="008C324A">
      <w:pPr>
        <w:pStyle w:val="TableFigureFooter"/>
      </w:pPr>
      <w:r w:rsidRPr="00F86759">
        <w:t xml:space="preserve">Source: </w:t>
      </w:r>
      <w:r w:rsidR="0022681E" w:rsidRPr="00F86759">
        <w:t>Compiled during the evaluation</w:t>
      </w:r>
    </w:p>
    <w:p w:rsidR="008C324A" w:rsidRPr="00F86759" w:rsidRDefault="008C324A" w:rsidP="004E2ECD">
      <w:pPr>
        <w:pStyle w:val="ExecSumBodyText"/>
      </w:pPr>
      <w:r w:rsidRPr="00F86759">
        <w:t>In the 9-year responder year analysis, the proportion of melatonin responders at 52 weeks was assumed to be maintained to 9 years; however the placebo response was assumed to be lost after 52 weeks</w:t>
      </w:r>
      <w:r w:rsidR="00157306" w:rsidRPr="00F86759">
        <w:t>.</w:t>
      </w:r>
      <w:r w:rsidRPr="00F86759">
        <w:t xml:space="preserve"> Figure </w:t>
      </w:r>
      <w:r w:rsidR="00F35E91" w:rsidRPr="00F86759">
        <w:t xml:space="preserve">3 </w:t>
      </w:r>
      <w:r w:rsidRPr="00F86759">
        <w:t>details the area under the curve analysis used to calculate responder years over a 9 year time horizon</w:t>
      </w:r>
      <w:r w:rsidR="000D3112" w:rsidRPr="00F86759">
        <w:t>.</w:t>
      </w:r>
    </w:p>
    <w:p w:rsidR="004D2CFE" w:rsidRPr="00F86759" w:rsidRDefault="004D2CFE" w:rsidP="004D2CFE">
      <w:pPr>
        <w:pStyle w:val="TableFigureCaption"/>
        <w:rPr>
          <w:lang w:val="en-US"/>
        </w:rPr>
      </w:pPr>
      <w:r w:rsidRPr="00F86759">
        <w:rPr>
          <w:lang w:val="en-US"/>
        </w:rPr>
        <w:t>Figure</w:t>
      </w:r>
      <w:r w:rsidR="008C324A" w:rsidRPr="00F86759">
        <w:rPr>
          <w:lang w:val="en-US"/>
        </w:rPr>
        <w:t xml:space="preserve"> </w:t>
      </w:r>
      <w:r w:rsidR="00F35E91" w:rsidRPr="00F86759">
        <w:rPr>
          <w:lang w:val="en-US"/>
        </w:rPr>
        <w:t>3</w:t>
      </w:r>
      <w:r w:rsidRPr="00F86759">
        <w:rPr>
          <w:lang w:val="en-US"/>
        </w:rPr>
        <w:t>: Approach for area under the curve analysis for the calculation of responder years</w:t>
      </w:r>
    </w:p>
    <w:p w:rsidR="004D2CFE" w:rsidRPr="00F86759" w:rsidRDefault="004D2CFE" w:rsidP="004D2CFE">
      <w:pPr>
        <w:rPr>
          <w:color w:val="3366FF"/>
          <w:lang w:val="en-US"/>
        </w:rPr>
      </w:pPr>
      <w:r w:rsidRPr="00F86759">
        <w:rPr>
          <w:noProof/>
        </w:rPr>
        <w:drawing>
          <wp:inline distT="0" distB="0" distL="0" distR="0" wp14:anchorId="15835ED7" wp14:editId="6BDA1999">
            <wp:extent cx="5688000" cy="3711600"/>
            <wp:effectExtent l="0" t="0" r="8255" b="3175"/>
            <wp:docPr id="5" name="Picture 5" title="Figure 3: Approach for area under the curve analysis for the calculation of responde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8000" cy="3711600"/>
                    </a:xfrm>
                    <a:prstGeom prst="rect">
                      <a:avLst/>
                    </a:prstGeom>
                    <a:noFill/>
                  </pic:spPr>
                </pic:pic>
              </a:graphicData>
            </a:graphic>
          </wp:inline>
        </w:drawing>
      </w:r>
    </w:p>
    <w:p w:rsidR="004D2CFE" w:rsidRPr="00F86759" w:rsidRDefault="004D2CFE" w:rsidP="004D2CFE">
      <w:pPr>
        <w:pStyle w:val="TableFigureFooter"/>
        <w:rPr>
          <w:lang w:val="en-US"/>
        </w:rPr>
      </w:pPr>
      <w:r w:rsidRPr="00F86759">
        <w:rPr>
          <w:lang w:val="en-US"/>
        </w:rPr>
        <w:t xml:space="preserve">Source: </w:t>
      </w:r>
      <w:r w:rsidR="00157306" w:rsidRPr="00F86759">
        <w:rPr>
          <w:lang w:val="en-US"/>
        </w:rPr>
        <w:t>Constructed</w:t>
      </w:r>
      <w:r w:rsidRPr="00F86759">
        <w:rPr>
          <w:lang w:val="en-US"/>
        </w:rPr>
        <w:t xml:space="preserve"> during the evaluation using ‘Slenyto PRM Section 3 workbook</w:t>
      </w:r>
    </w:p>
    <w:p w:rsidR="004D2CFE" w:rsidRPr="00F86759" w:rsidRDefault="008C324A" w:rsidP="00726119">
      <w:pPr>
        <w:pStyle w:val="ExecSumBodyText"/>
      </w:pPr>
      <w:r w:rsidRPr="00F86759">
        <w:t>There is significant uncertainty associated with the extrapolation. Although the submission stated that the 52 week treatment effect was attenuated over years 2-9 of the 9-year time horizon</w:t>
      </w:r>
      <w:r w:rsidR="000D3112" w:rsidRPr="00F86759">
        <w:t xml:space="preserve"> (and this was reiterated in the PSCR)</w:t>
      </w:r>
      <w:r w:rsidRPr="00F86759">
        <w:t xml:space="preserve">, this was not </w:t>
      </w:r>
      <w:r w:rsidR="002751CB" w:rsidRPr="00F86759">
        <w:t xml:space="preserve">actually </w:t>
      </w:r>
      <w:r w:rsidRPr="00F86759">
        <w:t>applied in the analysis. In Figure 1, the proportion of responders at 52 weeks in the treatment group originally randomised to receive prolonged release melatonin is maintained for the duration of the analysis, whilst the placebo response was assumed to be 0 after the end of year 1. Th</w:t>
      </w:r>
      <w:r w:rsidR="000D3112" w:rsidRPr="00F86759">
        <w:t xml:space="preserve">e ESC considered this </w:t>
      </w:r>
      <w:r w:rsidRPr="00F86759">
        <w:t xml:space="preserve">was not reasonable. </w:t>
      </w:r>
      <w:r w:rsidR="003045FA" w:rsidRPr="00F86759">
        <w:t>The ESC noted that discontinuations based on the pivotal trial and open label extension (OLE) found that by the end of that period only 48% of the cohort was on treatment. On that basis, the ESC considered the assumption that the 72% of responders at week 52 will maintain that benefit for 9 years was implausible and not supported by the available data.</w:t>
      </w:r>
      <w:r w:rsidR="009D2FE9">
        <w:t xml:space="preserve"> The Pre-PBAC Response noted there was an increase in responder rate</w:t>
      </w:r>
      <w:r w:rsidR="00157845">
        <w:t xml:space="preserve"> </w:t>
      </w:r>
      <w:r w:rsidR="009D2FE9">
        <w:t xml:space="preserve">observed between Week 13 and Week 52 of the clinical trial and a trend was observed that responder rate increases over time and argued the attenuation of the responder rate assumption applied in the model (visible in Figure 3) was conservative. The PBAC agreed with the ESC and considered that it was implausible that </w:t>
      </w:r>
      <w:r w:rsidR="00157845">
        <w:t xml:space="preserve">patients </w:t>
      </w:r>
      <w:r w:rsidR="009D2FE9">
        <w:t xml:space="preserve">who achieved a response at Week 52 would maintain the response for 9 years and further noted no evidence was presented to support this assumption. </w:t>
      </w:r>
    </w:p>
    <w:p w:rsidR="0005656F" w:rsidRPr="00F86759" w:rsidRDefault="00711A0C" w:rsidP="00711A0C">
      <w:pPr>
        <w:pStyle w:val="ExecSumBodyText"/>
      </w:pPr>
      <w:r w:rsidRPr="00F86759">
        <w:t xml:space="preserve">The economic analysis assumed all patients receive an average daily dose of 5.3 mg. This dose was also used to derive the average daily cost of treatment with prolonged release melatonin. The source of the dose data </w:t>
      </w:r>
      <w:r w:rsidR="00D372C4">
        <w:t>was</w:t>
      </w:r>
      <w:r w:rsidRPr="00F86759">
        <w:t xml:space="preserve"> unclear</w:t>
      </w:r>
      <w:r w:rsidR="00D372C4">
        <w:t xml:space="preserve"> in the submission. </w:t>
      </w:r>
      <w:r w:rsidR="000253EA" w:rsidRPr="00F86759">
        <w:t>The PSCR clarified that at the end of the OLE phase, 29% of study participants were on 2 mg, 46% were on 5 mg and 24% were on the 10 mg dose and the applied 5.3mg dose was the weighted average</w:t>
      </w:r>
      <w:r w:rsidR="00AB4FB9" w:rsidRPr="00F86759">
        <w:t xml:space="preserve"> and further noted that if the proportions from the double-blinded phase were used (58% on 5 mg and 42% on 2 mg) that the average dose would be 3.74 mg. The ESC considered the likely dose distribution of melatonin in clinical practice was highly uncertain.</w:t>
      </w:r>
    </w:p>
    <w:p w:rsidR="004F3A37" w:rsidRPr="00F86759" w:rsidRDefault="004F3A37" w:rsidP="004F3A37">
      <w:pPr>
        <w:pStyle w:val="ExecSumBodyText"/>
      </w:pPr>
      <w:r w:rsidRPr="00F86759">
        <w:t xml:space="preserve">The results of the stepped economic analysis, including analyses calculated during the evaluation to address errors, are provided in Table </w:t>
      </w:r>
      <w:r w:rsidR="007C786F" w:rsidRPr="00F86759">
        <w:t xml:space="preserve">10 </w:t>
      </w:r>
      <w:r w:rsidRPr="00F86759">
        <w:t>below.</w:t>
      </w:r>
    </w:p>
    <w:p w:rsidR="004F3A37" w:rsidRPr="00F86759" w:rsidRDefault="004F3A37" w:rsidP="004F3A37">
      <w:pPr>
        <w:pStyle w:val="TableFigureCaption"/>
      </w:pPr>
      <w:r w:rsidRPr="00F86759">
        <w:t xml:space="preserve">Table </w:t>
      </w:r>
      <w:r w:rsidR="006B5E82" w:rsidRPr="00F86759">
        <w:t>10</w:t>
      </w:r>
      <w:r w:rsidRPr="00F86759">
        <w:t xml:space="preserve">: Results of the stepped economic evaluation with analyses conducted during the evaluation to address errors </w:t>
      </w:r>
      <w:r w:rsidR="006F4B9D">
        <w:t>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4F3A37" w:rsidRPr="00F86759" w:rsidTr="006C5D11">
        <w:trPr>
          <w:tblHeader/>
        </w:trPr>
        <w:tc>
          <w:tcPr>
            <w:tcW w:w="1529" w:type="pct"/>
            <w:vAlign w:val="center"/>
          </w:tcPr>
          <w:p w:rsidR="004F3A37" w:rsidRPr="00F86759" w:rsidRDefault="004F3A37" w:rsidP="006C5D11">
            <w:pPr>
              <w:pStyle w:val="Tableheadingrow"/>
            </w:pPr>
            <w:r w:rsidRPr="00F86759">
              <w:t>Step and component</w:t>
            </w:r>
          </w:p>
        </w:tc>
        <w:tc>
          <w:tcPr>
            <w:tcW w:w="1359" w:type="pct"/>
            <w:vAlign w:val="center"/>
          </w:tcPr>
          <w:p w:rsidR="004F3A37" w:rsidRPr="00F86759" w:rsidRDefault="004F3A37" w:rsidP="006C5D11">
            <w:pPr>
              <w:pStyle w:val="Tableheadingrow"/>
              <w:jc w:val="center"/>
            </w:pPr>
            <w:r w:rsidRPr="00F86759">
              <w:t>Prolonged release melatonin</w:t>
            </w:r>
          </w:p>
        </w:tc>
        <w:tc>
          <w:tcPr>
            <w:tcW w:w="1274" w:type="pct"/>
            <w:vAlign w:val="center"/>
          </w:tcPr>
          <w:p w:rsidR="004F3A37" w:rsidRPr="00F86759" w:rsidRDefault="004F3A37" w:rsidP="006C5D11">
            <w:pPr>
              <w:pStyle w:val="Tableheadingrow"/>
              <w:jc w:val="center"/>
            </w:pPr>
            <w:r w:rsidRPr="00F86759">
              <w:t>Placebo</w:t>
            </w:r>
          </w:p>
        </w:tc>
        <w:tc>
          <w:tcPr>
            <w:tcW w:w="838" w:type="pct"/>
            <w:vAlign w:val="center"/>
          </w:tcPr>
          <w:p w:rsidR="004F3A37" w:rsidRPr="00F86759" w:rsidRDefault="004F3A37" w:rsidP="006C5D11">
            <w:pPr>
              <w:pStyle w:val="Tableheadingrow"/>
              <w:jc w:val="center"/>
            </w:pPr>
            <w:r w:rsidRPr="00F86759">
              <w:t>Increment</w:t>
            </w:r>
          </w:p>
        </w:tc>
      </w:tr>
      <w:tr w:rsidR="004F3A37" w:rsidRPr="00F86759" w:rsidTr="006C5D11">
        <w:tc>
          <w:tcPr>
            <w:tcW w:w="5000" w:type="pct"/>
            <w:gridSpan w:val="4"/>
            <w:vAlign w:val="center"/>
          </w:tcPr>
          <w:p w:rsidR="004F3A37" w:rsidRPr="00F86759" w:rsidRDefault="004F3A37" w:rsidP="006C5D11">
            <w:pPr>
              <w:pStyle w:val="TableText"/>
              <w:rPr>
                <w:b/>
              </w:rPr>
            </w:pPr>
            <w:r w:rsidRPr="00F86759">
              <w:rPr>
                <w:b/>
              </w:rPr>
              <w:t>Step 1a: Proportion of total sleep time and/or sleep latency responders at 13 weeks (based on the double blind period of trial NEU_CH_7911); melatonin drug costs only</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Costs</w:t>
            </w:r>
          </w:p>
        </w:tc>
        <w:tc>
          <w:tcPr>
            <w:tcW w:w="1359"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c>
          <w:tcPr>
            <w:tcW w:w="1274" w:type="pct"/>
            <w:vAlign w:val="center"/>
          </w:tcPr>
          <w:p w:rsidR="004F3A37" w:rsidRPr="00F86759" w:rsidRDefault="004F3A37" w:rsidP="006C5D11">
            <w:pPr>
              <w:pStyle w:val="TableText"/>
              <w:jc w:val="center"/>
              <w:rPr>
                <w:rFonts w:ascii="Times" w:hAnsi="Times"/>
              </w:rPr>
            </w:pPr>
            <w:r w:rsidRPr="00F86759">
              <w:t>$0</w:t>
            </w:r>
          </w:p>
        </w:tc>
        <w:tc>
          <w:tcPr>
            <w:tcW w:w="838" w:type="pct"/>
            <w:vAlign w:val="center"/>
          </w:tcPr>
          <w:p w:rsidR="004F3A37" w:rsidRPr="00981D2A" w:rsidRDefault="004F3A37" w:rsidP="006C5D11">
            <w:pPr>
              <w:pStyle w:val="TableText"/>
              <w:jc w:val="center"/>
              <w:rPr>
                <w:rFonts w:ascii="Times" w:hAnsi="Times"/>
                <w:vertAlign w:val="superscript"/>
              </w:rPr>
            </w:pPr>
            <w:r w:rsidRPr="00F86759">
              <w:t>$</w:t>
            </w:r>
            <w:r w:rsidR="00244F04">
              <w:rPr>
                <w:noProof/>
                <w:color w:val="000000"/>
                <w:highlight w:val="black"/>
              </w:rPr>
              <w:t>'''''''''</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Responders</w:t>
            </w:r>
          </w:p>
        </w:tc>
        <w:tc>
          <w:tcPr>
            <w:tcW w:w="1359" w:type="pct"/>
            <w:vAlign w:val="center"/>
          </w:tcPr>
          <w:p w:rsidR="004F3A37" w:rsidRPr="00F86759" w:rsidRDefault="004F3A37" w:rsidP="006C5D11">
            <w:pPr>
              <w:pStyle w:val="TableText"/>
              <w:jc w:val="center"/>
              <w:rPr>
                <w:rFonts w:ascii="Times" w:hAnsi="Times"/>
              </w:rPr>
            </w:pPr>
            <w:r w:rsidRPr="00F86759">
              <w:t>68.9%</w:t>
            </w:r>
          </w:p>
        </w:tc>
        <w:tc>
          <w:tcPr>
            <w:tcW w:w="1274" w:type="pct"/>
            <w:vAlign w:val="center"/>
          </w:tcPr>
          <w:p w:rsidR="004F3A37" w:rsidRPr="00F86759" w:rsidRDefault="004F3A37" w:rsidP="006C5D11">
            <w:pPr>
              <w:pStyle w:val="TableText"/>
              <w:jc w:val="center"/>
              <w:rPr>
                <w:rFonts w:ascii="Times" w:hAnsi="Times"/>
              </w:rPr>
            </w:pPr>
            <w:r w:rsidRPr="00F86759">
              <w:t>39.3%</w:t>
            </w:r>
          </w:p>
        </w:tc>
        <w:tc>
          <w:tcPr>
            <w:tcW w:w="838" w:type="pct"/>
            <w:vAlign w:val="center"/>
          </w:tcPr>
          <w:p w:rsidR="004F3A37" w:rsidRPr="00F86759" w:rsidRDefault="004F3A37" w:rsidP="006C5D11">
            <w:pPr>
              <w:pStyle w:val="TableText"/>
              <w:jc w:val="center"/>
            </w:pPr>
            <w:r w:rsidRPr="00F86759">
              <w:t>29.6%</w:t>
            </w:r>
          </w:p>
        </w:tc>
      </w:tr>
      <w:tr w:rsidR="004F3A37" w:rsidRPr="00F86759" w:rsidTr="006C5D11">
        <w:tc>
          <w:tcPr>
            <w:tcW w:w="4162" w:type="pct"/>
            <w:gridSpan w:val="3"/>
            <w:vAlign w:val="center"/>
          </w:tcPr>
          <w:p w:rsidR="004F3A37" w:rsidRPr="00F86759" w:rsidRDefault="004F3A37" w:rsidP="006C5D11">
            <w:pPr>
              <w:pStyle w:val="TableText"/>
              <w:rPr>
                <w:rFonts w:ascii="Times" w:hAnsi="Times"/>
              </w:rPr>
            </w:pPr>
            <w:r w:rsidRPr="00F86759">
              <w:t>Incremental cost/additional responder</w:t>
            </w:r>
          </w:p>
        </w:tc>
        <w:tc>
          <w:tcPr>
            <w:tcW w:w="838" w:type="pct"/>
            <w:vAlign w:val="center"/>
          </w:tcPr>
          <w:p w:rsidR="004F3A37" w:rsidRPr="00981D2A" w:rsidRDefault="004F3A37" w:rsidP="006C5D11">
            <w:pPr>
              <w:pStyle w:val="TableText"/>
              <w:jc w:val="center"/>
              <w:rPr>
                <w:rFonts w:ascii="Times" w:hAnsi="Times"/>
                <w:vertAlign w:val="superscript"/>
              </w:rPr>
            </w:pPr>
            <w:r w:rsidRPr="00F86759">
              <w:t>$</w:t>
            </w:r>
            <w:r w:rsidR="00244F04">
              <w:rPr>
                <w:noProof/>
                <w:color w:val="000000"/>
                <w:highlight w:val="black"/>
              </w:rPr>
              <w:t>'''''''''''''''</w:t>
            </w:r>
            <w:r w:rsidR="00981D2A">
              <w:rPr>
                <w:vertAlign w:val="superscript"/>
              </w:rPr>
              <w:t>1</w:t>
            </w:r>
          </w:p>
        </w:tc>
      </w:tr>
      <w:tr w:rsidR="004F3A37" w:rsidRPr="00F86759" w:rsidTr="006C5D11">
        <w:tc>
          <w:tcPr>
            <w:tcW w:w="5000" w:type="pct"/>
            <w:gridSpan w:val="4"/>
            <w:vAlign w:val="center"/>
          </w:tcPr>
          <w:p w:rsidR="004F3A37" w:rsidRPr="00F86759" w:rsidRDefault="004F3A37" w:rsidP="006C5D11">
            <w:pPr>
              <w:pStyle w:val="Tableheadingrow"/>
            </w:pPr>
            <w:r w:rsidRPr="00F86759">
              <w:t>Step 1b: Proportion of total sleep time and/or sleep latency responders at 52 weeks (based on the double blind and open label periods of trial NEU_CH_7911 for placebo and melatonin arms respectively); melatonin drug costs only</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Costs</w:t>
            </w:r>
          </w:p>
        </w:tc>
        <w:tc>
          <w:tcPr>
            <w:tcW w:w="1359"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c>
          <w:tcPr>
            <w:tcW w:w="1274" w:type="pct"/>
            <w:vAlign w:val="center"/>
          </w:tcPr>
          <w:p w:rsidR="004F3A37" w:rsidRPr="00F86759" w:rsidRDefault="004F3A37" w:rsidP="006C5D11">
            <w:pPr>
              <w:pStyle w:val="TableText"/>
              <w:jc w:val="center"/>
              <w:rPr>
                <w:rFonts w:ascii="Times" w:hAnsi="Times"/>
              </w:rPr>
            </w:pPr>
            <w:r w:rsidRPr="00F86759">
              <w:t>$0</w:t>
            </w:r>
          </w:p>
        </w:tc>
        <w:tc>
          <w:tcPr>
            <w:tcW w:w="838"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Responders</w:t>
            </w:r>
          </w:p>
        </w:tc>
        <w:tc>
          <w:tcPr>
            <w:tcW w:w="1359" w:type="pct"/>
            <w:vAlign w:val="center"/>
          </w:tcPr>
          <w:p w:rsidR="004F3A37" w:rsidRPr="00F86759" w:rsidRDefault="004F3A37" w:rsidP="006C5D11">
            <w:pPr>
              <w:pStyle w:val="TableText"/>
              <w:jc w:val="center"/>
              <w:rPr>
                <w:rFonts w:ascii="Times" w:hAnsi="Times"/>
              </w:rPr>
            </w:pPr>
            <w:r w:rsidRPr="00F86759">
              <w:t>72.4%</w:t>
            </w:r>
          </w:p>
        </w:tc>
        <w:tc>
          <w:tcPr>
            <w:tcW w:w="1274" w:type="pct"/>
            <w:vAlign w:val="center"/>
          </w:tcPr>
          <w:p w:rsidR="004F3A37" w:rsidRPr="00F86759" w:rsidRDefault="004F3A37" w:rsidP="006C5D11">
            <w:pPr>
              <w:pStyle w:val="TableText"/>
              <w:jc w:val="center"/>
              <w:rPr>
                <w:rFonts w:ascii="Times" w:hAnsi="Times"/>
              </w:rPr>
            </w:pPr>
            <w:r w:rsidRPr="00F86759">
              <w:t>39.3%</w:t>
            </w:r>
          </w:p>
        </w:tc>
        <w:tc>
          <w:tcPr>
            <w:tcW w:w="838" w:type="pct"/>
            <w:vAlign w:val="center"/>
          </w:tcPr>
          <w:p w:rsidR="004F3A37" w:rsidRPr="00F86759" w:rsidRDefault="004F3A37" w:rsidP="006C5D11">
            <w:pPr>
              <w:pStyle w:val="TableText"/>
              <w:jc w:val="center"/>
            </w:pPr>
            <w:r w:rsidRPr="00F86759">
              <w:t>33.1%</w:t>
            </w:r>
          </w:p>
        </w:tc>
      </w:tr>
      <w:tr w:rsidR="004F3A37" w:rsidRPr="00F86759" w:rsidTr="006C5D11">
        <w:tc>
          <w:tcPr>
            <w:tcW w:w="4162" w:type="pct"/>
            <w:gridSpan w:val="3"/>
            <w:vAlign w:val="center"/>
          </w:tcPr>
          <w:p w:rsidR="004F3A37" w:rsidRPr="00F86759" w:rsidRDefault="004F3A37" w:rsidP="006C5D11">
            <w:pPr>
              <w:pStyle w:val="TableText"/>
            </w:pPr>
            <w:r w:rsidRPr="00F86759">
              <w:t>Incremental cost/additional responder</w:t>
            </w:r>
          </w:p>
        </w:tc>
        <w:tc>
          <w:tcPr>
            <w:tcW w:w="838" w:type="pct"/>
            <w:vAlign w:val="center"/>
          </w:tcPr>
          <w:p w:rsidR="004F3A37" w:rsidRPr="00981D2A" w:rsidRDefault="004F3A37" w:rsidP="006C5D11">
            <w:pPr>
              <w:pStyle w:val="TableText"/>
              <w:jc w:val="center"/>
              <w:rPr>
                <w:vertAlign w:val="superscript"/>
              </w:rPr>
            </w:pPr>
            <w:r w:rsidRPr="00F86759">
              <w:t>$</w:t>
            </w:r>
            <w:r w:rsidR="00244F04">
              <w:rPr>
                <w:noProof/>
                <w:color w:val="000000"/>
                <w:highlight w:val="black"/>
              </w:rPr>
              <w:t>''''''''''''''</w:t>
            </w:r>
            <w:r w:rsidR="00981D2A">
              <w:rPr>
                <w:vertAlign w:val="superscript"/>
              </w:rPr>
              <w:t>2</w:t>
            </w:r>
          </w:p>
        </w:tc>
      </w:tr>
      <w:tr w:rsidR="004F3A37" w:rsidRPr="00F86759" w:rsidTr="006C5D11">
        <w:tc>
          <w:tcPr>
            <w:tcW w:w="5000" w:type="pct"/>
            <w:gridSpan w:val="4"/>
            <w:vAlign w:val="center"/>
          </w:tcPr>
          <w:p w:rsidR="004F3A37" w:rsidRPr="00F86759" w:rsidRDefault="004F3A37" w:rsidP="006C5D11">
            <w:pPr>
              <w:pStyle w:val="TableText"/>
              <w:rPr>
                <w:b/>
              </w:rPr>
            </w:pPr>
            <w:r w:rsidRPr="00F86759">
              <w:rPr>
                <w:b/>
              </w:rPr>
              <w:t>Step 2: Proportion of responders extrapolated to 104 weeks (based on the double blind and open label periods of trial NEU_CH_7911 for placebo and melatonin arms respectively); melatonin drug costs only</w:t>
            </w:r>
          </w:p>
        </w:tc>
      </w:tr>
      <w:tr w:rsidR="004F3A37" w:rsidRPr="00F86759" w:rsidTr="006C5D11">
        <w:tc>
          <w:tcPr>
            <w:tcW w:w="1529" w:type="pct"/>
            <w:vAlign w:val="center"/>
          </w:tcPr>
          <w:p w:rsidR="004F3A37" w:rsidRPr="00F86759" w:rsidRDefault="004F3A37" w:rsidP="006C5D11">
            <w:pPr>
              <w:pStyle w:val="TableText"/>
            </w:pPr>
            <w:r w:rsidRPr="00F86759">
              <w:t>Costs</w:t>
            </w:r>
          </w:p>
        </w:tc>
        <w:tc>
          <w:tcPr>
            <w:tcW w:w="1359" w:type="pct"/>
            <w:vAlign w:val="center"/>
          </w:tcPr>
          <w:p w:rsidR="004F3A37" w:rsidRPr="00F86759" w:rsidRDefault="004F3A37" w:rsidP="006C5D11">
            <w:pPr>
              <w:pStyle w:val="TableText"/>
              <w:jc w:val="center"/>
            </w:pPr>
            <w:r w:rsidRPr="00F86759">
              <w:t>$</w:t>
            </w:r>
            <w:r w:rsidR="00244F04">
              <w:rPr>
                <w:noProof/>
                <w:color w:val="000000"/>
                <w:highlight w:val="black"/>
              </w:rPr>
              <w:t>''''''''''''</w:t>
            </w:r>
          </w:p>
        </w:tc>
        <w:tc>
          <w:tcPr>
            <w:tcW w:w="1274" w:type="pct"/>
            <w:vAlign w:val="center"/>
          </w:tcPr>
          <w:p w:rsidR="004F3A37" w:rsidRPr="00F86759" w:rsidRDefault="004F3A37" w:rsidP="006C5D11">
            <w:pPr>
              <w:pStyle w:val="TableText"/>
              <w:jc w:val="center"/>
            </w:pPr>
            <w:r w:rsidRPr="00F86759">
              <w:t>$0</w:t>
            </w:r>
          </w:p>
        </w:tc>
        <w:tc>
          <w:tcPr>
            <w:tcW w:w="838" w:type="pct"/>
            <w:vAlign w:val="center"/>
          </w:tcPr>
          <w:p w:rsidR="004F3A37" w:rsidRPr="00F86759" w:rsidRDefault="004F3A37" w:rsidP="006C5D11">
            <w:pPr>
              <w:pStyle w:val="TableText"/>
              <w:jc w:val="center"/>
            </w:pPr>
            <w:r w:rsidRPr="00F86759">
              <w:t>$</w:t>
            </w:r>
            <w:r w:rsidR="00244F04">
              <w:rPr>
                <w:noProof/>
                <w:color w:val="000000"/>
                <w:highlight w:val="black"/>
              </w:rPr>
              <w:t>''''''''''''''</w:t>
            </w:r>
          </w:p>
        </w:tc>
      </w:tr>
      <w:tr w:rsidR="004F3A37" w:rsidRPr="00F86759" w:rsidTr="006C5D11">
        <w:tc>
          <w:tcPr>
            <w:tcW w:w="1529" w:type="pct"/>
            <w:vAlign w:val="center"/>
          </w:tcPr>
          <w:p w:rsidR="004F3A37" w:rsidRPr="00F86759" w:rsidRDefault="004F3A37" w:rsidP="006C5D11">
            <w:pPr>
              <w:pStyle w:val="TableText"/>
            </w:pPr>
            <w:r w:rsidRPr="00F86759">
              <w:t>Responders</w:t>
            </w:r>
          </w:p>
        </w:tc>
        <w:tc>
          <w:tcPr>
            <w:tcW w:w="1359" w:type="pct"/>
            <w:vAlign w:val="center"/>
          </w:tcPr>
          <w:p w:rsidR="004F3A37" w:rsidRPr="00F86759" w:rsidRDefault="004F3A37" w:rsidP="006C5D11">
            <w:pPr>
              <w:pStyle w:val="TableText"/>
              <w:jc w:val="center"/>
            </w:pPr>
            <w:r w:rsidRPr="00F86759">
              <w:t>72.4%</w:t>
            </w:r>
          </w:p>
        </w:tc>
        <w:tc>
          <w:tcPr>
            <w:tcW w:w="1274" w:type="pct"/>
            <w:vAlign w:val="center"/>
          </w:tcPr>
          <w:p w:rsidR="004F3A37" w:rsidRPr="00F86759" w:rsidRDefault="004F3A37" w:rsidP="006C5D11">
            <w:pPr>
              <w:pStyle w:val="TableText"/>
              <w:jc w:val="center"/>
            </w:pPr>
            <w:r w:rsidRPr="00F86759">
              <w:t>39.3%</w:t>
            </w:r>
          </w:p>
        </w:tc>
        <w:tc>
          <w:tcPr>
            <w:tcW w:w="838" w:type="pct"/>
            <w:vAlign w:val="center"/>
          </w:tcPr>
          <w:p w:rsidR="004F3A37" w:rsidRPr="00F86759" w:rsidRDefault="004F3A37" w:rsidP="006C5D11">
            <w:pPr>
              <w:pStyle w:val="TableText"/>
              <w:jc w:val="center"/>
            </w:pPr>
            <w:r w:rsidRPr="00F86759">
              <w:t>33.1%</w:t>
            </w:r>
          </w:p>
        </w:tc>
      </w:tr>
      <w:tr w:rsidR="004F3A37" w:rsidRPr="00F86759" w:rsidTr="006C5D11">
        <w:tc>
          <w:tcPr>
            <w:tcW w:w="4162" w:type="pct"/>
            <w:gridSpan w:val="3"/>
            <w:vAlign w:val="center"/>
          </w:tcPr>
          <w:p w:rsidR="004F3A37" w:rsidRPr="00F86759" w:rsidRDefault="004F3A37" w:rsidP="006C5D11">
            <w:pPr>
              <w:pStyle w:val="TableText"/>
              <w:rPr>
                <w:rFonts w:ascii="Times" w:hAnsi="Times"/>
              </w:rPr>
            </w:pPr>
            <w:r w:rsidRPr="00F86759">
              <w:t>Incremental cost/additional responder</w:t>
            </w:r>
          </w:p>
        </w:tc>
        <w:tc>
          <w:tcPr>
            <w:tcW w:w="838" w:type="pct"/>
            <w:vAlign w:val="center"/>
          </w:tcPr>
          <w:p w:rsidR="004F3A37" w:rsidRPr="00981D2A" w:rsidRDefault="004F3A37" w:rsidP="006C5D11">
            <w:pPr>
              <w:pStyle w:val="TableText"/>
              <w:jc w:val="center"/>
              <w:rPr>
                <w:rFonts w:ascii="Times" w:hAnsi="Times"/>
                <w:vertAlign w:val="superscript"/>
              </w:rPr>
            </w:pPr>
            <w:r w:rsidRPr="00F86759">
              <w:t>$</w:t>
            </w:r>
            <w:r w:rsidR="00244F04">
              <w:rPr>
                <w:noProof/>
                <w:color w:val="000000"/>
                <w:highlight w:val="black"/>
              </w:rPr>
              <w:t>'''''''''''''''</w:t>
            </w:r>
            <w:r w:rsidR="00981D2A">
              <w:rPr>
                <w:vertAlign w:val="superscript"/>
              </w:rPr>
              <w:t>2</w:t>
            </w:r>
          </w:p>
        </w:tc>
      </w:tr>
      <w:tr w:rsidR="004F3A37" w:rsidRPr="00F86759" w:rsidTr="006C5D11">
        <w:tc>
          <w:tcPr>
            <w:tcW w:w="5000" w:type="pct"/>
            <w:gridSpan w:val="4"/>
            <w:vAlign w:val="center"/>
          </w:tcPr>
          <w:p w:rsidR="004F3A37" w:rsidRPr="00F86759" w:rsidRDefault="004F3A37" w:rsidP="006C5D11">
            <w:pPr>
              <w:pStyle w:val="Tableheadingrow"/>
            </w:pPr>
            <w:r w:rsidRPr="00F86759">
              <w:t>Step 3: Responder years, based on area under the curve analysis of proportion of responders at 52 weeks (based on the double blind and open-label periods of trial NEU_CH_7911); melatonin drug costs only</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Costs</w:t>
            </w:r>
          </w:p>
        </w:tc>
        <w:tc>
          <w:tcPr>
            <w:tcW w:w="1359"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c>
          <w:tcPr>
            <w:tcW w:w="1274" w:type="pct"/>
            <w:vAlign w:val="center"/>
          </w:tcPr>
          <w:p w:rsidR="004F3A37" w:rsidRPr="00F86759" w:rsidRDefault="004F3A37" w:rsidP="006C5D11">
            <w:pPr>
              <w:pStyle w:val="TableText"/>
              <w:jc w:val="center"/>
              <w:rPr>
                <w:rFonts w:ascii="Times" w:hAnsi="Times"/>
              </w:rPr>
            </w:pPr>
            <w:r w:rsidRPr="00F86759">
              <w:t>$0</w:t>
            </w:r>
          </w:p>
        </w:tc>
        <w:tc>
          <w:tcPr>
            <w:tcW w:w="838"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Responder years</w:t>
            </w:r>
          </w:p>
        </w:tc>
        <w:tc>
          <w:tcPr>
            <w:tcW w:w="1359" w:type="pct"/>
            <w:vAlign w:val="center"/>
          </w:tcPr>
          <w:p w:rsidR="004F3A37" w:rsidRPr="00F86759" w:rsidRDefault="004F3A37" w:rsidP="006C5D11">
            <w:pPr>
              <w:pStyle w:val="TableText"/>
              <w:jc w:val="center"/>
            </w:pPr>
            <w:r w:rsidRPr="00F86759">
              <w:t>0.27</w:t>
            </w:r>
          </w:p>
        </w:tc>
        <w:tc>
          <w:tcPr>
            <w:tcW w:w="1274" w:type="pct"/>
            <w:vAlign w:val="center"/>
          </w:tcPr>
          <w:p w:rsidR="004F3A37" w:rsidRPr="00F86759" w:rsidRDefault="004F3A37" w:rsidP="006C5D11">
            <w:pPr>
              <w:pStyle w:val="TableText"/>
              <w:jc w:val="center"/>
              <w:rPr>
                <w:rFonts w:ascii="Times" w:hAnsi="Times"/>
              </w:rPr>
            </w:pPr>
            <w:r w:rsidRPr="00F86759">
              <w:t>-</w:t>
            </w:r>
          </w:p>
        </w:tc>
        <w:tc>
          <w:tcPr>
            <w:tcW w:w="838" w:type="pct"/>
            <w:vAlign w:val="center"/>
          </w:tcPr>
          <w:p w:rsidR="004F3A37" w:rsidRPr="00F86759" w:rsidRDefault="004F3A37" w:rsidP="006C5D11">
            <w:pPr>
              <w:pStyle w:val="TableText"/>
              <w:jc w:val="center"/>
            </w:pPr>
            <w:r w:rsidRPr="00F86759">
              <w:t>0.27</w:t>
            </w:r>
          </w:p>
        </w:tc>
      </w:tr>
      <w:tr w:rsidR="004F3A37" w:rsidRPr="00F86759" w:rsidTr="006C5D11">
        <w:tc>
          <w:tcPr>
            <w:tcW w:w="4162" w:type="pct"/>
            <w:gridSpan w:val="3"/>
            <w:vAlign w:val="center"/>
          </w:tcPr>
          <w:p w:rsidR="004F3A37" w:rsidRPr="00F86759" w:rsidRDefault="004F3A37" w:rsidP="006C5D11">
            <w:pPr>
              <w:pStyle w:val="TableText"/>
              <w:rPr>
                <w:rFonts w:ascii="Times" w:hAnsi="Times"/>
              </w:rPr>
            </w:pPr>
            <w:r w:rsidRPr="00F86759">
              <w:t>Incremental cost/responder year gained</w:t>
            </w:r>
          </w:p>
        </w:tc>
        <w:tc>
          <w:tcPr>
            <w:tcW w:w="838" w:type="pct"/>
            <w:vAlign w:val="center"/>
          </w:tcPr>
          <w:p w:rsidR="004F3A37" w:rsidRPr="00981D2A" w:rsidRDefault="004F3A37" w:rsidP="006C5D11">
            <w:pPr>
              <w:pStyle w:val="TableText"/>
              <w:jc w:val="center"/>
              <w:rPr>
                <w:rFonts w:ascii="Times" w:hAnsi="Times"/>
                <w:vertAlign w:val="superscript"/>
              </w:rPr>
            </w:pPr>
            <w:r w:rsidRPr="00F86759">
              <w:t>$</w:t>
            </w:r>
            <w:r w:rsidR="00244F04">
              <w:rPr>
                <w:noProof/>
                <w:color w:val="000000"/>
                <w:highlight w:val="black"/>
              </w:rPr>
              <w:t>''''''''''''''</w:t>
            </w:r>
            <w:r w:rsidR="00981D2A">
              <w:rPr>
                <w:vertAlign w:val="superscript"/>
              </w:rPr>
              <w:t>2</w:t>
            </w:r>
          </w:p>
        </w:tc>
      </w:tr>
      <w:tr w:rsidR="004F3A37" w:rsidRPr="00F86759" w:rsidTr="006C5D11">
        <w:tc>
          <w:tcPr>
            <w:tcW w:w="5000" w:type="pct"/>
            <w:gridSpan w:val="4"/>
            <w:vAlign w:val="center"/>
          </w:tcPr>
          <w:p w:rsidR="004F3A37" w:rsidRPr="00F86759" w:rsidRDefault="004F3A37" w:rsidP="006C5D11">
            <w:pPr>
              <w:pStyle w:val="Tableheadingrow"/>
            </w:pPr>
            <w:r w:rsidRPr="00F86759">
              <w:t>Step 4: Responder years extrapolated to 9 years (assuming response at 52 weeks is maintained for melatonin; but lost for placebo); melatonin drug costs only</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Costs (discounted)</w:t>
            </w:r>
          </w:p>
        </w:tc>
        <w:tc>
          <w:tcPr>
            <w:tcW w:w="1359"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c>
          <w:tcPr>
            <w:tcW w:w="1274" w:type="pct"/>
            <w:vAlign w:val="center"/>
          </w:tcPr>
          <w:p w:rsidR="004F3A37" w:rsidRPr="00F86759" w:rsidRDefault="004F3A37" w:rsidP="006C5D11">
            <w:pPr>
              <w:pStyle w:val="TableText"/>
              <w:jc w:val="center"/>
              <w:rPr>
                <w:rFonts w:ascii="Times" w:hAnsi="Times"/>
              </w:rPr>
            </w:pPr>
            <w:r w:rsidRPr="00F86759">
              <w:t>$0</w:t>
            </w:r>
          </w:p>
        </w:tc>
        <w:tc>
          <w:tcPr>
            <w:tcW w:w="838" w:type="pct"/>
            <w:vAlign w:val="center"/>
          </w:tcPr>
          <w:p w:rsidR="004F3A37" w:rsidRPr="00F86759" w:rsidRDefault="004F3A37" w:rsidP="006C5D11">
            <w:pPr>
              <w:pStyle w:val="TableText"/>
              <w:jc w:val="center"/>
              <w:rPr>
                <w:rFonts w:ascii="Times" w:hAnsi="Times"/>
              </w:rPr>
            </w:pPr>
            <w:r w:rsidRPr="00F86759">
              <w:t>$</w:t>
            </w:r>
            <w:r w:rsidR="00244F04">
              <w:rPr>
                <w:noProof/>
                <w:color w:val="000000"/>
                <w:highlight w:val="black"/>
              </w:rPr>
              <w:t>''''''''''''''''''</w:t>
            </w:r>
          </w:p>
        </w:tc>
      </w:tr>
      <w:tr w:rsidR="004F3A37" w:rsidRPr="00F86759" w:rsidTr="006C5D11">
        <w:tc>
          <w:tcPr>
            <w:tcW w:w="1529" w:type="pct"/>
            <w:vAlign w:val="center"/>
          </w:tcPr>
          <w:p w:rsidR="004F3A37" w:rsidRPr="00F86759" w:rsidRDefault="004F3A37" w:rsidP="006C5D11">
            <w:pPr>
              <w:pStyle w:val="TableText"/>
              <w:rPr>
                <w:rFonts w:ascii="Times" w:hAnsi="Times"/>
              </w:rPr>
            </w:pPr>
            <w:r w:rsidRPr="00F86759">
              <w:t>Responder years (discounted)</w:t>
            </w:r>
          </w:p>
        </w:tc>
        <w:tc>
          <w:tcPr>
            <w:tcW w:w="1359" w:type="pct"/>
            <w:vAlign w:val="center"/>
          </w:tcPr>
          <w:p w:rsidR="004F3A37" w:rsidRPr="00F86759" w:rsidRDefault="004F3A37" w:rsidP="006C5D11">
            <w:pPr>
              <w:pStyle w:val="TableText"/>
              <w:jc w:val="center"/>
              <w:rPr>
                <w:rFonts w:ascii="Times" w:hAnsi="Times"/>
              </w:rPr>
            </w:pPr>
            <w:r w:rsidRPr="00F86759">
              <w:t>4.96</w:t>
            </w:r>
          </w:p>
        </w:tc>
        <w:tc>
          <w:tcPr>
            <w:tcW w:w="1274" w:type="pct"/>
            <w:vAlign w:val="center"/>
          </w:tcPr>
          <w:p w:rsidR="004F3A37" w:rsidRPr="00F86759" w:rsidRDefault="004F3A37" w:rsidP="006C5D11">
            <w:pPr>
              <w:pStyle w:val="TableText"/>
              <w:jc w:val="center"/>
              <w:rPr>
                <w:rFonts w:ascii="Times" w:hAnsi="Times"/>
              </w:rPr>
            </w:pPr>
            <w:r w:rsidRPr="00F86759">
              <w:t>-</w:t>
            </w:r>
          </w:p>
        </w:tc>
        <w:tc>
          <w:tcPr>
            <w:tcW w:w="838" w:type="pct"/>
            <w:vAlign w:val="center"/>
          </w:tcPr>
          <w:p w:rsidR="004F3A37" w:rsidRPr="00F86759" w:rsidRDefault="004F3A37" w:rsidP="006C5D11">
            <w:pPr>
              <w:pStyle w:val="TableText"/>
              <w:jc w:val="center"/>
            </w:pPr>
            <w:r w:rsidRPr="00F86759">
              <w:t>4.96</w:t>
            </w:r>
          </w:p>
        </w:tc>
      </w:tr>
      <w:tr w:rsidR="004F3A37" w:rsidRPr="00F86759" w:rsidTr="006C5D11">
        <w:tc>
          <w:tcPr>
            <w:tcW w:w="4162" w:type="pct"/>
            <w:gridSpan w:val="3"/>
            <w:vAlign w:val="center"/>
          </w:tcPr>
          <w:p w:rsidR="004F3A37" w:rsidRPr="00F86759" w:rsidRDefault="004F3A37" w:rsidP="006C5D11">
            <w:pPr>
              <w:pStyle w:val="TableText"/>
              <w:rPr>
                <w:rFonts w:ascii="Times" w:hAnsi="Times"/>
              </w:rPr>
            </w:pPr>
            <w:r w:rsidRPr="00F86759">
              <w:t>Incremental cost/responder year gained</w:t>
            </w:r>
          </w:p>
        </w:tc>
        <w:tc>
          <w:tcPr>
            <w:tcW w:w="838" w:type="pct"/>
            <w:vAlign w:val="center"/>
          </w:tcPr>
          <w:p w:rsidR="004F3A37" w:rsidRPr="00981D2A" w:rsidRDefault="004F3A37" w:rsidP="006C5D11">
            <w:pPr>
              <w:pStyle w:val="TableText"/>
              <w:jc w:val="center"/>
              <w:rPr>
                <w:rFonts w:ascii="Times" w:hAnsi="Times"/>
                <w:vertAlign w:val="superscript"/>
              </w:rPr>
            </w:pPr>
            <w:r w:rsidRPr="00F86759">
              <w:t>$</w:t>
            </w:r>
            <w:r w:rsidR="00244F04">
              <w:rPr>
                <w:noProof/>
                <w:color w:val="000000"/>
                <w:highlight w:val="black"/>
              </w:rPr>
              <w:t>'''''''''''''</w:t>
            </w:r>
            <w:r w:rsidR="00981D2A">
              <w:rPr>
                <w:vertAlign w:val="superscript"/>
              </w:rPr>
              <w:t>1</w:t>
            </w:r>
          </w:p>
        </w:tc>
      </w:tr>
    </w:tbl>
    <w:p w:rsidR="004F3A37" w:rsidRDefault="004F3A37" w:rsidP="004F3A37">
      <w:pPr>
        <w:pStyle w:val="TableFigureFooter"/>
      </w:pPr>
      <w:r w:rsidRPr="00F86759">
        <w:t>Source: Slenyto PRM Section 3 Workbook 3.11.2020.xls</w:t>
      </w:r>
    </w:p>
    <w:p w:rsidR="006F4B9D" w:rsidRDefault="006F4B9D" w:rsidP="004F3A37">
      <w:pPr>
        <w:pStyle w:val="TableFigureFooter"/>
      </w:pPr>
      <w:r>
        <w:t xml:space="preserve">* </w:t>
      </w:r>
      <w:r w:rsidRPr="006F4B9D">
        <w:t>There were two errors in the economic analysis. A discount of 5% was applied once to outcomes accrued over 9 years, rather than applying an annual (compounding) discount. The submission also used 37 weeks rather than 39 weeks to make up the remaining weeks in the first year after the 13-week double blind period. These were corrected during the evaluation.</w:t>
      </w:r>
    </w:p>
    <w:p w:rsidR="00981D2A" w:rsidRPr="009868C4" w:rsidRDefault="00981D2A" w:rsidP="00981D2A">
      <w:pPr>
        <w:pStyle w:val="TableFigureFooter"/>
        <w:spacing w:after="0"/>
        <w:contextualSpacing w:val="0"/>
      </w:pPr>
      <w:r w:rsidRPr="009868C4">
        <w:rPr>
          <w:i/>
        </w:rPr>
        <w:t>The redacted values correspond to the following ranges</w:t>
      </w:r>
      <w:r>
        <w:rPr>
          <w:i/>
        </w:rPr>
        <w:t xml:space="preserve">: </w:t>
      </w:r>
    </w:p>
    <w:p w:rsidR="00981D2A" w:rsidRDefault="00981D2A" w:rsidP="004F3A37">
      <w:pPr>
        <w:pStyle w:val="TableFigureFooter"/>
        <w:rPr>
          <w:i/>
        </w:rPr>
      </w:pPr>
      <w:r>
        <w:rPr>
          <w:i/>
          <w:vertAlign w:val="superscript"/>
        </w:rPr>
        <w:t xml:space="preserve">1 </w:t>
      </w:r>
      <w:r w:rsidRPr="00981D2A">
        <w:rPr>
          <w:i/>
        </w:rPr>
        <w:t>$0 to &lt; $5,000</w:t>
      </w:r>
    </w:p>
    <w:p w:rsidR="00981D2A" w:rsidRPr="00981D2A" w:rsidRDefault="00981D2A" w:rsidP="004F3A37">
      <w:pPr>
        <w:pStyle w:val="TableFigureFooter"/>
        <w:rPr>
          <w:i/>
        </w:rPr>
      </w:pPr>
      <w:r>
        <w:rPr>
          <w:i/>
          <w:vertAlign w:val="superscript"/>
        </w:rPr>
        <w:t xml:space="preserve">2 </w:t>
      </w:r>
      <w:r w:rsidRPr="00981D2A">
        <w:rPr>
          <w:i/>
        </w:rPr>
        <w:t>$5,000 to &lt; $15,000</w:t>
      </w:r>
    </w:p>
    <w:p w:rsidR="004F3A37" w:rsidRPr="00F86759" w:rsidRDefault="004F3A37" w:rsidP="00981D2A">
      <w:pPr>
        <w:pStyle w:val="ExecSumBodyText"/>
      </w:pPr>
      <w:r w:rsidRPr="00F86759">
        <w:t xml:space="preserve">Based on the submission’s approach, the incremental cost per additional responder over 2 years is </w:t>
      </w:r>
      <w:r w:rsidR="00981D2A" w:rsidRPr="00981D2A">
        <w:t>$5,000 to &lt; $15,000</w:t>
      </w:r>
      <w:r w:rsidR="00981D2A">
        <w:t xml:space="preserve"> </w:t>
      </w:r>
      <w:r w:rsidRPr="00F86759">
        <w:t xml:space="preserve">and the incremental cost per responder year gained over 9 years is </w:t>
      </w:r>
      <w:r w:rsidR="00981D2A" w:rsidRPr="00981D2A">
        <w:t>$0 to &lt; $5,000</w:t>
      </w:r>
      <w:r w:rsidR="004B6CCC">
        <w:t>.</w:t>
      </w:r>
    </w:p>
    <w:p w:rsidR="00A86E8B" w:rsidRPr="00F86759" w:rsidRDefault="00D23D11" w:rsidP="00BB732D">
      <w:pPr>
        <w:pStyle w:val="ExecSumBodyText"/>
      </w:pPr>
      <w:r w:rsidRPr="00F86759">
        <w:t xml:space="preserve">The results of key sensitivity analyses are summarised below. </w:t>
      </w:r>
    </w:p>
    <w:p w:rsidR="006C52A6" w:rsidRPr="00F86759" w:rsidRDefault="00D23D11" w:rsidP="006C52A6">
      <w:pPr>
        <w:pStyle w:val="TableFigureCaption"/>
      </w:pPr>
      <w:r w:rsidRPr="00F86759">
        <w:t>Table</w:t>
      </w:r>
      <w:r w:rsidR="006C52A6" w:rsidRPr="00F86759">
        <w:t xml:space="preserve"> 1</w:t>
      </w:r>
      <w:r w:rsidR="006B5E82" w:rsidRPr="00F86759">
        <w:t>1</w:t>
      </w:r>
      <w:r w:rsidRPr="00F86759">
        <w:t>:</w:t>
      </w:r>
      <w:r w:rsidR="00354F64" w:rsidRPr="00F86759">
        <w:t xml:space="preserve"> </w:t>
      </w:r>
      <w:r w:rsidR="006C52A6" w:rsidRPr="00F86759">
        <w:t>Results of sensitivity analyses calculated during the evaluation</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646"/>
        <w:gridCol w:w="1687"/>
        <w:gridCol w:w="1254"/>
      </w:tblGrid>
      <w:tr w:rsidR="006C52A6" w:rsidRPr="00F86759" w:rsidTr="006C5D11">
        <w:trPr>
          <w:tblHeader/>
        </w:trPr>
        <w:tc>
          <w:tcPr>
            <w:tcW w:w="4716" w:type="dxa"/>
          </w:tcPr>
          <w:p w:rsidR="006C52A6" w:rsidRPr="00F86759" w:rsidRDefault="006C52A6" w:rsidP="006C5D11">
            <w:pPr>
              <w:pStyle w:val="Tableheadingrow"/>
            </w:pPr>
            <w:r w:rsidRPr="00F86759">
              <w:t>Analyses</w:t>
            </w:r>
          </w:p>
        </w:tc>
        <w:tc>
          <w:tcPr>
            <w:tcW w:w="1646" w:type="dxa"/>
          </w:tcPr>
          <w:p w:rsidR="006C52A6" w:rsidRPr="00F86759" w:rsidRDefault="006C52A6" w:rsidP="006C5D11">
            <w:pPr>
              <w:pStyle w:val="Tableheadingrow"/>
              <w:jc w:val="center"/>
            </w:pPr>
            <w:r w:rsidRPr="00F86759">
              <w:t>Incremental cost</w:t>
            </w:r>
          </w:p>
        </w:tc>
        <w:tc>
          <w:tcPr>
            <w:tcW w:w="1687" w:type="dxa"/>
          </w:tcPr>
          <w:p w:rsidR="006C52A6" w:rsidRPr="00F86759" w:rsidRDefault="006C52A6" w:rsidP="006C5D11">
            <w:pPr>
              <w:pStyle w:val="Tableheadingrow"/>
              <w:jc w:val="center"/>
            </w:pPr>
            <w:r w:rsidRPr="00F86759">
              <w:t>Incremental responder years</w:t>
            </w:r>
          </w:p>
        </w:tc>
        <w:tc>
          <w:tcPr>
            <w:tcW w:w="1254" w:type="dxa"/>
          </w:tcPr>
          <w:p w:rsidR="006C52A6" w:rsidRPr="00F86759" w:rsidRDefault="006C52A6" w:rsidP="006C5D11">
            <w:pPr>
              <w:pStyle w:val="Tableheadingrow"/>
              <w:jc w:val="center"/>
            </w:pPr>
            <w:r w:rsidRPr="00F86759">
              <w:t>ICER</w:t>
            </w:r>
          </w:p>
        </w:tc>
      </w:tr>
      <w:tr w:rsidR="006C52A6" w:rsidRPr="00F86759" w:rsidTr="006C5D11">
        <w:tc>
          <w:tcPr>
            <w:tcW w:w="4716" w:type="dxa"/>
          </w:tcPr>
          <w:p w:rsidR="006C52A6" w:rsidRPr="00F86759" w:rsidRDefault="006C52A6" w:rsidP="006C5D11">
            <w:pPr>
              <w:pStyle w:val="TableText"/>
              <w:rPr>
                <w:b/>
              </w:rPr>
            </w:pPr>
            <w:r w:rsidRPr="00F86759">
              <w:rPr>
                <w:b/>
              </w:rPr>
              <w:t>Base case (discounted)</w:t>
            </w:r>
          </w:p>
        </w:tc>
        <w:tc>
          <w:tcPr>
            <w:tcW w:w="1646" w:type="dxa"/>
          </w:tcPr>
          <w:p w:rsidR="006C52A6" w:rsidRPr="00F86759" w:rsidRDefault="006C52A6" w:rsidP="006C5D11">
            <w:pPr>
              <w:pStyle w:val="TableText"/>
              <w:jc w:val="center"/>
              <w:rPr>
                <w:b/>
              </w:rPr>
            </w:pPr>
            <w:r w:rsidRPr="00F86759">
              <w:rPr>
                <w:b/>
              </w:rPr>
              <w:t>$</w:t>
            </w:r>
            <w:r w:rsidR="00244F04">
              <w:rPr>
                <w:b/>
                <w:noProof/>
                <w:color w:val="000000"/>
                <w:highlight w:val="black"/>
              </w:rPr>
              <w:t>'''''''''''''</w:t>
            </w:r>
          </w:p>
        </w:tc>
        <w:tc>
          <w:tcPr>
            <w:tcW w:w="1687" w:type="dxa"/>
          </w:tcPr>
          <w:p w:rsidR="006C52A6" w:rsidRPr="00F86759" w:rsidRDefault="006C52A6" w:rsidP="006C5D11">
            <w:pPr>
              <w:pStyle w:val="TableText"/>
              <w:jc w:val="center"/>
              <w:rPr>
                <w:b/>
              </w:rPr>
            </w:pPr>
            <w:r w:rsidRPr="00F86759">
              <w:rPr>
                <w:b/>
              </w:rPr>
              <w:t>4.96</w:t>
            </w:r>
          </w:p>
        </w:tc>
        <w:tc>
          <w:tcPr>
            <w:tcW w:w="1254" w:type="dxa"/>
          </w:tcPr>
          <w:p w:rsidR="006C52A6" w:rsidRPr="00981D2A" w:rsidRDefault="006C52A6" w:rsidP="006C5D11">
            <w:pPr>
              <w:pStyle w:val="TableText"/>
              <w:jc w:val="center"/>
              <w:rPr>
                <w:b/>
                <w:vertAlign w:val="superscript"/>
              </w:rPr>
            </w:pPr>
            <w:r w:rsidRPr="00F86759">
              <w:rPr>
                <w:b/>
              </w:rPr>
              <w:t>$</w:t>
            </w:r>
            <w:r w:rsidR="00244F04">
              <w:rPr>
                <w:b/>
                <w:noProof/>
                <w:color w:val="000000"/>
                <w:highlight w:val="black"/>
              </w:rPr>
              <w:t>''''''''''''</w:t>
            </w:r>
            <w:r w:rsidR="00981D2A">
              <w:rPr>
                <w:b/>
                <w:vertAlign w:val="superscript"/>
              </w:rPr>
              <w:t>1</w:t>
            </w:r>
          </w:p>
        </w:tc>
      </w:tr>
      <w:tr w:rsidR="006C52A6" w:rsidRPr="00F86759" w:rsidTr="006C5D11">
        <w:tc>
          <w:tcPr>
            <w:tcW w:w="4716" w:type="dxa"/>
          </w:tcPr>
          <w:p w:rsidR="006C52A6" w:rsidRPr="00F86759" w:rsidRDefault="006C52A6" w:rsidP="006C5D11">
            <w:pPr>
              <w:pStyle w:val="TableText"/>
            </w:pPr>
            <w:r w:rsidRPr="00F86759">
              <w:t xml:space="preserve">Incremental treatment effect applied years 1-9 (placebo effect doesn’t disappear after 12 months) </w:t>
            </w:r>
          </w:p>
        </w:tc>
        <w:tc>
          <w:tcPr>
            <w:tcW w:w="1646" w:type="dxa"/>
          </w:tcPr>
          <w:p w:rsidR="006C52A6" w:rsidRPr="00F86759" w:rsidRDefault="006C52A6" w:rsidP="006C5D11">
            <w:pPr>
              <w:pStyle w:val="TableText"/>
              <w:jc w:val="center"/>
            </w:pPr>
            <w:r w:rsidRPr="00F86759">
              <w:t>$</w:t>
            </w:r>
            <w:r w:rsidR="00244F04">
              <w:rPr>
                <w:noProof/>
                <w:color w:val="000000"/>
                <w:highlight w:val="black"/>
              </w:rPr>
              <w:t>'''''''''''''''</w:t>
            </w:r>
          </w:p>
        </w:tc>
        <w:tc>
          <w:tcPr>
            <w:tcW w:w="1687" w:type="dxa"/>
          </w:tcPr>
          <w:p w:rsidR="006C52A6" w:rsidRPr="00F86759" w:rsidRDefault="006C52A6" w:rsidP="006C5D11">
            <w:pPr>
              <w:pStyle w:val="TableText"/>
              <w:jc w:val="center"/>
            </w:pPr>
            <w:r w:rsidRPr="00F86759">
              <w:t>2.42</w:t>
            </w:r>
          </w:p>
        </w:tc>
        <w:tc>
          <w:tcPr>
            <w:tcW w:w="1254" w:type="dxa"/>
          </w:tcPr>
          <w:p w:rsidR="006C52A6" w:rsidRPr="00981D2A" w:rsidRDefault="006C52A6" w:rsidP="006C5D11">
            <w:pPr>
              <w:pStyle w:val="TableText"/>
              <w:jc w:val="center"/>
              <w:rPr>
                <w:vertAlign w:val="superscript"/>
              </w:rPr>
            </w:pPr>
            <w:r w:rsidRPr="00F86759">
              <w:t>$</w:t>
            </w:r>
            <w:r w:rsidR="00244F04">
              <w:rPr>
                <w:noProof/>
                <w:color w:val="000000"/>
                <w:highlight w:val="black"/>
              </w:rPr>
              <w:t>'''''''''''''</w:t>
            </w:r>
            <w:r w:rsidR="00981D2A">
              <w:rPr>
                <w:vertAlign w:val="superscript"/>
              </w:rPr>
              <w:t>2</w:t>
            </w:r>
          </w:p>
        </w:tc>
      </w:tr>
      <w:tr w:rsidR="006C52A6" w:rsidRPr="00F86759" w:rsidTr="006C5D11">
        <w:tc>
          <w:tcPr>
            <w:tcW w:w="4716" w:type="dxa"/>
          </w:tcPr>
          <w:p w:rsidR="006C52A6" w:rsidRPr="00F86759" w:rsidRDefault="006C52A6" w:rsidP="006C5D11">
            <w:pPr>
              <w:pStyle w:val="TableText"/>
            </w:pPr>
            <w:r w:rsidRPr="00F86759">
              <w:t>Treatment effect attenuation (base case 1.84; no attenuation)</w:t>
            </w:r>
          </w:p>
          <w:p w:rsidR="006C52A6" w:rsidRPr="00F86759" w:rsidRDefault="006C52A6" w:rsidP="006C5D11">
            <w:pPr>
              <w:pStyle w:val="TableText"/>
            </w:pPr>
            <w:r w:rsidRPr="00F86759">
              <w:t>Lower bound 95% confidence interval: 1.26</w:t>
            </w:r>
          </w:p>
          <w:p w:rsidR="006C52A6" w:rsidRPr="00F86759" w:rsidRDefault="006C52A6" w:rsidP="006C5D11">
            <w:pPr>
              <w:pStyle w:val="TableText"/>
            </w:pPr>
            <w:r w:rsidRPr="00F86759">
              <w:t>Convergence of treatment effect: 1.00</w:t>
            </w:r>
          </w:p>
        </w:tc>
        <w:tc>
          <w:tcPr>
            <w:tcW w:w="1646" w:type="dxa"/>
          </w:tcPr>
          <w:p w:rsidR="006C52A6" w:rsidRPr="00F86759" w:rsidRDefault="006C52A6" w:rsidP="006C5D11">
            <w:pPr>
              <w:pStyle w:val="TableText"/>
              <w:jc w:val="center"/>
            </w:pPr>
          </w:p>
          <w:p w:rsidR="006C52A6" w:rsidRPr="00F86759" w:rsidRDefault="006C52A6" w:rsidP="006C5D11">
            <w:pPr>
              <w:pStyle w:val="TableText"/>
              <w:jc w:val="center"/>
            </w:pPr>
            <w:r w:rsidRPr="00F86759">
              <w:t>$</w:t>
            </w:r>
            <w:r w:rsidR="00244F04">
              <w:rPr>
                <w:noProof/>
                <w:color w:val="000000"/>
                <w:highlight w:val="black"/>
              </w:rPr>
              <w:t>'''''''''''''''''</w:t>
            </w:r>
          </w:p>
          <w:p w:rsidR="006C52A6" w:rsidRPr="00F86759" w:rsidRDefault="006C52A6" w:rsidP="006C5D11">
            <w:pPr>
              <w:pStyle w:val="TableText"/>
              <w:jc w:val="center"/>
            </w:pPr>
            <w:r w:rsidRPr="00F86759">
              <w:t>$</w:t>
            </w:r>
            <w:r w:rsidR="00244F04">
              <w:rPr>
                <w:noProof/>
                <w:color w:val="000000"/>
                <w:highlight w:val="black"/>
              </w:rPr>
              <w:t>'''''''''''''''</w:t>
            </w:r>
          </w:p>
        </w:tc>
        <w:tc>
          <w:tcPr>
            <w:tcW w:w="1687" w:type="dxa"/>
          </w:tcPr>
          <w:p w:rsidR="006C52A6" w:rsidRPr="00F86759" w:rsidRDefault="006C52A6" w:rsidP="006C5D11">
            <w:pPr>
              <w:pStyle w:val="TableText"/>
              <w:jc w:val="center"/>
            </w:pPr>
          </w:p>
          <w:p w:rsidR="006C52A6" w:rsidRPr="00F86759" w:rsidRDefault="006C52A6" w:rsidP="006C5D11">
            <w:pPr>
              <w:pStyle w:val="TableText"/>
              <w:jc w:val="center"/>
            </w:pPr>
            <w:r w:rsidRPr="00F86759">
              <w:t>4.27</w:t>
            </w:r>
          </w:p>
          <w:p w:rsidR="006C52A6" w:rsidRPr="00F86759" w:rsidRDefault="006C52A6" w:rsidP="006C5D11">
            <w:pPr>
              <w:pStyle w:val="TableText"/>
              <w:jc w:val="center"/>
            </w:pPr>
            <w:r w:rsidRPr="00F86759">
              <w:t>3.96</w:t>
            </w:r>
          </w:p>
        </w:tc>
        <w:tc>
          <w:tcPr>
            <w:tcW w:w="1254" w:type="dxa"/>
          </w:tcPr>
          <w:p w:rsidR="006C52A6" w:rsidRPr="00F86759" w:rsidRDefault="006C52A6" w:rsidP="006C5D11">
            <w:pPr>
              <w:pStyle w:val="TableText"/>
              <w:jc w:val="center"/>
            </w:pPr>
          </w:p>
          <w:p w:rsidR="006C52A6" w:rsidRPr="00981D2A" w:rsidRDefault="006C52A6" w:rsidP="006C5D11">
            <w:pPr>
              <w:pStyle w:val="TableText"/>
              <w:jc w:val="center"/>
              <w:rPr>
                <w:vertAlign w:val="superscript"/>
              </w:rPr>
            </w:pPr>
            <w:r w:rsidRPr="00F86759">
              <w:t>$</w:t>
            </w:r>
            <w:r w:rsidR="00244F04">
              <w:rPr>
                <w:noProof/>
                <w:color w:val="000000"/>
                <w:highlight w:val="black"/>
              </w:rPr>
              <w:t>''''''''''''''</w:t>
            </w:r>
            <w:r w:rsidR="00981D2A">
              <w:rPr>
                <w:vertAlign w:val="superscript"/>
              </w:rPr>
              <w:t>1</w:t>
            </w:r>
          </w:p>
          <w:p w:rsidR="006C52A6" w:rsidRPr="00981D2A" w:rsidRDefault="006C52A6" w:rsidP="006C5D11">
            <w:pPr>
              <w:pStyle w:val="TableText"/>
              <w:jc w:val="center"/>
              <w:rPr>
                <w:vertAlign w:val="superscript"/>
              </w:rPr>
            </w:pPr>
            <w:r w:rsidRPr="00F86759">
              <w:t>$</w:t>
            </w:r>
            <w:r w:rsidR="00244F04">
              <w:rPr>
                <w:noProof/>
                <w:color w:val="000000"/>
                <w:highlight w:val="black"/>
              </w:rPr>
              <w:t>'''''''''''''</w:t>
            </w:r>
            <w:r w:rsidR="00981D2A">
              <w:rPr>
                <w:vertAlign w:val="superscript"/>
              </w:rPr>
              <w:t>1</w:t>
            </w:r>
          </w:p>
        </w:tc>
      </w:tr>
      <w:tr w:rsidR="006C52A6" w:rsidRPr="00F86759" w:rsidTr="006C5D11">
        <w:tc>
          <w:tcPr>
            <w:tcW w:w="4716" w:type="dxa"/>
          </w:tcPr>
          <w:p w:rsidR="006C52A6" w:rsidRPr="00F86759" w:rsidRDefault="006C52A6" w:rsidP="006C5D11">
            <w:pPr>
              <w:pStyle w:val="TableText"/>
            </w:pPr>
            <w:r w:rsidRPr="00F86759">
              <w:t>Dose of melatonin (base case 5.3 mg/day</w:t>
            </w:r>
            <w:r w:rsidR="00FB118F" w:rsidRPr="00F86759">
              <w:t xml:space="preserve">, </w:t>
            </w:r>
            <w:r w:rsidR="00FB118F" w:rsidRPr="00F86759">
              <w:rPr>
                <w:lang w:val="en-US"/>
              </w:rPr>
              <w:t>29% 1 mg</w:t>
            </w:r>
            <w:r w:rsidR="009627B2" w:rsidRPr="00F86759">
              <w:rPr>
                <w:lang w:val="en-US"/>
              </w:rPr>
              <w:t xml:space="preserve"> </w:t>
            </w:r>
            <w:r w:rsidR="00FB118F" w:rsidRPr="00F86759">
              <w:rPr>
                <w:lang w:val="en-US"/>
              </w:rPr>
              <w:t xml:space="preserve">x </w:t>
            </w:r>
            <w:r w:rsidR="00244F04">
              <w:rPr>
                <w:noProof/>
                <w:color w:val="000000"/>
                <w:highlight w:val="black"/>
                <w:lang w:val="en-US"/>
              </w:rPr>
              <w:t>'''''</w:t>
            </w:r>
            <w:r w:rsidR="00981D2A">
              <w:rPr>
                <w:vertAlign w:val="superscript"/>
                <w:lang w:val="en-US"/>
              </w:rPr>
              <w:t>3</w:t>
            </w:r>
            <w:r w:rsidR="00FB118F" w:rsidRPr="00F86759">
              <w:rPr>
                <w:lang w:val="en-US"/>
              </w:rPr>
              <w:t xml:space="preserve"> and 71% 5mg x </w:t>
            </w:r>
            <w:r w:rsidR="00244F04">
              <w:rPr>
                <w:noProof/>
                <w:color w:val="000000"/>
                <w:highlight w:val="black"/>
                <w:lang w:val="en-US"/>
              </w:rPr>
              <w:t>'''''</w:t>
            </w:r>
            <w:r w:rsidR="00981D2A">
              <w:rPr>
                <w:vertAlign w:val="superscript"/>
                <w:lang w:val="en-US"/>
              </w:rPr>
              <w:t>3</w:t>
            </w:r>
            <w:r w:rsidR="00FB118F" w:rsidRPr="00F86759">
              <w:rPr>
                <w:lang w:val="en-US"/>
              </w:rPr>
              <w:t xml:space="preserve"> scripts)</w:t>
            </w:r>
            <w:r w:rsidR="00FB118F" w:rsidRPr="00F86759">
              <w:t>.</w:t>
            </w:r>
          </w:p>
          <w:p w:rsidR="006C52A6" w:rsidRPr="00F86759" w:rsidRDefault="006C52A6" w:rsidP="006C5D11">
            <w:pPr>
              <w:pStyle w:val="TableText"/>
              <w:numPr>
                <w:ilvl w:val="0"/>
                <w:numId w:val="7"/>
              </w:numPr>
            </w:pPr>
            <w:r w:rsidRPr="00F86759">
              <w:t xml:space="preserve">2 mg/day (100% 1 mg x </w:t>
            </w:r>
            <w:r w:rsidR="00244F04">
              <w:rPr>
                <w:noProof/>
                <w:color w:val="000000"/>
                <w:highlight w:val="black"/>
              </w:rPr>
              <w:t>''''''</w:t>
            </w:r>
            <w:r w:rsidR="00981D2A">
              <w:rPr>
                <w:vertAlign w:val="superscript"/>
              </w:rPr>
              <w:t>3</w:t>
            </w:r>
            <w:r w:rsidRPr="00F86759">
              <w:t xml:space="preserve"> scripts)</w:t>
            </w:r>
          </w:p>
          <w:p w:rsidR="006C52A6" w:rsidRPr="00F86759" w:rsidRDefault="006C52A6" w:rsidP="006C5D11">
            <w:pPr>
              <w:pStyle w:val="TableText"/>
              <w:numPr>
                <w:ilvl w:val="0"/>
                <w:numId w:val="7"/>
              </w:numPr>
            </w:pPr>
            <w:r w:rsidRPr="00F86759">
              <w:t xml:space="preserve">5 mg/day (100% 5 mg x </w:t>
            </w:r>
            <w:r w:rsidR="00244F04">
              <w:rPr>
                <w:noProof/>
                <w:color w:val="000000"/>
                <w:highlight w:val="black"/>
              </w:rPr>
              <w:t>''''''</w:t>
            </w:r>
            <w:r w:rsidR="00981D2A">
              <w:rPr>
                <w:vertAlign w:val="superscript"/>
              </w:rPr>
              <w:t>3</w:t>
            </w:r>
            <w:r w:rsidRPr="00F86759">
              <w:t xml:space="preserve"> scripts)</w:t>
            </w:r>
          </w:p>
          <w:p w:rsidR="006C52A6" w:rsidRPr="00F86759" w:rsidRDefault="006C52A6" w:rsidP="006C5D11">
            <w:pPr>
              <w:pStyle w:val="TableText"/>
              <w:numPr>
                <w:ilvl w:val="0"/>
                <w:numId w:val="7"/>
              </w:numPr>
            </w:pPr>
            <w:r w:rsidRPr="00F86759">
              <w:t xml:space="preserve">10 mg/day (100% 5 mg x </w:t>
            </w:r>
            <w:r w:rsidR="00244F04">
              <w:rPr>
                <w:noProof/>
                <w:color w:val="000000"/>
                <w:highlight w:val="black"/>
              </w:rPr>
              <w:t>'''''''</w:t>
            </w:r>
            <w:r w:rsidR="00981D2A">
              <w:rPr>
                <w:vertAlign w:val="superscript"/>
              </w:rPr>
              <w:t>3</w:t>
            </w:r>
            <w:r w:rsidRPr="00F86759">
              <w:t xml:space="preserve"> scripts)</w:t>
            </w:r>
          </w:p>
        </w:tc>
        <w:tc>
          <w:tcPr>
            <w:tcW w:w="1646" w:type="dxa"/>
          </w:tcPr>
          <w:p w:rsidR="006C52A6" w:rsidRPr="00F86759" w:rsidRDefault="006C52A6" w:rsidP="006C5D11">
            <w:pPr>
              <w:pStyle w:val="TableText"/>
              <w:jc w:val="center"/>
            </w:pPr>
          </w:p>
          <w:p w:rsidR="00FB118F" w:rsidRPr="00F86759" w:rsidRDefault="00FB118F" w:rsidP="006C5D11">
            <w:pPr>
              <w:pStyle w:val="TableText"/>
              <w:jc w:val="center"/>
            </w:pPr>
          </w:p>
          <w:p w:rsidR="006C52A6" w:rsidRPr="00F86759" w:rsidRDefault="006C52A6" w:rsidP="006C5D11">
            <w:pPr>
              <w:pStyle w:val="TableText"/>
              <w:jc w:val="center"/>
            </w:pPr>
            <w:r w:rsidRPr="00F86759">
              <w:t>$</w:t>
            </w:r>
            <w:r w:rsidR="00244F04">
              <w:rPr>
                <w:noProof/>
                <w:color w:val="000000"/>
                <w:highlight w:val="black"/>
              </w:rPr>
              <w:t>''''''''''''</w:t>
            </w:r>
          </w:p>
          <w:p w:rsidR="006C52A6" w:rsidRPr="00F86759" w:rsidRDefault="006C52A6" w:rsidP="006C5D11">
            <w:pPr>
              <w:pStyle w:val="TableText"/>
              <w:jc w:val="center"/>
            </w:pPr>
            <w:r w:rsidRPr="00F86759">
              <w:t>$</w:t>
            </w:r>
            <w:r w:rsidR="00244F04">
              <w:rPr>
                <w:noProof/>
                <w:color w:val="000000"/>
                <w:highlight w:val="black"/>
              </w:rPr>
              <w:t>'''''''''''''''</w:t>
            </w:r>
          </w:p>
          <w:p w:rsidR="006C52A6" w:rsidRPr="00F86759" w:rsidRDefault="006C52A6" w:rsidP="006C5D11">
            <w:pPr>
              <w:pStyle w:val="TableText"/>
              <w:jc w:val="center"/>
            </w:pPr>
            <w:r w:rsidRPr="00F86759">
              <w:t>$</w:t>
            </w:r>
            <w:r w:rsidR="00244F04">
              <w:rPr>
                <w:noProof/>
                <w:color w:val="000000"/>
                <w:highlight w:val="black"/>
              </w:rPr>
              <w:t>''''''''''''''''</w:t>
            </w:r>
          </w:p>
        </w:tc>
        <w:tc>
          <w:tcPr>
            <w:tcW w:w="1687" w:type="dxa"/>
          </w:tcPr>
          <w:p w:rsidR="006C52A6" w:rsidRPr="00F86759" w:rsidRDefault="006C52A6" w:rsidP="006C5D11">
            <w:pPr>
              <w:pStyle w:val="TableText"/>
              <w:jc w:val="center"/>
            </w:pPr>
          </w:p>
          <w:p w:rsidR="00FB118F" w:rsidRPr="00F86759" w:rsidRDefault="00FB118F" w:rsidP="006C5D11">
            <w:pPr>
              <w:pStyle w:val="TableText"/>
              <w:jc w:val="center"/>
            </w:pPr>
          </w:p>
          <w:p w:rsidR="006C52A6" w:rsidRPr="00F86759" w:rsidRDefault="006C52A6" w:rsidP="006C5D11">
            <w:pPr>
              <w:pStyle w:val="TableText"/>
              <w:jc w:val="center"/>
            </w:pPr>
            <w:r w:rsidRPr="00F86759">
              <w:t>4.96</w:t>
            </w:r>
          </w:p>
          <w:p w:rsidR="006C52A6" w:rsidRPr="00F86759" w:rsidRDefault="006C52A6" w:rsidP="006C5D11">
            <w:pPr>
              <w:pStyle w:val="TableText"/>
              <w:jc w:val="center"/>
            </w:pPr>
            <w:r w:rsidRPr="00F86759">
              <w:t>4.96</w:t>
            </w:r>
          </w:p>
          <w:p w:rsidR="006C52A6" w:rsidRPr="00F86759" w:rsidRDefault="006C52A6" w:rsidP="006C5D11">
            <w:pPr>
              <w:pStyle w:val="TableText"/>
              <w:jc w:val="center"/>
            </w:pPr>
            <w:r w:rsidRPr="00F86759">
              <w:t xml:space="preserve"> 4.96</w:t>
            </w:r>
          </w:p>
        </w:tc>
        <w:tc>
          <w:tcPr>
            <w:tcW w:w="1254" w:type="dxa"/>
          </w:tcPr>
          <w:p w:rsidR="006C52A6" w:rsidRPr="00F86759" w:rsidRDefault="006C52A6" w:rsidP="006C5D11">
            <w:pPr>
              <w:pStyle w:val="TableText"/>
              <w:jc w:val="center"/>
            </w:pPr>
          </w:p>
          <w:p w:rsidR="00FB118F" w:rsidRPr="00F86759" w:rsidRDefault="00FB118F" w:rsidP="006C5D11">
            <w:pPr>
              <w:pStyle w:val="TableText"/>
              <w:jc w:val="center"/>
            </w:pPr>
          </w:p>
          <w:p w:rsidR="006C52A6" w:rsidRPr="00F86759" w:rsidRDefault="006C52A6" w:rsidP="006C5D11">
            <w:pPr>
              <w:pStyle w:val="TableText"/>
              <w:jc w:val="center"/>
            </w:pPr>
            <w:r w:rsidRPr="00F86759">
              <w:t>$</w:t>
            </w:r>
            <w:r w:rsidR="00244F04">
              <w:rPr>
                <w:noProof/>
                <w:color w:val="000000"/>
                <w:highlight w:val="black"/>
              </w:rPr>
              <w:t>''''''''''''''</w:t>
            </w:r>
            <w:r w:rsidR="00981D2A">
              <w:rPr>
                <w:vertAlign w:val="superscript"/>
              </w:rPr>
              <w:t>1</w:t>
            </w:r>
          </w:p>
          <w:p w:rsidR="006C52A6" w:rsidRPr="00F86759" w:rsidRDefault="006C52A6" w:rsidP="006C5D11">
            <w:pPr>
              <w:pStyle w:val="TableText"/>
              <w:jc w:val="center"/>
            </w:pPr>
            <w:r w:rsidRPr="00F86759">
              <w:t>$</w:t>
            </w:r>
            <w:r w:rsidR="00244F04">
              <w:rPr>
                <w:noProof/>
                <w:color w:val="000000"/>
                <w:highlight w:val="black"/>
              </w:rPr>
              <w:t>'''''''''''''</w:t>
            </w:r>
            <w:r w:rsidR="00981D2A">
              <w:rPr>
                <w:vertAlign w:val="superscript"/>
              </w:rPr>
              <w:t>1</w:t>
            </w:r>
          </w:p>
          <w:p w:rsidR="006C52A6" w:rsidRPr="00F86759" w:rsidRDefault="006C52A6" w:rsidP="006C5D11">
            <w:pPr>
              <w:pStyle w:val="TableText"/>
              <w:jc w:val="center"/>
            </w:pPr>
            <w:r w:rsidRPr="00F86759">
              <w:t>$</w:t>
            </w:r>
            <w:r w:rsidR="00244F04">
              <w:rPr>
                <w:noProof/>
                <w:color w:val="000000"/>
                <w:highlight w:val="black"/>
              </w:rPr>
              <w:t>'''''''''''''</w:t>
            </w:r>
            <w:r w:rsidR="00981D2A">
              <w:rPr>
                <w:vertAlign w:val="superscript"/>
              </w:rPr>
              <w:t>1</w:t>
            </w:r>
          </w:p>
        </w:tc>
      </w:tr>
    </w:tbl>
    <w:p w:rsidR="00447DFC" w:rsidRDefault="006C52A6" w:rsidP="00BB732D">
      <w:pPr>
        <w:pStyle w:val="TableFigureFooter"/>
        <w:rPr>
          <w:rFonts w:eastAsia="Calibri"/>
          <w:szCs w:val="20"/>
        </w:rPr>
      </w:pPr>
      <w:r w:rsidRPr="00F86759">
        <w:t>Source: Calculated during the evaluation using Slenyto PRM Section 3 workbook</w:t>
      </w:r>
      <w:r w:rsidR="008215FB" w:rsidRPr="00F86759">
        <w:rPr>
          <w:rFonts w:eastAsia="Calibri"/>
          <w:szCs w:val="20"/>
        </w:rPr>
        <w:t xml:space="preserve">. </w:t>
      </w:r>
    </w:p>
    <w:p w:rsidR="00981D2A" w:rsidRPr="009868C4" w:rsidRDefault="00981D2A" w:rsidP="00981D2A">
      <w:pPr>
        <w:pStyle w:val="TableFigureFooter"/>
        <w:spacing w:after="0"/>
        <w:contextualSpacing w:val="0"/>
      </w:pPr>
      <w:r w:rsidRPr="009868C4">
        <w:rPr>
          <w:i/>
        </w:rPr>
        <w:t>The redacted values correspond to the following ranges</w:t>
      </w:r>
      <w:r>
        <w:rPr>
          <w:i/>
        </w:rPr>
        <w:t xml:space="preserve">: </w:t>
      </w:r>
    </w:p>
    <w:p w:rsidR="00981D2A" w:rsidRDefault="00981D2A" w:rsidP="00981D2A">
      <w:pPr>
        <w:pStyle w:val="TableFigureFooter"/>
        <w:rPr>
          <w:i/>
        </w:rPr>
      </w:pPr>
      <w:r>
        <w:rPr>
          <w:i/>
          <w:vertAlign w:val="superscript"/>
        </w:rPr>
        <w:t xml:space="preserve">1 </w:t>
      </w:r>
      <w:r w:rsidRPr="00981D2A">
        <w:rPr>
          <w:i/>
        </w:rPr>
        <w:t>$0 to &lt; $5,000</w:t>
      </w:r>
    </w:p>
    <w:p w:rsidR="00981D2A" w:rsidRDefault="00981D2A" w:rsidP="00981D2A">
      <w:pPr>
        <w:pStyle w:val="TableFigureFooter"/>
        <w:rPr>
          <w:i/>
        </w:rPr>
      </w:pPr>
      <w:r>
        <w:rPr>
          <w:i/>
          <w:vertAlign w:val="superscript"/>
        </w:rPr>
        <w:t xml:space="preserve">2 </w:t>
      </w:r>
      <w:r w:rsidRPr="00981D2A">
        <w:rPr>
          <w:i/>
        </w:rPr>
        <w:t>$5,000 to &lt; $15,000</w:t>
      </w:r>
    </w:p>
    <w:p w:rsidR="00981D2A" w:rsidRPr="00981D2A" w:rsidRDefault="00981D2A" w:rsidP="00981D2A">
      <w:pPr>
        <w:pStyle w:val="TableFigureFooter"/>
        <w:rPr>
          <w:i/>
        </w:rPr>
      </w:pPr>
      <w:r>
        <w:rPr>
          <w:i/>
          <w:vertAlign w:val="superscript"/>
        </w:rPr>
        <w:t xml:space="preserve">3 </w:t>
      </w:r>
      <w:r w:rsidRPr="00981D2A">
        <w:rPr>
          <w:i/>
        </w:rPr>
        <w:t>&lt; 500</w:t>
      </w:r>
    </w:p>
    <w:p w:rsidR="00981D2A" w:rsidRPr="00F86759" w:rsidRDefault="00981D2A" w:rsidP="00BB732D">
      <w:pPr>
        <w:pStyle w:val="TableFigureFooter"/>
        <w:rPr>
          <w:sz w:val="20"/>
        </w:rPr>
      </w:pPr>
    </w:p>
    <w:p w:rsidR="001E2F24" w:rsidRPr="00F86759" w:rsidRDefault="006C52A6" w:rsidP="006C52A6">
      <w:pPr>
        <w:pStyle w:val="ExecSumBodyText"/>
      </w:pPr>
      <w:r w:rsidRPr="00F86759">
        <w:t xml:space="preserve">The results of the sensitivity analysis show that the economic analysis was most sensitive to the inclusion of the incremental treatment effect over placebo, and the cost associated with different doses of melatonin. </w:t>
      </w:r>
    </w:p>
    <w:p w:rsidR="00B173E4" w:rsidRPr="00F86759" w:rsidRDefault="006262C8" w:rsidP="00576806">
      <w:pPr>
        <w:pStyle w:val="ExecSumBodyText"/>
        <w:rPr>
          <w:snapToGrid/>
          <w:lang w:val="en-US"/>
        </w:rPr>
      </w:pPr>
      <w:r w:rsidRPr="00F86759">
        <w:t xml:space="preserve">The ESC considered the </w:t>
      </w:r>
      <w:r w:rsidR="005B0DDB" w:rsidRPr="00F86759">
        <w:t>model</w:t>
      </w:r>
      <w:r w:rsidR="009737E1" w:rsidRPr="00F86759">
        <w:t xml:space="preserve"> was</w:t>
      </w:r>
      <w:r w:rsidR="005B0DDB" w:rsidRPr="00F86759">
        <w:t xml:space="preserve"> not a reasonable basis for assessing the cost-effectiveness of prolonged release melatonin in the requested population. In particular, the ESC considered the cost per responder approach to be problematic as </w:t>
      </w:r>
      <w:r w:rsidR="005B0DDB" w:rsidRPr="00625543">
        <w:t>the definition of respon</w:t>
      </w:r>
      <w:r w:rsidR="00C217EC" w:rsidRPr="00625543">
        <w:t>der used in the model was of uncertain clinical significance (paragraph 6.21</w:t>
      </w:r>
      <w:r w:rsidR="00C217EC" w:rsidRPr="00262D66">
        <w:t xml:space="preserve"> refers</w:t>
      </w:r>
      <w:r w:rsidR="00C217EC" w:rsidRPr="00F86759">
        <w:t xml:space="preserve">) and further considered the model structure to be overly simplistic and numerous assumptions favoured prolonged release melatonin. </w:t>
      </w:r>
      <w:r w:rsidR="00C217EC" w:rsidRPr="00F86759">
        <w:rPr>
          <w:snapToGrid/>
          <w:lang w:val="en-US"/>
        </w:rPr>
        <w:t xml:space="preserve">Therefore, the ESC considered an alternative basis for the economic model </w:t>
      </w:r>
      <w:r w:rsidR="00CE3D48" w:rsidRPr="00F86759">
        <w:rPr>
          <w:snapToGrid/>
          <w:lang w:val="en-US"/>
        </w:rPr>
        <w:t xml:space="preserve">(addressing issues raised in </w:t>
      </w:r>
      <w:r w:rsidR="00CE3D48" w:rsidRPr="00625543">
        <w:rPr>
          <w:snapToGrid/>
          <w:lang w:val="en-US"/>
        </w:rPr>
        <w:t>paragraphs 6.</w:t>
      </w:r>
      <w:r w:rsidR="00625543" w:rsidRPr="00625543">
        <w:rPr>
          <w:snapToGrid/>
          <w:lang w:val="en-US"/>
        </w:rPr>
        <w:t>39</w:t>
      </w:r>
      <w:r w:rsidR="00CE3D48" w:rsidRPr="00625543">
        <w:rPr>
          <w:snapToGrid/>
          <w:lang w:val="en-US"/>
        </w:rPr>
        <w:t xml:space="preserve"> to 6.42)</w:t>
      </w:r>
      <w:r w:rsidR="00CE3D48" w:rsidRPr="00F86759">
        <w:rPr>
          <w:snapToGrid/>
          <w:lang w:val="en-US"/>
        </w:rPr>
        <w:t xml:space="preserve"> </w:t>
      </w:r>
      <w:r w:rsidR="00C217EC" w:rsidRPr="00F86759">
        <w:rPr>
          <w:snapToGrid/>
          <w:lang w:val="en-US"/>
        </w:rPr>
        <w:t>may be more appropriate. However, the ESC also acknowledged that a QALY based approach would be challenging (but not impossible) due to the need for multiple transformations of the available data to support such an approach. The ESC noted QALYs were modelled for a submission for Slenyto</w:t>
      </w:r>
      <w:r w:rsidR="00C217EC" w:rsidRPr="00F86759">
        <w:rPr>
          <w:rFonts w:cstheme="minorHAnsi"/>
          <w:snapToGrid/>
          <w:lang w:val="en-US"/>
        </w:rPr>
        <w:t>®</w:t>
      </w:r>
      <w:r w:rsidR="00576806" w:rsidRPr="00F86759">
        <w:rPr>
          <w:rFonts w:cstheme="minorHAnsi"/>
          <w:snapToGrid/>
          <w:lang w:val="en-US"/>
        </w:rPr>
        <w:t xml:space="preserve"> versus immediate release melatonin</w:t>
      </w:r>
      <w:r w:rsidR="00C217EC" w:rsidRPr="00F86759">
        <w:rPr>
          <w:snapToGrid/>
          <w:lang w:val="en-US"/>
        </w:rPr>
        <w:t xml:space="preserve"> to the Scottish Medicines Consortium (SMC, 2020</w:t>
      </w:r>
      <w:r w:rsidR="00C217EC" w:rsidRPr="00F86759">
        <w:rPr>
          <w:snapToGrid/>
          <w:vertAlign w:val="superscript"/>
          <w:lang w:val="en-US"/>
        </w:rPr>
        <w:footnoteReference w:id="2"/>
      </w:r>
      <w:r w:rsidR="00C217EC" w:rsidRPr="00F86759">
        <w:rPr>
          <w:snapToGrid/>
          <w:lang w:val="en-US"/>
        </w:rPr>
        <w:t>)</w:t>
      </w:r>
      <w:r w:rsidR="00CE3941" w:rsidRPr="00F86759">
        <w:rPr>
          <w:snapToGrid/>
          <w:lang w:val="en-US"/>
        </w:rPr>
        <w:t xml:space="preserve"> and further noted that submission was not recommended for use within NHS Scotland as the company did not present a sufficiently robust economic analysis to gain acceptance by the SMC</w:t>
      </w:r>
      <w:r w:rsidR="00C217EC" w:rsidRPr="00F86759">
        <w:rPr>
          <w:snapToGrid/>
          <w:lang w:val="en-US"/>
        </w:rPr>
        <w:t>.</w:t>
      </w:r>
      <w:r w:rsidR="003F51FE" w:rsidRPr="00F86759">
        <w:rPr>
          <w:snapToGrid/>
          <w:lang w:val="en-US"/>
        </w:rPr>
        <w:t xml:space="preserve"> </w:t>
      </w:r>
      <w:r w:rsidR="00262D66">
        <w:rPr>
          <w:snapToGrid/>
          <w:lang w:val="en-US"/>
        </w:rPr>
        <w:t>The Pre-PBAC Response argued it would be inherently difficult to model the cost-effectiveness of prolonged release melatonin in the requested populations on a cost per QALY basis from the sleep-based endpoints in the clinical trials and further argued deriving robust utility values to inform a model for this population would be inherently uncertain and would require a number of assumptions to be made.</w:t>
      </w:r>
    </w:p>
    <w:p w:rsidR="00C25D9C" w:rsidRPr="00F86759" w:rsidRDefault="00C25D9C" w:rsidP="00F86759">
      <w:pPr>
        <w:pStyle w:val="3-SubsectionHeading"/>
      </w:pPr>
      <w:bookmarkStart w:id="20" w:name="_Toc22897646"/>
      <w:bookmarkStart w:id="21" w:name="_Toc62036853"/>
      <w:r w:rsidRPr="00F86759">
        <w:t>Drug</w:t>
      </w:r>
      <w:r w:rsidR="006C52A6" w:rsidRPr="00F86759">
        <w:t xml:space="preserve"> </w:t>
      </w:r>
      <w:r w:rsidRPr="00F86759">
        <w:t>cost/patient/year</w:t>
      </w:r>
      <w:bookmarkEnd w:id="20"/>
      <w:bookmarkEnd w:id="21"/>
    </w:p>
    <w:p w:rsidR="00494207" w:rsidRPr="00F86759" w:rsidRDefault="00C709F3" w:rsidP="00230DB1">
      <w:pPr>
        <w:pStyle w:val="TableFigureCaption"/>
      </w:pPr>
      <w:r w:rsidRPr="00F86759">
        <w:t>Table 1</w:t>
      </w:r>
      <w:r w:rsidR="006B5E82" w:rsidRPr="00F86759">
        <w:t>2</w:t>
      </w:r>
      <w:r w:rsidR="00494207" w:rsidRPr="00F86759">
        <w:t>: Drug cost per patient for proposed and comparator drugs</w:t>
      </w:r>
      <w:r w:rsidR="00122879" w:rsidRPr="00F86759">
        <w:t xml:space="preserve"> (at proposed DPMQ)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8"/>
        <w:gridCol w:w="2163"/>
        <w:gridCol w:w="2160"/>
        <w:gridCol w:w="2166"/>
      </w:tblGrid>
      <w:tr w:rsidR="00B30F06" w:rsidRPr="00F86759" w:rsidTr="00B30F06">
        <w:trPr>
          <w:cantSplit/>
          <w:tblHeader/>
          <w:jc w:val="center"/>
        </w:trPr>
        <w:tc>
          <w:tcPr>
            <w:tcW w:w="1401" w:type="pct"/>
            <w:shd w:val="clear" w:color="auto" w:fill="auto"/>
            <w:vAlign w:val="center"/>
          </w:tcPr>
          <w:p w:rsidR="00B30F06" w:rsidRPr="00F86759" w:rsidRDefault="00B30F06" w:rsidP="00BB732D">
            <w:pPr>
              <w:pStyle w:val="Tableheadingrow"/>
              <w:jc w:val="center"/>
            </w:pPr>
          </w:p>
        </w:tc>
        <w:tc>
          <w:tcPr>
            <w:tcW w:w="1199" w:type="pct"/>
            <w:shd w:val="clear" w:color="auto" w:fill="auto"/>
            <w:vAlign w:val="center"/>
          </w:tcPr>
          <w:p w:rsidR="00B30F06" w:rsidRPr="00F86759" w:rsidRDefault="00083D70" w:rsidP="00BB732D">
            <w:pPr>
              <w:pStyle w:val="Tableheadingrow"/>
              <w:jc w:val="center"/>
            </w:pPr>
            <w:r w:rsidRPr="00F86759">
              <w:t>Prolonged release melatonin</w:t>
            </w:r>
          </w:p>
          <w:p w:rsidR="00B30F06" w:rsidRPr="00F86759" w:rsidRDefault="00B30F06" w:rsidP="00BB732D">
            <w:pPr>
              <w:pStyle w:val="Tableheadingrow"/>
              <w:jc w:val="center"/>
            </w:pPr>
            <w:r w:rsidRPr="00F86759">
              <w:t>Trial dose and duration</w:t>
            </w:r>
          </w:p>
        </w:tc>
        <w:tc>
          <w:tcPr>
            <w:tcW w:w="1198" w:type="pct"/>
            <w:shd w:val="clear" w:color="auto" w:fill="auto"/>
            <w:vAlign w:val="center"/>
          </w:tcPr>
          <w:p w:rsidR="00083D70" w:rsidRPr="00F86759" w:rsidRDefault="00083D70" w:rsidP="00083D70">
            <w:pPr>
              <w:pStyle w:val="Tableheadingrow"/>
              <w:jc w:val="center"/>
            </w:pPr>
            <w:r w:rsidRPr="00F86759">
              <w:t>Prolonged release melatonin</w:t>
            </w:r>
          </w:p>
          <w:p w:rsidR="00B30F06" w:rsidRPr="00F86759" w:rsidRDefault="00B30F06" w:rsidP="00BB732D">
            <w:pPr>
              <w:pStyle w:val="Tableheadingrow"/>
              <w:jc w:val="center"/>
            </w:pPr>
            <w:r w:rsidRPr="00F86759">
              <w:t>Economic analysis</w:t>
            </w:r>
          </w:p>
        </w:tc>
        <w:tc>
          <w:tcPr>
            <w:tcW w:w="1201" w:type="pct"/>
            <w:shd w:val="clear" w:color="auto" w:fill="auto"/>
            <w:vAlign w:val="center"/>
          </w:tcPr>
          <w:p w:rsidR="00B30F06" w:rsidRPr="00F86759" w:rsidRDefault="00083D70" w:rsidP="00083D70">
            <w:pPr>
              <w:pStyle w:val="Tableheadingrow"/>
              <w:jc w:val="center"/>
            </w:pPr>
            <w:r w:rsidRPr="00F86759">
              <w:t>Prolonged release melatonin</w:t>
            </w:r>
          </w:p>
          <w:p w:rsidR="00B30F06" w:rsidRPr="00F86759" w:rsidRDefault="00B30F06" w:rsidP="00BB732D">
            <w:pPr>
              <w:pStyle w:val="Tableheadingrow"/>
              <w:jc w:val="center"/>
            </w:pPr>
            <w:r w:rsidRPr="00F86759">
              <w:t>Financial estimates</w:t>
            </w:r>
          </w:p>
        </w:tc>
      </w:tr>
      <w:tr w:rsidR="00B30F06" w:rsidRPr="00F86759" w:rsidTr="00B30F06">
        <w:trPr>
          <w:cantSplit/>
          <w:jc w:val="center"/>
        </w:trPr>
        <w:tc>
          <w:tcPr>
            <w:tcW w:w="1401" w:type="pct"/>
            <w:shd w:val="clear" w:color="auto" w:fill="auto"/>
            <w:vAlign w:val="center"/>
          </w:tcPr>
          <w:p w:rsidR="00B30F06" w:rsidRPr="00F86759" w:rsidRDefault="00B30F06" w:rsidP="00BB732D">
            <w:pPr>
              <w:pStyle w:val="TableText"/>
              <w:rPr>
                <w:lang w:val="en-US"/>
              </w:rPr>
            </w:pPr>
            <w:r w:rsidRPr="00F86759">
              <w:rPr>
                <w:lang w:val="en-US"/>
              </w:rPr>
              <w:t>Mean dose</w:t>
            </w:r>
          </w:p>
        </w:tc>
        <w:tc>
          <w:tcPr>
            <w:tcW w:w="1199" w:type="pct"/>
            <w:shd w:val="clear" w:color="auto" w:fill="auto"/>
            <w:vAlign w:val="center"/>
          </w:tcPr>
          <w:p w:rsidR="009627B2" w:rsidRPr="00F86759" w:rsidRDefault="0023112A" w:rsidP="009627B2">
            <w:pPr>
              <w:pStyle w:val="TableText"/>
              <w:jc w:val="center"/>
              <w:rPr>
                <w:lang w:val="en-US"/>
              </w:rPr>
            </w:pPr>
            <w:r w:rsidRPr="00F86759">
              <w:rPr>
                <w:lang w:val="en-US"/>
              </w:rPr>
              <w:t>5.3 mg/day</w:t>
            </w:r>
          </w:p>
        </w:tc>
        <w:tc>
          <w:tcPr>
            <w:tcW w:w="1198" w:type="pct"/>
            <w:shd w:val="clear" w:color="auto" w:fill="auto"/>
            <w:vAlign w:val="center"/>
          </w:tcPr>
          <w:p w:rsidR="009627B2" w:rsidRPr="00F86759" w:rsidRDefault="0023112A" w:rsidP="009627B2">
            <w:pPr>
              <w:pStyle w:val="TableText"/>
              <w:jc w:val="center"/>
              <w:rPr>
                <w:lang w:val="en-US"/>
              </w:rPr>
            </w:pPr>
            <w:r w:rsidRPr="00F86759">
              <w:rPr>
                <w:lang w:val="en-US"/>
              </w:rPr>
              <w:t>5.3 mg/day</w:t>
            </w:r>
          </w:p>
        </w:tc>
        <w:tc>
          <w:tcPr>
            <w:tcW w:w="1201" w:type="pct"/>
            <w:shd w:val="clear" w:color="auto" w:fill="auto"/>
            <w:vAlign w:val="center"/>
          </w:tcPr>
          <w:p w:rsidR="009627B2" w:rsidRPr="00F86759" w:rsidRDefault="0023112A" w:rsidP="00BB732D">
            <w:pPr>
              <w:pStyle w:val="TableText"/>
              <w:jc w:val="center"/>
              <w:rPr>
                <w:lang w:val="en-US"/>
              </w:rPr>
            </w:pPr>
            <w:r w:rsidRPr="00F86759">
              <w:rPr>
                <w:lang w:val="en-US"/>
              </w:rPr>
              <w:t>5.3 mg/day</w:t>
            </w:r>
          </w:p>
        </w:tc>
      </w:tr>
      <w:tr w:rsidR="00B30F06" w:rsidRPr="00F86759" w:rsidTr="00B30F06">
        <w:trPr>
          <w:cantSplit/>
          <w:jc w:val="center"/>
        </w:trPr>
        <w:tc>
          <w:tcPr>
            <w:tcW w:w="1401" w:type="pct"/>
            <w:shd w:val="clear" w:color="auto" w:fill="auto"/>
            <w:vAlign w:val="center"/>
          </w:tcPr>
          <w:p w:rsidR="00B30F06" w:rsidRPr="00F86759" w:rsidRDefault="00B30F06" w:rsidP="00BB732D">
            <w:pPr>
              <w:pStyle w:val="TableText"/>
              <w:rPr>
                <w:lang w:val="en-US"/>
              </w:rPr>
            </w:pPr>
            <w:r w:rsidRPr="00F86759">
              <w:rPr>
                <w:lang w:val="en-US"/>
              </w:rPr>
              <w:t>Mean duration</w:t>
            </w:r>
          </w:p>
        </w:tc>
        <w:tc>
          <w:tcPr>
            <w:tcW w:w="1199" w:type="pct"/>
            <w:shd w:val="clear" w:color="auto" w:fill="auto"/>
            <w:vAlign w:val="center"/>
          </w:tcPr>
          <w:p w:rsidR="00B30F06" w:rsidRPr="00F86759" w:rsidRDefault="00EC733A" w:rsidP="00EC733A">
            <w:pPr>
              <w:pStyle w:val="TableText"/>
              <w:jc w:val="center"/>
              <w:rPr>
                <w:lang w:val="en-US"/>
              </w:rPr>
            </w:pPr>
            <w:r w:rsidRPr="00F86759">
              <w:rPr>
                <w:lang w:val="en-US"/>
              </w:rPr>
              <w:t>Mean total time on prolonged release melatonin treatment across both double blind and open label phases was 547.4 days (range 14 to 770 days); assume 100% compliance</w:t>
            </w:r>
          </w:p>
        </w:tc>
        <w:tc>
          <w:tcPr>
            <w:tcW w:w="1198" w:type="pct"/>
            <w:shd w:val="clear" w:color="auto" w:fill="auto"/>
            <w:vAlign w:val="center"/>
          </w:tcPr>
          <w:p w:rsidR="00B30F06" w:rsidRPr="00F86759" w:rsidRDefault="0023112A" w:rsidP="00BB732D">
            <w:pPr>
              <w:pStyle w:val="TableText"/>
              <w:jc w:val="center"/>
              <w:rPr>
                <w:lang w:val="en-US"/>
              </w:rPr>
            </w:pPr>
            <w:r w:rsidRPr="00F86759">
              <w:rPr>
                <w:lang w:val="en-US"/>
              </w:rPr>
              <w:t>270.4 weeks over a 9 year (468 week) time horizon</w:t>
            </w:r>
            <w:r w:rsidR="00EC733A" w:rsidRPr="00F86759">
              <w:rPr>
                <w:lang w:val="en-US"/>
              </w:rPr>
              <w:t xml:space="preserve"> cost per responder year analysis, incorporating discontinuations</w:t>
            </w:r>
          </w:p>
        </w:tc>
        <w:tc>
          <w:tcPr>
            <w:tcW w:w="1201" w:type="pct"/>
            <w:shd w:val="clear" w:color="auto" w:fill="auto"/>
            <w:vAlign w:val="center"/>
          </w:tcPr>
          <w:p w:rsidR="00B30F06" w:rsidRPr="00F86759" w:rsidRDefault="003842C4" w:rsidP="00BB732D">
            <w:pPr>
              <w:pStyle w:val="TableText"/>
              <w:jc w:val="center"/>
              <w:rPr>
                <w:lang w:val="en-US"/>
              </w:rPr>
            </w:pPr>
            <w:r w:rsidRPr="00F86759">
              <w:rPr>
                <w:lang w:val="en-US"/>
              </w:rPr>
              <w:t xml:space="preserve">Assumed total treatment duration of 18 months. </w:t>
            </w:r>
            <w:r w:rsidR="0023112A" w:rsidRPr="00F86759">
              <w:rPr>
                <w:lang w:val="en-US"/>
              </w:rPr>
              <w:t xml:space="preserve">100% initial script 3 months </w:t>
            </w:r>
          </w:p>
          <w:p w:rsidR="0023112A" w:rsidRPr="00F86759" w:rsidRDefault="0023112A" w:rsidP="009627B2">
            <w:pPr>
              <w:pStyle w:val="TableText"/>
              <w:jc w:val="center"/>
              <w:rPr>
                <w:lang w:val="en-US"/>
              </w:rPr>
            </w:pPr>
            <w:r w:rsidRPr="00F86759">
              <w:rPr>
                <w:lang w:val="en-US"/>
              </w:rPr>
              <w:t xml:space="preserve">69% continuing script for additional 15 months </w:t>
            </w:r>
          </w:p>
        </w:tc>
      </w:tr>
      <w:tr w:rsidR="00B30F06" w:rsidRPr="00F86759" w:rsidTr="00B30F06">
        <w:trPr>
          <w:cantSplit/>
          <w:jc w:val="center"/>
        </w:trPr>
        <w:tc>
          <w:tcPr>
            <w:tcW w:w="1401" w:type="pct"/>
            <w:shd w:val="clear" w:color="auto" w:fill="auto"/>
            <w:vAlign w:val="center"/>
          </w:tcPr>
          <w:p w:rsidR="00B30F06" w:rsidRPr="00F86759" w:rsidRDefault="0023112A" w:rsidP="0023112A">
            <w:pPr>
              <w:pStyle w:val="TableText"/>
              <w:rPr>
                <w:lang w:val="en-US"/>
              </w:rPr>
            </w:pPr>
            <w:r w:rsidRPr="00F86759">
              <w:rPr>
                <w:lang w:val="en-US"/>
              </w:rPr>
              <w:t>Average c</w:t>
            </w:r>
            <w:r w:rsidR="00B30F06" w:rsidRPr="00F86759">
              <w:rPr>
                <w:lang w:val="en-US"/>
              </w:rPr>
              <w:t>ost/patient/</w:t>
            </w:r>
            <w:r w:rsidRPr="00F86759">
              <w:rPr>
                <w:lang w:val="en-US"/>
              </w:rPr>
              <w:t>week</w:t>
            </w:r>
          </w:p>
        </w:tc>
        <w:tc>
          <w:tcPr>
            <w:tcW w:w="1199" w:type="pct"/>
            <w:shd w:val="clear" w:color="auto" w:fill="auto"/>
            <w:vAlign w:val="center"/>
          </w:tcPr>
          <w:p w:rsidR="00B30F06" w:rsidRPr="00F86759" w:rsidRDefault="00EC733A" w:rsidP="00BB732D">
            <w:pPr>
              <w:pStyle w:val="TableText"/>
              <w:jc w:val="center"/>
              <w:rPr>
                <w:lang w:val="en-US"/>
              </w:rPr>
            </w:pPr>
            <w:r w:rsidRPr="00F86759">
              <w:rPr>
                <w:lang w:val="en-US"/>
              </w:rPr>
              <w:t>$</w:t>
            </w:r>
            <w:r w:rsidR="00244F04">
              <w:rPr>
                <w:noProof/>
                <w:color w:val="000000"/>
                <w:highlight w:val="black"/>
                <w:lang w:val="en-US"/>
              </w:rPr>
              <w:t>'''''''''''''</w:t>
            </w:r>
          </w:p>
        </w:tc>
        <w:tc>
          <w:tcPr>
            <w:tcW w:w="1198" w:type="pct"/>
            <w:shd w:val="clear" w:color="auto" w:fill="auto"/>
            <w:vAlign w:val="center"/>
          </w:tcPr>
          <w:p w:rsidR="00B30F06" w:rsidRPr="00F86759" w:rsidRDefault="0023112A" w:rsidP="00BB732D">
            <w:pPr>
              <w:pStyle w:val="TableText"/>
              <w:jc w:val="center"/>
              <w:rPr>
                <w:lang w:val="en-US"/>
              </w:rPr>
            </w:pPr>
            <w:r w:rsidRPr="00F86759">
              <w:rPr>
                <w:lang w:val="en-US"/>
              </w:rPr>
              <w:t>$</w:t>
            </w:r>
            <w:r w:rsidR="00244F04">
              <w:rPr>
                <w:noProof/>
                <w:color w:val="000000"/>
                <w:highlight w:val="black"/>
                <w:lang w:val="en-US"/>
              </w:rPr>
              <w:t>'''''''''''''</w:t>
            </w:r>
          </w:p>
        </w:tc>
        <w:tc>
          <w:tcPr>
            <w:tcW w:w="1201" w:type="pct"/>
            <w:shd w:val="clear" w:color="auto" w:fill="auto"/>
            <w:vAlign w:val="center"/>
          </w:tcPr>
          <w:p w:rsidR="00B30F06" w:rsidRPr="00F86759" w:rsidRDefault="00EC733A" w:rsidP="00BB732D">
            <w:pPr>
              <w:pStyle w:val="TableText"/>
              <w:jc w:val="center"/>
              <w:rPr>
                <w:lang w:val="en-US"/>
              </w:rPr>
            </w:pPr>
            <w:r w:rsidRPr="00F86759">
              <w:rPr>
                <w:lang w:val="en-US"/>
              </w:rPr>
              <w:t>$</w:t>
            </w:r>
            <w:r w:rsidR="00244F04">
              <w:rPr>
                <w:noProof/>
                <w:color w:val="000000"/>
                <w:highlight w:val="black"/>
                <w:lang w:val="en-US"/>
              </w:rPr>
              <w:t>''''''''''''''</w:t>
            </w:r>
          </w:p>
        </w:tc>
      </w:tr>
      <w:tr w:rsidR="00B30F06" w:rsidRPr="00F86759" w:rsidTr="00B30F06">
        <w:trPr>
          <w:cantSplit/>
          <w:jc w:val="center"/>
        </w:trPr>
        <w:tc>
          <w:tcPr>
            <w:tcW w:w="1401" w:type="pct"/>
            <w:shd w:val="clear" w:color="auto" w:fill="auto"/>
            <w:vAlign w:val="center"/>
          </w:tcPr>
          <w:p w:rsidR="00B30F06" w:rsidRPr="00F86759" w:rsidRDefault="00EC733A" w:rsidP="0023112A">
            <w:pPr>
              <w:pStyle w:val="TableText"/>
              <w:rPr>
                <w:lang w:val="en-US"/>
              </w:rPr>
            </w:pPr>
            <w:r w:rsidRPr="00F86759">
              <w:rPr>
                <w:lang w:val="en-US"/>
              </w:rPr>
              <w:t>Average c</w:t>
            </w:r>
            <w:r w:rsidR="0023112A" w:rsidRPr="00F86759">
              <w:rPr>
                <w:lang w:val="en-US"/>
              </w:rPr>
              <w:t>ost/patient/year</w:t>
            </w:r>
          </w:p>
        </w:tc>
        <w:tc>
          <w:tcPr>
            <w:tcW w:w="1199" w:type="pct"/>
            <w:shd w:val="clear" w:color="auto" w:fill="auto"/>
            <w:vAlign w:val="center"/>
          </w:tcPr>
          <w:p w:rsidR="00B30F06" w:rsidRPr="00F86759" w:rsidRDefault="00EC733A" w:rsidP="00BB732D">
            <w:pPr>
              <w:pStyle w:val="TableText"/>
              <w:jc w:val="center"/>
              <w:rPr>
                <w:lang w:val="en-US"/>
              </w:rPr>
            </w:pPr>
            <w:r w:rsidRPr="00F86759">
              <w:rPr>
                <w:lang w:val="en-US"/>
              </w:rPr>
              <w:t>$</w:t>
            </w:r>
            <w:r w:rsidR="00244F04">
              <w:rPr>
                <w:noProof/>
                <w:color w:val="000000"/>
                <w:highlight w:val="black"/>
                <w:lang w:val="en-US"/>
              </w:rPr>
              <w:t>'''''''''''''''''''''''</w:t>
            </w:r>
          </w:p>
        </w:tc>
        <w:tc>
          <w:tcPr>
            <w:tcW w:w="1198" w:type="pct"/>
            <w:shd w:val="clear" w:color="auto" w:fill="auto"/>
            <w:vAlign w:val="center"/>
          </w:tcPr>
          <w:p w:rsidR="00B30F06" w:rsidRPr="00F86759" w:rsidRDefault="0023112A" w:rsidP="00BB732D">
            <w:pPr>
              <w:pStyle w:val="TableText"/>
              <w:jc w:val="center"/>
              <w:rPr>
                <w:lang w:val="en-US"/>
              </w:rPr>
            </w:pPr>
            <w:r w:rsidRPr="00F86759">
              <w:rPr>
                <w:lang w:val="en-US"/>
              </w:rPr>
              <w:t>$</w:t>
            </w:r>
            <w:r w:rsidR="00244F04">
              <w:rPr>
                <w:noProof/>
                <w:color w:val="000000"/>
                <w:highlight w:val="black"/>
                <w:lang w:val="en-US"/>
              </w:rPr>
              <w:t>'''''''''''''''''''</w:t>
            </w:r>
          </w:p>
        </w:tc>
        <w:tc>
          <w:tcPr>
            <w:tcW w:w="1201" w:type="pct"/>
            <w:shd w:val="clear" w:color="auto" w:fill="auto"/>
            <w:vAlign w:val="center"/>
          </w:tcPr>
          <w:p w:rsidR="00B30F06" w:rsidRPr="00F86759" w:rsidRDefault="00EC733A" w:rsidP="00EC733A">
            <w:pPr>
              <w:pStyle w:val="TableText"/>
              <w:jc w:val="center"/>
              <w:rPr>
                <w:lang w:val="en-US"/>
              </w:rPr>
            </w:pPr>
            <w:r w:rsidRPr="00F86759">
              <w:rPr>
                <w:lang w:val="en-US"/>
              </w:rPr>
              <w:t>$</w:t>
            </w:r>
            <w:r w:rsidR="00244F04">
              <w:rPr>
                <w:noProof/>
                <w:color w:val="000000"/>
                <w:highlight w:val="black"/>
                <w:lang w:val="en-US"/>
              </w:rPr>
              <w:t>''''''''''''''''''''</w:t>
            </w:r>
          </w:p>
        </w:tc>
      </w:tr>
    </w:tbl>
    <w:p w:rsidR="00494207" w:rsidRPr="00F86759" w:rsidRDefault="00494207" w:rsidP="00C94053">
      <w:pPr>
        <w:pStyle w:val="TableFigureFooter"/>
      </w:pPr>
      <w:r w:rsidRPr="00F86759">
        <w:t xml:space="preserve">Source: </w:t>
      </w:r>
      <w:r w:rsidR="00083D70" w:rsidRPr="00F86759">
        <w:t>Compiled during the evaluation using NEU_CH_7911 CSR; Slenyto PRM Section 3 workbook; Slenyto PRM Section 4 workbook</w:t>
      </w:r>
    </w:p>
    <w:p w:rsidR="00083D70" w:rsidRPr="00F86759" w:rsidRDefault="00083D70" w:rsidP="006C52A6">
      <w:pPr>
        <w:pStyle w:val="ExecSumBodyText"/>
        <w:rPr>
          <w:snapToGrid/>
          <w:lang w:val="en-US"/>
        </w:rPr>
      </w:pPr>
      <w:r w:rsidRPr="00F86759">
        <w:rPr>
          <w:snapToGrid/>
          <w:lang w:val="en-US"/>
        </w:rPr>
        <w:t xml:space="preserve">In the NEU_CH_7911 trial, the submission noted that the average dose per day was 5.3 mg (source not provided). </w:t>
      </w:r>
      <w:r w:rsidR="00122879" w:rsidRPr="00F86759">
        <w:rPr>
          <w:snapToGrid/>
          <w:lang w:val="en-US"/>
        </w:rPr>
        <w:t>The NEU_CH_7911 trial used only 1 mg</w:t>
      </w:r>
      <w:r w:rsidR="009627B2" w:rsidRPr="00F86759">
        <w:rPr>
          <w:snapToGrid/>
          <w:lang w:val="en-US"/>
        </w:rPr>
        <w:t xml:space="preserve"> </w:t>
      </w:r>
      <w:r w:rsidR="00122879" w:rsidRPr="00F86759">
        <w:rPr>
          <w:snapToGrid/>
          <w:lang w:val="en-US"/>
        </w:rPr>
        <w:t>tablets for all dosing, but the submission calculated the population split over the equivalent 1 mg and 5 mg tablets that will be available if PBS listed</w:t>
      </w:r>
      <w:r w:rsidR="00E549C8" w:rsidRPr="00F86759">
        <w:rPr>
          <w:snapToGrid/>
          <w:lang w:val="en-US"/>
        </w:rPr>
        <w:t>, based on the doses used</w:t>
      </w:r>
      <w:r w:rsidR="00122879" w:rsidRPr="00F86759">
        <w:rPr>
          <w:snapToGrid/>
          <w:lang w:val="en-US"/>
        </w:rPr>
        <w:t xml:space="preserve"> (29% and 71% for 1 mg and 5 mg tablets respectively). The submission used this to calculate a weighted average cost per day, based on the proposed DPMQ ($</w:t>
      </w:r>
      <w:r w:rsidR="00244F04">
        <w:rPr>
          <w:noProof/>
          <w:snapToGrid/>
          <w:color w:val="000000"/>
          <w:highlight w:val="black"/>
          <w:lang w:val="en-US"/>
        </w:rPr>
        <w:t>''''''''</w:t>
      </w:r>
      <w:r w:rsidR="00122879" w:rsidRPr="00F86759">
        <w:rPr>
          <w:snapToGrid/>
          <w:lang w:val="en-US"/>
        </w:rPr>
        <w:t xml:space="preserve"> per day). This gives an average cost of $</w:t>
      </w:r>
      <w:r w:rsidR="00244F04">
        <w:rPr>
          <w:noProof/>
          <w:snapToGrid/>
          <w:color w:val="000000"/>
          <w:highlight w:val="black"/>
          <w:lang w:val="en-US"/>
        </w:rPr>
        <w:t>'''''''''''</w:t>
      </w:r>
      <w:r w:rsidR="00122879" w:rsidRPr="00F86759">
        <w:rPr>
          <w:snapToGrid/>
          <w:lang w:val="en-US"/>
        </w:rPr>
        <w:t xml:space="preserve"> per week, or $</w:t>
      </w:r>
      <w:r w:rsidR="00244F04">
        <w:rPr>
          <w:noProof/>
          <w:snapToGrid/>
          <w:color w:val="000000"/>
          <w:highlight w:val="black"/>
          <w:lang w:val="en-US"/>
        </w:rPr>
        <w:t>''''''''''''</w:t>
      </w:r>
      <w:r w:rsidR="00122879" w:rsidRPr="00F86759">
        <w:rPr>
          <w:snapToGrid/>
          <w:lang w:val="en-US"/>
        </w:rPr>
        <w:t xml:space="preserve"> per year.</w:t>
      </w:r>
    </w:p>
    <w:p w:rsidR="00122879" w:rsidRPr="00F86759" w:rsidRDefault="00122879" w:rsidP="006C52A6">
      <w:pPr>
        <w:pStyle w:val="ExecSumBodyText"/>
        <w:rPr>
          <w:snapToGrid/>
          <w:lang w:val="en-US"/>
        </w:rPr>
      </w:pPr>
      <w:r w:rsidRPr="00F86759">
        <w:t>In the economic analysis, t</w:t>
      </w:r>
      <w:r w:rsidR="006C52A6" w:rsidRPr="00F86759">
        <w:t xml:space="preserve">he </w:t>
      </w:r>
      <w:r w:rsidR="008F7A12">
        <w:t>same average</w:t>
      </w:r>
      <w:r w:rsidR="006C52A6" w:rsidRPr="00F86759">
        <w:t xml:space="preserve"> </w:t>
      </w:r>
      <w:r w:rsidR="00FE05F5">
        <w:t xml:space="preserve">cost </w:t>
      </w:r>
      <w:r w:rsidRPr="00F86759">
        <w:t>of $</w:t>
      </w:r>
      <w:r w:rsidR="00244F04">
        <w:rPr>
          <w:noProof/>
          <w:color w:val="000000"/>
          <w:highlight w:val="black"/>
        </w:rPr>
        <w:t>''''''''</w:t>
      </w:r>
      <w:r w:rsidRPr="00F86759">
        <w:t xml:space="preserve"> per day was applied over the 9-year time horizon of the economic analysis (cost per responder year), with discontinuations informed by a time on treatment curve extrapolated from observed treatment rates in the NEU_CH_7911 clinical trial. Taking discontinuations into account, the average weekly cost was $</w:t>
      </w:r>
      <w:r w:rsidR="00244F04">
        <w:rPr>
          <w:noProof/>
          <w:color w:val="000000"/>
          <w:highlight w:val="black"/>
        </w:rPr>
        <w:t>''''''''''''</w:t>
      </w:r>
      <w:r w:rsidRPr="00F86759">
        <w:t xml:space="preserve"> over the life of the analysis, which results in an average yearly cost of $</w:t>
      </w:r>
      <w:r w:rsidR="00244F04">
        <w:rPr>
          <w:noProof/>
          <w:color w:val="000000"/>
          <w:highlight w:val="black"/>
        </w:rPr>
        <w:t>'''''''''''</w:t>
      </w:r>
      <w:r w:rsidRPr="00F86759">
        <w:t>.</w:t>
      </w:r>
    </w:p>
    <w:p w:rsidR="00122879" w:rsidRPr="00F86759" w:rsidRDefault="00122879" w:rsidP="006C52A6">
      <w:pPr>
        <w:pStyle w:val="ExecSumBodyText"/>
        <w:rPr>
          <w:snapToGrid/>
          <w:lang w:val="en-US"/>
        </w:rPr>
      </w:pPr>
      <w:r w:rsidRPr="00F86759">
        <w:t>In the estimates of use and financial analysis, the submission assumed that a response assessment would occur after the first 3 months of treatment, after which only responders would continue treatment. The response rate (69%) was drawn from the proportion of total sleep time and/or sleep latency responders at the 13-week double blind period of the NEU_CH_7911 trial. The submission assumed a treatment duration of 18 months in the financial model. The average yearly cost applied in the financial analysis is based on 100% use of an average 5.3 mg per day for 3 months, followed by 15 months of 5.3 mg per day for 69% of the cohort. This results in an average yearly cost of $</w:t>
      </w:r>
      <w:r w:rsidR="00244F04">
        <w:rPr>
          <w:noProof/>
          <w:color w:val="000000"/>
          <w:highlight w:val="black"/>
        </w:rPr>
        <w:t>''''''''''</w:t>
      </w:r>
      <w:r w:rsidRPr="00F86759">
        <w:t>.</w:t>
      </w:r>
    </w:p>
    <w:p w:rsidR="00886921" w:rsidRPr="00F86759" w:rsidRDefault="00083D70" w:rsidP="00FD06EF">
      <w:pPr>
        <w:pStyle w:val="ExecSumBodyText"/>
      </w:pPr>
      <w:r w:rsidRPr="00F86759">
        <w:rPr>
          <w:snapToGrid/>
          <w:lang w:val="en-US"/>
        </w:rPr>
        <w:t>Several formulations of melatonin are marketed in Australia. For example, 30 x 2 mg prolonged release melatonin (Circadin, $32.99), 100 x 1 mg immediate release melatonin (compounded; $45.00) and 90 x 5 mg immediate release melatonin (compounded; $85.00) were available via the Pharmacy Direct website (accessed 9 December, 2020).</w:t>
      </w:r>
      <w:r w:rsidR="00847941" w:rsidRPr="00F86759">
        <w:rPr>
          <w:snapToGrid/>
          <w:lang w:val="en-US"/>
        </w:rPr>
        <w:t xml:space="preserve"> </w:t>
      </w:r>
      <w:r w:rsidR="00BA227A" w:rsidRPr="00F86759">
        <w:rPr>
          <w:snapToGrid/>
          <w:lang w:val="en-US"/>
        </w:rPr>
        <w:t>Noting the arguments in the PSCR regarding comparator selection (</w:t>
      </w:r>
      <w:r w:rsidR="00BA227A" w:rsidRPr="00625543">
        <w:rPr>
          <w:snapToGrid/>
          <w:lang w:val="en-US"/>
        </w:rPr>
        <w:t>paragraph 5.3 refers</w:t>
      </w:r>
      <w:r w:rsidR="00BA227A" w:rsidRPr="00F86759">
        <w:rPr>
          <w:snapToGrid/>
          <w:lang w:val="en-US"/>
        </w:rPr>
        <w:t>), the ESC considered that it was likely that extemporaneously compounded melatonin was being used in paediatric populations and noted the requested price was substantially higher than the private market price of compounded melatonin.</w:t>
      </w:r>
      <w:r w:rsidR="00206CBC" w:rsidRPr="00F86759">
        <w:rPr>
          <w:snapToGrid/>
          <w:lang w:val="en-US"/>
        </w:rPr>
        <w:t xml:space="preserve"> </w:t>
      </w:r>
    </w:p>
    <w:p w:rsidR="00A557DB" w:rsidRPr="00F86759" w:rsidRDefault="00B60939" w:rsidP="00F86759">
      <w:pPr>
        <w:pStyle w:val="3-SubsectionHeading"/>
      </w:pPr>
      <w:bookmarkStart w:id="22" w:name="_Toc22897647"/>
      <w:bookmarkStart w:id="23" w:name="_Toc62036854"/>
      <w:r w:rsidRPr="00F86759">
        <w:t>Estimated PBS usage &amp; financial implications</w:t>
      </w:r>
      <w:bookmarkEnd w:id="22"/>
      <w:bookmarkEnd w:id="23"/>
    </w:p>
    <w:p w:rsidR="00902E6A" w:rsidRPr="00C709F3" w:rsidRDefault="00262D66" w:rsidP="00902E6A">
      <w:pPr>
        <w:pStyle w:val="ExecSumBodyText"/>
        <w:numPr>
          <w:ilvl w:val="1"/>
          <w:numId w:val="1"/>
        </w:numPr>
        <w:rPr>
          <w:color w:val="0066FF"/>
        </w:rPr>
      </w:pPr>
      <w:bookmarkStart w:id="24" w:name="_Toc22897648"/>
      <w:bookmarkStart w:id="25" w:name="_Toc62036855"/>
      <w:r>
        <w:t xml:space="preserve">The submission was considered by the DUSC. </w:t>
      </w:r>
      <w:r w:rsidR="00902E6A" w:rsidRPr="006C52A6">
        <w:t xml:space="preserve">The submission used an epidemiological approach to estimate the utilisation and financial impacts associated with the requested listing. </w:t>
      </w:r>
    </w:p>
    <w:p w:rsidR="00902E6A" w:rsidRPr="007925DF" w:rsidRDefault="00902E6A" w:rsidP="00B45286">
      <w:pPr>
        <w:pStyle w:val="TableFigureCaption"/>
        <w:keepLines/>
      </w:pPr>
      <w:r w:rsidRPr="007925DF">
        <w:t xml:space="preserve">Table </w:t>
      </w:r>
      <w:r>
        <w:t>1</w:t>
      </w:r>
      <w:r w:rsidR="002B7B0D">
        <w:t>3</w:t>
      </w:r>
      <w:r w:rsidRPr="007925D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902E6A" w:rsidRPr="00902E6A" w:rsidTr="0080118D">
        <w:trPr>
          <w:tblHeader/>
        </w:trPr>
        <w:tc>
          <w:tcPr>
            <w:tcW w:w="950" w:type="pct"/>
            <w:shd w:val="clear" w:color="auto" w:fill="auto"/>
            <w:vAlign w:val="center"/>
          </w:tcPr>
          <w:p w:rsidR="00902E6A" w:rsidRPr="00902E6A" w:rsidRDefault="00902E6A" w:rsidP="00B45286">
            <w:pPr>
              <w:pStyle w:val="Tableheadingrow"/>
              <w:keepLines/>
            </w:pPr>
            <w:r w:rsidRPr="00902E6A">
              <w:t>Parameter</w:t>
            </w:r>
          </w:p>
        </w:tc>
        <w:tc>
          <w:tcPr>
            <w:tcW w:w="2270" w:type="pct"/>
            <w:shd w:val="clear" w:color="auto" w:fill="auto"/>
            <w:vAlign w:val="center"/>
          </w:tcPr>
          <w:p w:rsidR="00902E6A" w:rsidRPr="00902E6A" w:rsidRDefault="00902E6A" w:rsidP="00B45286">
            <w:pPr>
              <w:pStyle w:val="Tableheadingrow"/>
              <w:keepLines/>
            </w:pPr>
            <w:r w:rsidRPr="00902E6A">
              <w:t>Value applied and source</w:t>
            </w:r>
          </w:p>
        </w:tc>
        <w:tc>
          <w:tcPr>
            <w:tcW w:w="1780" w:type="pct"/>
            <w:shd w:val="clear" w:color="auto" w:fill="auto"/>
            <w:vAlign w:val="center"/>
          </w:tcPr>
          <w:p w:rsidR="00902E6A" w:rsidRPr="00902E6A" w:rsidRDefault="00902E6A" w:rsidP="00B45286">
            <w:pPr>
              <w:pStyle w:val="Tableheadingrow"/>
              <w:keepLines/>
            </w:pPr>
            <w:r w:rsidRPr="00902E6A">
              <w:t>Comment</w:t>
            </w:r>
          </w:p>
        </w:tc>
      </w:tr>
      <w:tr w:rsidR="00902E6A" w:rsidRPr="00902E6A" w:rsidTr="0080118D">
        <w:tc>
          <w:tcPr>
            <w:tcW w:w="950" w:type="pct"/>
            <w:shd w:val="clear" w:color="auto" w:fill="auto"/>
            <w:vAlign w:val="center"/>
          </w:tcPr>
          <w:p w:rsidR="00902E6A" w:rsidRPr="00902E6A" w:rsidRDefault="00902E6A" w:rsidP="00B45286">
            <w:pPr>
              <w:pStyle w:val="TableText"/>
              <w:keepLines/>
              <w:rPr>
                <w:lang w:val="en-US"/>
              </w:rPr>
            </w:pPr>
            <w:r w:rsidRPr="00902E6A">
              <w:rPr>
                <w:lang w:val="en-US"/>
              </w:rPr>
              <w:t>Rate of insomnia in ASD and other neurogenetic disorders</w:t>
            </w:r>
            <w:r w:rsidRPr="00902E6A">
              <w:rPr>
                <w:lang w:val="en-US"/>
              </w:rPr>
              <w:tab/>
            </w:r>
          </w:p>
        </w:tc>
        <w:tc>
          <w:tcPr>
            <w:tcW w:w="2270" w:type="pct"/>
            <w:shd w:val="clear" w:color="auto" w:fill="auto"/>
            <w:vAlign w:val="center"/>
          </w:tcPr>
          <w:p w:rsidR="00902E6A" w:rsidRPr="00902E6A" w:rsidRDefault="00902E6A" w:rsidP="00B45286">
            <w:pPr>
              <w:pStyle w:val="TableText"/>
              <w:keepLines/>
              <w:rPr>
                <w:lang w:val="en-US"/>
              </w:rPr>
            </w:pPr>
            <w:r w:rsidRPr="00902E6A">
              <w:rPr>
                <w:lang w:val="en-US"/>
              </w:rPr>
              <w:t>60%; based on a statement that paediatric insomnia has a prevalence of 50% to 75% in children with neurodevelopmental or psychiatric comorbidities (Gringras et al. 2017)</w:t>
            </w:r>
            <w:r w:rsidRPr="00902E6A">
              <w:rPr>
                <w:lang w:val="en-US"/>
              </w:rPr>
              <w:tab/>
            </w:r>
          </w:p>
        </w:tc>
        <w:tc>
          <w:tcPr>
            <w:tcW w:w="1780" w:type="pct"/>
            <w:shd w:val="clear" w:color="auto" w:fill="auto"/>
            <w:vAlign w:val="center"/>
          </w:tcPr>
          <w:p w:rsidR="00902E6A" w:rsidRPr="00902E6A" w:rsidRDefault="00902E6A" w:rsidP="00B45286">
            <w:pPr>
              <w:pStyle w:val="TableText"/>
              <w:keepLines/>
              <w:rPr>
                <w:lang w:val="en-US"/>
              </w:rPr>
            </w:pPr>
            <w:r w:rsidRPr="00902E6A">
              <w:rPr>
                <w:lang w:val="en-US"/>
              </w:rPr>
              <w:t>This was not the primary data source. Estimates are based on survey studies and likely to include response bias. No justification was provided for applying a 60% prevalence rate.</w:t>
            </w:r>
          </w:p>
        </w:tc>
      </w:tr>
      <w:tr w:rsidR="00902E6A" w:rsidRPr="00902E6A" w:rsidTr="0080118D">
        <w:tc>
          <w:tcPr>
            <w:tcW w:w="950" w:type="pct"/>
            <w:shd w:val="clear" w:color="auto" w:fill="auto"/>
            <w:vAlign w:val="center"/>
          </w:tcPr>
          <w:p w:rsidR="00902E6A" w:rsidRPr="00902E6A" w:rsidRDefault="00902E6A" w:rsidP="00B45286">
            <w:pPr>
              <w:pStyle w:val="TableText"/>
              <w:keepLines/>
              <w:rPr>
                <w:lang w:val="en-US"/>
              </w:rPr>
            </w:pPr>
            <w:r w:rsidRPr="00902E6A">
              <w:rPr>
                <w:lang w:val="en-US"/>
              </w:rPr>
              <w:t>Insufficient response to sleep hygiene measures</w:t>
            </w:r>
            <w:r w:rsidRPr="00902E6A">
              <w:rPr>
                <w:lang w:val="en-US"/>
              </w:rPr>
              <w:tab/>
            </w:r>
            <w:r w:rsidRPr="00902E6A">
              <w:rPr>
                <w:lang w:val="en-US"/>
              </w:rPr>
              <w:tab/>
            </w:r>
          </w:p>
        </w:tc>
        <w:tc>
          <w:tcPr>
            <w:tcW w:w="2270" w:type="pct"/>
            <w:shd w:val="clear" w:color="auto" w:fill="auto"/>
            <w:vAlign w:val="center"/>
          </w:tcPr>
          <w:p w:rsidR="00902E6A" w:rsidRPr="00902E6A" w:rsidRDefault="00902E6A" w:rsidP="00B45286">
            <w:pPr>
              <w:pStyle w:val="TableText"/>
              <w:keepLines/>
              <w:rPr>
                <w:lang w:val="en-US"/>
              </w:rPr>
            </w:pPr>
            <w:r w:rsidRPr="00902E6A">
              <w:rPr>
                <w:lang w:val="en-US"/>
              </w:rPr>
              <w:t>75%; based on a statement that current practices recommend parent-directed behavioural sleep interventions as first-line treatment for paediatric insomnia in ASD/NGD, with reportedly a 25% response rate (Gringras et al. 2017)</w:t>
            </w:r>
          </w:p>
        </w:tc>
        <w:tc>
          <w:tcPr>
            <w:tcW w:w="1780" w:type="pct"/>
            <w:shd w:val="clear" w:color="auto" w:fill="auto"/>
            <w:vAlign w:val="center"/>
          </w:tcPr>
          <w:p w:rsidR="00902E6A" w:rsidRPr="00902E6A" w:rsidRDefault="00902E6A" w:rsidP="00B45286">
            <w:pPr>
              <w:pStyle w:val="TableText"/>
              <w:keepLines/>
              <w:rPr>
                <w:lang w:val="en-US"/>
              </w:rPr>
            </w:pPr>
            <w:r w:rsidRPr="00902E6A">
              <w:rPr>
                <w:lang w:val="en-US"/>
              </w:rPr>
              <w:t>This was not the primary source of this data. Success rates of behavioural interventions are highly uncertain.</w:t>
            </w:r>
          </w:p>
        </w:tc>
      </w:tr>
      <w:tr w:rsidR="00902E6A" w:rsidRPr="00902E6A" w:rsidTr="0080118D">
        <w:tc>
          <w:tcPr>
            <w:tcW w:w="950" w:type="pct"/>
            <w:shd w:val="clear" w:color="auto" w:fill="auto"/>
            <w:vAlign w:val="center"/>
          </w:tcPr>
          <w:p w:rsidR="00902E6A" w:rsidRPr="00902E6A" w:rsidRDefault="00902E6A" w:rsidP="00B45286">
            <w:pPr>
              <w:pStyle w:val="TableText"/>
              <w:keepLines/>
              <w:rPr>
                <w:lang w:val="en-US"/>
              </w:rPr>
            </w:pPr>
            <w:r w:rsidRPr="00902E6A">
              <w:rPr>
                <w:lang w:val="en-US"/>
              </w:rPr>
              <w:t>Uptake rates</w:t>
            </w:r>
            <w:r w:rsidRPr="00902E6A">
              <w:rPr>
                <w:lang w:val="en-US"/>
              </w:rPr>
              <w:tab/>
            </w:r>
            <w:r w:rsidRPr="00902E6A">
              <w:rPr>
                <w:lang w:val="en-US"/>
              </w:rPr>
              <w:tab/>
            </w:r>
            <w:r w:rsidRPr="00902E6A">
              <w:rPr>
                <w:lang w:val="en-US"/>
              </w:rPr>
              <w:tab/>
            </w:r>
          </w:p>
        </w:tc>
        <w:tc>
          <w:tcPr>
            <w:tcW w:w="2270" w:type="pct"/>
            <w:shd w:val="clear" w:color="auto" w:fill="auto"/>
            <w:vAlign w:val="center"/>
          </w:tcPr>
          <w:p w:rsidR="00902E6A" w:rsidRPr="00902E6A" w:rsidRDefault="00902E6A" w:rsidP="00B45286">
            <w:pPr>
              <w:pStyle w:val="TableText"/>
              <w:keepLines/>
              <w:rPr>
                <w:lang w:val="en-US"/>
              </w:rPr>
            </w:pPr>
            <w:r w:rsidRPr="00902E6A">
              <w:rPr>
                <w:lang w:val="en-US"/>
              </w:rPr>
              <w:t>Yr 1: 25%</w:t>
            </w:r>
          </w:p>
          <w:p w:rsidR="00902E6A" w:rsidRPr="00902E6A" w:rsidRDefault="00902E6A" w:rsidP="00B45286">
            <w:pPr>
              <w:pStyle w:val="TableText"/>
              <w:keepLines/>
              <w:rPr>
                <w:lang w:val="en-US"/>
              </w:rPr>
            </w:pPr>
            <w:r w:rsidRPr="00902E6A">
              <w:rPr>
                <w:lang w:val="en-US"/>
              </w:rPr>
              <w:t>Yr 2: 21.85%</w:t>
            </w:r>
          </w:p>
          <w:p w:rsidR="00902E6A" w:rsidRPr="00902E6A" w:rsidRDefault="00902E6A" w:rsidP="00B45286">
            <w:pPr>
              <w:pStyle w:val="TableText"/>
              <w:keepLines/>
              <w:rPr>
                <w:lang w:val="en-US"/>
              </w:rPr>
            </w:pPr>
            <w:r w:rsidRPr="00902E6A">
              <w:rPr>
                <w:lang w:val="en-US"/>
              </w:rPr>
              <w:t>Yr 3: 21.76%</w:t>
            </w:r>
          </w:p>
          <w:p w:rsidR="00902E6A" w:rsidRPr="00902E6A" w:rsidRDefault="00902E6A" w:rsidP="00B45286">
            <w:pPr>
              <w:pStyle w:val="TableText"/>
              <w:keepLines/>
              <w:rPr>
                <w:lang w:val="en-US"/>
              </w:rPr>
            </w:pPr>
            <w:r w:rsidRPr="00902E6A">
              <w:rPr>
                <w:lang w:val="en-US"/>
              </w:rPr>
              <w:t>Yr 4: 22.42%</w:t>
            </w:r>
          </w:p>
          <w:p w:rsidR="00902E6A" w:rsidRPr="00902E6A" w:rsidRDefault="00902E6A" w:rsidP="00B45286">
            <w:pPr>
              <w:pStyle w:val="TableText"/>
              <w:keepLines/>
              <w:rPr>
                <w:lang w:val="en-US"/>
              </w:rPr>
            </w:pPr>
            <w:r w:rsidRPr="00902E6A">
              <w:rPr>
                <w:lang w:val="en-US"/>
              </w:rPr>
              <w:t>Yr 5: 25.73%</w:t>
            </w:r>
          </w:p>
          <w:p w:rsidR="00902E6A" w:rsidRPr="00902E6A" w:rsidRDefault="00902E6A" w:rsidP="00B45286">
            <w:pPr>
              <w:pStyle w:val="TableText"/>
              <w:keepLines/>
              <w:rPr>
                <w:lang w:val="en-US"/>
              </w:rPr>
            </w:pPr>
            <w:r w:rsidRPr="00902E6A">
              <w:rPr>
                <w:lang w:val="en-US"/>
              </w:rPr>
              <w:t>Yr 6: 25.08%</w:t>
            </w:r>
          </w:p>
          <w:p w:rsidR="00902E6A" w:rsidRPr="00902E6A" w:rsidRDefault="00902E6A" w:rsidP="00B45286">
            <w:pPr>
              <w:pStyle w:val="TableText"/>
              <w:keepLines/>
              <w:rPr>
                <w:lang w:val="en-US"/>
              </w:rPr>
            </w:pPr>
            <w:r w:rsidRPr="00902E6A">
              <w:rPr>
                <w:lang w:val="en-US"/>
              </w:rPr>
              <w:t>The submission stated that this was based on the number of eligible prescribers, however no data was provided in support of this</w:t>
            </w:r>
          </w:p>
        </w:tc>
        <w:tc>
          <w:tcPr>
            <w:tcW w:w="1780" w:type="pct"/>
            <w:shd w:val="clear" w:color="auto" w:fill="auto"/>
            <w:vAlign w:val="center"/>
          </w:tcPr>
          <w:p w:rsidR="00902E6A" w:rsidRPr="00902E6A" w:rsidRDefault="00902E6A" w:rsidP="00B45286">
            <w:pPr>
              <w:pStyle w:val="TableText"/>
              <w:keepLines/>
              <w:rPr>
                <w:lang w:val="en-US"/>
              </w:rPr>
            </w:pPr>
            <w:r w:rsidRPr="00902E6A">
              <w:rPr>
                <w:lang w:val="en-US"/>
              </w:rPr>
              <w:t>The method for this was not provided, and therefore could not be evaluated. No justification was provided for the pattern of uptake, nor the application of uptake rates to prevalent patients.</w:t>
            </w:r>
            <w:r w:rsidR="00262D66">
              <w:rPr>
                <w:lang w:val="en-US"/>
              </w:rPr>
              <w:t xml:space="preserve"> </w:t>
            </w:r>
          </w:p>
        </w:tc>
      </w:tr>
      <w:tr w:rsidR="00902E6A" w:rsidRPr="00902E6A" w:rsidTr="0080118D">
        <w:tc>
          <w:tcPr>
            <w:tcW w:w="950" w:type="pct"/>
            <w:shd w:val="clear" w:color="auto" w:fill="auto"/>
            <w:vAlign w:val="center"/>
          </w:tcPr>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Script numbers</w:t>
            </w:r>
            <w:r w:rsidRPr="00902E6A">
              <w:rPr>
                <w:rFonts w:ascii="Arial Narrow" w:eastAsiaTheme="majorEastAsia" w:hAnsi="Arial Narrow" w:cstheme="majorBidi"/>
                <w:bCs/>
                <w:sz w:val="20"/>
                <w:lang w:val="en-US"/>
              </w:rPr>
              <w:tab/>
            </w:r>
          </w:p>
          <w:p w:rsidR="00902E6A" w:rsidRPr="00902E6A" w:rsidRDefault="00902E6A" w:rsidP="00B45286">
            <w:pPr>
              <w:pStyle w:val="TableText"/>
              <w:keepLines/>
              <w:rPr>
                <w:lang w:val="en-US"/>
              </w:rPr>
            </w:pPr>
          </w:p>
        </w:tc>
        <w:tc>
          <w:tcPr>
            <w:tcW w:w="2270" w:type="pct"/>
            <w:shd w:val="clear" w:color="auto" w:fill="auto"/>
            <w:vAlign w:val="center"/>
          </w:tcPr>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1 mg initial: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w:t>
            </w:r>
          </w:p>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1 mg continuing, first year: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w:t>
            </w:r>
          </w:p>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1 mg continuing: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 subsequent year</w:t>
            </w:r>
          </w:p>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5 mg initial: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w:t>
            </w:r>
          </w:p>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5 mg continuing, first year: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w:t>
            </w:r>
          </w:p>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 xml:space="preserve">5 mg continuing: </w:t>
            </w:r>
            <w:r w:rsidR="00244F04">
              <w:rPr>
                <w:rFonts w:ascii="Arial Narrow" w:eastAsiaTheme="majorEastAsia" w:hAnsi="Arial Narrow" w:cstheme="majorBidi"/>
                <w:bCs/>
                <w:noProof/>
                <w:color w:val="000000"/>
                <w:sz w:val="20"/>
                <w:highlight w:val="black"/>
                <w:lang w:val="en-US"/>
              </w:rPr>
              <w:t>'''''''''''''</w:t>
            </w:r>
            <w:r w:rsidR="00372AE2">
              <w:rPr>
                <w:rFonts w:ascii="Arial Narrow" w:eastAsiaTheme="majorEastAsia" w:hAnsi="Arial Narrow" w:cstheme="majorBidi"/>
                <w:bCs/>
                <w:sz w:val="20"/>
                <w:vertAlign w:val="superscript"/>
                <w:lang w:val="en-US"/>
              </w:rPr>
              <w:t>1</w:t>
            </w:r>
            <w:r w:rsidRPr="00902E6A">
              <w:rPr>
                <w:rFonts w:ascii="Arial Narrow" w:eastAsiaTheme="majorEastAsia" w:hAnsi="Arial Narrow" w:cstheme="majorBidi"/>
                <w:bCs/>
                <w:sz w:val="20"/>
                <w:lang w:val="en-US"/>
              </w:rPr>
              <w:t xml:space="preserve"> scripts subsequent year</w:t>
            </w:r>
          </w:p>
          <w:p w:rsidR="00902E6A" w:rsidRPr="00902E6A" w:rsidRDefault="00902E6A" w:rsidP="00B45286">
            <w:pPr>
              <w:pStyle w:val="TableText"/>
              <w:keepLines/>
              <w:rPr>
                <w:lang w:val="en-US"/>
              </w:rPr>
            </w:pPr>
            <w:r w:rsidRPr="00902E6A">
              <w:rPr>
                <w:lang w:val="en-US"/>
              </w:rPr>
              <w:t>Average scripts per year calculated for initial and continuing patients by dose, over an 18-month period. The submission assumed initiating patients would receive 3 months of treatment, after which they would be assessed for response. Responders would then receive an additional 3 months of continuing treatment in the first year, followed by 12 months of continuing treatment in the second year</w:t>
            </w:r>
          </w:p>
        </w:tc>
        <w:tc>
          <w:tcPr>
            <w:tcW w:w="1780" w:type="pct"/>
            <w:shd w:val="clear" w:color="auto" w:fill="auto"/>
            <w:vAlign w:val="center"/>
          </w:tcPr>
          <w:p w:rsidR="00902E6A" w:rsidRPr="00902E6A" w:rsidRDefault="00902E6A" w:rsidP="00B45286">
            <w:pPr>
              <w:keepNext/>
              <w:keepLines/>
              <w:jc w:val="left"/>
              <w:rPr>
                <w:rFonts w:ascii="Arial Narrow" w:eastAsiaTheme="majorEastAsia" w:hAnsi="Arial Narrow" w:cstheme="majorBidi"/>
                <w:bCs/>
                <w:sz w:val="20"/>
                <w:lang w:val="en-US"/>
              </w:rPr>
            </w:pPr>
            <w:r w:rsidRPr="00902E6A">
              <w:rPr>
                <w:rFonts w:ascii="Arial Narrow" w:eastAsiaTheme="majorEastAsia" w:hAnsi="Arial Narrow" w:cstheme="majorBidi"/>
                <w:bCs/>
                <w:sz w:val="20"/>
                <w:lang w:val="en-US"/>
              </w:rPr>
              <w:t>Responders estimated to remain on treatment for 18 months (average duration of treatment from the trial; source not provided). The optimum duration of treatment is not yet determined, and in practice patients are likely to have a mixed pattern of use, with some remaining on treatment for a long period of time and others using intermittently</w:t>
            </w:r>
          </w:p>
          <w:p w:rsidR="00902E6A" w:rsidRPr="00902E6A" w:rsidRDefault="00902E6A" w:rsidP="00B45286">
            <w:pPr>
              <w:pStyle w:val="TableText"/>
              <w:keepLines/>
              <w:rPr>
                <w:lang w:val="en-US"/>
              </w:rPr>
            </w:pPr>
            <w:r w:rsidRPr="00902E6A">
              <w:rPr>
                <w:lang w:val="en-US"/>
              </w:rPr>
              <w:t>The average time on treatment differs from that applied in extrapolation in economic analysis, which assumed all patients would remain on treatment until the end of the modelled time horizon (2-9 years).</w:t>
            </w:r>
          </w:p>
        </w:tc>
      </w:tr>
      <w:tr w:rsidR="00902E6A" w:rsidRPr="00902E6A" w:rsidTr="0080118D">
        <w:tc>
          <w:tcPr>
            <w:tcW w:w="950" w:type="pct"/>
            <w:shd w:val="clear" w:color="auto" w:fill="auto"/>
            <w:vAlign w:val="center"/>
          </w:tcPr>
          <w:p w:rsidR="00902E6A" w:rsidRPr="00902E6A" w:rsidRDefault="00902E6A" w:rsidP="00B45286">
            <w:pPr>
              <w:pStyle w:val="TableText"/>
              <w:keepLines/>
              <w:rPr>
                <w:lang w:val="en-US"/>
              </w:rPr>
            </w:pPr>
            <w:r w:rsidRPr="00902E6A">
              <w:rPr>
                <w:lang w:val="en-US"/>
              </w:rPr>
              <w:t>Treatment responders/continuers</w:t>
            </w:r>
            <w:r w:rsidRPr="00902E6A">
              <w:rPr>
                <w:lang w:val="en-US"/>
              </w:rPr>
              <w:tab/>
            </w:r>
            <w:r w:rsidRPr="00902E6A">
              <w:rPr>
                <w:lang w:val="en-US"/>
              </w:rPr>
              <w:tab/>
            </w:r>
          </w:p>
        </w:tc>
        <w:tc>
          <w:tcPr>
            <w:tcW w:w="2270" w:type="pct"/>
            <w:shd w:val="clear" w:color="auto" w:fill="auto"/>
            <w:vAlign w:val="center"/>
          </w:tcPr>
          <w:p w:rsidR="00902E6A" w:rsidRPr="00902E6A" w:rsidRDefault="00902E6A" w:rsidP="00B45286">
            <w:pPr>
              <w:pStyle w:val="TableText"/>
              <w:keepLines/>
              <w:rPr>
                <w:lang w:val="en-US"/>
              </w:rPr>
            </w:pPr>
            <w:r w:rsidRPr="00902E6A">
              <w:rPr>
                <w:lang w:val="en-US"/>
              </w:rPr>
              <w:t>Continuing patients estimated to be 69% of initiating patients, based on the proportion of responders at week 13 of the NEU_CH_7911 trial.</w:t>
            </w:r>
          </w:p>
        </w:tc>
        <w:tc>
          <w:tcPr>
            <w:tcW w:w="1780" w:type="pct"/>
            <w:shd w:val="clear" w:color="auto" w:fill="auto"/>
            <w:vAlign w:val="center"/>
          </w:tcPr>
          <w:p w:rsidR="00902E6A" w:rsidRPr="00902E6A" w:rsidRDefault="00902E6A" w:rsidP="00B45286">
            <w:pPr>
              <w:pStyle w:val="TableText"/>
              <w:keepLines/>
              <w:rPr>
                <w:lang w:val="en-US"/>
              </w:rPr>
            </w:pPr>
            <w:r w:rsidRPr="00902E6A">
              <w:rPr>
                <w:lang w:val="en-US"/>
              </w:rPr>
              <w:t>Applying this to estimate continuing patients assumes that the response will be maintained, and that similar criteria will be used to assess response in clinical practice.</w:t>
            </w:r>
          </w:p>
        </w:tc>
      </w:tr>
    </w:tbl>
    <w:p w:rsidR="00902E6A" w:rsidRDefault="00902E6A" w:rsidP="00B45286">
      <w:pPr>
        <w:pStyle w:val="TableFigureFooter"/>
        <w:keepNext/>
        <w:keepLines/>
      </w:pPr>
      <w:r>
        <w:t>Source: Table 4.1, p.139; Table 4.2, p.140; Table 4.5, pp.141-142; Table 4.6, p.142 of the submission; Slenyto PRM Section 4 workbook</w:t>
      </w:r>
    </w:p>
    <w:p w:rsidR="00902E6A" w:rsidRDefault="00902E6A" w:rsidP="00B45286">
      <w:pPr>
        <w:pStyle w:val="TableFigureFooter"/>
        <w:keepNext/>
        <w:keepLines/>
      </w:pPr>
      <w:r>
        <w:t>Abbreviations: ABS, Australian Bureau of Statistics; ASD, Autism Spectrum Disorders; CSR, clinical study report; DPMQ, dispensed price for maximum quantity; NGD, neurogenetic disorders; SMS, Smith-Magenis Syndrome</w:t>
      </w:r>
    </w:p>
    <w:p w:rsidR="00372AE2" w:rsidRPr="009868C4" w:rsidRDefault="00372AE2" w:rsidP="00372AE2">
      <w:pPr>
        <w:pStyle w:val="TableFigureFooter"/>
        <w:spacing w:after="0"/>
        <w:contextualSpacing w:val="0"/>
      </w:pPr>
      <w:r w:rsidRPr="009868C4">
        <w:rPr>
          <w:i/>
        </w:rPr>
        <w:t>The redacted values correspond to the following ranges</w:t>
      </w:r>
      <w:r>
        <w:rPr>
          <w:i/>
        </w:rPr>
        <w:t xml:space="preserve">: </w:t>
      </w:r>
    </w:p>
    <w:p w:rsidR="00372AE2" w:rsidRPr="00372AE2" w:rsidRDefault="00372AE2" w:rsidP="00B45286">
      <w:pPr>
        <w:pStyle w:val="TableFigureFooter"/>
        <w:keepNext/>
        <w:keepLines/>
        <w:rPr>
          <w:i/>
          <w:szCs w:val="18"/>
        </w:rPr>
      </w:pPr>
      <w:r>
        <w:rPr>
          <w:i/>
          <w:szCs w:val="18"/>
          <w:vertAlign w:val="superscript"/>
        </w:rPr>
        <w:t xml:space="preserve">1 </w:t>
      </w:r>
      <w:r w:rsidRPr="00372AE2">
        <w:rPr>
          <w:i/>
          <w:szCs w:val="18"/>
        </w:rPr>
        <w:t>&lt; 500</w:t>
      </w:r>
    </w:p>
    <w:p w:rsidR="00902E6A" w:rsidRPr="00DF03AF" w:rsidRDefault="00902E6A" w:rsidP="00902E6A">
      <w:pPr>
        <w:pStyle w:val="ExecSumBodyText"/>
        <w:numPr>
          <w:ilvl w:val="1"/>
          <w:numId w:val="1"/>
        </w:numPr>
        <w:rPr>
          <w:color w:val="0066FF"/>
        </w:rPr>
      </w:pPr>
      <w:r w:rsidRPr="00471634">
        <w:rPr>
          <w:szCs w:val="22"/>
          <w:lang w:eastAsia="en-US"/>
        </w:rPr>
        <w:t xml:space="preserve">The estimated utilisation and financial impact of </w:t>
      </w:r>
      <w:r>
        <w:rPr>
          <w:szCs w:val="22"/>
          <w:lang w:eastAsia="en-US"/>
        </w:rPr>
        <w:t>listing prolonged release melatonin for the treatment of children aged 2-18 years with ASD and/or SMS, who have insomnia, is</w:t>
      </w:r>
      <w:r w:rsidRPr="00471634">
        <w:rPr>
          <w:szCs w:val="22"/>
          <w:lang w:eastAsia="en-US"/>
        </w:rPr>
        <w:t xml:space="preserve"> presented in Table </w:t>
      </w:r>
      <w:r>
        <w:rPr>
          <w:szCs w:val="22"/>
          <w:lang w:eastAsia="en-US"/>
        </w:rPr>
        <w:t>1</w:t>
      </w:r>
      <w:r w:rsidR="003742E6">
        <w:rPr>
          <w:szCs w:val="22"/>
          <w:lang w:eastAsia="en-US"/>
        </w:rPr>
        <w:t>4</w:t>
      </w:r>
      <w:r w:rsidRPr="00471634">
        <w:rPr>
          <w:szCs w:val="22"/>
          <w:lang w:eastAsia="en-US"/>
        </w:rPr>
        <w:t xml:space="preserve"> belo</w:t>
      </w:r>
      <w:r>
        <w:rPr>
          <w:szCs w:val="22"/>
          <w:lang w:eastAsia="en-US"/>
        </w:rPr>
        <w:t>w.</w:t>
      </w:r>
    </w:p>
    <w:p w:rsidR="00902E6A" w:rsidRPr="00B505C8" w:rsidRDefault="00902E6A" w:rsidP="00902E6A"/>
    <w:p w:rsidR="00902E6A" w:rsidRDefault="00902E6A" w:rsidP="00902E6A">
      <w:pPr>
        <w:jc w:val="left"/>
        <w:rPr>
          <w:rFonts w:ascii="Arial Narrow" w:eastAsiaTheme="majorEastAsia" w:hAnsi="Arial Narrow" w:cstheme="majorBidi"/>
          <w:b/>
          <w:bCs/>
          <w:sz w:val="20"/>
        </w:rPr>
      </w:pPr>
      <w:r>
        <w:br w:type="page"/>
      </w:r>
    </w:p>
    <w:p w:rsidR="00902E6A" w:rsidRPr="000A6039" w:rsidRDefault="00902E6A" w:rsidP="00902E6A">
      <w:pPr>
        <w:pStyle w:val="TableFigureCaption"/>
      </w:pPr>
      <w:r w:rsidRPr="000A6039">
        <w:t xml:space="preserve">Table </w:t>
      </w:r>
      <w:r>
        <w:t>1</w:t>
      </w:r>
      <w:r w:rsidR="002B7B0D">
        <w:t>4</w:t>
      </w:r>
      <w:r w:rsidRPr="000A6039">
        <w:t>: Estimation of number of treated patients and prescriptions</w:t>
      </w:r>
      <w:r w:rsidR="00C45A76">
        <w:t xml:space="preserve"> (corrected during evaluation*)</w:t>
      </w:r>
    </w:p>
    <w:tbl>
      <w:tblPr>
        <w:tblStyle w:val="TableGrid"/>
        <w:tblpPr w:leftFromText="180" w:rightFromText="180" w:vertAnchor="text" w:tblpY="1"/>
        <w:tblOverlap w:val="never"/>
        <w:tblW w:w="5000" w:type="pct"/>
        <w:tblCellMar>
          <w:left w:w="28" w:type="dxa"/>
          <w:right w:w="28" w:type="dxa"/>
        </w:tblCellMar>
        <w:tblLook w:val="04A0" w:firstRow="1" w:lastRow="0" w:firstColumn="1" w:lastColumn="0" w:noHBand="0" w:noVBand="1"/>
        <w:tblCaption w:val="Table 14: Estimation of number of treated patients and prescriptions (corrected during evaluation*)"/>
      </w:tblPr>
      <w:tblGrid>
        <w:gridCol w:w="2663"/>
        <w:gridCol w:w="1046"/>
        <w:gridCol w:w="1046"/>
        <w:gridCol w:w="1085"/>
        <w:gridCol w:w="1046"/>
        <w:gridCol w:w="1085"/>
        <w:gridCol w:w="1046"/>
      </w:tblGrid>
      <w:tr w:rsidR="00902E6A" w:rsidRPr="000A6039" w:rsidTr="003B2269">
        <w:trPr>
          <w:tblHeader/>
        </w:trPr>
        <w:tc>
          <w:tcPr>
            <w:tcW w:w="1651" w:type="pct"/>
          </w:tcPr>
          <w:p w:rsidR="00902E6A" w:rsidRPr="00470AB7" w:rsidRDefault="00902E6A" w:rsidP="0080118D">
            <w:pPr>
              <w:pStyle w:val="TableText"/>
              <w:rPr>
                <w:szCs w:val="20"/>
              </w:rPr>
            </w:pPr>
            <w:bookmarkStart w:id="26" w:name="_GoBack" w:colFirst="0" w:colLast="7"/>
          </w:p>
        </w:tc>
        <w:tc>
          <w:tcPr>
            <w:tcW w:w="558" w:type="pct"/>
            <w:shd w:val="clear" w:color="auto" w:fill="auto"/>
            <w:vAlign w:val="center"/>
          </w:tcPr>
          <w:p w:rsidR="00902E6A" w:rsidRPr="00470AB7" w:rsidRDefault="00902E6A" w:rsidP="0080118D">
            <w:pPr>
              <w:pStyle w:val="TableText"/>
              <w:jc w:val="center"/>
              <w:rPr>
                <w:b/>
                <w:szCs w:val="20"/>
              </w:rPr>
            </w:pPr>
            <w:r w:rsidRPr="00470AB7">
              <w:rPr>
                <w:b/>
                <w:szCs w:val="20"/>
              </w:rPr>
              <w:t>Year 1</w:t>
            </w:r>
          </w:p>
        </w:tc>
        <w:tc>
          <w:tcPr>
            <w:tcW w:w="558" w:type="pct"/>
            <w:shd w:val="clear" w:color="auto" w:fill="auto"/>
            <w:vAlign w:val="center"/>
          </w:tcPr>
          <w:p w:rsidR="00902E6A" w:rsidRPr="00470AB7" w:rsidRDefault="00902E6A" w:rsidP="0080118D">
            <w:pPr>
              <w:pStyle w:val="TableText"/>
              <w:jc w:val="center"/>
              <w:rPr>
                <w:b/>
                <w:szCs w:val="20"/>
              </w:rPr>
            </w:pPr>
            <w:r w:rsidRPr="00470AB7">
              <w:rPr>
                <w:b/>
                <w:szCs w:val="20"/>
              </w:rPr>
              <w:t>Year 2</w:t>
            </w:r>
          </w:p>
        </w:tc>
        <w:tc>
          <w:tcPr>
            <w:tcW w:w="559" w:type="pct"/>
            <w:shd w:val="clear" w:color="auto" w:fill="auto"/>
            <w:vAlign w:val="center"/>
          </w:tcPr>
          <w:p w:rsidR="00902E6A" w:rsidRPr="00470AB7" w:rsidRDefault="00902E6A" w:rsidP="0080118D">
            <w:pPr>
              <w:pStyle w:val="TableText"/>
              <w:jc w:val="center"/>
              <w:rPr>
                <w:b/>
                <w:szCs w:val="20"/>
              </w:rPr>
            </w:pPr>
            <w:r w:rsidRPr="00470AB7">
              <w:rPr>
                <w:b/>
                <w:szCs w:val="20"/>
              </w:rPr>
              <w:t>Year 3</w:t>
            </w:r>
          </w:p>
        </w:tc>
        <w:tc>
          <w:tcPr>
            <w:tcW w:w="558" w:type="pct"/>
            <w:shd w:val="clear" w:color="auto" w:fill="auto"/>
            <w:vAlign w:val="center"/>
          </w:tcPr>
          <w:p w:rsidR="00902E6A" w:rsidRPr="00470AB7" w:rsidRDefault="00902E6A" w:rsidP="0080118D">
            <w:pPr>
              <w:pStyle w:val="TableText"/>
              <w:jc w:val="center"/>
              <w:rPr>
                <w:b/>
                <w:szCs w:val="20"/>
              </w:rPr>
            </w:pPr>
            <w:r w:rsidRPr="00470AB7">
              <w:rPr>
                <w:b/>
                <w:szCs w:val="20"/>
              </w:rPr>
              <w:t>Year 4</w:t>
            </w:r>
          </w:p>
        </w:tc>
        <w:tc>
          <w:tcPr>
            <w:tcW w:w="558" w:type="pct"/>
            <w:shd w:val="clear" w:color="auto" w:fill="auto"/>
            <w:vAlign w:val="center"/>
          </w:tcPr>
          <w:p w:rsidR="00902E6A" w:rsidRPr="00470AB7" w:rsidRDefault="00902E6A" w:rsidP="0080118D">
            <w:pPr>
              <w:pStyle w:val="TableText"/>
              <w:jc w:val="center"/>
              <w:rPr>
                <w:b/>
                <w:szCs w:val="20"/>
              </w:rPr>
            </w:pPr>
            <w:r w:rsidRPr="00470AB7">
              <w:rPr>
                <w:b/>
                <w:szCs w:val="20"/>
              </w:rPr>
              <w:t>Year 5</w:t>
            </w:r>
          </w:p>
        </w:tc>
        <w:tc>
          <w:tcPr>
            <w:tcW w:w="558" w:type="pct"/>
            <w:shd w:val="clear" w:color="auto" w:fill="auto"/>
            <w:vAlign w:val="center"/>
          </w:tcPr>
          <w:p w:rsidR="00902E6A" w:rsidRPr="00470AB7" w:rsidRDefault="00902E6A" w:rsidP="0080118D">
            <w:pPr>
              <w:pStyle w:val="TableText"/>
              <w:jc w:val="center"/>
              <w:rPr>
                <w:b/>
                <w:szCs w:val="20"/>
              </w:rPr>
            </w:pPr>
            <w:r w:rsidRPr="00470AB7">
              <w:rPr>
                <w:b/>
                <w:szCs w:val="20"/>
              </w:rPr>
              <w:t>Year 6</w:t>
            </w:r>
          </w:p>
        </w:tc>
      </w:tr>
      <w:tr w:rsidR="00902E6A" w:rsidRPr="000A6039" w:rsidTr="0080118D">
        <w:tc>
          <w:tcPr>
            <w:tcW w:w="1651" w:type="pct"/>
            <w:shd w:val="clear" w:color="auto" w:fill="FFFFFF" w:themeFill="background1"/>
            <w:vAlign w:val="center"/>
          </w:tcPr>
          <w:p w:rsidR="00902E6A" w:rsidRPr="00470AB7" w:rsidRDefault="003F7821" w:rsidP="0080118D">
            <w:pPr>
              <w:pStyle w:val="TableText"/>
              <w:rPr>
                <w:szCs w:val="20"/>
              </w:rPr>
            </w:pPr>
            <w:r w:rsidRPr="00470AB7">
              <w:rPr>
                <w:rFonts w:cstheme="minorHAnsi"/>
                <w:szCs w:val="20"/>
              </w:rPr>
              <w:t xml:space="preserve">Australian population </w:t>
            </w:r>
            <w:r>
              <w:rPr>
                <w:rFonts w:cstheme="minorHAnsi"/>
                <w:szCs w:val="20"/>
              </w:rPr>
              <w:t>a</w:t>
            </w:r>
            <w:r w:rsidR="00902E6A" w:rsidRPr="00470AB7">
              <w:rPr>
                <w:rFonts w:cstheme="minorHAnsi"/>
                <w:szCs w:val="20"/>
              </w:rPr>
              <w:t>ged between 2 and 18 years</w:t>
            </w:r>
          </w:p>
        </w:tc>
        <w:tc>
          <w:tcPr>
            <w:tcW w:w="558" w:type="pct"/>
            <w:shd w:val="clear" w:color="auto" w:fill="FFFFFF" w:themeFill="background1"/>
            <w:vAlign w:val="center"/>
          </w:tcPr>
          <w:p w:rsidR="00902E6A" w:rsidRPr="00F11E53" w:rsidRDefault="00244F04" w:rsidP="0080118D">
            <w:pPr>
              <w:pStyle w:val="TableText"/>
              <w:jc w:val="center"/>
              <w:rPr>
                <w:szCs w:val="20"/>
                <w:vertAlign w:val="superscript"/>
              </w:rPr>
            </w:pPr>
            <w:r>
              <w:rPr>
                <w:rFonts w:cstheme="minorHAnsi"/>
                <w:noProof/>
                <w:color w:val="000000"/>
                <w:szCs w:val="20"/>
                <w:highlight w:val="black"/>
              </w:rPr>
              <w:t>'''''''''''''''''''''''</w:t>
            </w:r>
            <w:r w:rsidR="00F11E53">
              <w:rPr>
                <w:rFonts w:cstheme="minorHAnsi"/>
                <w:szCs w:val="20"/>
                <w:vertAlign w:val="superscript"/>
              </w:rPr>
              <w:t>1</w:t>
            </w:r>
          </w:p>
        </w:tc>
        <w:tc>
          <w:tcPr>
            <w:tcW w:w="558" w:type="pct"/>
            <w:shd w:val="clear" w:color="auto" w:fill="FFFFFF" w:themeFill="background1"/>
            <w:vAlign w:val="center"/>
          </w:tcPr>
          <w:p w:rsidR="00902E6A" w:rsidRPr="00470AB7"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1</w:t>
            </w:r>
          </w:p>
        </w:tc>
        <w:tc>
          <w:tcPr>
            <w:tcW w:w="559" w:type="pct"/>
            <w:shd w:val="clear" w:color="auto" w:fill="FFFFFF" w:themeFill="background1"/>
            <w:vAlign w:val="center"/>
          </w:tcPr>
          <w:p w:rsidR="00902E6A" w:rsidRPr="00470AB7"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1</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1</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1</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1</w:t>
            </w:r>
          </w:p>
        </w:tc>
      </w:tr>
      <w:tr w:rsidR="00902E6A" w:rsidRPr="000A6039" w:rsidTr="0080118D">
        <w:tc>
          <w:tcPr>
            <w:tcW w:w="1651" w:type="pct"/>
            <w:shd w:val="clear" w:color="auto" w:fill="FFFFFF" w:themeFill="background1"/>
            <w:vAlign w:val="center"/>
          </w:tcPr>
          <w:p w:rsidR="00902E6A" w:rsidRPr="00470AB7" w:rsidRDefault="00902E6A" w:rsidP="0080118D">
            <w:pPr>
              <w:pStyle w:val="TableText"/>
              <w:rPr>
                <w:szCs w:val="20"/>
              </w:rPr>
            </w:pPr>
            <w:r w:rsidRPr="00470AB7">
              <w:rPr>
                <w:rFonts w:cstheme="minorHAnsi"/>
                <w:szCs w:val="20"/>
              </w:rPr>
              <w:t>Eligible ASD population (2.5%)</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c>
          <w:tcPr>
            <w:tcW w:w="559"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c>
          <w:tcPr>
            <w:tcW w:w="558" w:type="pct"/>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2</w:t>
            </w:r>
          </w:p>
        </w:tc>
      </w:tr>
      <w:tr w:rsidR="00902E6A" w:rsidRPr="000A6039" w:rsidTr="0080118D">
        <w:tc>
          <w:tcPr>
            <w:tcW w:w="1651" w:type="pct"/>
            <w:shd w:val="clear" w:color="auto" w:fill="FFFFFF" w:themeFill="background1"/>
            <w:vAlign w:val="center"/>
          </w:tcPr>
          <w:p w:rsidR="00902E6A" w:rsidRPr="00470AB7" w:rsidRDefault="00902E6A" w:rsidP="0080118D">
            <w:pPr>
              <w:pStyle w:val="TableText"/>
              <w:rPr>
                <w:szCs w:val="20"/>
              </w:rPr>
            </w:pPr>
            <w:r w:rsidRPr="00470AB7">
              <w:rPr>
                <w:rFonts w:cstheme="minorHAnsi"/>
                <w:szCs w:val="20"/>
              </w:rPr>
              <w:t>Eligible SMS population (0.004%)</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c>
          <w:tcPr>
            <w:tcW w:w="559"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3</w:t>
            </w:r>
          </w:p>
        </w:tc>
      </w:tr>
      <w:tr w:rsidR="00902E6A" w:rsidRPr="000A6039" w:rsidTr="0080118D">
        <w:tc>
          <w:tcPr>
            <w:tcW w:w="1651" w:type="pct"/>
            <w:shd w:val="clear" w:color="auto" w:fill="FFFFFF" w:themeFill="background1"/>
            <w:vAlign w:val="center"/>
          </w:tcPr>
          <w:p w:rsidR="00902E6A" w:rsidRPr="00470AB7" w:rsidRDefault="00902E6A" w:rsidP="0080118D">
            <w:pPr>
              <w:pStyle w:val="TableText"/>
              <w:rPr>
                <w:rFonts w:cstheme="minorHAnsi"/>
                <w:szCs w:val="20"/>
              </w:rPr>
            </w:pPr>
            <w:r>
              <w:rPr>
                <w:rFonts w:cstheme="minorHAnsi"/>
                <w:szCs w:val="20"/>
              </w:rPr>
              <w:t>Total eligible population</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theme="minorHAnsi"/>
                <w:szCs w:val="20"/>
              </w:rPr>
            </w:pPr>
            <w:r>
              <w:rPr>
                <w:rFonts w:cs="Arial"/>
                <w:noProof/>
                <w:color w:val="000000"/>
                <w:szCs w:val="20"/>
                <w:highlight w:val="black"/>
              </w:rPr>
              <w:t>'''''''''''''''''</w:t>
            </w:r>
            <w:r w:rsidR="00F11E53">
              <w:rPr>
                <w:rFonts w:cstheme="minorHAnsi"/>
                <w:szCs w:val="20"/>
                <w:vertAlign w:val="superscript"/>
              </w:rPr>
              <w:t>2</w:t>
            </w:r>
          </w:p>
        </w:tc>
      </w:tr>
      <w:tr w:rsidR="00902E6A" w:rsidRPr="000A6039" w:rsidTr="0080118D">
        <w:tc>
          <w:tcPr>
            <w:tcW w:w="1651" w:type="pct"/>
          </w:tcPr>
          <w:p w:rsidR="00902E6A" w:rsidRPr="00470AB7" w:rsidRDefault="00902E6A" w:rsidP="0080118D">
            <w:pPr>
              <w:pStyle w:val="TableText"/>
              <w:rPr>
                <w:szCs w:val="20"/>
              </w:rPr>
            </w:pPr>
            <w:r w:rsidRPr="00470AB7">
              <w:rPr>
                <w:szCs w:val="20"/>
              </w:rPr>
              <w:t>Rate of insomnia (60%)</w:t>
            </w:r>
            <w:r>
              <w:rPr>
                <w:szCs w:val="20"/>
              </w:rPr>
              <w:t>,</w:t>
            </w:r>
            <w:r w:rsidRPr="00470AB7">
              <w:rPr>
                <w:szCs w:val="20"/>
              </w:rPr>
              <w:t xml:space="preserve"> with insufficient sleep hygiene response (75%)</w:t>
            </w:r>
            <w:r>
              <w:rPr>
                <w:szCs w:val="20"/>
              </w:rPr>
              <w:t xml:space="preserve"> [45%</w:t>
            </w:r>
            <w:r w:rsidRPr="00470AB7">
              <w:rPr>
                <w:szCs w:val="20"/>
              </w:rPr>
              <w:t xml:space="preserve"> overall</w:t>
            </w:r>
            <w:r>
              <w:rPr>
                <w:szCs w:val="20"/>
              </w:rPr>
              <w:t>]</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4</w:t>
            </w:r>
          </w:p>
        </w:tc>
      </w:tr>
      <w:tr w:rsidR="00902E6A" w:rsidRPr="000A6039" w:rsidTr="0080118D">
        <w:tc>
          <w:tcPr>
            <w:tcW w:w="1651" w:type="pct"/>
          </w:tcPr>
          <w:p w:rsidR="00902E6A" w:rsidRDefault="00902E6A" w:rsidP="0080118D">
            <w:pPr>
              <w:pStyle w:val="TableText"/>
              <w:rPr>
                <w:szCs w:val="20"/>
              </w:rPr>
            </w:pPr>
            <w:r>
              <w:rPr>
                <w:szCs w:val="20"/>
              </w:rPr>
              <w:t>Uptake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25.00%</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21.85%</w:t>
            </w:r>
          </w:p>
        </w:tc>
        <w:tc>
          <w:tcPr>
            <w:tcW w:w="559" w:type="pct"/>
            <w:tcBorders>
              <w:top w:val="single" w:sz="4" w:space="0" w:color="auto"/>
              <w:left w:val="nil"/>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21.76%</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22.42%</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25.73%</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6D7017" w:rsidRDefault="00902E6A" w:rsidP="0080118D">
            <w:pPr>
              <w:pStyle w:val="TableText"/>
              <w:jc w:val="center"/>
              <w:rPr>
                <w:rFonts w:cs="Arial"/>
                <w:color w:val="000000"/>
                <w:szCs w:val="20"/>
              </w:rPr>
            </w:pPr>
            <w:r w:rsidRPr="006D7017">
              <w:rPr>
                <w:rFonts w:cs="Arial"/>
                <w:color w:val="000000"/>
                <w:szCs w:val="20"/>
              </w:rPr>
              <w:t>25.08%</w:t>
            </w:r>
          </w:p>
        </w:tc>
      </w:tr>
      <w:tr w:rsidR="00902E6A" w:rsidRPr="000A6039" w:rsidTr="0080118D">
        <w:tc>
          <w:tcPr>
            <w:tcW w:w="1651" w:type="pct"/>
            <w:shd w:val="clear" w:color="auto" w:fill="FFFFFF" w:themeFill="background1"/>
            <w:vAlign w:val="center"/>
          </w:tcPr>
          <w:p w:rsidR="00902E6A" w:rsidRPr="00470AB7" w:rsidRDefault="00902E6A" w:rsidP="0080118D">
            <w:pPr>
              <w:pStyle w:val="TableText"/>
              <w:rPr>
                <w:szCs w:val="20"/>
              </w:rPr>
            </w:pPr>
            <w:r>
              <w:rPr>
                <w:rFonts w:cstheme="minorHAnsi"/>
                <w:szCs w:val="20"/>
              </w:rPr>
              <w:t xml:space="preserve">Patients initiating treatment </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c>
          <w:tcPr>
            <w:tcW w:w="559"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bottom w:val="single" w:sz="4" w:space="0" w:color="auto"/>
            </w:tcBorders>
            <w:shd w:val="clear" w:color="auto" w:fill="FFFFFF" w:themeFill="background1"/>
            <w:vAlign w:val="center"/>
          </w:tcPr>
          <w:p w:rsidR="00902E6A" w:rsidRPr="00244F04" w:rsidRDefault="00244F04" w:rsidP="0080118D">
            <w:pPr>
              <w:pStyle w:val="TableText"/>
              <w:jc w:val="center"/>
              <w:rPr>
                <w:szCs w:val="20"/>
              </w:rPr>
            </w:pPr>
            <w:r>
              <w:rPr>
                <w:rFonts w:cstheme="minorHAnsi"/>
                <w:noProof/>
                <w:color w:val="000000"/>
                <w:szCs w:val="20"/>
                <w:highlight w:val="black"/>
              </w:rPr>
              <w:t>''''''''''''''''</w:t>
            </w:r>
            <w:r w:rsidR="00F11E53">
              <w:rPr>
                <w:rFonts w:cstheme="minorHAnsi"/>
                <w:szCs w:val="20"/>
                <w:vertAlign w:val="superscript"/>
              </w:rPr>
              <w:t>5</w:t>
            </w:r>
          </w:p>
        </w:tc>
      </w:tr>
      <w:tr w:rsidR="00902E6A" w:rsidRPr="00550CD5"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Pr="00470AB7" w:rsidRDefault="00902E6A" w:rsidP="0080118D">
            <w:pPr>
              <w:pStyle w:val="TableText"/>
              <w:rPr>
                <w:szCs w:val="20"/>
              </w:rPr>
            </w:pPr>
            <w:r>
              <w:rPr>
                <w:szCs w:val="20"/>
              </w:rPr>
              <w:t>Initial scripts first year 1 mg (29% patients; 3.04 scripts/patient)</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5</w:t>
            </w:r>
            <w:r>
              <w:rPr>
                <w:rFonts w:cs="Arial"/>
                <w:noProof/>
                <w:color w:val="000000"/>
                <w:szCs w:val="20"/>
                <w:highlight w:val="black"/>
              </w:rPr>
              <w:t xml:space="preserve"> </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5</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5</w:t>
            </w:r>
            <w:r>
              <w:rPr>
                <w:rFonts w:cs="Arial"/>
                <w:noProof/>
                <w:color w:val="000000"/>
                <w:szCs w:val="20"/>
                <w:highlight w:val="black"/>
              </w:rPr>
              <w:t xml:space="preserve"> </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Initial scripts first year 5 mg (71% patients; 3.04 scripts/patient)</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7</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szCs w:val="20"/>
              </w:rPr>
            </w:pPr>
            <w:r>
              <w:rPr>
                <w:rFonts w:cs="Arial"/>
                <w:noProof/>
                <w:color w:val="000000"/>
                <w:szCs w:val="20"/>
                <w:highlight w:val="black"/>
              </w:rPr>
              <w:t>'''''''''''''''</w:t>
            </w:r>
            <w:r w:rsidR="00F11E53">
              <w:rPr>
                <w:rFonts w:cstheme="minorHAnsi"/>
                <w:szCs w:val="20"/>
                <w:vertAlign w:val="superscript"/>
              </w:rPr>
              <w:t>6</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sidRPr="00470AB7">
              <w:rPr>
                <w:rFonts w:cstheme="minorHAnsi"/>
                <w:szCs w:val="20"/>
              </w:rPr>
              <w:t xml:space="preserve">Continuing </w:t>
            </w:r>
            <w:r>
              <w:rPr>
                <w:rFonts w:cstheme="minorHAnsi"/>
                <w:szCs w:val="20"/>
              </w:rPr>
              <w:t>patients at 13 weeks</w:t>
            </w:r>
            <w:r w:rsidRPr="00470AB7">
              <w:rPr>
                <w:rFonts w:cstheme="minorHAnsi"/>
                <w:szCs w:val="20"/>
              </w:rPr>
              <w:t xml:space="preserve"> (69% response rate)</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8</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Pr="00470AB7" w:rsidRDefault="00902E6A" w:rsidP="0080118D">
            <w:pPr>
              <w:pStyle w:val="TableText"/>
              <w:rPr>
                <w:szCs w:val="20"/>
              </w:rPr>
            </w:pPr>
            <w:r>
              <w:rPr>
                <w:szCs w:val="20"/>
              </w:rPr>
              <w:t xml:space="preserve">Continuing scripts first year 1 </w:t>
            </w:r>
            <w:r w:rsidRPr="00C673C7">
              <w:rPr>
                <w:szCs w:val="20"/>
              </w:rPr>
              <w:t>mg (29%</w:t>
            </w:r>
            <w:r>
              <w:rPr>
                <w:szCs w:val="20"/>
              </w:rPr>
              <w:t xml:space="preserve"> patients; 3.04 scripts/patient)</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8</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5</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Continuing scripts first year 5 mg (</w:t>
            </w:r>
            <w:r w:rsidRPr="00C673C7">
              <w:rPr>
                <w:szCs w:val="20"/>
              </w:rPr>
              <w:t>71%</w:t>
            </w:r>
            <w:r>
              <w:rPr>
                <w:szCs w:val="20"/>
              </w:rPr>
              <w:t xml:space="preserve"> patients; 4.08 scripts/patient)</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7</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7</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7</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szCs w:val="20"/>
              </w:rPr>
            </w:pPr>
            <w:r>
              <w:rPr>
                <w:rFonts w:cs="Arial"/>
                <w:noProof/>
                <w:color w:val="000000"/>
                <w:szCs w:val="20"/>
                <w:highlight w:val="black"/>
              </w:rPr>
              <w:t>''''''''''''''''</w:t>
            </w:r>
            <w:r w:rsidR="00F11E53">
              <w:rPr>
                <w:rFonts w:cstheme="minorHAnsi"/>
                <w:szCs w:val="20"/>
                <w:vertAlign w:val="superscript"/>
              </w:rPr>
              <w:t>6</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Continuing patients from previous year</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902E6A" w:rsidRPr="00F11E53" w:rsidRDefault="00902E6A" w:rsidP="0080118D">
            <w:pPr>
              <w:pStyle w:val="TableText"/>
              <w:jc w:val="center"/>
              <w:rPr>
                <w:rFonts w:cs="Arial"/>
                <w:color w:val="000000"/>
                <w:szCs w:val="20"/>
              </w:rPr>
            </w:pPr>
            <w:r w:rsidRPr="00F11E53">
              <w:rPr>
                <w:rFonts w:cs="Arial"/>
                <w:color w:val="000000"/>
                <w:szCs w:val="20"/>
              </w:rPr>
              <w:t>0</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8</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902E6A" w:rsidRPr="00244F04" w:rsidRDefault="00244F04" w:rsidP="0080118D">
            <w:pPr>
              <w:pStyle w:val="TableText"/>
              <w:jc w:val="center"/>
              <w:rPr>
                <w:rFonts w:cs="Arial"/>
                <w:color w:val="000000"/>
                <w:szCs w:val="20"/>
              </w:rPr>
            </w:pPr>
            <w:r>
              <w:rPr>
                <w:rFonts w:cstheme="minorHAnsi"/>
                <w:noProof/>
                <w:color w:val="000000"/>
                <w:szCs w:val="20"/>
                <w:highlight w:val="black"/>
              </w:rPr>
              <w:t>''''''''''''''''</w:t>
            </w:r>
            <w:r w:rsidR="00F11E53">
              <w:rPr>
                <w:rFonts w:cstheme="minorHAnsi"/>
                <w:szCs w:val="20"/>
                <w:vertAlign w:val="superscript"/>
              </w:rPr>
              <w:t>5</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Continuing scripts second year 1 mg (29% patients; 12.18 scripts/ patient)</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F11E53" w:rsidRDefault="00902E6A" w:rsidP="0080118D">
            <w:pPr>
              <w:pStyle w:val="TableText"/>
              <w:jc w:val="center"/>
              <w:rPr>
                <w:szCs w:val="20"/>
              </w:rPr>
            </w:pPr>
            <w:r w:rsidRPr="00F11E53">
              <w:rPr>
                <w:rFonts w:cs="Arial"/>
                <w:szCs w:val="20"/>
              </w:rPr>
              <w:t xml:space="preserve">0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6</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6</w:t>
            </w:r>
            <w:r>
              <w:rPr>
                <w:rFonts w:cs="Arial"/>
                <w:noProof/>
                <w:color w:val="000000"/>
                <w:szCs w:val="20"/>
                <w:highlight w:val="blac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 xml:space="preserve">''''''''''''''''' </w:t>
            </w:r>
            <w:r w:rsidR="00F11E53">
              <w:rPr>
                <w:rFonts w:cstheme="minorHAnsi"/>
                <w:szCs w:val="20"/>
                <w:vertAlign w:val="superscript"/>
              </w:rPr>
              <w:t>6</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noProof/>
                <w:color w:val="000000"/>
                <w:szCs w:val="20"/>
                <w:highlight w:val="black"/>
              </w:rPr>
              <w:t>'''''''''''''''</w:t>
            </w:r>
            <w:r w:rsidR="00F11E53">
              <w:rPr>
                <w:rFonts w:cstheme="minorHAnsi"/>
                <w:szCs w:val="20"/>
                <w:vertAlign w:val="superscript"/>
              </w:rPr>
              <w:t>9</w:t>
            </w:r>
            <w:r>
              <w:rPr>
                <w:rFonts w:cs="Arial"/>
                <w:noProof/>
                <w:color w:val="000000"/>
                <w:szCs w:val="20"/>
                <w:highlight w:val="black"/>
              </w:rPr>
              <w:t xml:space="preserve"> </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Continuing scripts second year 5 mg (71% patients; 16.29 scripts/patient)</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F11E53" w:rsidRDefault="00902E6A" w:rsidP="0080118D">
            <w:pPr>
              <w:pStyle w:val="TableText"/>
              <w:jc w:val="center"/>
              <w:rPr>
                <w:szCs w:val="20"/>
              </w:rPr>
            </w:pPr>
            <w:r w:rsidRPr="00F11E53">
              <w:rPr>
                <w:rFonts w:cs="Arial"/>
                <w:szCs w:val="20"/>
              </w:rPr>
              <w:t xml:space="preserve">0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2</w:t>
            </w:r>
            <w:r>
              <w:rPr>
                <w:rFonts w:cs="Arial"/>
                <w:noProof/>
                <w:color w:val="000000"/>
                <w:szCs w:val="20"/>
                <w:highlight w:val="black"/>
              </w:rPr>
              <w:t xml:space="preserve"> </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2</w:t>
            </w:r>
            <w:r>
              <w:rPr>
                <w:rFonts w:cs="Arial"/>
                <w:noProof/>
                <w:color w:val="000000"/>
                <w:szCs w:val="20"/>
                <w:highlight w:val="blac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2</w:t>
            </w:r>
            <w:r>
              <w:rPr>
                <w:rFonts w:cs="Arial"/>
                <w:noProof/>
                <w:color w:val="000000"/>
                <w:szCs w:val="20"/>
                <w:highlight w:val="blac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szCs w:val="20"/>
              </w:rPr>
            </w:pPr>
            <w:r>
              <w:rPr>
                <w:rFonts w:cs="Arial"/>
                <w:noProof/>
                <w:color w:val="000000"/>
                <w:szCs w:val="20"/>
                <w:highlight w:val="black"/>
              </w:rPr>
              <w:t>''''''''''''''''''</w:t>
            </w:r>
            <w:r w:rsidR="00F11E53">
              <w:rPr>
                <w:rFonts w:cstheme="minorHAnsi"/>
                <w:szCs w:val="20"/>
                <w:vertAlign w:val="superscript"/>
              </w:rPr>
              <w:t>2</w:t>
            </w:r>
            <w:r>
              <w:rPr>
                <w:rFonts w:cs="Arial"/>
                <w:noProof/>
                <w:color w:val="000000"/>
                <w:szCs w:val="20"/>
                <w:highlight w:val="blac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noProof/>
                <w:color w:val="000000"/>
                <w:szCs w:val="20"/>
                <w:highlight w:val="black"/>
              </w:rPr>
              <w:t>'''''''''''''''''''</w:t>
            </w:r>
            <w:r w:rsidR="00F11E53">
              <w:rPr>
                <w:rFonts w:cstheme="minorHAnsi"/>
                <w:szCs w:val="20"/>
                <w:vertAlign w:val="superscript"/>
              </w:rPr>
              <w:t>2</w:t>
            </w:r>
            <w:r>
              <w:rPr>
                <w:rFonts w:cs="Arial"/>
                <w:noProof/>
                <w:color w:val="000000"/>
                <w:szCs w:val="20"/>
                <w:highlight w:val="black"/>
              </w:rPr>
              <w:t xml:space="preserve"> </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Default="00902E6A" w:rsidP="0080118D">
            <w:pPr>
              <w:pStyle w:val="TableText"/>
              <w:rPr>
                <w:szCs w:val="20"/>
              </w:rPr>
            </w:pPr>
            <w:r>
              <w:rPr>
                <w:szCs w:val="20"/>
              </w:rPr>
              <w:t>Total script volume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10</w:t>
            </w:r>
            <w:r>
              <w:rPr>
                <w:rFonts w:cs="Arial"/>
                <w:bCs w:val="0"/>
                <w:noProof/>
                <w:color w:val="000000"/>
                <w:szCs w:val="20"/>
                <w:highlight w:val="black"/>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11</w:t>
            </w:r>
            <w:r>
              <w:rPr>
                <w:rFonts w:cs="Arial"/>
                <w:bCs w:val="0"/>
                <w:noProof/>
                <w:color w:val="000000"/>
                <w:szCs w:val="20"/>
                <w:highlight w:val="black"/>
              </w:rPr>
              <w:t xml:space="preserve"> </w:t>
            </w:r>
          </w:p>
        </w:tc>
        <w:tc>
          <w:tcPr>
            <w:tcW w:w="559"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11</w:t>
            </w:r>
            <w:r>
              <w:rPr>
                <w:rFonts w:cs="Arial"/>
                <w:bCs w:val="0"/>
                <w:noProof/>
                <w:color w:val="000000"/>
                <w:szCs w:val="20"/>
                <w:highlight w:val="black"/>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11</w:t>
            </w:r>
            <w:r>
              <w:rPr>
                <w:rFonts w:cs="Arial"/>
                <w:bCs w:val="0"/>
                <w:noProof/>
                <w:color w:val="000000"/>
                <w:szCs w:val="20"/>
                <w:highlight w:val="black"/>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11</w:t>
            </w:r>
            <w:r>
              <w:rPr>
                <w:rFonts w:cs="Arial"/>
                <w:bCs w:val="0"/>
                <w:noProof/>
                <w:color w:val="000000"/>
                <w:szCs w:val="20"/>
                <w:highlight w:val="black"/>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244F04" w:rsidP="0080118D">
            <w:pPr>
              <w:pStyle w:val="TableText"/>
              <w:jc w:val="center"/>
              <w:rPr>
                <w:rFonts w:cs="Arial"/>
                <w:szCs w:val="20"/>
              </w:rPr>
            </w:pPr>
            <w:r>
              <w:rPr>
                <w:rFonts w:cs="Arial"/>
                <w:bCs w:val="0"/>
                <w:noProof/>
                <w:color w:val="000000"/>
                <w:szCs w:val="20"/>
                <w:highlight w:val="black"/>
              </w:rPr>
              <w:t>'''''''''''''''''''</w:t>
            </w:r>
            <w:r w:rsidR="00F11E53">
              <w:rPr>
                <w:rFonts w:cstheme="minorHAnsi"/>
                <w:szCs w:val="20"/>
                <w:vertAlign w:val="superscript"/>
              </w:rPr>
              <w:t>11</w:t>
            </w:r>
            <w:r>
              <w:rPr>
                <w:rFonts w:cs="Arial"/>
                <w:bCs w:val="0"/>
                <w:noProof/>
                <w:color w:val="000000"/>
                <w:szCs w:val="20"/>
                <w:highlight w:val="black"/>
              </w:rPr>
              <w:t xml:space="preserve"> </w:t>
            </w:r>
          </w:p>
        </w:tc>
      </w:tr>
      <w:tr w:rsidR="00902E6A" w:rsidRPr="000A6039" w:rsidTr="0080118D">
        <w:tc>
          <w:tcPr>
            <w:tcW w:w="1651" w:type="pct"/>
            <w:tcBorders>
              <w:top w:val="nil"/>
              <w:left w:val="single" w:sz="4" w:space="0" w:color="auto"/>
              <w:bottom w:val="single" w:sz="4" w:space="0" w:color="auto"/>
              <w:right w:val="single" w:sz="4" w:space="0" w:color="auto"/>
            </w:tcBorders>
            <w:shd w:val="clear" w:color="auto" w:fill="FFFFFF" w:themeFill="background1"/>
            <w:vAlign w:val="center"/>
          </w:tcPr>
          <w:p w:rsidR="00902E6A" w:rsidRPr="00470AB7" w:rsidRDefault="00902E6A" w:rsidP="0080118D">
            <w:pPr>
              <w:pStyle w:val="TableText"/>
              <w:rPr>
                <w:szCs w:val="20"/>
              </w:rPr>
            </w:pPr>
            <w:r w:rsidRPr="00470AB7">
              <w:rPr>
                <w:szCs w:val="20"/>
              </w:rPr>
              <w:t>Net cost to PBS</w:t>
            </w:r>
            <w:r>
              <w:rPr>
                <w:szCs w:val="20"/>
              </w:rPr>
              <w:t>/RPBS</w:t>
            </w:r>
            <w:r w:rsidRPr="00470AB7">
              <w:rPr>
                <w:szCs w:val="20"/>
              </w:rPr>
              <w:t xml:space="preserve"> (less copayments)</w:t>
            </w:r>
          </w:p>
        </w:tc>
        <w:tc>
          <w:tcPr>
            <w:tcW w:w="558" w:type="pct"/>
            <w:tcBorders>
              <w:top w:val="single" w:sz="4" w:space="0" w:color="auto"/>
              <w:left w:val="nil"/>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13</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02E6A" w:rsidRPr="00244F04" w:rsidRDefault="00902E6A" w:rsidP="0080118D">
            <w:pPr>
              <w:pStyle w:val="TableText"/>
              <w:jc w:val="center"/>
              <w:rPr>
                <w:b/>
                <w:szCs w:val="20"/>
              </w:rPr>
            </w:pPr>
            <w:r w:rsidRPr="00F11E53">
              <w:rPr>
                <w:rFonts w:cs="Arial"/>
                <w:b/>
                <w:szCs w:val="20"/>
              </w:rPr>
              <w:t>$</w:t>
            </w:r>
            <w:r w:rsidR="00244F04">
              <w:rPr>
                <w:rFonts w:cs="Arial"/>
                <w:b/>
                <w:noProof/>
                <w:color w:val="000000"/>
                <w:szCs w:val="20"/>
                <w:highlight w:val="black"/>
              </w:rPr>
              <w:t>''''''''''''''''''''</w:t>
            </w:r>
            <w:r w:rsidR="00F11E53">
              <w:rPr>
                <w:rFonts w:cstheme="minorHAnsi"/>
                <w:szCs w:val="20"/>
                <w:vertAlign w:val="superscript"/>
              </w:rPr>
              <w:t>13</w:t>
            </w:r>
          </w:p>
        </w:tc>
      </w:tr>
    </w:tbl>
    <w:bookmarkEnd w:id="26"/>
    <w:p w:rsidR="00902E6A" w:rsidRDefault="00902E6A" w:rsidP="00902E6A">
      <w:pPr>
        <w:pStyle w:val="TableFigureFooter"/>
      </w:pPr>
      <w:r w:rsidRPr="000A6039">
        <w:t xml:space="preserve">Source: </w:t>
      </w:r>
      <w:r>
        <w:t>Slenyto PRM Section 4 workbook</w:t>
      </w:r>
    </w:p>
    <w:p w:rsidR="00C45A76" w:rsidRDefault="00C45A76" w:rsidP="00902E6A">
      <w:pPr>
        <w:pStyle w:val="TableFigureFooter"/>
      </w:pPr>
      <w:r>
        <w:t>* Corrected for error in submission.</w:t>
      </w:r>
      <w:r w:rsidR="00B816DD">
        <w:t xml:space="preserve"> </w:t>
      </w:r>
      <w:r w:rsidRPr="00C45A76">
        <w:t xml:space="preserve">In the initial year, </w:t>
      </w:r>
      <w:r>
        <w:t xml:space="preserve">patients should receive </w:t>
      </w:r>
      <w:r w:rsidRPr="00C45A76">
        <w:t>6 months of treatment (3 months of initial treatment followed by 3 months of continuing treatment for responders only). In the second year, continuing patients should all receive 12 months of treatment</w:t>
      </w:r>
      <w:r>
        <w:t>.</w:t>
      </w:r>
    </w:p>
    <w:p w:rsidR="00902E6A" w:rsidRDefault="00902E6A" w:rsidP="00902E6A">
      <w:pPr>
        <w:pStyle w:val="TableFigureFooter"/>
      </w:pPr>
      <w:r>
        <w:t>Abbreviations: ASD, autism spectrum disorders; SMS, Smith-Magenis syndrome</w:t>
      </w:r>
    </w:p>
    <w:p w:rsidR="000330A1" w:rsidRPr="009868C4" w:rsidRDefault="000330A1" w:rsidP="000330A1">
      <w:pPr>
        <w:pStyle w:val="TableFigureFooter"/>
        <w:spacing w:after="0"/>
        <w:contextualSpacing w:val="0"/>
      </w:pPr>
      <w:r w:rsidRPr="009868C4">
        <w:rPr>
          <w:i/>
        </w:rPr>
        <w:t>The redacted values correspond to the following ranges</w:t>
      </w:r>
      <w:r>
        <w:rPr>
          <w:i/>
        </w:rPr>
        <w:t xml:space="preserve">: </w:t>
      </w:r>
    </w:p>
    <w:p w:rsidR="000330A1" w:rsidRPr="000330A1" w:rsidRDefault="000330A1" w:rsidP="00902E6A">
      <w:pPr>
        <w:pStyle w:val="TableFigureFooter"/>
        <w:rPr>
          <w:i/>
        </w:rPr>
      </w:pPr>
      <w:r>
        <w:rPr>
          <w:i/>
          <w:vertAlign w:val="superscript"/>
        </w:rPr>
        <w:t xml:space="preserve">1 </w:t>
      </w:r>
      <w:r w:rsidRPr="000330A1">
        <w:rPr>
          <w:i/>
        </w:rPr>
        <w:t>4,000,000 to &lt; 6,000,000</w:t>
      </w:r>
    </w:p>
    <w:p w:rsidR="000330A1" w:rsidRPr="000330A1" w:rsidRDefault="000330A1" w:rsidP="00902E6A">
      <w:pPr>
        <w:pStyle w:val="TableFigureFooter"/>
        <w:rPr>
          <w:i/>
        </w:rPr>
      </w:pPr>
      <w:r>
        <w:rPr>
          <w:i/>
          <w:vertAlign w:val="superscript"/>
        </w:rPr>
        <w:t xml:space="preserve">2 </w:t>
      </w:r>
      <w:r w:rsidRPr="000330A1">
        <w:rPr>
          <w:i/>
        </w:rPr>
        <w:t>100,000 to &lt; 200,000</w:t>
      </w:r>
    </w:p>
    <w:p w:rsidR="000330A1" w:rsidRPr="000330A1" w:rsidRDefault="000330A1" w:rsidP="00902E6A">
      <w:pPr>
        <w:pStyle w:val="TableFigureFooter"/>
        <w:rPr>
          <w:i/>
        </w:rPr>
      </w:pPr>
      <w:r>
        <w:rPr>
          <w:i/>
          <w:vertAlign w:val="superscript"/>
        </w:rPr>
        <w:t xml:space="preserve">3 </w:t>
      </w:r>
      <w:r w:rsidRPr="000330A1">
        <w:rPr>
          <w:i/>
        </w:rPr>
        <w:t>&lt; 500</w:t>
      </w:r>
    </w:p>
    <w:p w:rsidR="000330A1" w:rsidRPr="000330A1" w:rsidRDefault="000330A1" w:rsidP="00902E6A">
      <w:pPr>
        <w:pStyle w:val="TableFigureFooter"/>
        <w:rPr>
          <w:i/>
        </w:rPr>
      </w:pPr>
      <w:r>
        <w:rPr>
          <w:i/>
          <w:vertAlign w:val="superscript"/>
        </w:rPr>
        <w:t xml:space="preserve">4 </w:t>
      </w:r>
      <w:r w:rsidRPr="000330A1">
        <w:rPr>
          <w:i/>
        </w:rPr>
        <w:t>60,000 to &lt; 70,000</w:t>
      </w:r>
    </w:p>
    <w:p w:rsidR="000330A1" w:rsidRPr="000330A1" w:rsidRDefault="000330A1" w:rsidP="00902E6A">
      <w:pPr>
        <w:pStyle w:val="TableFigureFooter"/>
        <w:rPr>
          <w:i/>
        </w:rPr>
      </w:pPr>
      <w:r>
        <w:rPr>
          <w:i/>
          <w:vertAlign w:val="superscript"/>
        </w:rPr>
        <w:t xml:space="preserve">5 </w:t>
      </w:r>
      <w:r w:rsidRPr="000330A1">
        <w:rPr>
          <w:i/>
        </w:rPr>
        <w:t>10,000 to &lt; 20,000</w:t>
      </w:r>
    </w:p>
    <w:p w:rsidR="000330A1" w:rsidRPr="000330A1" w:rsidRDefault="000330A1" w:rsidP="00902E6A">
      <w:pPr>
        <w:pStyle w:val="TableFigureFooter"/>
        <w:rPr>
          <w:i/>
        </w:rPr>
      </w:pPr>
      <w:r>
        <w:rPr>
          <w:i/>
          <w:vertAlign w:val="superscript"/>
        </w:rPr>
        <w:t xml:space="preserve">6 </w:t>
      </w:r>
      <w:r w:rsidRPr="000330A1">
        <w:rPr>
          <w:i/>
        </w:rPr>
        <w:t>30,000 to &lt; 40,000</w:t>
      </w:r>
    </w:p>
    <w:p w:rsidR="000330A1" w:rsidRPr="000330A1" w:rsidRDefault="000330A1" w:rsidP="00902E6A">
      <w:pPr>
        <w:pStyle w:val="TableFigureFooter"/>
        <w:rPr>
          <w:i/>
        </w:rPr>
      </w:pPr>
      <w:r>
        <w:rPr>
          <w:i/>
          <w:vertAlign w:val="superscript"/>
        </w:rPr>
        <w:t xml:space="preserve">7 </w:t>
      </w:r>
      <w:r w:rsidRPr="000330A1">
        <w:rPr>
          <w:i/>
        </w:rPr>
        <w:t>20,000 to &lt; 30,000</w:t>
      </w:r>
    </w:p>
    <w:p w:rsidR="000330A1" w:rsidRPr="000330A1" w:rsidRDefault="000330A1" w:rsidP="00902E6A">
      <w:pPr>
        <w:pStyle w:val="TableFigureFooter"/>
        <w:rPr>
          <w:i/>
        </w:rPr>
      </w:pPr>
      <w:r>
        <w:rPr>
          <w:i/>
          <w:vertAlign w:val="superscript"/>
        </w:rPr>
        <w:t xml:space="preserve">8 </w:t>
      </w:r>
      <w:r w:rsidRPr="000330A1">
        <w:rPr>
          <w:i/>
        </w:rPr>
        <w:t>5,000 to &lt; 10,000</w:t>
      </w:r>
    </w:p>
    <w:p w:rsidR="000330A1" w:rsidRPr="000330A1" w:rsidRDefault="000330A1" w:rsidP="00902E6A">
      <w:pPr>
        <w:pStyle w:val="TableFigureFooter"/>
        <w:rPr>
          <w:i/>
        </w:rPr>
      </w:pPr>
      <w:r>
        <w:rPr>
          <w:i/>
          <w:vertAlign w:val="superscript"/>
        </w:rPr>
        <w:t xml:space="preserve">9 </w:t>
      </w:r>
      <w:r w:rsidRPr="000330A1">
        <w:rPr>
          <w:i/>
        </w:rPr>
        <w:t>40,000 to &lt; 50,000</w:t>
      </w:r>
    </w:p>
    <w:p w:rsidR="000330A1" w:rsidRPr="000330A1" w:rsidRDefault="000330A1" w:rsidP="00902E6A">
      <w:pPr>
        <w:pStyle w:val="TableFigureFooter"/>
        <w:rPr>
          <w:i/>
        </w:rPr>
      </w:pPr>
      <w:r>
        <w:rPr>
          <w:i/>
          <w:vertAlign w:val="superscript"/>
        </w:rPr>
        <w:t xml:space="preserve">10 </w:t>
      </w:r>
      <w:r w:rsidRPr="000330A1">
        <w:rPr>
          <w:i/>
        </w:rPr>
        <w:t>80,000 to &lt; 90,000</w:t>
      </w:r>
    </w:p>
    <w:p w:rsidR="000330A1" w:rsidRPr="000330A1" w:rsidRDefault="000330A1" w:rsidP="00902E6A">
      <w:pPr>
        <w:pStyle w:val="TableFigureFooter"/>
        <w:rPr>
          <w:i/>
        </w:rPr>
      </w:pPr>
      <w:r>
        <w:rPr>
          <w:i/>
          <w:vertAlign w:val="superscript"/>
        </w:rPr>
        <w:t xml:space="preserve">11 </w:t>
      </w:r>
      <w:r w:rsidRPr="000330A1">
        <w:rPr>
          <w:i/>
        </w:rPr>
        <w:t>200,000 to &lt; 300,000</w:t>
      </w:r>
    </w:p>
    <w:p w:rsidR="000330A1" w:rsidRPr="000330A1" w:rsidRDefault="000330A1" w:rsidP="00902E6A">
      <w:pPr>
        <w:pStyle w:val="TableFigureFooter"/>
        <w:rPr>
          <w:i/>
        </w:rPr>
      </w:pPr>
      <w:r>
        <w:rPr>
          <w:i/>
          <w:vertAlign w:val="superscript"/>
        </w:rPr>
        <w:t xml:space="preserve">12 </w:t>
      </w:r>
      <w:r w:rsidRPr="000330A1">
        <w:rPr>
          <w:i/>
        </w:rPr>
        <w:t>$10 million to &lt; $20 million</w:t>
      </w:r>
    </w:p>
    <w:p w:rsidR="000330A1" w:rsidRPr="000330A1" w:rsidRDefault="000330A1" w:rsidP="00902E6A">
      <w:pPr>
        <w:pStyle w:val="TableFigureFooter"/>
        <w:rPr>
          <w:i/>
        </w:rPr>
      </w:pPr>
      <w:r>
        <w:rPr>
          <w:i/>
          <w:vertAlign w:val="superscript"/>
        </w:rPr>
        <w:t xml:space="preserve">13 </w:t>
      </w:r>
      <w:r w:rsidRPr="000330A1">
        <w:rPr>
          <w:i/>
        </w:rPr>
        <w:t>$40 million to &lt; $50 million</w:t>
      </w:r>
    </w:p>
    <w:p w:rsidR="000330A1" w:rsidRPr="000330A1" w:rsidRDefault="000330A1" w:rsidP="00902E6A">
      <w:pPr>
        <w:pStyle w:val="TableFigureFooter"/>
        <w:rPr>
          <w:i/>
        </w:rPr>
      </w:pPr>
      <w:r>
        <w:rPr>
          <w:i/>
          <w:vertAlign w:val="superscript"/>
        </w:rPr>
        <w:t xml:space="preserve">14 </w:t>
      </w:r>
      <w:r w:rsidRPr="000330A1">
        <w:rPr>
          <w:i/>
        </w:rPr>
        <w:t>$30 million to &lt; $40 million</w:t>
      </w:r>
    </w:p>
    <w:p w:rsidR="00902E6A" w:rsidRPr="00902E6A" w:rsidRDefault="00902E6A" w:rsidP="000330A1">
      <w:pPr>
        <w:pStyle w:val="ExecSumBodyText"/>
      </w:pPr>
      <w:r w:rsidRPr="00902E6A">
        <w:t xml:space="preserve">The total cost to the PBS/RPBS of listing prolonged release melatonin (corrected during the evaluation) was estimated to be </w:t>
      </w:r>
      <w:r w:rsidR="000330A1" w:rsidRPr="000330A1">
        <w:t>$10 million to &lt; $20 million</w:t>
      </w:r>
      <w:r w:rsidR="000330A1">
        <w:t xml:space="preserve"> </w:t>
      </w:r>
      <w:r w:rsidRPr="00902E6A">
        <w:t xml:space="preserve">in Year 1, increasing to </w:t>
      </w:r>
      <w:r w:rsidR="000330A1" w:rsidRPr="000330A1">
        <w:t>$40 million to &lt; $50 million</w:t>
      </w:r>
      <w:r w:rsidR="000330A1">
        <w:t xml:space="preserve"> </w:t>
      </w:r>
      <w:r w:rsidRPr="00902E6A">
        <w:t xml:space="preserve">in Year 6, and a total of </w:t>
      </w:r>
      <w:r w:rsidR="000330A1" w:rsidRPr="000330A1">
        <w:t>$200 million to &lt; $300 million</w:t>
      </w:r>
      <w:r w:rsidR="000330A1" w:rsidRPr="000330A1" w:rsidDel="000330A1">
        <w:t xml:space="preserve"> </w:t>
      </w:r>
      <w:r w:rsidRPr="00902E6A">
        <w:t xml:space="preserve">over the first 6 years of listing. </w:t>
      </w:r>
    </w:p>
    <w:p w:rsidR="009F1B4C" w:rsidRPr="009F1B4C" w:rsidRDefault="00902E6A" w:rsidP="009F1B4C">
      <w:pPr>
        <w:pStyle w:val="ExecSumBodyText"/>
        <w:numPr>
          <w:ilvl w:val="1"/>
          <w:numId w:val="1"/>
        </w:numPr>
        <w:contextualSpacing/>
        <w:rPr>
          <w:lang w:eastAsia="en-US"/>
        </w:rPr>
      </w:pPr>
      <w:r w:rsidRPr="00902E6A">
        <w:t xml:space="preserve">The estimates around the size of </w:t>
      </w:r>
      <w:r w:rsidR="00C07653">
        <w:t xml:space="preserve">the </w:t>
      </w:r>
      <w:r w:rsidRPr="00902E6A">
        <w:t xml:space="preserve">eligible population </w:t>
      </w:r>
      <w:r w:rsidR="00D62F90">
        <w:t>were</w:t>
      </w:r>
      <w:r w:rsidRPr="00902E6A">
        <w:t xml:space="preserve"> poorly supported. The submission relied upon values reported in a secondary data source, mainly derived from small survey studies and prone to response bias. There was significant variability among the cited sources, particularly for the prevalence of insomnia among children with ASD and/or SMS, and the proportion of children who fail treatment with behavioural therapies or sleep hygiene train</w:t>
      </w:r>
      <w:r w:rsidRPr="00D1128A">
        <w:t>ing.</w:t>
      </w:r>
      <w:r w:rsidR="003F7821" w:rsidRPr="00D1128A">
        <w:t xml:space="preserve"> </w:t>
      </w:r>
      <w:r w:rsidR="00D1128A" w:rsidRPr="00D1128A">
        <w:t>The DUSC considered the estimated ASD prevalence rate for 2 to 18 year old children of 2.5% may be an underestimate and noted a new National Implementation Guideline Toolkit (2020) to help clinicians to upskill and deliver the recommendations in the National Guideline for the Assessment and Diagnosis of Autism Spectrum Disorders (October 2018</w:t>
      </w:r>
      <w:r w:rsidR="00D1128A">
        <w:t>)</w:t>
      </w:r>
      <w:r w:rsidR="00D1128A" w:rsidRPr="00D1128A">
        <w:t xml:space="preserve"> may increase the reported prevalence of ASD</w:t>
      </w:r>
      <w:r w:rsidR="00D1128A">
        <w:rPr>
          <w:i/>
        </w:rPr>
        <w:t>.</w:t>
      </w:r>
      <w:r w:rsidR="00D1128A">
        <w:t xml:space="preserve"> </w:t>
      </w:r>
      <w:r w:rsidR="009F1B4C" w:rsidRPr="008254A4">
        <w:rPr>
          <w:lang w:val="en-US" w:eastAsia="en-US"/>
        </w:rPr>
        <w:t>The DUSC noted insufficient response to sleep hygiene measures was estimated in the submission to be 75% and considered this is likely an underestimate as there is no clear definition of insufficient response in the restriction.</w:t>
      </w:r>
    </w:p>
    <w:p w:rsidR="009F1B4C" w:rsidRPr="008254A4" w:rsidRDefault="009F1B4C" w:rsidP="009F1B4C">
      <w:pPr>
        <w:pStyle w:val="ExecSumBodyText"/>
        <w:numPr>
          <w:ilvl w:val="0"/>
          <w:numId w:val="0"/>
        </w:numPr>
        <w:ind w:left="720"/>
        <w:contextualSpacing/>
        <w:rPr>
          <w:lang w:eastAsia="en-US"/>
        </w:rPr>
      </w:pPr>
    </w:p>
    <w:p w:rsidR="00902E6A" w:rsidRPr="00902E6A" w:rsidRDefault="00902E6A" w:rsidP="00055299">
      <w:pPr>
        <w:pStyle w:val="ExecSumBodyText"/>
        <w:numPr>
          <w:ilvl w:val="1"/>
          <w:numId w:val="1"/>
        </w:numPr>
      </w:pPr>
      <w:r w:rsidRPr="00902E6A">
        <w:t xml:space="preserve">The submission assumed an average duration of treatment of 18 months, based on the mean total time on treatment for patients who were prescribed melatonin during the double blind and/or open label phases (547.4 days; 1.499 years). As this was a two year trial, this duration </w:t>
      </w:r>
      <w:r w:rsidR="00C21C89">
        <w:t xml:space="preserve">is likely to </w:t>
      </w:r>
      <w:r w:rsidRPr="00902E6A">
        <w:t xml:space="preserve">represent the trial period, rather than duration of treatment in clinical practice. </w:t>
      </w:r>
    </w:p>
    <w:p w:rsidR="009F1B4C" w:rsidRPr="008254A4" w:rsidRDefault="009F1B4C" w:rsidP="00C07653">
      <w:pPr>
        <w:pStyle w:val="ExecSumBodyText"/>
        <w:numPr>
          <w:ilvl w:val="1"/>
          <w:numId w:val="1"/>
        </w:numPr>
      </w:pPr>
      <w:r w:rsidRPr="008254A4">
        <w:rPr>
          <w:lang w:val="en-US" w:eastAsia="en-US"/>
        </w:rPr>
        <w:t xml:space="preserve">The DUSC noted the </w:t>
      </w:r>
      <w:r>
        <w:rPr>
          <w:lang w:val="en-US" w:eastAsia="en-US"/>
        </w:rPr>
        <w:t>t</w:t>
      </w:r>
      <w:r w:rsidRPr="008254A4">
        <w:rPr>
          <w:lang w:val="en-US" w:eastAsia="en-US"/>
        </w:rPr>
        <w:t xml:space="preserve">reatment responders/continuers are estimated from the pivotal trial to be 69% of patients after 13 weeks. However the financial estimates apply 69% as the annual continuation rate, so the prevalent patients in Year 2 and after may be </w:t>
      </w:r>
      <w:r w:rsidRPr="00C07653">
        <w:t>overestimated as the proportion of responders may reduce over time.</w:t>
      </w:r>
    </w:p>
    <w:p w:rsidR="00902E6A" w:rsidRPr="00902E6A" w:rsidRDefault="00902E6A" w:rsidP="00055299">
      <w:pPr>
        <w:pStyle w:val="ExecSumBodyText"/>
        <w:numPr>
          <w:ilvl w:val="1"/>
          <w:numId w:val="1"/>
        </w:numPr>
      </w:pPr>
      <w:r w:rsidRPr="00902E6A">
        <w:t>The submission applied a breakdown by dose of 29%, 47%, and 24% for the 2 mg, 5 mg, and 10 mg doses respectively to calculate scripts by dose. No evidence was provided to support the distribution across scripts and doses. Further, although it is not specified in the restriction, the product information specifies that the starting dose should be 2 mg. The proportion of patients commencing on a 2 mg dose should be close to 100%. Further, the 3-month treatment period applied in the financial model for initial scripts do not align with the proposed restriction, which offers 5 repeats. The dosing of prolonged release melatonin is unclear and difficult to predict, and differences in practice are likely to vary the price substantially.</w:t>
      </w:r>
      <w:r w:rsidR="00B816DD">
        <w:t xml:space="preserve"> </w:t>
      </w:r>
    </w:p>
    <w:p w:rsidR="009F1B4C" w:rsidRPr="00C45A76" w:rsidRDefault="00902E6A" w:rsidP="009F1B4C">
      <w:pPr>
        <w:pStyle w:val="ExecSumBodyText"/>
        <w:rPr>
          <w:lang w:val="en-US" w:eastAsia="en-US"/>
        </w:rPr>
      </w:pPr>
      <w:r w:rsidRPr="00902E6A">
        <w:t>The sponsor stated that the percentage of patients initiating treatment was estimated based on the number of eligible prescribers that are able to initiate treatment with prolonged release melatonin, which includes paediatricians, paediatric sleep physicians, paediatric neurologists, and paediatric psychiatrist. The source of the numbers for uptake was not provided in the submission, and it is unclear how they were derived. It is unclear why the numbers do not consistently increase or decrease over time. These estimates could not be verified due to poor documentation. There was no justification for the assumed uptake pattern. It may not be appropriate to apply an uptake rate to estimated prevalence, as it does not account for patients who may have previously used melatonin. Overall, the uptake rates are highly uncertain.</w:t>
      </w:r>
      <w:r w:rsidR="00B816DD">
        <w:t xml:space="preserve"> </w:t>
      </w:r>
      <w:r w:rsidR="009F1B4C">
        <w:t xml:space="preserve"> </w:t>
      </w:r>
      <w:r w:rsidR="009F1B4C" w:rsidRPr="00C45A76">
        <w:rPr>
          <w:lang w:eastAsia="en-US"/>
        </w:rPr>
        <w:t xml:space="preserve">The DUSC considered there may </w:t>
      </w:r>
      <w:r w:rsidR="009F1B4C">
        <w:rPr>
          <w:lang w:eastAsia="en-US"/>
        </w:rPr>
        <w:t>be significant</w:t>
      </w:r>
      <w:r w:rsidR="009F1B4C" w:rsidRPr="00C45A76">
        <w:rPr>
          <w:lang w:val="en-US" w:eastAsia="en-US"/>
        </w:rPr>
        <w:t xml:space="preserve"> current use </w:t>
      </w:r>
      <w:r w:rsidR="009F1B4C">
        <w:rPr>
          <w:lang w:val="en-US" w:eastAsia="en-US"/>
        </w:rPr>
        <w:t xml:space="preserve">of melatonin </w:t>
      </w:r>
      <w:r w:rsidR="009F1B4C" w:rsidRPr="00C45A76">
        <w:rPr>
          <w:lang w:val="en-US" w:eastAsia="en-US"/>
        </w:rPr>
        <w:t xml:space="preserve">in the ASD </w:t>
      </w:r>
      <w:r w:rsidR="00C07653">
        <w:rPr>
          <w:lang w:val="en-US" w:eastAsia="en-US"/>
        </w:rPr>
        <w:t xml:space="preserve">and SMS </w:t>
      </w:r>
      <w:r w:rsidR="009F1B4C" w:rsidRPr="00C45A76">
        <w:rPr>
          <w:lang w:val="en-US" w:eastAsia="en-US"/>
        </w:rPr>
        <w:t xml:space="preserve">population and these patients will transfer to PBS subsidised melatonin, particularly if they are concessional patients. </w:t>
      </w:r>
      <w:r w:rsidR="009F1B4C">
        <w:rPr>
          <w:lang w:val="en-US" w:eastAsia="en-US"/>
        </w:rPr>
        <w:t>The DUSC noted a</w:t>
      </w:r>
      <w:r w:rsidR="009F1B4C" w:rsidRPr="00C45A76">
        <w:rPr>
          <w:lang w:val="en-US" w:eastAsia="en-US"/>
        </w:rPr>
        <w:t>n estimate of the number of these “grandfathered” patients were not included in the financial estimates.</w:t>
      </w:r>
      <w:r w:rsidR="00B816DD">
        <w:rPr>
          <w:lang w:val="en-US" w:eastAsia="en-US"/>
        </w:rPr>
        <w:t xml:space="preserve"> </w:t>
      </w:r>
      <w:r w:rsidR="009F1B4C" w:rsidRPr="008254A4">
        <w:rPr>
          <w:lang w:val="en-US" w:eastAsia="en-US"/>
        </w:rPr>
        <w:t>The DUSC considered the treatment uptake rate for eligible patients of approximately 25%</w:t>
      </w:r>
      <w:r w:rsidR="009F1B4C">
        <w:rPr>
          <w:lang w:val="en-US" w:eastAsia="en-US"/>
        </w:rPr>
        <w:t xml:space="preserve"> </w:t>
      </w:r>
      <w:r w:rsidR="009F1B4C" w:rsidRPr="008254A4">
        <w:rPr>
          <w:lang w:val="en-US" w:eastAsia="en-US"/>
        </w:rPr>
        <w:t>across each of the estimate years was an underestimate due to the extent of existing private use.</w:t>
      </w:r>
      <w:r w:rsidR="00D714E9">
        <w:rPr>
          <w:lang w:val="en-US" w:eastAsia="en-US"/>
        </w:rPr>
        <w:t xml:space="preserve"> The DUSC considered uptake in the SMS population was likely to be closer to 100%, given the high clinical need in this population.</w:t>
      </w:r>
      <w:r w:rsidR="00B816DD">
        <w:rPr>
          <w:lang w:val="en-US" w:eastAsia="en-US"/>
        </w:rPr>
        <w:t xml:space="preserve"> </w:t>
      </w:r>
    </w:p>
    <w:p w:rsidR="00576972" w:rsidRPr="00F86759" w:rsidRDefault="00576972" w:rsidP="00F86759">
      <w:pPr>
        <w:pStyle w:val="3-SubsectionHeading"/>
      </w:pPr>
      <w:r w:rsidRPr="00F86759">
        <w:t>Quality Use of Medicines</w:t>
      </w:r>
      <w:bookmarkEnd w:id="24"/>
      <w:bookmarkEnd w:id="25"/>
    </w:p>
    <w:p w:rsidR="008F7ACA" w:rsidRPr="00F86759" w:rsidRDefault="008F7ACA" w:rsidP="00957D0D">
      <w:pPr>
        <w:pStyle w:val="ExecSumBodyText"/>
      </w:pPr>
      <w:r w:rsidRPr="00F86759">
        <w:t>The submission stated that the mini tablet formulation was particularly important for the intended treatment population, as many children with ASD have swallowing difficulties and are sensitive to smell (Malow et al., 2020).</w:t>
      </w:r>
    </w:p>
    <w:p w:rsidR="00902E6A" w:rsidRDefault="008F7ACA" w:rsidP="00902E6A">
      <w:pPr>
        <w:pStyle w:val="ExecSumBodyText"/>
      </w:pPr>
      <w:r w:rsidRPr="00F86759">
        <w:t>The sponsor noted that they are planning on introducing a patient information booklet and a sleep and nap diary which will be given to the parents and caregivers of the patients when the patient is initiated on treatment with prolonged release melatonin. The booklet and diary will include information on the product itself, as well as a simple sleep assessment tool.</w:t>
      </w:r>
      <w:r w:rsidR="00B816DD">
        <w:t xml:space="preserve"> </w:t>
      </w:r>
      <w:r w:rsidRPr="00F86759">
        <w:t xml:space="preserve"> </w:t>
      </w:r>
    </w:p>
    <w:p w:rsidR="008254A4" w:rsidRDefault="008254A4" w:rsidP="00902E6A">
      <w:pPr>
        <w:pStyle w:val="ExecSumBodyText"/>
      </w:pPr>
      <w:r>
        <w:t>The DUSC noted the following quality use of medicine issues:</w:t>
      </w:r>
    </w:p>
    <w:p w:rsidR="008254A4" w:rsidRDefault="008254A4" w:rsidP="008254A4">
      <w:pPr>
        <w:pStyle w:val="ExecSumBodyText"/>
        <w:numPr>
          <w:ilvl w:val="1"/>
          <w:numId w:val="46"/>
        </w:numPr>
        <w:ind w:left="1134" w:hanging="425"/>
      </w:pPr>
      <w:r>
        <w:t>The availability of PBS melatonin may lead to a reduction in the use of hypnotic drugs.</w:t>
      </w:r>
    </w:p>
    <w:p w:rsidR="008254A4" w:rsidRDefault="008254A4" w:rsidP="008254A4">
      <w:pPr>
        <w:pStyle w:val="ExecSumBodyText"/>
        <w:numPr>
          <w:ilvl w:val="1"/>
          <w:numId w:val="46"/>
        </w:numPr>
        <w:ind w:left="1134" w:hanging="425"/>
      </w:pPr>
      <w:r>
        <w:t>The consequences of long term treatment with the hormone mel</w:t>
      </w:r>
      <w:r w:rsidR="00156AC1">
        <w:t>atonin are not known. There are</w:t>
      </w:r>
      <w:r w:rsidR="008E711D">
        <w:t xml:space="preserve"> </w:t>
      </w:r>
      <w:r>
        <w:t>uncertain effects on pubertal development and potential effects on cardiovascular, immune and metabolic systems. Ongoing monitoring is required for long term effects on sexual maturation and other systems.</w:t>
      </w:r>
    </w:p>
    <w:p w:rsidR="008254A4" w:rsidRDefault="008254A4" w:rsidP="008254A4">
      <w:pPr>
        <w:pStyle w:val="ExecSumBodyText"/>
        <w:numPr>
          <w:ilvl w:val="1"/>
          <w:numId w:val="46"/>
        </w:numPr>
        <w:ind w:left="1134" w:hanging="425"/>
      </w:pPr>
      <w:r>
        <w:t>The lack of a stopping rule in the restriction means that patients may continue longer than necessary.</w:t>
      </w:r>
    </w:p>
    <w:p w:rsidR="008254A4" w:rsidRDefault="008254A4" w:rsidP="008254A4">
      <w:pPr>
        <w:pStyle w:val="ExecSumBodyText"/>
        <w:numPr>
          <w:ilvl w:val="1"/>
          <w:numId w:val="46"/>
        </w:numPr>
        <w:ind w:left="1134" w:hanging="425"/>
      </w:pPr>
      <w:r>
        <w:t>Drug treatment for sleep problems (rather than sleep hygiene) may come to be considered normative if PBS subsidised for this indication.</w:t>
      </w:r>
    </w:p>
    <w:p w:rsidR="008254A4" w:rsidRDefault="008254A4" w:rsidP="008254A4">
      <w:pPr>
        <w:pStyle w:val="ExecSumBodyText"/>
        <w:numPr>
          <w:ilvl w:val="1"/>
          <w:numId w:val="46"/>
        </w:numPr>
        <w:ind w:left="1134" w:hanging="425"/>
      </w:pPr>
      <w:r>
        <w:t xml:space="preserve">Sleep hygiene measures are difficult to implement with children with ASD. Screen time on computers and other devices also contributes to sleep problems and may be harder to control for ASD children. </w:t>
      </w:r>
    </w:p>
    <w:p w:rsidR="008254A4" w:rsidRDefault="008254A4" w:rsidP="008254A4">
      <w:pPr>
        <w:pStyle w:val="ExecSumBodyText"/>
        <w:numPr>
          <w:ilvl w:val="1"/>
          <w:numId w:val="46"/>
        </w:numPr>
        <w:ind w:left="1134" w:hanging="425"/>
      </w:pPr>
      <w:r>
        <w:t>Some ASD patients are on stimulants which may be contributing to the sleep problems.</w:t>
      </w:r>
    </w:p>
    <w:p w:rsidR="00902E6A" w:rsidRPr="00F90A91" w:rsidRDefault="00902E6A" w:rsidP="00902E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902E6A" w:rsidRPr="00F86759" w:rsidRDefault="00902E6A" w:rsidP="00902E6A">
      <w:pPr>
        <w:pStyle w:val="ExecSumBodyText"/>
        <w:numPr>
          <w:ilvl w:val="0"/>
          <w:numId w:val="0"/>
        </w:numPr>
        <w:ind w:left="720"/>
      </w:pPr>
    </w:p>
    <w:p w:rsidR="00A83CB2" w:rsidRPr="00D52702" w:rsidRDefault="00A83CB2" w:rsidP="0080118D">
      <w:pPr>
        <w:keepNext/>
        <w:widowControl w:val="0"/>
        <w:numPr>
          <w:ilvl w:val="0"/>
          <w:numId w:val="1"/>
        </w:numPr>
        <w:spacing w:before="240" w:after="120"/>
        <w:outlineLvl w:val="0"/>
        <w:rPr>
          <w:rFonts w:asciiTheme="minorHAnsi" w:hAnsiTheme="minorHAnsi"/>
          <w:b/>
          <w:bCs/>
          <w:snapToGrid w:val="0"/>
          <w:sz w:val="32"/>
        </w:rPr>
      </w:pPr>
      <w:r w:rsidRPr="00D52702">
        <w:rPr>
          <w:rFonts w:asciiTheme="minorHAnsi" w:hAnsiTheme="minorHAnsi"/>
          <w:b/>
          <w:bCs/>
          <w:snapToGrid w:val="0"/>
          <w:sz w:val="32"/>
        </w:rPr>
        <w:t>PBAC Outcome</w:t>
      </w:r>
    </w:p>
    <w:p w:rsidR="0080118D" w:rsidRDefault="0080118D" w:rsidP="00337742">
      <w:pPr>
        <w:pStyle w:val="ExecSumBodyText"/>
        <w:rPr>
          <w:lang w:val="en-GB"/>
        </w:rPr>
      </w:pPr>
      <w:r>
        <w:rPr>
          <w:lang w:val="en-GB"/>
        </w:rPr>
        <w:t xml:space="preserve">The PBAC did not recommend </w:t>
      </w:r>
      <w:r w:rsidR="002A37B1">
        <w:rPr>
          <w:lang w:val="en-GB"/>
        </w:rPr>
        <w:t xml:space="preserve">the listing of melatonin for the treatment of insomnia in children aged 2-18 years with </w:t>
      </w:r>
      <w:r w:rsidR="00762AD1" w:rsidRPr="00F86759">
        <w:t xml:space="preserve">Autism Spectrum Disorder (ASD) and/or Smith-Magenis </w:t>
      </w:r>
      <w:r w:rsidR="00337742">
        <w:t>S</w:t>
      </w:r>
      <w:r w:rsidR="00762AD1" w:rsidRPr="00F86759">
        <w:t>yndrome</w:t>
      </w:r>
      <w:r w:rsidR="00762AD1" w:rsidDel="00762AD1">
        <w:rPr>
          <w:lang w:val="en-GB"/>
        </w:rPr>
        <w:t xml:space="preserve"> </w:t>
      </w:r>
      <w:r w:rsidR="00762AD1">
        <w:rPr>
          <w:lang w:val="en-GB"/>
        </w:rPr>
        <w:t>(SMS) where sleep hygiene measures have been insufficient</w:t>
      </w:r>
      <w:r w:rsidR="002A37B1">
        <w:rPr>
          <w:lang w:val="en-GB"/>
        </w:rPr>
        <w:t xml:space="preserve">. In deciding not to recommend melatonin for the requested populations, the PBAC considered the evidence presented indicated that while melatonin may be effective at increasing total sleep time (TST) </w:t>
      </w:r>
      <w:r w:rsidR="00B41959">
        <w:rPr>
          <w:lang w:val="en-GB"/>
        </w:rPr>
        <w:t>for some patients, the effect was highly variable (as evidenced by the wide 95% confidence intervals) and of uncertain and likely modest clinical benefit.</w:t>
      </w:r>
      <w:r w:rsidR="0006685F">
        <w:rPr>
          <w:lang w:val="en-GB"/>
        </w:rPr>
        <w:t xml:space="preserve"> </w:t>
      </w:r>
      <w:r w:rsidR="00337742">
        <w:rPr>
          <w:rFonts w:ascii="Calibri" w:hAnsi="Calibri"/>
        </w:rPr>
        <w:t>The PBAC considered the cost effectiveness of melatonin at the price requested in the submission could not reliably be assessed with the economic model provided</w:t>
      </w:r>
      <w:r w:rsidR="00EA57E6">
        <w:rPr>
          <w:lang w:val="en-GB"/>
        </w:rPr>
        <w:t xml:space="preserve">. </w:t>
      </w:r>
      <w:r w:rsidR="00B73041">
        <w:rPr>
          <w:lang w:val="en-GB"/>
        </w:rPr>
        <w:t xml:space="preserve">The PBAC considered the estimated number of patients likely to be treated with melatonin was poorly supported and the financial estimates were high and uncertain. </w:t>
      </w:r>
    </w:p>
    <w:p w:rsidR="00A83CB2" w:rsidRDefault="0006685F" w:rsidP="00A83CB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w:t>
      </w:r>
      <w:r w:rsidR="00960848">
        <w:rPr>
          <w:rFonts w:asciiTheme="minorHAnsi" w:hAnsiTheme="minorHAnsi"/>
          <w:bCs/>
          <w:snapToGrid w:val="0"/>
          <w:lang w:val="en-GB"/>
        </w:rPr>
        <w:t xml:space="preserve">acknowledged there was a </w:t>
      </w:r>
      <w:r w:rsidR="007B41AD">
        <w:rPr>
          <w:rFonts w:asciiTheme="minorHAnsi" w:hAnsiTheme="minorHAnsi"/>
          <w:bCs/>
          <w:snapToGrid w:val="0"/>
          <w:lang w:val="en-GB"/>
        </w:rPr>
        <w:t xml:space="preserve">clinical need for effective treatments </w:t>
      </w:r>
      <w:r w:rsidR="006033FC">
        <w:rPr>
          <w:rFonts w:asciiTheme="minorHAnsi" w:hAnsiTheme="minorHAnsi"/>
          <w:bCs/>
          <w:snapToGrid w:val="0"/>
          <w:lang w:val="en-GB"/>
        </w:rPr>
        <w:t>for insomnia in patients with</w:t>
      </w:r>
      <w:r w:rsidR="00611C67">
        <w:rPr>
          <w:rFonts w:asciiTheme="minorHAnsi" w:hAnsiTheme="minorHAnsi"/>
          <w:bCs/>
          <w:snapToGrid w:val="0"/>
          <w:lang w:val="en-GB"/>
        </w:rPr>
        <w:t xml:space="preserve"> ASD and</w:t>
      </w:r>
      <w:r w:rsidR="00960848">
        <w:rPr>
          <w:rFonts w:asciiTheme="minorHAnsi" w:hAnsiTheme="minorHAnsi"/>
          <w:bCs/>
          <w:snapToGrid w:val="0"/>
          <w:lang w:val="en-GB"/>
        </w:rPr>
        <w:t xml:space="preserve"> a very high clinical need in the</w:t>
      </w:r>
      <w:r w:rsidR="006033FC">
        <w:rPr>
          <w:rFonts w:asciiTheme="minorHAnsi" w:hAnsiTheme="minorHAnsi"/>
          <w:bCs/>
          <w:snapToGrid w:val="0"/>
          <w:lang w:val="en-GB"/>
        </w:rPr>
        <w:t xml:space="preserve"> SMS</w:t>
      </w:r>
      <w:r w:rsidR="00960848">
        <w:rPr>
          <w:rFonts w:asciiTheme="minorHAnsi" w:hAnsiTheme="minorHAnsi"/>
          <w:bCs/>
          <w:snapToGrid w:val="0"/>
          <w:lang w:val="en-GB"/>
        </w:rPr>
        <w:t xml:space="preserve"> population</w:t>
      </w:r>
      <w:r w:rsidR="006033FC">
        <w:rPr>
          <w:rFonts w:asciiTheme="minorHAnsi" w:hAnsiTheme="minorHAnsi"/>
          <w:bCs/>
          <w:snapToGrid w:val="0"/>
          <w:lang w:val="en-GB"/>
        </w:rPr>
        <w:t xml:space="preserve">. The </w:t>
      </w:r>
      <w:r w:rsidR="00337742">
        <w:rPr>
          <w:rFonts w:asciiTheme="minorHAnsi" w:hAnsiTheme="minorHAnsi"/>
          <w:bCs/>
          <w:snapToGrid w:val="0"/>
          <w:lang w:val="en-GB"/>
        </w:rPr>
        <w:t xml:space="preserve">PBAC </w:t>
      </w:r>
      <w:r w:rsidR="006033FC">
        <w:rPr>
          <w:rFonts w:asciiTheme="minorHAnsi" w:hAnsiTheme="minorHAnsi"/>
          <w:bCs/>
          <w:snapToGrid w:val="0"/>
          <w:lang w:val="en-GB"/>
        </w:rPr>
        <w:t>also noted the input from SMS Australia which highlighted the impact insomnia and night time waking has on</w:t>
      </w:r>
      <w:r w:rsidR="008F5CD3">
        <w:rPr>
          <w:rFonts w:asciiTheme="minorHAnsi" w:hAnsiTheme="minorHAnsi"/>
          <w:bCs/>
          <w:snapToGrid w:val="0"/>
          <w:lang w:val="en-GB"/>
        </w:rPr>
        <w:t xml:space="preserve"> people</w:t>
      </w:r>
      <w:r w:rsidR="006033FC">
        <w:rPr>
          <w:rFonts w:asciiTheme="minorHAnsi" w:hAnsiTheme="minorHAnsi"/>
          <w:bCs/>
          <w:snapToGrid w:val="0"/>
          <w:lang w:val="en-GB"/>
        </w:rPr>
        <w:t xml:space="preserve"> with the condition </w:t>
      </w:r>
      <w:r w:rsidR="00337742">
        <w:rPr>
          <w:rFonts w:asciiTheme="minorHAnsi" w:hAnsiTheme="minorHAnsi"/>
          <w:bCs/>
          <w:snapToGrid w:val="0"/>
          <w:lang w:val="en-GB"/>
        </w:rPr>
        <w:t xml:space="preserve">and their carers </w:t>
      </w:r>
      <w:r w:rsidR="006033FC">
        <w:rPr>
          <w:rFonts w:asciiTheme="minorHAnsi" w:hAnsiTheme="minorHAnsi"/>
          <w:bCs/>
          <w:snapToGrid w:val="0"/>
          <w:lang w:val="en-GB"/>
        </w:rPr>
        <w:t xml:space="preserve">and noted the input that melatonin is widely used in the population but </w:t>
      </w:r>
      <w:r w:rsidR="00337742">
        <w:rPr>
          <w:rFonts w:asciiTheme="minorHAnsi" w:hAnsiTheme="minorHAnsi"/>
          <w:bCs/>
          <w:snapToGrid w:val="0"/>
          <w:lang w:val="en-GB"/>
        </w:rPr>
        <w:t xml:space="preserve">is </w:t>
      </w:r>
      <w:r w:rsidR="006033FC">
        <w:rPr>
          <w:rFonts w:asciiTheme="minorHAnsi" w:hAnsiTheme="minorHAnsi"/>
          <w:bCs/>
          <w:snapToGrid w:val="0"/>
          <w:lang w:val="en-GB"/>
        </w:rPr>
        <w:t>often purchased from overseas in jurisdictions where melatonin is not regulated as a pharmaceut</w:t>
      </w:r>
      <w:r w:rsidR="00611C67">
        <w:rPr>
          <w:rFonts w:asciiTheme="minorHAnsi" w:hAnsiTheme="minorHAnsi"/>
          <w:bCs/>
          <w:snapToGrid w:val="0"/>
          <w:lang w:val="en-GB"/>
        </w:rPr>
        <w:t>ical product.</w:t>
      </w:r>
      <w:r w:rsidR="009E0F96">
        <w:rPr>
          <w:rFonts w:asciiTheme="minorHAnsi" w:hAnsiTheme="minorHAnsi"/>
          <w:bCs/>
          <w:snapToGrid w:val="0"/>
          <w:lang w:val="en-GB"/>
        </w:rPr>
        <w:t xml:space="preserve"> </w:t>
      </w:r>
      <w:r w:rsidR="004A284B">
        <w:rPr>
          <w:rFonts w:asciiTheme="minorHAnsi" w:hAnsiTheme="minorHAnsi"/>
          <w:bCs/>
          <w:snapToGrid w:val="0"/>
          <w:lang w:val="en-GB"/>
        </w:rPr>
        <w:t xml:space="preserve">The </w:t>
      </w:r>
      <w:r w:rsidR="00337742">
        <w:rPr>
          <w:rFonts w:asciiTheme="minorHAnsi" w:hAnsiTheme="minorHAnsi"/>
          <w:bCs/>
          <w:snapToGrid w:val="0"/>
          <w:lang w:val="en-GB"/>
        </w:rPr>
        <w:t xml:space="preserve">PBAC </w:t>
      </w:r>
      <w:r w:rsidR="004A284B">
        <w:rPr>
          <w:rFonts w:asciiTheme="minorHAnsi" w:hAnsiTheme="minorHAnsi"/>
          <w:bCs/>
          <w:snapToGrid w:val="0"/>
          <w:lang w:val="en-GB"/>
        </w:rPr>
        <w:t>considered there was a clinical place for a regulated pharmaceutical grade melatonin for the treatment of insomnia in patients with SMS and ASD who have failed other measures.</w:t>
      </w:r>
    </w:p>
    <w:p w:rsidR="004B4366" w:rsidRPr="004B4366" w:rsidRDefault="004A284B" w:rsidP="004B4366">
      <w:pPr>
        <w:pStyle w:val="ExecSumBodyText"/>
        <w:rPr>
          <w:bCs/>
          <w:lang w:val="en-GB"/>
        </w:rPr>
      </w:pPr>
      <w:r>
        <w:rPr>
          <w:lang w:val="en-GB"/>
        </w:rPr>
        <w:t xml:space="preserve">The PBAC considered the nominated comparator of standard care (comprised of behavioural measures and sleep hygiene) was reasonable. </w:t>
      </w:r>
      <w:r w:rsidR="004B4366" w:rsidRPr="004B4366">
        <w:rPr>
          <w:bCs/>
          <w:lang w:val="en-GB"/>
        </w:rPr>
        <w:t>The PBAC noted there are a number of alternative formulations of melatonin available and they are likely to be commonly used in the ASD and SMS population.</w:t>
      </w:r>
      <w:r w:rsidR="00B816DD">
        <w:rPr>
          <w:bCs/>
          <w:lang w:val="en-GB"/>
        </w:rPr>
        <w:t xml:space="preserve"> </w:t>
      </w:r>
      <w:r w:rsidR="004B4366">
        <w:rPr>
          <w:bCs/>
          <w:lang w:val="en-GB"/>
        </w:rPr>
        <w:t xml:space="preserve">The PBAC noted the sponsor argued that other forms of pharmaceutical grade melatonin such as Circadin were not relevant comparators as they are not indicated for use in children and further argued in its Pre-PBAC Response that extemporaneously compounded melatonin was not a relevant comparator as it is not a modified release product. </w:t>
      </w:r>
      <w:r w:rsidR="004B4366" w:rsidRPr="004B4366">
        <w:rPr>
          <w:bCs/>
          <w:lang w:val="en-GB"/>
        </w:rPr>
        <w:t xml:space="preserve">The PBAC considered that, while they may not be considered comparators (and </w:t>
      </w:r>
      <w:r w:rsidR="00296340">
        <w:rPr>
          <w:bCs/>
          <w:lang w:val="en-GB"/>
        </w:rPr>
        <w:t xml:space="preserve">acknowledged </w:t>
      </w:r>
      <w:r w:rsidR="004B4366" w:rsidRPr="004B4366">
        <w:rPr>
          <w:bCs/>
          <w:lang w:val="en-GB"/>
        </w:rPr>
        <w:t>a comparison of effectiveness and safety would be difficult), they are substantially less costly than the price requested in the submission (</w:t>
      </w:r>
      <w:r w:rsidR="004B4366" w:rsidRPr="00625543">
        <w:rPr>
          <w:bCs/>
          <w:lang w:val="en-GB"/>
        </w:rPr>
        <w:t>paragraph 6.5</w:t>
      </w:r>
      <w:r w:rsidR="00625543" w:rsidRPr="00625543">
        <w:rPr>
          <w:bCs/>
          <w:lang w:val="en-GB"/>
        </w:rPr>
        <w:t>1</w:t>
      </w:r>
      <w:r w:rsidR="004B4366" w:rsidRPr="00625543">
        <w:rPr>
          <w:bCs/>
          <w:lang w:val="en-GB"/>
        </w:rPr>
        <w:t>).</w:t>
      </w:r>
      <w:r w:rsidR="00B816DD">
        <w:rPr>
          <w:bCs/>
          <w:lang w:val="en-GB"/>
        </w:rPr>
        <w:t xml:space="preserve"> </w:t>
      </w:r>
    </w:p>
    <w:p w:rsidR="00A83CB2" w:rsidRPr="00525B39" w:rsidRDefault="00162B3D" w:rsidP="00A83CB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w:t>
      </w:r>
      <w:r w:rsidR="007136BB">
        <w:rPr>
          <w:rFonts w:asciiTheme="minorHAnsi" w:hAnsiTheme="minorHAnsi"/>
          <w:bCs/>
          <w:snapToGrid w:val="0"/>
          <w:lang w:val="en-GB"/>
        </w:rPr>
        <w:t xml:space="preserve">he PBAC considered the </w:t>
      </w:r>
      <w:r w:rsidR="00611C67">
        <w:rPr>
          <w:rFonts w:asciiTheme="minorHAnsi" w:hAnsiTheme="minorHAnsi"/>
          <w:bCs/>
          <w:snapToGrid w:val="0"/>
          <w:lang w:val="en-GB"/>
        </w:rPr>
        <w:t>requested restriction did not adequately define a population who could be eligible for PBS subsidised melatonin as no definition of failure of sleep hygiene measures (for the purposes of initial eligibility) and no definition of response to melatonin (for the purposes of continuing eligibility) were proposed.</w:t>
      </w:r>
      <w:r>
        <w:rPr>
          <w:rFonts w:asciiTheme="minorHAnsi" w:hAnsiTheme="minorHAnsi"/>
          <w:bCs/>
          <w:snapToGrid w:val="0"/>
          <w:lang w:val="en-GB"/>
        </w:rPr>
        <w:t xml:space="preserve"> </w:t>
      </w:r>
    </w:p>
    <w:p w:rsidR="00A83CB2" w:rsidRPr="00525B39" w:rsidRDefault="00C93202" w:rsidP="00C93202">
      <w:pPr>
        <w:pStyle w:val="ExecSumBodyText"/>
        <w:rPr>
          <w:lang w:val="en-GB"/>
        </w:rPr>
      </w:pPr>
      <w:r>
        <w:rPr>
          <w:lang w:val="en-GB"/>
        </w:rPr>
        <w:t>The PBAC noted the submission was supported by one double blind, randomised controlled trial (</w:t>
      </w:r>
      <w:r w:rsidRPr="00C93202">
        <w:rPr>
          <w:bCs/>
          <w:lang w:val="en-GB"/>
        </w:rPr>
        <w:t>NEU_CH_7911</w:t>
      </w:r>
      <w:r>
        <w:rPr>
          <w:bCs/>
          <w:lang w:val="en-GB"/>
        </w:rPr>
        <w:t>) comparing melatonin to placebo</w:t>
      </w:r>
      <w:r w:rsidR="00F45052">
        <w:rPr>
          <w:bCs/>
          <w:lang w:val="en-GB"/>
        </w:rPr>
        <w:t xml:space="preserve"> in children 2 to 18 years of age (n=125).</w:t>
      </w:r>
      <w:r w:rsidR="00DF79F0">
        <w:rPr>
          <w:bCs/>
          <w:lang w:val="en-GB"/>
        </w:rPr>
        <w:t xml:space="preserve"> The primary outcome of the</w:t>
      </w:r>
      <w:r w:rsidR="004B39F9">
        <w:rPr>
          <w:bCs/>
          <w:lang w:val="en-GB"/>
        </w:rPr>
        <w:t xml:space="preserve"> trial was change from baseline in TST after 13 weeks</w:t>
      </w:r>
      <w:r w:rsidR="00B726FF">
        <w:rPr>
          <w:bCs/>
          <w:lang w:val="en-GB"/>
        </w:rPr>
        <w:t xml:space="preserve"> </w:t>
      </w:r>
      <w:r w:rsidR="00DF79F0">
        <w:rPr>
          <w:bCs/>
          <w:lang w:val="en-GB"/>
        </w:rPr>
        <w:t>as measured by sleep and nap diaries</w:t>
      </w:r>
      <w:r w:rsidR="00B726FF">
        <w:rPr>
          <w:bCs/>
          <w:lang w:val="en-GB"/>
        </w:rPr>
        <w:t xml:space="preserve">. The PBAC noted the evaluation raised a number of </w:t>
      </w:r>
      <w:r w:rsidR="00B726FF" w:rsidRPr="00625543">
        <w:rPr>
          <w:bCs/>
          <w:lang w:val="en-GB"/>
        </w:rPr>
        <w:t>issues regarding trial design that may impact on interpretation of the clinical data (discussed in paragraphs 6.6 to 6.11).</w:t>
      </w:r>
      <w:r w:rsidR="00B726FF">
        <w:rPr>
          <w:bCs/>
          <w:lang w:val="en-GB"/>
        </w:rPr>
        <w:t xml:space="preserve"> </w:t>
      </w:r>
    </w:p>
    <w:p w:rsidR="005D336F" w:rsidRPr="00BB0832" w:rsidRDefault="00592D67" w:rsidP="000623E1">
      <w:pPr>
        <w:pStyle w:val="ExecSumBodyText"/>
        <w:rPr>
          <w:lang w:val="en-GB"/>
        </w:rPr>
      </w:pPr>
      <w:r>
        <w:rPr>
          <w:lang w:val="en-GB"/>
        </w:rPr>
        <w:t>The PBAC noted the results of the clinical</w:t>
      </w:r>
      <w:r w:rsidR="005D336F">
        <w:rPr>
          <w:lang w:val="en-GB"/>
        </w:rPr>
        <w:t xml:space="preserve"> trial found an</w:t>
      </w:r>
      <w:r>
        <w:rPr>
          <w:lang w:val="en-GB"/>
        </w:rPr>
        <w:t xml:space="preserve"> average increase in TST of 32.32 minutes</w:t>
      </w:r>
      <w:r w:rsidR="005964EB">
        <w:rPr>
          <w:lang w:val="en-GB"/>
        </w:rPr>
        <w:t xml:space="preserve"> </w:t>
      </w:r>
      <w:r w:rsidR="00602F10">
        <w:rPr>
          <w:lang w:val="en-GB"/>
        </w:rPr>
        <w:t xml:space="preserve">per night </w:t>
      </w:r>
      <w:r w:rsidR="005964EB">
        <w:rPr>
          <w:lang w:val="en-GB"/>
        </w:rPr>
        <w:t>over placebo</w:t>
      </w:r>
      <w:r>
        <w:rPr>
          <w:lang w:val="en-GB"/>
        </w:rPr>
        <w:t>, however also noted the wide 95% confidence interval (with a lo</w:t>
      </w:r>
      <w:r w:rsidR="005D336F">
        <w:rPr>
          <w:lang w:val="en-GB"/>
        </w:rPr>
        <w:t>wer bound of 2.38 minutes). The PBAC was un</w:t>
      </w:r>
      <w:r w:rsidR="00296340">
        <w:rPr>
          <w:lang w:val="en-GB"/>
        </w:rPr>
        <w:t>certain</w:t>
      </w:r>
      <w:r w:rsidR="005D336F">
        <w:rPr>
          <w:lang w:val="en-GB"/>
        </w:rPr>
        <w:t xml:space="preserve"> that an increase in TST of 32 minutes</w:t>
      </w:r>
      <w:r w:rsidR="005964EB">
        <w:rPr>
          <w:lang w:val="en-GB"/>
        </w:rPr>
        <w:t xml:space="preserve"> over placebo</w:t>
      </w:r>
      <w:r w:rsidR="005D336F">
        <w:rPr>
          <w:lang w:val="en-GB"/>
        </w:rPr>
        <w:t xml:space="preserve"> was c</w:t>
      </w:r>
      <w:r w:rsidR="008A3BE1">
        <w:rPr>
          <w:lang w:val="en-GB"/>
        </w:rPr>
        <w:t>linically significant</w:t>
      </w:r>
      <w:r w:rsidR="00B726FF">
        <w:rPr>
          <w:lang w:val="en-GB"/>
        </w:rPr>
        <w:t xml:space="preserve"> </w:t>
      </w:r>
      <w:r w:rsidR="000623E1">
        <w:rPr>
          <w:lang w:val="en-GB"/>
        </w:rPr>
        <w:t xml:space="preserve">and </w:t>
      </w:r>
      <w:r w:rsidR="00B726FF">
        <w:rPr>
          <w:lang w:val="en-GB"/>
        </w:rPr>
        <w:t xml:space="preserve">noted the increase was </w:t>
      </w:r>
      <w:r w:rsidR="005D336F" w:rsidRPr="005D336F">
        <w:rPr>
          <w:bCs/>
          <w:lang w:val="en-GB"/>
        </w:rPr>
        <w:t>not associated with significant changes in patient or carer daytime functioning</w:t>
      </w:r>
      <w:r w:rsidR="000623E1">
        <w:rPr>
          <w:bCs/>
          <w:lang w:val="en-GB"/>
        </w:rPr>
        <w:t xml:space="preserve"> as measured by most of the outcomes assessed</w:t>
      </w:r>
      <w:r w:rsidR="008A3BE1">
        <w:rPr>
          <w:bCs/>
          <w:lang w:val="en-GB"/>
        </w:rPr>
        <w:t>.</w:t>
      </w:r>
      <w:r w:rsidR="00B726FF">
        <w:rPr>
          <w:bCs/>
          <w:lang w:val="en-GB"/>
        </w:rPr>
        <w:t xml:space="preserve"> </w:t>
      </w:r>
      <w:r w:rsidR="000623E1">
        <w:rPr>
          <w:bCs/>
          <w:lang w:val="en-GB"/>
        </w:rPr>
        <w:t xml:space="preserve">The PBAC noted the arguments in the pre-PBAC response that </w:t>
      </w:r>
      <w:r w:rsidR="000623E1" w:rsidRPr="000623E1">
        <w:rPr>
          <w:bCs/>
          <w:lang w:val="en-GB"/>
        </w:rPr>
        <w:t>statistically significant improvements in externalising behaviour and caregivers’ quality of life (on the WHO-5 scale</w:t>
      </w:r>
      <w:r w:rsidR="000623E1">
        <w:rPr>
          <w:bCs/>
          <w:lang w:val="en-GB"/>
        </w:rPr>
        <w:t>)</w:t>
      </w:r>
      <w:r w:rsidR="000623E1" w:rsidRPr="000623E1">
        <w:rPr>
          <w:bCs/>
          <w:lang w:val="en-GB"/>
        </w:rPr>
        <w:t xml:space="preserve"> support the clinical relevance of the observed statistically significant differences in sleep-based endpoints.</w:t>
      </w:r>
      <w:r w:rsidR="000623E1">
        <w:rPr>
          <w:bCs/>
          <w:lang w:val="en-GB"/>
        </w:rPr>
        <w:t xml:space="preserve"> However, the PBAC was uncertain of the clinical significance of the changes observed in these two outcomes [treatment difference -0.83 (95%CI: -1.54, -0.13) for externalising behaviour and 2.17 (95% CI: 0.53, 3.82) for caregivers’ well-being</w:t>
      </w:r>
      <w:r w:rsidR="00E329A9">
        <w:rPr>
          <w:bCs/>
          <w:lang w:val="en-GB"/>
        </w:rPr>
        <w:t xml:space="preserve"> as measured by the WHO-5 scale</w:t>
      </w:r>
      <w:r w:rsidR="000623E1">
        <w:rPr>
          <w:bCs/>
          <w:lang w:val="en-GB"/>
        </w:rPr>
        <w:t xml:space="preserve">]. </w:t>
      </w:r>
      <w:r w:rsidR="005D336F">
        <w:rPr>
          <w:bCs/>
          <w:lang w:val="en-GB"/>
        </w:rPr>
        <w:t xml:space="preserve">The PBAC </w:t>
      </w:r>
      <w:r w:rsidR="00577DBF">
        <w:rPr>
          <w:bCs/>
          <w:lang w:val="en-GB"/>
        </w:rPr>
        <w:t>agreed with the ESC</w:t>
      </w:r>
      <w:r w:rsidR="000143C5">
        <w:rPr>
          <w:bCs/>
          <w:lang w:val="en-GB"/>
        </w:rPr>
        <w:t xml:space="preserve"> that</w:t>
      </w:r>
      <w:r w:rsidR="008A3BE1">
        <w:rPr>
          <w:bCs/>
          <w:lang w:val="en-GB"/>
        </w:rPr>
        <w:t xml:space="preserve"> sleep requirements for the age range of participants in the study</w:t>
      </w:r>
      <w:r w:rsidR="00BA0AB6">
        <w:rPr>
          <w:bCs/>
          <w:lang w:val="en-GB"/>
        </w:rPr>
        <w:t xml:space="preserve"> (2-18 years)</w:t>
      </w:r>
      <w:r w:rsidR="008A3BE1">
        <w:rPr>
          <w:bCs/>
          <w:lang w:val="en-GB"/>
        </w:rPr>
        <w:t xml:space="preserve"> varies greatly and considered this further </w:t>
      </w:r>
      <w:r w:rsidR="00602F10">
        <w:rPr>
          <w:bCs/>
          <w:lang w:val="en-GB"/>
        </w:rPr>
        <w:t>complicated</w:t>
      </w:r>
      <w:r w:rsidR="008A3BE1">
        <w:rPr>
          <w:bCs/>
          <w:lang w:val="en-GB"/>
        </w:rPr>
        <w:t xml:space="preserve"> interpreting the results of the study.</w:t>
      </w:r>
      <w:r w:rsidR="006E426C">
        <w:rPr>
          <w:bCs/>
          <w:lang w:val="en-GB"/>
        </w:rPr>
        <w:t xml:space="preserve"> On balance, the PBAC considered that melatonin is likely to be effective for the treatment of insomnia in the requested populations, however considered that</w:t>
      </w:r>
      <w:r w:rsidR="000143C5">
        <w:rPr>
          <w:bCs/>
          <w:lang w:val="en-GB"/>
        </w:rPr>
        <w:t xml:space="preserve"> the</w:t>
      </w:r>
      <w:r w:rsidR="006E426C">
        <w:rPr>
          <w:bCs/>
          <w:lang w:val="en-GB"/>
        </w:rPr>
        <w:t xml:space="preserve"> effect is likely to be modest.</w:t>
      </w:r>
    </w:p>
    <w:p w:rsidR="00BB0832" w:rsidRDefault="00BB0832" w:rsidP="005D336F">
      <w:pPr>
        <w:pStyle w:val="ExecSumBodyText"/>
        <w:rPr>
          <w:lang w:val="en-GB"/>
        </w:rPr>
      </w:pPr>
      <w:r>
        <w:rPr>
          <w:bCs/>
          <w:lang w:val="en-GB"/>
        </w:rPr>
        <w:t xml:space="preserve">The PBAC noted the submission relied on an exploratory outcome of ‘responders’ in the economic model, defined by either an increase in TST of 45 minutes or more </w:t>
      </w:r>
      <w:r w:rsidR="00602F10">
        <w:rPr>
          <w:bCs/>
          <w:lang w:val="en-GB"/>
        </w:rPr>
        <w:t xml:space="preserve">per night </w:t>
      </w:r>
      <w:r>
        <w:rPr>
          <w:bCs/>
          <w:lang w:val="en-GB"/>
        </w:rPr>
        <w:t xml:space="preserve">or reduction in </w:t>
      </w:r>
      <w:r w:rsidR="00602F10">
        <w:rPr>
          <w:bCs/>
          <w:lang w:val="en-GB"/>
        </w:rPr>
        <w:t xml:space="preserve">sleep latency </w:t>
      </w:r>
      <w:r>
        <w:rPr>
          <w:bCs/>
          <w:lang w:val="en-GB"/>
        </w:rPr>
        <w:t xml:space="preserve">of 15 minutes or more. </w:t>
      </w:r>
      <w:r w:rsidR="003536B6">
        <w:rPr>
          <w:bCs/>
          <w:lang w:val="en-GB"/>
        </w:rPr>
        <w:t xml:space="preserve">The PBAC noted no information was provided regarding this outcome in the clinical study report and no details were provided </w:t>
      </w:r>
      <w:r w:rsidR="009C0C51">
        <w:rPr>
          <w:bCs/>
          <w:lang w:val="en-GB"/>
        </w:rPr>
        <w:t xml:space="preserve">in the submission </w:t>
      </w:r>
      <w:r w:rsidR="003536B6">
        <w:rPr>
          <w:bCs/>
          <w:lang w:val="en-GB"/>
        </w:rPr>
        <w:t xml:space="preserve">regarding how it was analysed. </w:t>
      </w:r>
      <w:r w:rsidR="009C0C51">
        <w:rPr>
          <w:bCs/>
          <w:lang w:val="en-GB"/>
        </w:rPr>
        <w:t xml:space="preserve">The PBAC noted the percentage of responders in the melatonin arm was 68.9% and in the placebo arm was 39.3%. The PBAC noted this was likely to be largely driven by the sleep latency responders (63.8% vs 32.8% in the melatonin and placebo arms, respectively), rather than TST responders. </w:t>
      </w:r>
      <w:r w:rsidR="003536B6">
        <w:rPr>
          <w:bCs/>
          <w:lang w:val="en-GB"/>
        </w:rPr>
        <w:t>The PBAC considered this definition of responder was of uncertain clinical significance.</w:t>
      </w:r>
      <w:r w:rsidR="009C0C51">
        <w:rPr>
          <w:bCs/>
          <w:lang w:val="en-GB"/>
        </w:rPr>
        <w:t xml:space="preserve"> </w:t>
      </w:r>
    </w:p>
    <w:p w:rsidR="00A83CB2" w:rsidRDefault="00E93174" w:rsidP="0069540A">
      <w:pPr>
        <w:pStyle w:val="ExecSumBodyText"/>
        <w:rPr>
          <w:bCs/>
          <w:lang w:val="en-GB"/>
        </w:rPr>
      </w:pPr>
      <w:r>
        <w:rPr>
          <w:lang w:val="en-GB"/>
        </w:rPr>
        <w:t xml:space="preserve">The PBAC </w:t>
      </w:r>
      <w:r w:rsidRPr="00E93174">
        <w:rPr>
          <w:lang w:val="en-GB"/>
        </w:rPr>
        <w:t xml:space="preserve">noted treatment </w:t>
      </w:r>
      <w:r w:rsidR="0069540A" w:rsidRPr="00E93174">
        <w:rPr>
          <w:bCs/>
          <w:lang w:val="en-GB"/>
        </w:rPr>
        <w:t>with prolonged release melatonin was associated with a higher incidence of adverse events including mood swings, somnolence, and</w:t>
      </w:r>
      <w:r w:rsidRPr="00E93174">
        <w:rPr>
          <w:bCs/>
          <w:lang w:val="en-GB"/>
        </w:rPr>
        <w:t xml:space="preserve"> fatigue, compared with placebo</w:t>
      </w:r>
      <w:r w:rsidR="0069540A" w:rsidRPr="00E93174">
        <w:rPr>
          <w:bCs/>
          <w:lang w:val="en-GB"/>
        </w:rPr>
        <w:t>.</w:t>
      </w:r>
      <w:r w:rsidR="00A878FB">
        <w:rPr>
          <w:bCs/>
          <w:lang w:val="en-GB"/>
        </w:rPr>
        <w:t xml:space="preserve"> The </w:t>
      </w:r>
      <w:r w:rsidR="009C0C51">
        <w:rPr>
          <w:bCs/>
          <w:lang w:val="en-GB"/>
        </w:rPr>
        <w:t xml:space="preserve">PBAC </w:t>
      </w:r>
      <w:r w:rsidR="00A878FB">
        <w:rPr>
          <w:bCs/>
          <w:lang w:val="en-GB"/>
        </w:rPr>
        <w:t>noted there was limited safety data</w:t>
      </w:r>
      <w:r w:rsidR="005964EB">
        <w:rPr>
          <w:bCs/>
          <w:lang w:val="en-GB"/>
        </w:rPr>
        <w:t xml:space="preserve"> supporting the long-term use of melatonin in the requested populations.</w:t>
      </w:r>
      <w:r w:rsidR="0069540A" w:rsidRPr="00E93174">
        <w:rPr>
          <w:bCs/>
          <w:lang w:val="en-GB"/>
        </w:rPr>
        <w:t xml:space="preserve"> Although no claim was made in the submission</w:t>
      </w:r>
      <w:r w:rsidRPr="00E93174">
        <w:rPr>
          <w:bCs/>
          <w:lang w:val="en-GB"/>
        </w:rPr>
        <w:t>, based on the available information the PBAC considered melatonin was likely inferior to placebo with regards to comparative safety.</w:t>
      </w:r>
    </w:p>
    <w:p w:rsidR="00A83CB2" w:rsidRPr="00525B39" w:rsidRDefault="00E93174" w:rsidP="00A83CB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w:t>
      </w:r>
      <w:r w:rsidR="00F15BA6">
        <w:rPr>
          <w:rFonts w:asciiTheme="minorHAnsi" w:hAnsiTheme="minorHAnsi"/>
          <w:bCs/>
          <w:snapToGrid w:val="0"/>
          <w:lang w:val="en-GB"/>
        </w:rPr>
        <w:t xml:space="preserve">noted the </w:t>
      </w:r>
      <w:r>
        <w:rPr>
          <w:rFonts w:asciiTheme="minorHAnsi" w:hAnsiTheme="minorHAnsi"/>
          <w:bCs/>
          <w:snapToGrid w:val="0"/>
          <w:lang w:val="en-GB"/>
        </w:rPr>
        <w:t xml:space="preserve">ESC </w:t>
      </w:r>
      <w:r w:rsidR="00F15BA6">
        <w:rPr>
          <w:rFonts w:asciiTheme="minorHAnsi" w:hAnsiTheme="minorHAnsi"/>
          <w:bCs/>
          <w:snapToGrid w:val="0"/>
          <w:lang w:val="en-GB"/>
        </w:rPr>
        <w:t xml:space="preserve">advice that </w:t>
      </w:r>
      <w:r>
        <w:rPr>
          <w:rFonts w:asciiTheme="minorHAnsi" w:hAnsiTheme="minorHAnsi"/>
          <w:bCs/>
          <w:snapToGrid w:val="0"/>
          <w:lang w:val="en-GB"/>
        </w:rPr>
        <w:t>the economic model</w:t>
      </w:r>
      <w:r w:rsidR="00024AFF">
        <w:rPr>
          <w:rFonts w:asciiTheme="minorHAnsi" w:hAnsiTheme="minorHAnsi"/>
          <w:bCs/>
          <w:snapToGrid w:val="0"/>
          <w:lang w:val="en-GB"/>
        </w:rPr>
        <w:t xml:space="preserve"> provided with the submission</w:t>
      </w:r>
      <w:r>
        <w:rPr>
          <w:rFonts w:asciiTheme="minorHAnsi" w:hAnsiTheme="minorHAnsi"/>
          <w:bCs/>
          <w:snapToGrid w:val="0"/>
          <w:lang w:val="en-GB"/>
        </w:rPr>
        <w:t xml:space="preserve"> was unreliable for decision-</w:t>
      </w:r>
      <w:r w:rsidRPr="00625543">
        <w:rPr>
          <w:rFonts w:asciiTheme="minorHAnsi" w:hAnsiTheme="minorHAnsi"/>
          <w:bCs/>
          <w:snapToGrid w:val="0"/>
          <w:lang w:val="en-GB"/>
        </w:rPr>
        <w:t xml:space="preserve">making </w:t>
      </w:r>
      <w:r w:rsidR="00024AFF" w:rsidRPr="00625543">
        <w:rPr>
          <w:rFonts w:asciiTheme="minorHAnsi" w:hAnsiTheme="minorHAnsi"/>
          <w:bCs/>
          <w:snapToGrid w:val="0"/>
          <w:lang w:val="en-GB"/>
        </w:rPr>
        <w:t>(paragraph 6.4</w:t>
      </w:r>
      <w:r w:rsidR="000C1A0C" w:rsidRPr="00625543">
        <w:rPr>
          <w:rFonts w:asciiTheme="minorHAnsi" w:hAnsiTheme="minorHAnsi"/>
          <w:bCs/>
          <w:snapToGrid w:val="0"/>
          <w:lang w:val="en-GB"/>
        </w:rPr>
        <w:t>7</w:t>
      </w:r>
      <w:r w:rsidR="00024AFF" w:rsidRPr="00625543">
        <w:rPr>
          <w:rFonts w:asciiTheme="minorHAnsi" w:hAnsiTheme="minorHAnsi"/>
          <w:bCs/>
          <w:snapToGrid w:val="0"/>
          <w:lang w:val="en-GB"/>
        </w:rPr>
        <w:t>).</w:t>
      </w:r>
      <w:r w:rsidR="00024AFF">
        <w:rPr>
          <w:rFonts w:asciiTheme="minorHAnsi" w:hAnsiTheme="minorHAnsi"/>
          <w:bCs/>
          <w:snapToGrid w:val="0"/>
          <w:lang w:val="en-GB"/>
        </w:rPr>
        <w:t xml:space="preserve"> </w:t>
      </w:r>
      <w:r w:rsidR="009C1CCB">
        <w:rPr>
          <w:rFonts w:asciiTheme="minorHAnsi" w:hAnsiTheme="minorHAnsi"/>
          <w:bCs/>
          <w:snapToGrid w:val="0"/>
          <w:lang w:val="en-GB"/>
        </w:rPr>
        <w:t>T</w:t>
      </w:r>
      <w:r>
        <w:rPr>
          <w:rFonts w:asciiTheme="minorHAnsi" w:hAnsiTheme="minorHAnsi"/>
          <w:bCs/>
          <w:snapToGrid w:val="0"/>
          <w:lang w:val="en-GB"/>
        </w:rPr>
        <w:t xml:space="preserve">he PBAC </w:t>
      </w:r>
      <w:r w:rsidR="00427EA0">
        <w:rPr>
          <w:rFonts w:asciiTheme="minorHAnsi" w:hAnsiTheme="minorHAnsi"/>
          <w:bCs/>
          <w:snapToGrid w:val="0"/>
          <w:lang w:val="en-GB"/>
        </w:rPr>
        <w:t xml:space="preserve">acknowledged </w:t>
      </w:r>
      <w:r>
        <w:rPr>
          <w:rFonts w:asciiTheme="minorHAnsi" w:hAnsiTheme="minorHAnsi"/>
          <w:bCs/>
          <w:snapToGrid w:val="0"/>
          <w:lang w:val="en-GB"/>
        </w:rPr>
        <w:t xml:space="preserve">the challenge of </w:t>
      </w:r>
      <w:r w:rsidR="00427EA0">
        <w:rPr>
          <w:rFonts w:asciiTheme="minorHAnsi" w:hAnsiTheme="minorHAnsi"/>
          <w:bCs/>
          <w:snapToGrid w:val="0"/>
          <w:lang w:val="en-GB"/>
        </w:rPr>
        <w:t>conducting a modelled cost utility analysis for melatonin</w:t>
      </w:r>
      <w:r w:rsidR="00232E6F">
        <w:rPr>
          <w:rFonts w:asciiTheme="minorHAnsi" w:hAnsiTheme="minorHAnsi"/>
          <w:bCs/>
          <w:snapToGrid w:val="0"/>
          <w:lang w:val="en-GB"/>
        </w:rPr>
        <w:t xml:space="preserve"> based on the available clinical data. </w:t>
      </w:r>
      <w:r w:rsidR="00AD2489">
        <w:rPr>
          <w:rFonts w:asciiTheme="minorHAnsi" w:hAnsiTheme="minorHAnsi"/>
          <w:bCs/>
          <w:snapToGrid w:val="0"/>
          <w:lang w:val="en-GB"/>
        </w:rPr>
        <w:t xml:space="preserve">However, the PBAC considered the </w:t>
      </w:r>
      <w:r w:rsidR="00232E6F">
        <w:rPr>
          <w:rFonts w:asciiTheme="minorHAnsi" w:hAnsiTheme="minorHAnsi"/>
          <w:bCs/>
          <w:snapToGrid w:val="0"/>
          <w:lang w:val="en-GB"/>
        </w:rPr>
        <w:t xml:space="preserve">cost per responder </w:t>
      </w:r>
      <w:r w:rsidR="00AD2489">
        <w:rPr>
          <w:rFonts w:asciiTheme="minorHAnsi" w:hAnsiTheme="minorHAnsi"/>
          <w:bCs/>
          <w:snapToGrid w:val="0"/>
          <w:lang w:val="en-GB"/>
        </w:rPr>
        <w:t xml:space="preserve">model in the submission included a number of assumptions that were highly biased </w:t>
      </w:r>
      <w:r w:rsidR="00D17176">
        <w:rPr>
          <w:rFonts w:asciiTheme="minorHAnsi" w:hAnsiTheme="minorHAnsi"/>
          <w:bCs/>
          <w:snapToGrid w:val="0"/>
          <w:lang w:val="en-GB"/>
        </w:rPr>
        <w:t xml:space="preserve">in favour of </w:t>
      </w:r>
      <w:r w:rsidR="00AD2489">
        <w:rPr>
          <w:rFonts w:asciiTheme="minorHAnsi" w:hAnsiTheme="minorHAnsi"/>
          <w:bCs/>
          <w:snapToGrid w:val="0"/>
          <w:lang w:val="en-GB"/>
        </w:rPr>
        <w:t>melatonin</w:t>
      </w:r>
      <w:r w:rsidR="00232E6F">
        <w:rPr>
          <w:rFonts w:asciiTheme="minorHAnsi" w:hAnsiTheme="minorHAnsi"/>
          <w:bCs/>
          <w:snapToGrid w:val="0"/>
          <w:lang w:val="en-GB"/>
        </w:rPr>
        <w:t xml:space="preserve">. </w:t>
      </w:r>
    </w:p>
    <w:p w:rsidR="006A2634" w:rsidRDefault="006A2634" w:rsidP="003C3EDF">
      <w:pPr>
        <w:widowControl w:val="0"/>
        <w:numPr>
          <w:ilvl w:val="1"/>
          <w:numId w:val="1"/>
        </w:numPr>
        <w:spacing w:after="120"/>
      </w:pPr>
      <w:r>
        <w:rPr>
          <w:rFonts w:asciiTheme="minorHAnsi" w:hAnsiTheme="minorHAnsi"/>
          <w:bCs/>
          <w:snapToGrid w:val="0"/>
          <w:lang w:val="en-GB"/>
        </w:rPr>
        <w:t xml:space="preserve">The PBAC agreed with the DUSC </w:t>
      </w:r>
      <w:r w:rsidR="000948CB">
        <w:rPr>
          <w:rFonts w:asciiTheme="minorHAnsi" w:hAnsiTheme="minorHAnsi"/>
          <w:bCs/>
          <w:snapToGrid w:val="0"/>
          <w:lang w:val="en-GB"/>
        </w:rPr>
        <w:t xml:space="preserve">that </w:t>
      </w:r>
      <w:r>
        <w:rPr>
          <w:rFonts w:asciiTheme="minorHAnsi" w:hAnsiTheme="minorHAnsi"/>
          <w:bCs/>
          <w:snapToGrid w:val="0"/>
          <w:lang w:val="en-GB"/>
        </w:rPr>
        <w:t xml:space="preserve">the utilisation of melatonin was likely highly underestimated. </w:t>
      </w:r>
      <w:r>
        <w:t>In particular, the</w:t>
      </w:r>
      <w:r w:rsidR="00427EA0">
        <w:t xml:space="preserve"> PBAC</w:t>
      </w:r>
      <w:r>
        <w:t xml:space="preserve"> noted the DUSC considered that </w:t>
      </w:r>
      <w:r w:rsidR="00427EA0">
        <w:t xml:space="preserve">the current </w:t>
      </w:r>
      <w:r>
        <w:t xml:space="preserve">use of melatonin in the ASD population was likely higher than estimated and the uptake rate would be higher than estimated. </w:t>
      </w:r>
    </w:p>
    <w:p w:rsidR="00C1360D" w:rsidRPr="0069540A" w:rsidRDefault="00C1360D" w:rsidP="00C1360D">
      <w:pPr>
        <w:pStyle w:val="ExecSumBodyText"/>
        <w:rPr>
          <w:lang w:val="en-GB"/>
        </w:rPr>
      </w:pPr>
      <w:r>
        <w:rPr>
          <w:lang w:val="en-GB"/>
        </w:rPr>
        <w:t>The PBAC considered the average dose likely to be used in clinical practice and the treatment duration were uncertain and noted the economic and financial analyses were highly sensitive to the assumed dose and treatment duration.</w:t>
      </w:r>
      <w:r w:rsidR="00B816DD">
        <w:rPr>
          <w:lang w:val="en-GB"/>
        </w:rPr>
        <w:t xml:space="preserve"> </w:t>
      </w:r>
    </w:p>
    <w:p w:rsidR="00C10CC4" w:rsidRDefault="00464919" w:rsidP="00464919">
      <w:pPr>
        <w:pStyle w:val="ExecSumBodyText"/>
        <w:rPr>
          <w:bCs/>
          <w:lang w:val="en-GB"/>
        </w:rPr>
      </w:pPr>
      <w:r w:rsidRPr="00464919">
        <w:rPr>
          <w:bCs/>
          <w:lang w:val="en-GB"/>
        </w:rPr>
        <w:t xml:space="preserve">Given the very high need for effective treatments in the SMS population, the PBAC considered </w:t>
      </w:r>
      <w:r w:rsidR="009C1CCB">
        <w:rPr>
          <w:bCs/>
          <w:lang w:val="en-GB"/>
        </w:rPr>
        <w:t xml:space="preserve">prolonged </w:t>
      </w:r>
      <w:r w:rsidRPr="00464919">
        <w:rPr>
          <w:bCs/>
          <w:lang w:val="en-GB"/>
        </w:rPr>
        <w:t xml:space="preserve">release melatonin may be acceptably cost-effective for this </w:t>
      </w:r>
      <w:r w:rsidR="003D433B">
        <w:rPr>
          <w:bCs/>
          <w:lang w:val="en-GB"/>
        </w:rPr>
        <w:t xml:space="preserve">small, well-defined </w:t>
      </w:r>
      <w:r w:rsidRPr="00464919">
        <w:rPr>
          <w:bCs/>
          <w:lang w:val="en-GB"/>
        </w:rPr>
        <w:t xml:space="preserve">population </w:t>
      </w:r>
      <w:r>
        <w:rPr>
          <w:bCs/>
          <w:lang w:val="en-GB"/>
        </w:rPr>
        <w:t xml:space="preserve">at a </w:t>
      </w:r>
      <w:r w:rsidRPr="00464919">
        <w:rPr>
          <w:bCs/>
          <w:lang w:val="en-GB"/>
        </w:rPr>
        <w:t xml:space="preserve">price </w:t>
      </w:r>
      <w:r>
        <w:rPr>
          <w:bCs/>
          <w:lang w:val="en-GB"/>
        </w:rPr>
        <w:t xml:space="preserve">consistent with that of </w:t>
      </w:r>
      <w:r w:rsidRPr="00464919">
        <w:rPr>
          <w:bCs/>
          <w:lang w:val="en-GB"/>
        </w:rPr>
        <w:t>extemporaneously compounded melatonin</w:t>
      </w:r>
      <w:r>
        <w:rPr>
          <w:bCs/>
          <w:lang w:val="en-GB"/>
        </w:rPr>
        <w:t>.</w:t>
      </w:r>
      <w:r w:rsidR="00B816DD">
        <w:rPr>
          <w:bCs/>
          <w:lang w:val="en-GB"/>
        </w:rPr>
        <w:t xml:space="preserve"> </w:t>
      </w:r>
      <w:r>
        <w:rPr>
          <w:bCs/>
          <w:lang w:val="en-GB"/>
        </w:rPr>
        <w:t xml:space="preserve">The PBAC </w:t>
      </w:r>
      <w:r w:rsidRPr="00464919">
        <w:rPr>
          <w:bCs/>
          <w:lang w:val="en-GB"/>
        </w:rPr>
        <w:t xml:space="preserve">advised an early re-entry pathway was acceptable </w:t>
      </w:r>
      <w:r w:rsidRPr="00464919">
        <w:rPr>
          <w:b/>
          <w:bCs/>
          <w:lang w:val="en-GB"/>
        </w:rPr>
        <w:t>for the SMS population</w:t>
      </w:r>
      <w:r w:rsidRPr="003D433B">
        <w:rPr>
          <w:bCs/>
          <w:lang w:val="en-GB"/>
        </w:rPr>
        <w:t xml:space="preserve"> </w:t>
      </w:r>
      <w:r w:rsidR="003D433B" w:rsidRPr="003D433B">
        <w:rPr>
          <w:bCs/>
          <w:lang w:val="en-GB"/>
        </w:rPr>
        <w:t>if the following outstanding issues were addressed:</w:t>
      </w:r>
      <w:r w:rsidR="003D433B">
        <w:rPr>
          <w:b/>
          <w:bCs/>
          <w:lang w:val="en-GB"/>
        </w:rPr>
        <w:t xml:space="preserve"> </w:t>
      </w:r>
    </w:p>
    <w:p w:rsidR="00F8017F" w:rsidRDefault="00C70C86" w:rsidP="00C10CC4">
      <w:pPr>
        <w:pStyle w:val="ListParagraph"/>
        <w:widowControl w:val="0"/>
        <w:numPr>
          <w:ilvl w:val="0"/>
          <w:numId w:val="44"/>
        </w:numPr>
        <w:spacing w:after="120"/>
        <w:rPr>
          <w:rFonts w:asciiTheme="minorHAnsi" w:hAnsiTheme="minorHAnsi"/>
          <w:bCs/>
          <w:snapToGrid w:val="0"/>
          <w:lang w:val="en-GB"/>
        </w:rPr>
      </w:pPr>
      <w:r>
        <w:rPr>
          <w:rFonts w:asciiTheme="minorHAnsi" w:hAnsiTheme="minorHAnsi"/>
          <w:bCs/>
          <w:snapToGrid w:val="0"/>
          <w:lang w:val="en-GB"/>
        </w:rPr>
        <w:t>A revised</w:t>
      </w:r>
      <w:r w:rsidR="005D05C2">
        <w:rPr>
          <w:rFonts w:asciiTheme="minorHAnsi" w:hAnsiTheme="minorHAnsi"/>
          <w:bCs/>
          <w:snapToGrid w:val="0"/>
          <w:lang w:val="en-GB"/>
        </w:rPr>
        <w:t xml:space="preserve"> initial and continuing</w:t>
      </w:r>
      <w:r>
        <w:rPr>
          <w:rFonts w:asciiTheme="minorHAnsi" w:hAnsiTheme="minorHAnsi"/>
          <w:bCs/>
          <w:snapToGrid w:val="0"/>
          <w:lang w:val="en-GB"/>
        </w:rPr>
        <w:t xml:space="preserve"> restriction criteria appropriate for the SMS population; </w:t>
      </w:r>
    </w:p>
    <w:p w:rsidR="00C10CC4" w:rsidRDefault="00464919" w:rsidP="00C10CC4">
      <w:pPr>
        <w:pStyle w:val="ListParagraph"/>
        <w:widowControl w:val="0"/>
        <w:numPr>
          <w:ilvl w:val="0"/>
          <w:numId w:val="44"/>
        </w:numPr>
        <w:spacing w:after="120"/>
        <w:rPr>
          <w:rFonts w:asciiTheme="minorHAnsi" w:hAnsiTheme="minorHAnsi"/>
          <w:bCs/>
          <w:snapToGrid w:val="0"/>
          <w:lang w:val="en-GB"/>
        </w:rPr>
      </w:pPr>
      <w:r>
        <w:rPr>
          <w:rFonts w:asciiTheme="minorHAnsi" w:hAnsiTheme="minorHAnsi"/>
          <w:bCs/>
          <w:snapToGrid w:val="0"/>
          <w:lang w:val="en-GB"/>
        </w:rPr>
        <w:t>A revised estimate of the number of SMS patients likely to be treated</w:t>
      </w:r>
      <w:r w:rsidR="00846337">
        <w:rPr>
          <w:rFonts w:asciiTheme="minorHAnsi" w:hAnsiTheme="minorHAnsi"/>
          <w:bCs/>
          <w:snapToGrid w:val="0"/>
          <w:lang w:val="en-GB"/>
        </w:rPr>
        <w:t xml:space="preserve"> and revised financial estimates</w:t>
      </w:r>
      <w:r w:rsidR="00A5261C">
        <w:rPr>
          <w:rFonts w:asciiTheme="minorHAnsi" w:hAnsiTheme="minorHAnsi"/>
          <w:bCs/>
          <w:snapToGrid w:val="0"/>
          <w:lang w:val="en-GB"/>
        </w:rPr>
        <w:t xml:space="preserve"> based on (i) </w:t>
      </w:r>
      <w:r w:rsidR="005D05C2">
        <w:rPr>
          <w:rFonts w:asciiTheme="minorHAnsi" w:hAnsiTheme="minorHAnsi"/>
          <w:bCs/>
          <w:snapToGrid w:val="0"/>
          <w:lang w:val="en-GB"/>
        </w:rPr>
        <w:t xml:space="preserve">a </w:t>
      </w:r>
      <w:r w:rsidR="00A5261C">
        <w:rPr>
          <w:rFonts w:asciiTheme="minorHAnsi" w:hAnsiTheme="minorHAnsi"/>
          <w:bCs/>
          <w:snapToGrid w:val="0"/>
          <w:lang w:val="en-GB"/>
        </w:rPr>
        <w:t xml:space="preserve">rate of insomnia </w:t>
      </w:r>
      <w:r w:rsidR="005D05C2">
        <w:rPr>
          <w:rFonts w:asciiTheme="minorHAnsi" w:hAnsiTheme="minorHAnsi"/>
          <w:bCs/>
          <w:snapToGrid w:val="0"/>
          <w:lang w:val="en-GB"/>
        </w:rPr>
        <w:t xml:space="preserve">specific to the SMS population </w:t>
      </w:r>
      <w:r w:rsidR="00A5261C">
        <w:rPr>
          <w:rFonts w:asciiTheme="minorHAnsi" w:hAnsiTheme="minorHAnsi"/>
          <w:bCs/>
          <w:snapToGrid w:val="0"/>
          <w:lang w:val="en-GB"/>
        </w:rPr>
        <w:t xml:space="preserve">and (ii) </w:t>
      </w:r>
      <w:r w:rsidR="00E62AD1">
        <w:rPr>
          <w:rFonts w:asciiTheme="minorHAnsi" w:hAnsiTheme="minorHAnsi"/>
          <w:bCs/>
          <w:snapToGrid w:val="0"/>
          <w:lang w:val="en-GB"/>
        </w:rPr>
        <w:t xml:space="preserve">an </w:t>
      </w:r>
      <w:r w:rsidR="00A5261C">
        <w:rPr>
          <w:rFonts w:asciiTheme="minorHAnsi" w:hAnsiTheme="minorHAnsi"/>
          <w:bCs/>
          <w:snapToGrid w:val="0"/>
          <w:lang w:val="en-GB"/>
        </w:rPr>
        <w:t>uptake</w:t>
      </w:r>
      <w:r w:rsidR="00E62AD1">
        <w:rPr>
          <w:rFonts w:asciiTheme="minorHAnsi" w:hAnsiTheme="minorHAnsi"/>
          <w:bCs/>
          <w:snapToGrid w:val="0"/>
          <w:lang w:val="en-GB"/>
        </w:rPr>
        <w:t xml:space="preserve"> rate specific to the SMS population</w:t>
      </w:r>
      <w:r>
        <w:rPr>
          <w:rFonts w:asciiTheme="minorHAnsi" w:hAnsiTheme="minorHAnsi"/>
          <w:bCs/>
          <w:snapToGrid w:val="0"/>
          <w:lang w:val="en-GB"/>
        </w:rPr>
        <w:t xml:space="preserve">; </w:t>
      </w:r>
      <w:r w:rsidR="00C10CC4">
        <w:rPr>
          <w:rFonts w:asciiTheme="minorHAnsi" w:hAnsiTheme="minorHAnsi"/>
          <w:bCs/>
          <w:snapToGrid w:val="0"/>
          <w:lang w:val="en-GB"/>
        </w:rPr>
        <w:t>and</w:t>
      </w:r>
    </w:p>
    <w:p w:rsidR="00C10CC4" w:rsidRDefault="00C10CC4" w:rsidP="00C10CC4">
      <w:pPr>
        <w:pStyle w:val="ListParagraph"/>
        <w:widowControl w:val="0"/>
        <w:numPr>
          <w:ilvl w:val="0"/>
          <w:numId w:val="44"/>
        </w:numPr>
        <w:spacing w:after="120"/>
        <w:rPr>
          <w:rFonts w:asciiTheme="minorHAnsi" w:hAnsiTheme="minorHAnsi"/>
          <w:bCs/>
          <w:snapToGrid w:val="0"/>
          <w:lang w:val="en-GB"/>
        </w:rPr>
      </w:pPr>
      <w:r>
        <w:rPr>
          <w:rFonts w:asciiTheme="minorHAnsi" w:hAnsiTheme="minorHAnsi"/>
          <w:bCs/>
          <w:snapToGrid w:val="0"/>
          <w:lang w:val="en-GB"/>
        </w:rPr>
        <w:t xml:space="preserve">A requested listing </w:t>
      </w:r>
      <w:r w:rsidR="000948CB">
        <w:rPr>
          <w:rFonts w:asciiTheme="minorHAnsi" w:hAnsiTheme="minorHAnsi"/>
          <w:bCs/>
          <w:snapToGrid w:val="0"/>
          <w:lang w:val="en-GB"/>
        </w:rPr>
        <w:t xml:space="preserve">based on a price consistent with </w:t>
      </w:r>
      <w:r w:rsidR="00AB7CE6">
        <w:rPr>
          <w:rFonts w:asciiTheme="minorHAnsi" w:hAnsiTheme="minorHAnsi"/>
          <w:bCs/>
          <w:snapToGrid w:val="0"/>
          <w:lang w:val="en-GB"/>
        </w:rPr>
        <w:t>extemporaneously compounded preparation</w:t>
      </w:r>
      <w:r w:rsidR="00464919">
        <w:rPr>
          <w:rFonts w:asciiTheme="minorHAnsi" w:hAnsiTheme="minorHAnsi"/>
          <w:bCs/>
          <w:snapToGrid w:val="0"/>
          <w:lang w:val="en-GB"/>
        </w:rPr>
        <w:t>s</w:t>
      </w:r>
      <w:r w:rsidR="00AB7CE6">
        <w:rPr>
          <w:rFonts w:asciiTheme="minorHAnsi" w:hAnsiTheme="minorHAnsi"/>
          <w:bCs/>
          <w:snapToGrid w:val="0"/>
          <w:lang w:val="en-GB"/>
        </w:rPr>
        <w:t xml:space="preserve"> of melatonin.</w:t>
      </w:r>
    </w:p>
    <w:p w:rsidR="00A83CB2" w:rsidRPr="00BC0A16" w:rsidRDefault="009C1CCB" w:rsidP="00BC0A16">
      <w:pPr>
        <w:widowControl w:val="0"/>
        <w:spacing w:after="120"/>
        <w:ind w:left="720"/>
        <w:rPr>
          <w:rFonts w:asciiTheme="minorHAnsi" w:hAnsiTheme="minorHAnsi"/>
          <w:bCs/>
          <w:snapToGrid w:val="0"/>
          <w:lang w:val="en-GB"/>
        </w:rPr>
      </w:pPr>
      <w:r>
        <w:rPr>
          <w:rFonts w:asciiTheme="minorHAnsi" w:hAnsiTheme="minorHAnsi"/>
          <w:bCs/>
          <w:snapToGrid w:val="0"/>
          <w:lang w:val="en-GB"/>
        </w:rPr>
        <w:t>R</w:t>
      </w:r>
      <w:r w:rsidR="00AB7CE6" w:rsidRPr="00AB7CE6">
        <w:rPr>
          <w:rFonts w:asciiTheme="minorHAnsi" w:hAnsiTheme="minorHAnsi"/>
          <w:bCs/>
          <w:snapToGrid w:val="0"/>
          <w:lang w:val="en-GB"/>
        </w:rPr>
        <w:t xml:space="preserve">esubmission </w:t>
      </w:r>
      <w:r>
        <w:rPr>
          <w:rFonts w:asciiTheme="minorHAnsi" w:hAnsiTheme="minorHAnsi"/>
          <w:bCs/>
          <w:snapToGrid w:val="0"/>
          <w:lang w:val="en-GB"/>
        </w:rPr>
        <w:t xml:space="preserve">via the early re-entry pathway </w:t>
      </w:r>
      <w:r w:rsidR="00AB7CE6" w:rsidRPr="00AB7CE6">
        <w:rPr>
          <w:rFonts w:asciiTheme="minorHAnsi" w:hAnsiTheme="minorHAnsi"/>
          <w:bCs/>
          <w:snapToGrid w:val="0"/>
          <w:lang w:val="en-GB"/>
        </w:rPr>
        <w:t>must be lodged by week 7 of the current PBAC cycle or at the standard due date for PBAC submissions for the next cycle. If any of these terms are not acceptable to the sponsor, a standard re-entry pathway is available.</w:t>
      </w:r>
      <w:r w:rsidR="00AB7CE6">
        <w:rPr>
          <w:rFonts w:asciiTheme="minorHAnsi" w:hAnsiTheme="minorHAnsi"/>
          <w:bCs/>
          <w:snapToGrid w:val="0"/>
          <w:lang w:val="en-GB"/>
        </w:rPr>
        <w:t xml:space="preserve"> The PBAC advised a standard re-entry pathway was applicable to the ASD population and should address the issues identified in </w:t>
      </w:r>
      <w:r w:rsidR="00B97CE8">
        <w:rPr>
          <w:rFonts w:asciiTheme="minorHAnsi" w:hAnsiTheme="minorHAnsi"/>
          <w:bCs/>
          <w:snapToGrid w:val="0"/>
          <w:lang w:val="en-GB"/>
        </w:rPr>
        <w:t xml:space="preserve">this </w:t>
      </w:r>
      <w:r w:rsidR="00755DB2">
        <w:rPr>
          <w:rFonts w:asciiTheme="minorHAnsi" w:hAnsiTheme="minorHAnsi"/>
          <w:bCs/>
          <w:snapToGrid w:val="0"/>
          <w:lang w:val="en-GB"/>
        </w:rPr>
        <w:t>P</w:t>
      </w:r>
      <w:r w:rsidR="00B97CE8">
        <w:rPr>
          <w:rFonts w:asciiTheme="minorHAnsi" w:hAnsiTheme="minorHAnsi"/>
          <w:bCs/>
          <w:snapToGrid w:val="0"/>
          <w:lang w:val="en-GB"/>
        </w:rPr>
        <w:t xml:space="preserve">ublic </w:t>
      </w:r>
      <w:r w:rsidR="00755DB2">
        <w:rPr>
          <w:rFonts w:asciiTheme="minorHAnsi" w:hAnsiTheme="minorHAnsi"/>
          <w:bCs/>
          <w:snapToGrid w:val="0"/>
          <w:lang w:val="en-GB"/>
        </w:rPr>
        <w:t>S</w:t>
      </w:r>
      <w:r w:rsidR="00B97CE8">
        <w:rPr>
          <w:rFonts w:asciiTheme="minorHAnsi" w:hAnsiTheme="minorHAnsi"/>
          <w:bCs/>
          <w:snapToGrid w:val="0"/>
          <w:lang w:val="en-GB"/>
        </w:rPr>
        <w:t xml:space="preserve">ummary </w:t>
      </w:r>
      <w:r w:rsidR="00755DB2">
        <w:rPr>
          <w:rFonts w:asciiTheme="minorHAnsi" w:hAnsiTheme="minorHAnsi"/>
          <w:bCs/>
          <w:snapToGrid w:val="0"/>
          <w:lang w:val="en-GB"/>
        </w:rPr>
        <w:t>D</w:t>
      </w:r>
      <w:r w:rsidR="00B97CE8">
        <w:rPr>
          <w:rFonts w:asciiTheme="minorHAnsi" w:hAnsiTheme="minorHAnsi"/>
          <w:bCs/>
          <w:snapToGrid w:val="0"/>
          <w:lang w:val="en-GB"/>
        </w:rPr>
        <w:t>ocument (PSD)</w:t>
      </w:r>
      <w:r w:rsidR="00AB7CE6">
        <w:rPr>
          <w:rFonts w:asciiTheme="minorHAnsi" w:hAnsiTheme="minorHAnsi"/>
          <w:bCs/>
          <w:snapToGrid w:val="0"/>
          <w:lang w:val="en-GB"/>
        </w:rPr>
        <w:t>.</w:t>
      </w:r>
    </w:p>
    <w:p w:rsidR="00BC0A16" w:rsidRPr="00BC0A16" w:rsidRDefault="00A83CB2" w:rsidP="00BC0A16">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PBAC note</w:t>
      </w:r>
      <w:r w:rsidR="00BC0A16">
        <w:rPr>
          <w:rFonts w:asciiTheme="minorHAnsi" w:hAnsiTheme="minorHAnsi"/>
          <w:bCs/>
          <w:snapToGrid w:val="0"/>
          <w:lang w:val="en-GB"/>
        </w:rPr>
        <w:t>d that this submission is</w:t>
      </w:r>
      <w:r w:rsidRPr="00525B39">
        <w:rPr>
          <w:rFonts w:asciiTheme="minorHAnsi" w:hAnsiTheme="minorHAnsi"/>
          <w:bCs/>
          <w:snapToGrid w:val="0"/>
          <w:lang w:val="en-GB"/>
        </w:rPr>
        <w:t xml:space="preserve"> eligible for an Independent Review. </w:t>
      </w:r>
      <w:r w:rsidR="00BC0A16">
        <w:rPr>
          <w:rFonts w:asciiTheme="minorHAnsi" w:hAnsiTheme="minorHAnsi"/>
          <w:bCs/>
          <w:snapToGrid w:val="0"/>
          <w:lang w:val="en-GB"/>
        </w:rPr>
        <w:br/>
      </w:r>
    </w:p>
    <w:p w:rsidR="00A83CB2" w:rsidRPr="0021565C" w:rsidRDefault="00A83CB2" w:rsidP="0021565C">
      <w:pPr>
        <w:rPr>
          <w:snapToGrid w:val="0"/>
          <w:lang w:val="en-GB"/>
        </w:rPr>
      </w:pPr>
      <w:r w:rsidRPr="0021565C">
        <w:rPr>
          <w:b/>
          <w:snapToGrid w:val="0"/>
          <w:lang w:val="en-GB"/>
        </w:rPr>
        <w:t>Outcome:</w:t>
      </w:r>
      <w:r w:rsidR="0080118D" w:rsidRPr="0021565C">
        <w:rPr>
          <w:snapToGrid w:val="0"/>
          <w:lang w:val="en-GB"/>
        </w:rPr>
        <w:t xml:space="preserve"> </w:t>
      </w:r>
      <w:r w:rsidR="0080118D" w:rsidRPr="0021565C">
        <w:rPr>
          <w:snapToGrid w:val="0"/>
          <w:lang w:val="en-GB"/>
        </w:rPr>
        <w:br/>
      </w:r>
      <w:r w:rsidR="0080118D">
        <w:rPr>
          <w:snapToGrid w:val="0"/>
          <w:lang w:val="en-GB"/>
        </w:rPr>
        <w:t>Rejected</w:t>
      </w:r>
    </w:p>
    <w:p w:rsidR="00A83CB2" w:rsidRPr="00525B39" w:rsidRDefault="00A83CB2" w:rsidP="00A83CB2">
      <w:pPr>
        <w:widowControl w:val="0"/>
        <w:rPr>
          <w:rFonts w:asciiTheme="minorHAnsi" w:hAnsiTheme="minorHAnsi"/>
          <w:b/>
          <w:bCs/>
          <w:snapToGrid w:val="0"/>
        </w:rPr>
      </w:pPr>
    </w:p>
    <w:p w:rsidR="00D61A4E" w:rsidRPr="00D61A4E" w:rsidRDefault="00D61A4E" w:rsidP="00D61A4E">
      <w:pPr>
        <w:pStyle w:val="2-SectionHeading"/>
        <w:numPr>
          <w:ilvl w:val="0"/>
          <w:numId w:val="1"/>
        </w:numPr>
      </w:pPr>
      <w:r w:rsidRPr="00C07617">
        <w:t>Context for Decision</w:t>
      </w:r>
    </w:p>
    <w:p w:rsidR="00D61A4E" w:rsidRPr="007129F2" w:rsidRDefault="00D61A4E" w:rsidP="009D2FA1">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61A4E" w:rsidRPr="00D61A4E" w:rsidRDefault="00D61A4E" w:rsidP="00D61A4E">
      <w:pPr>
        <w:pStyle w:val="2-SectionHeading"/>
        <w:numPr>
          <w:ilvl w:val="0"/>
          <w:numId w:val="1"/>
        </w:numPr>
      </w:pPr>
      <w:r>
        <w:t>Sponsor’s Comment</w:t>
      </w:r>
    </w:p>
    <w:p w:rsidR="00D61A4E" w:rsidRPr="001179AC" w:rsidRDefault="009C060E" w:rsidP="009D2FA1">
      <w:pPr>
        <w:spacing w:after="120"/>
        <w:ind w:left="720"/>
        <w:rPr>
          <w:rFonts w:asciiTheme="minorHAnsi" w:hAnsiTheme="minorHAnsi"/>
          <w:bCs/>
        </w:rPr>
      </w:pPr>
      <w:r w:rsidRPr="009C060E">
        <w:rPr>
          <w:rFonts w:asciiTheme="minorHAnsi" w:hAnsiTheme="minorHAnsi"/>
          <w:bCs/>
          <w:lang w:val="en-GB"/>
        </w:rPr>
        <w:t xml:space="preserve">Aspen is pleased that the PBAC has recognised a place for Slenyto in the SMS </w:t>
      </w:r>
      <w:r w:rsidR="009D2FA1">
        <w:rPr>
          <w:rFonts w:asciiTheme="minorHAnsi" w:hAnsiTheme="minorHAnsi"/>
          <w:bCs/>
          <w:lang w:val="en-GB"/>
        </w:rPr>
        <w:t xml:space="preserve">population. </w:t>
      </w:r>
      <w:r w:rsidRPr="009C060E">
        <w:rPr>
          <w:rFonts w:asciiTheme="minorHAnsi" w:hAnsiTheme="minorHAnsi"/>
          <w:bCs/>
          <w:lang w:val="en-GB"/>
        </w:rPr>
        <w:t>Aspen is looking forward to addressing the outstanding issues for the early re-entry resubmission pathway for this patient group, and working with the PBAC in the future to potentially expand the listing to include ASD patients.</w:t>
      </w:r>
    </w:p>
    <w:p w:rsidR="00E55915" w:rsidRPr="00F86759" w:rsidRDefault="00D17176" w:rsidP="00232E6F">
      <w:pPr>
        <w:pStyle w:val="ExecSumBodyText"/>
        <w:numPr>
          <w:ilvl w:val="0"/>
          <w:numId w:val="0"/>
        </w:numPr>
        <w:ind w:hanging="11"/>
        <w:rPr>
          <w:color w:val="3366FF"/>
        </w:rPr>
      </w:pPr>
      <w:r>
        <w:rPr>
          <w:bCs/>
          <w:lang w:val="en-GB"/>
        </w:rPr>
        <w:t xml:space="preserve"> </w:t>
      </w:r>
    </w:p>
    <w:sectPr w:rsidR="00E55915" w:rsidRPr="00F86759"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AE" w16cex:dateUtc="2021-04-15T02:53:00Z"/>
  <w16cex:commentExtensible w16cex:durableId="2422B03E" w16cex:dateUtc="2021-04-15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ED42D" w16cid:durableId="24214C84"/>
  <w16cid:commentId w16cid:paraId="3E033016" w16cid:durableId="24214C85"/>
  <w16cid:commentId w16cid:paraId="5D6D0E9D" w16cid:durableId="24214C86"/>
  <w16cid:commentId w16cid:paraId="18BB1A56" w16cid:durableId="24214C87"/>
  <w16cid:commentId w16cid:paraId="16EB2AC0" w16cid:durableId="2422AEAE"/>
  <w16cid:commentId w16cid:paraId="16EE6BEB" w16cid:durableId="24214C88"/>
  <w16cid:commentId w16cid:paraId="64164AB4" w16cid:durableId="2422B0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69" w:rsidRDefault="003B2269" w:rsidP="00124A51">
      <w:r>
        <w:separator/>
      </w:r>
    </w:p>
    <w:p w:rsidR="003B2269" w:rsidRDefault="003B2269"/>
  </w:endnote>
  <w:endnote w:type="continuationSeparator" w:id="0">
    <w:p w:rsidR="003B2269" w:rsidRDefault="003B2269" w:rsidP="00124A51">
      <w:r>
        <w:continuationSeparator/>
      </w:r>
    </w:p>
    <w:p w:rsidR="003B2269" w:rsidRDefault="003B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Default="003B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Default="003B2269" w:rsidP="0024245C">
    <w:pPr>
      <w:ind w:right="360"/>
      <w:jc w:val="center"/>
    </w:pPr>
  </w:p>
  <w:p w:rsidR="003B2269" w:rsidRPr="00F86759" w:rsidRDefault="003B2269" w:rsidP="00F86759">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450ECC">
      <w:rPr>
        <w:b/>
        <w:noProof/>
      </w:rPr>
      <w:t>30</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Default="003B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69" w:rsidRDefault="003B2269" w:rsidP="00124A51">
      <w:r>
        <w:separator/>
      </w:r>
    </w:p>
    <w:p w:rsidR="003B2269" w:rsidRDefault="003B2269"/>
  </w:footnote>
  <w:footnote w:type="continuationSeparator" w:id="0">
    <w:p w:rsidR="003B2269" w:rsidRDefault="003B2269" w:rsidP="00124A51">
      <w:r>
        <w:continuationSeparator/>
      </w:r>
    </w:p>
    <w:p w:rsidR="003B2269" w:rsidRDefault="003B2269"/>
  </w:footnote>
  <w:footnote w:id="1">
    <w:p w:rsidR="003B2269" w:rsidRPr="005E7CC7" w:rsidRDefault="003B2269" w:rsidP="00511B56">
      <w:pPr>
        <w:pStyle w:val="FootnoteText"/>
      </w:pPr>
      <w:r>
        <w:rPr>
          <w:rStyle w:val="FootnoteReference"/>
        </w:rPr>
        <w:footnoteRef/>
      </w:r>
      <w:r>
        <w:t xml:space="preserve"> Buckly, A.W., Hirtz, D., Oskoui, M., Armstrong, M. J </w:t>
      </w:r>
      <w:r>
        <w:rPr>
          <w:i/>
        </w:rPr>
        <w:t>et al</w:t>
      </w:r>
      <w:r>
        <w:t xml:space="preserve"> (2020). </w:t>
      </w:r>
      <w:r w:rsidRPr="005E7CC7">
        <w:t>Practice guideline: Treatment for insomnia and disrupted sleep behavior in children and adolescents with autism spectrum disorder: Report of the Guideline Development, Dissemination, and Implementation Subcommittee of the American Academy of Neurology</w:t>
      </w:r>
    </w:p>
    <w:p w:rsidR="003B2269" w:rsidRDefault="003B2269" w:rsidP="00511B56">
      <w:pPr>
        <w:pStyle w:val="FootnoteText"/>
      </w:pPr>
      <w:r>
        <w:t>Neurology Mar 2020, 94 (9) 392-404; DOI: 10.1212/WNL.0000000000009033</w:t>
      </w:r>
    </w:p>
  </w:footnote>
  <w:footnote w:id="2">
    <w:p w:rsidR="003B2269" w:rsidRDefault="003B2269" w:rsidP="00C217EC">
      <w:pPr>
        <w:pStyle w:val="FootnoteText"/>
        <w:jc w:val="left"/>
      </w:pPr>
      <w:r>
        <w:rPr>
          <w:rStyle w:val="FootnoteReference"/>
        </w:rPr>
        <w:footnoteRef/>
      </w:r>
      <w:r>
        <w:t xml:space="preserve"> Scottish Medicines Consortium (SMC), 2020. Assessment document – melatonin 1 mg and 5 mg prolonged-release tablets (Slenyto), Flynn Pharma Ltd. Available online at </w:t>
      </w:r>
      <w:hyperlink r:id="rId1" w:history="1">
        <w:r w:rsidRPr="00380BB3">
          <w:rPr>
            <w:rStyle w:val="Hyperlink"/>
          </w:rPr>
          <w:t>https://www.scottishmedicines.org.uk/medicines-advice/melatonin-slenyto-resubmission-smc2306/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Default="003B2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Pr="00056684" w:rsidRDefault="003B2269" w:rsidP="00F86759">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3B2269" w:rsidRDefault="003B22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69" w:rsidRDefault="003B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AB5431"/>
    <w:multiLevelType w:val="hybridMultilevel"/>
    <w:tmpl w:val="4B04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5860B470"/>
    <w:lvl w:ilvl="0" w:tplc="B61CEB96">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4B1D34"/>
    <w:multiLevelType w:val="hybridMultilevel"/>
    <w:tmpl w:val="6B74C518"/>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9" w15:restartNumberingAfterBreak="0">
    <w:nsid w:val="247E26C3"/>
    <w:multiLevelType w:val="multilevel"/>
    <w:tmpl w:val="97FE53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C43DA"/>
    <w:multiLevelType w:val="hybridMultilevel"/>
    <w:tmpl w:val="87A4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143E2A"/>
    <w:multiLevelType w:val="hybridMultilevel"/>
    <w:tmpl w:val="39D861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B1F465E"/>
    <w:multiLevelType w:val="hybridMultilevel"/>
    <w:tmpl w:val="E7B48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266CD9"/>
    <w:multiLevelType w:val="hybridMultilevel"/>
    <w:tmpl w:val="B04AB666"/>
    <w:lvl w:ilvl="0" w:tplc="A106ED9A">
      <w:start w:val="1"/>
      <w:numFmt w:val="bullet"/>
      <w:lvlText w:val=""/>
      <w:lvlJc w:val="left"/>
      <w:pPr>
        <w:ind w:left="1134" w:hanging="39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D1B68"/>
    <w:multiLevelType w:val="hybridMultilevel"/>
    <w:tmpl w:val="4E10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6F349162"/>
    <w:lvl w:ilvl="0" w:tplc="C324F4FC">
      <w:start w:val="1"/>
      <w:numFmt w:val="bullet"/>
      <w:pStyle w:val="Bulletpoin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A4606"/>
    <w:multiLevelType w:val="hybridMultilevel"/>
    <w:tmpl w:val="53DC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64E0B"/>
    <w:multiLevelType w:val="hybridMultilevel"/>
    <w:tmpl w:val="1618F3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76036A"/>
    <w:multiLevelType w:val="hybridMultilevel"/>
    <w:tmpl w:val="6DFCC60E"/>
    <w:lvl w:ilvl="0" w:tplc="AB182E5C">
      <w:start w:val="1"/>
      <w:numFmt w:val="bullet"/>
      <w:lvlText w:val="•"/>
      <w:lvlJc w:val="left"/>
      <w:pPr>
        <w:tabs>
          <w:tab w:val="num" w:pos="720"/>
        </w:tabs>
        <w:ind w:left="720" w:hanging="360"/>
      </w:pPr>
      <w:rPr>
        <w:rFonts w:ascii="Arial" w:hAnsi="Arial" w:hint="default"/>
      </w:rPr>
    </w:lvl>
    <w:lvl w:ilvl="1" w:tplc="C77690C8">
      <w:start w:val="1"/>
      <w:numFmt w:val="bullet"/>
      <w:lvlText w:val="•"/>
      <w:lvlJc w:val="left"/>
      <w:pPr>
        <w:tabs>
          <w:tab w:val="num" w:pos="1440"/>
        </w:tabs>
        <w:ind w:left="1440" w:hanging="360"/>
      </w:pPr>
      <w:rPr>
        <w:rFonts w:ascii="Arial" w:hAnsi="Arial" w:hint="default"/>
      </w:rPr>
    </w:lvl>
    <w:lvl w:ilvl="2" w:tplc="B2840164" w:tentative="1">
      <w:start w:val="1"/>
      <w:numFmt w:val="bullet"/>
      <w:lvlText w:val="•"/>
      <w:lvlJc w:val="left"/>
      <w:pPr>
        <w:tabs>
          <w:tab w:val="num" w:pos="2160"/>
        </w:tabs>
        <w:ind w:left="2160" w:hanging="360"/>
      </w:pPr>
      <w:rPr>
        <w:rFonts w:ascii="Arial" w:hAnsi="Arial" w:hint="default"/>
      </w:rPr>
    </w:lvl>
    <w:lvl w:ilvl="3" w:tplc="C9AA2B7C" w:tentative="1">
      <w:start w:val="1"/>
      <w:numFmt w:val="bullet"/>
      <w:lvlText w:val="•"/>
      <w:lvlJc w:val="left"/>
      <w:pPr>
        <w:tabs>
          <w:tab w:val="num" w:pos="2880"/>
        </w:tabs>
        <w:ind w:left="2880" w:hanging="360"/>
      </w:pPr>
      <w:rPr>
        <w:rFonts w:ascii="Arial" w:hAnsi="Arial" w:hint="default"/>
      </w:rPr>
    </w:lvl>
    <w:lvl w:ilvl="4" w:tplc="B6E03F22" w:tentative="1">
      <w:start w:val="1"/>
      <w:numFmt w:val="bullet"/>
      <w:lvlText w:val="•"/>
      <w:lvlJc w:val="left"/>
      <w:pPr>
        <w:tabs>
          <w:tab w:val="num" w:pos="3600"/>
        </w:tabs>
        <w:ind w:left="3600" w:hanging="360"/>
      </w:pPr>
      <w:rPr>
        <w:rFonts w:ascii="Arial" w:hAnsi="Arial" w:hint="default"/>
      </w:rPr>
    </w:lvl>
    <w:lvl w:ilvl="5" w:tplc="725A4396" w:tentative="1">
      <w:start w:val="1"/>
      <w:numFmt w:val="bullet"/>
      <w:lvlText w:val="•"/>
      <w:lvlJc w:val="left"/>
      <w:pPr>
        <w:tabs>
          <w:tab w:val="num" w:pos="4320"/>
        </w:tabs>
        <w:ind w:left="4320" w:hanging="360"/>
      </w:pPr>
      <w:rPr>
        <w:rFonts w:ascii="Arial" w:hAnsi="Arial" w:hint="default"/>
      </w:rPr>
    </w:lvl>
    <w:lvl w:ilvl="6" w:tplc="4C6A0AC2" w:tentative="1">
      <w:start w:val="1"/>
      <w:numFmt w:val="bullet"/>
      <w:lvlText w:val="•"/>
      <w:lvlJc w:val="left"/>
      <w:pPr>
        <w:tabs>
          <w:tab w:val="num" w:pos="5040"/>
        </w:tabs>
        <w:ind w:left="5040" w:hanging="360"/>
      </w:pPr>
      <w:rPr>
        <w:rFonts w:ascii="Arial" w:hAnsi="Arial" w:hint="default"/>
      </w:rPr>
    </w:lvl>
    <w:lvl w:ilvl="7" w:tplc="F4B67D00" w:tentative="1">
      <w:start w:val="1"/>
      <w:numFmt w:val="bullet"/>
      <w:lvlText w:val="•"/>
      <w:lvlJc w:val="left"/>
      <w:pPr>
        <w:tabs>
          <w:tab w:val="num" w:pos="5760"/>
        </w:tabs>
        <w:ind w:left="5760" w:hanging="360"/>
      </w:pPr>
      <w:rPr>
        <w:rFonts w:ascii="Arial" w:hAnsi="Arial" w:hint="default"/>
      </w:rPr>
    </w:lvl>
    <w:lvl w:ilvl="8" w:tplc="0B40E9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01666E"/>
    <w:multiLevelType w:val="hybridMultilevel"/>
    <w:tmpl w:val="C2C45C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25315"/>
    <w:multiLevelType w:val="hybridMultilevel"/>
    <w:tmpl w:val="1142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724BA"/>
    <w:multiLevelType w:val="hybridMultilevel"/>
    <w:tmpl w:val="D9CA9B66"/>
    <w:lvl w:ilvl="0" w:tplc="775200BE">
      <w:start w:val="1"/>
      <w:numFmt w:val="bullet"/>
      <w:pStyle w:val="BulletLas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C40AA"/>
    <w:multiLevelType w:val="hybridMultilevel"/>
    <w:tmpl w:val="15C8EB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9F0F2C"/>
    <w:multiLevelType w:val="hybridMultilevel"/>
    <w:tmpl w:val="62EEB4E0"/>
    <w:lvl w:ilvl="0" w:tplc="84C03E86">
      <w:start w:val="1"/>
      <w:numFmt w:val="bullet"/>
      <w:lvlText w:val="•"/>
      <w:lvlJc w:val="left"/>
      <w:pPr>
        <w:tabs>
          <w:tab w:val="num" w:pos="720"/>
        </w:tabs>
        <w:ind w:left="720" w:hanging="360"/>
      </w:pPr>
      <w:rPr>
        <w:rFonts w:ascii="Arial" w:hAnsi="Arial" w:hint="default"/>
      </w:rPr>
    </w:lvl>
    <w:lvl w:ilvl="1" w:tplc="0BD2D4A8">
      <w:start w:val="62"/>
      <w:numFmt w:val="bullet"/>
      <w:lvlText w:val="•"/>
      <w:lvlJc w:val="left"/>
      <w:pPr>
        <w:tabs>
          <w:tab w:val="num" w:pos="1440"/>
        </w:tabs>
        <w:ind w:left="1440" w:hanging="360"/>
      </w:pPr>
      <w:rPr>
        <w:rFonts w:ascii="Arial" w:hAnsi="Arial" w:hint="default"/>
      </w:rPr>
    </w:lvl>
    <w:lvl w:ilvl="2" w:tplc="B4743764" w:tentative="1">
      <w:start w:val="1"/>
      <w:numFmt w:val="bullet"/>
      <w:lvlText w:val="•"/>
      <w:lvlJc w:val="left"/>
      <w:pPr>
        <w:tabs>
          <w:tab w:val="num" w:pos="2160"/>
        </w:tabs>
        <w:ind w:left="2160" w:hanging="360"/>
      </w:pPr>
      <w:rPr>
        <w:rFonts w:ascii="Arial" w:hAnsi="Arial" w:hint="default"/>
      </w:rPr>
    </w:lvl>
    <w:lvl w:ilvl="3" w:tplc="52609E22" w:tentative="1">
      <w:start w:val="1"/>
      <w:numFmt w:val="bullet"/>
      <w:lvlText w:val="•"/>
      <w:lvlJc w:val="left"/>
      <w:pPr>
        <w:tabs>
          <w:tab w:val="num" w:pos="2880"/>
        </w:tabs>
        <w:ind w:left="2880" w:hanging="360"/>
      </w:pPr>
      <w:rPr>
        <w:rFonts w:ascii="Arial" w:hAnsi="Arial" w:hint="default"/>
      </w:rPr>
    </w:lvl>
    <w:lvl w:ilvl="4" w:tplc="0E9CDAA8" w:tentative="1">
      <w:start w:val="1"/>
      <w:numFmt w:val="bullet"/>
      <w:lvlText w:val="•"/>
      <w:lvlJc w:val="left"/>
      <w:pPr>
        <w:tabs>
          <w:tab w:val="num" w:pos="3600"/>
        </w:tabs>
        <w:ind w:left="3600" w:hanging="360"/>
      </w:pPr>
      <w:rPr>
        <w:rFonts w:ascii="Arial" w:hAnsi="Arial" w:hint="default"/>
      </w:rPr>
    </w:lvl>
    <w:lvl w:ilvl="5" w:tplc="05E2FCAC" w:tentative="1">
      <w:start w:val="1"/>
      <w:numFmt w:val="bullet"/>
      <w:lvlText w:val="•"/>
      <w:lvlJc w:val="left"/>
      <w:pPr>
        <w:tabs>
          <w:tab w:val="num" w:pos="4320"/>
        </w:tabs>
        <w:ind w:left="4320" w:hanging="360"/>
      </w:pPr>
      <w:rPr>
        <w:rFonts w:ascii="Arial" w:hAnsi="Arial" w:hint="default"/>
      </w:rPr>
    </w:lvl>
    <w:lvl w:ilvl="6" w:tplc="E0802420" w:tentative="1">
      <w:start w:val="1"/>
      <w:numFmt w:val="bullet"/>
      <w:lvlText w:val="•"/>
      <w:lvlJc w:val="left"/>
      <w:pPr>
        <w:tabs>
          <w:tab w:val="num" w:pos="5040"/>
        </w:tabs>
        <w:ind w:left="5040" w:hanging="360"/>
      </w:pPr>
      <w:rPr>
        <w:rFonts w:ascii="Arial" w:hAnsi="Arial" w:hint="default"/>
      </w:rPr>
    </w:lvl>
    <w:lvl w:ilvl="7" w:tplc="6692627E" w:tentative="1">
      <w:start w:val="1"/>
      <w:numFmt w:val="bullet"/>
      <w:lvlText w:val="•"/>
      <w:lvlJc w:val="left"/>
      <w:pPr>
        <w:tabs>
          <w:tab w:val="num" w:pos="5760"/>
        </w:tabs>
        <w:ind w:left="5760" w:hanging="360"/>
      </w:pPr>
      <w:rPr>
        <w:rFonts w:ascii="Arial" w:hAnsi="Arial" w:hint="default"/>
      </w:rPr>
    </w:lvl>
    <w:lvl w:ilvl="8" w:tplc="F59E68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C7A6D"/>
    <w:multiLevelType w:val="hybridMultilevel"/>
    <w:tmpl w:val="14322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D42E7"/>
    <w:multiLevelType w:val="hybridMultilevel"/>
    <w:tmpl w:val="D2DE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FE5727"/>
    <w:multiLevelType w:val="hybridMultilevel"/>
    <w:tmpl w:val="CA2E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1"/>
  </w:num>
  <w:num w:numId="2">
    <w:abstractNumId w:val="17"/>
  </w:num>
  <w:num w:numId="3">
    <w:abstractNumId w:val="0"/>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22"/>
  </w:num>
  <w:num w:numId="9">
    <w:abstractNumId w:val="26"/>
  </w:num>
  <w:num w:numId="10">
    <w:abstractNumId w:val="3"/>
  </w:num>
  <w:num w:numId="11">
    <w:abstractNumId w:val="32"/>
  </w:num>
  <w:num w:numId="12">
    <w:abstractNumId w:val="16"/>
  </w:num>
  <w:num w:numId="13">
    <w:abstractNumId w:val="29"/>
  </w:num>
  <w:num w:numId="14">
    <w:abstractNumId w:val="18"/>
  </w:num>
  <w:num w:numId="15">
    <w:abstractNumId w:val="25"/>
  </w:num>
  <w:num w:numId="16">
    <w:abstractNumId w:val="30"/>
  </w:num>
  <w:num w:numId="17">
    <w:abstractNumId w:val="15"/>
  </w:num>
  <w:num w:numId="18">
    <w:abstractNumId w:val="31"/>
  </w:num>
  <w:num w:numId="19">
    <w:abstractNumId w:val="17"/>
  </w:num>
  <w:num w:numId="20">
    <w:abstractNumId w:val="31"/>
  </w:num>
  <w:num w:numId="21">
    <w:abstractNumId w:val="31"/>
  </w:num>
  <w:num w:numId="22">
    <w:abstractNumId w:val="10"/>
  </w:num>
  <w:num w:numId="23">
    <w:abstractNumId w:val="21"/>
  </w:num>
  <w:num w:numId="24">
    <w:abstractNumId w:val="17"/>
  </w:num>
  <w:num w:numId="25">
    <w:abstractNumId w:val="14"/>
  </w:num>
  <w:num w:numId="26">
    <w:abstractNumId w:val="17"/>
  </w:num>
  <w:num w:numId="27">
    <w:abstractNumId w:val="8"/>
  </w:num>
  <w:num w:numId="28">
    <w:abstractNumId w:val="6"/>
  </w:num>
  <w:num w:numId="29">
    <w:abstractNumId w:val="33"/>
  </w:num>
  <w:num w:numId="30">
    <w:abstractNumId w:val="31"/>
  </w:num>
  <w:num w:numId="31">
    <w:abstractNumId w:val="17"/>
  </w:num>
  <w:num w:numId="32">
    <w:abstractNumId w:val="31"/>
  </w:num>
  <w:num w:numId="33">
    <w:abstractNumId w:val="31"/>
  </w:num>
  <w:num w:numId="34">
    <w:abstractNumId w:val="31"/>
  </w:num>
  <w:num w:numId="35">
    <w:abstractNumId w:val="31"/>
  </w:num>
  <w:num w:numId="36">
    <w:abstractNumId w:val="19"/>
  </w:num>
  <w:num w:numId="37">
    <w:abstractNumId w:val="23"/>
  </w:num>
  <w:num w:numId="38">
    <w:abstractNumId w:val="24"/>
  </w:num>
  <w:num w:numId="39">
    <w:abstractNumId w:val="2"/>
  </w:num>
  <w:num w:numId="40">
    <w:abstractNumId w:val="1"/>
  </w:num>
  <w:num w:numId="41">
    <w:abstractNumId w:val="7"/>
  </w:num>
  <w:num w:numId="42">
    <w:abstractNumId w:val="11"/>
  </w:num>
  <w:num w:numId="43">
    <w:abstractNumId w:val="5"/>
  </w:num>
  <w:num w:numId="44">
    <w:abstractNumId w:val="13"/>
  </w:num>
  <w:num w:numId="45">
    <w:abstractNumId w:val="27"/>
  </w:num>
  <w:num w:numId="46">
    <w:abstractNumId w:val="9"/>
  </w:num>
  <w:num w:numId="47">
    <w:abstractNumId w:val="20"/>
  </w:num>
  <w:num w:numId="48">
    <w:abstractNumId w:val="28"/>
  </w:num>
  <w:num w:numId="49">
    <w:abstractNumId w:val="31"/>
  </w:num>
  <w:num w:numId="5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1FF"/>
    <w:rsid w:val="00003499"/>
    <w:rsid w:val="000039B7"/>
    <w:rsid w:val="0000639A"/>
    <w:rsid w:val="00007277"/>
    <w:rsid w:val="00010496"/>
    <w:rsid w:val="000107CC"/>
    <w:rsid w:val="00011F88"/>
    <w:rsid w:val="00013247"/>
    <w:rsid w:val="000143C5"/>
    <w:rsid w:val="00015886"/>
    <w:rsid w:val="00016083"/>
    <w:rsid w:val="000162EF"/>
    <w:rsid w:val="00017743"/>
    <w:rsid w:val="00020400"/>
    <w:rsid w:val="000207C9"/>
    <w:rsid w:val="0002225F"/>
    <w:rsid w:val="00023763"/>
    <w:rsid w:val="00024AFF"/>
    <w:rsid w:val="000253EA"/>
    <w:rsid w:val="00025F02"/>
    <w:rsid w:val="000274B8"/>
    <w:rsid w:val="000277B3"/>
    <w:rsid w:val="0003210B"/>
    <w:rsid w:val="000321E7"/>
    <w:rsid w:val="00032CB4"/>
    <w:rsid w:val="000330A1"/>
    <w:rsid w:val="00033863"/>
    <w:rsid w:val="00035DC0"/>
    <w:rsid w:val="00036829"/>
    <w:rsid w:val="0004010D"/>
    <w:rsid w:val="00040895"/>
    <w:rsid w:val="000435EE"/>
    <w:rsid w:val="00043C37"/>
    <w:rsid w:val="00044A87"/>
    <w:rsid w:val="00045017"/>
    <w:rsid w:val="00045A2B"/>
    <w:rsid w:val="00046008"/>
    <w:rsid w:val="0004659C"/>
    <w:rsid w:val="0004698F"/>
    <w:rsid w:val="00051C9F"/>
    <w:rsid w:val="000539D0"/>
    <w:rsid w:val="00054621"/>
    <w:rsid w:val="000546D7"/>
    <w:rsid w:val="00054B7D"/>
    <w:rsid w:val="00055299"/>
    <w:rsid w:val="0005656F"/>
    <w:rsid w:val="00056A92"/>
    <w:rsid w:val="00056ECF"/>
    <w:rsid w:val="00057A48"/>
    <w:rsid w:val="000604DF"/>
    <w:rsid w:val="000608BD"/>
    <w:rsid w:val="00060EB7"/>
    <w:rsid w:val="000623E1"/>
    <w:rsid w:val="00062BFD"/>
    <w:rsid w:val="000653B5"/>
    <w:rsid w:val="00066360"/>
    <w:rsid w:val="0006685F"/>
    <w:rsid w:val="00066AF8"/>
    <w:rsid w:val="00070E02"/>
    <w:rsid w:val="00070E81"/>
    <w:rsid w:val="00071248"/>
    <w:rsid w:val="0007137F"/>
    <w:rsid w:val="00071C87"/>
    <w:rsid w:val="00071DA8"/>
    <w:rsid w:val="000720B9"/>
    <w:rsid w:val="000737F7"/>
    <w:rsid w:val="000744AD"/>
    <w:rsid w:val="00074DBB"/>
    <w:rsid w:val="00075034"/>
    <w:rsid w:val="0007601C"/>
    <w:rsid w:val="0007672F"/>
    <w:rsid w:val="00076B24"/>
    <w:rsid w:val="00076B54"/>
    <w:rsid w:val="000774F0"/>
    <w:rsid w:val="00080909"/>
    <w:rsid w:val="000810D1"/>
    <w:rsid w:val="000812CA"/>
    <w:rsid w:val="00081E63"/>
    <w:rsid w:val="0008211F"/>
    <w:rsid w:val="0008258D"/>
    <w:rsid w:val="00082E0E"/>
    <w:rsid w:val="000831E2"/>
    <w:rsid w:val="00083D70"/>
    <w:rsid w:val="00083E99"/>
    <w:rsid w:val="00084FA8"/>
    <w:rsid w:val="000856C5"/>
    <w:rsid w:val="00085C31"/>
    <w:rsid w:val="00087DA1"/>
    <w:rsid w:val="000902D9"/>
    <w:rsid w:val="00090C7E"/>
    <w:rsid w:val="000922A2"/>
    <w:rsid w:val="00092600"/>
    <w:rsid w:val="0009262B"/>
    <w:rsid w:val="00093310"/>
    <w:rsid w:val="000933AB"/>
    <w:rsid w:val="0009445C"/>
    <w:rsid w:val="00094714"/>
    <w:rsid w:val="000948CB"/>
    <w:rsid w:val="00095200"/>
    <w:rsid w:val="000958C3"/>
    <w:rsid w:val="00095FE5"/>
    <w:rsid w:val="00096284"/>
    <w:rsid w:val="000967F1"/>
    <w:rsid w:val="000A0CD4"/>
    <w:rsid w:val="000A1BC0"/>
    <w:rsid w:val="000A36C3"/>
    <w:rsid w:val="000A4A19"/>
    <w:rsid w:val="000A56F2"/>
    <w:rsid w:val="000A6039"/>
    <w:rsid w:val="000A6CC9"/>
    <w:rsid w:val="000A7453"/>
    <w:rsid w:val="000A7D08"/>
    <w:rsid w:val="000B0121"/>
    <w:rsid w:val="000B0670"/>
    <w:rsid w:val="000B0E6B"/>
    <w:rsid w:val="000B0E75"/>
    <w:rsid w:val="000B2DCB"/>
    <w:rsid w:val="000B5CE0"/>
    <w:rsid w:val="000B6CAC"/>
    <w:rsid w:val="000B7612"/>
    <w:rsid w:val="000B78AE"/>
    <w:rsid w:val="000C1A0C"/>
    <w:rsid w:val="000C3DF9"/>
    <w:rsid w:val="000C5503"/>
    <w:rsid w:val="000C6713"/>
    <w:rsid w:val="000D10DA"/>
    <w:rsid w:val="000D1BFC"/>
    <w:rsid w:val="000D1D5D"/>
    <w:rsid w:val="000D281A"/>
    <w:rsid w:val="000D2848"/>
    <w:rsid w:val="000D3112"/>
    <w:rsid w:val="000D326A"/>
    <w:rsid w:val="000D3410"/>
    <w:rsid w:val="000D34AC"/>
    <w:rsid w:val="000D51FB"/>
    <w:rsid w:val="000D79C3"/>
    <w:rsid w:val="000D7B35"/>
    <w:rsid w:val="000E0640"/>
    <w:rsid w:val="000E135D"/>
    <w:rsid w:val="000E2452"/>
    <w:rsid w:val="000E2677"/>
    <w:rsid w:val="000E46AD"/>
    <w:rsid w:val="000F00BA"/>
    <w:rsid w:val="000F1034"/>
    <w:rsid w:val="000F1196"/>
    <w:rsid w:val="000F19C0"/>
    <w:rsid w:val="000F316A"/>
    <w:rsid w:val="000F3C74"/>
    <w:rsid w:val="000F4BB8"/>
    <w:rsid w:val="000F4FA9"/>
    <w:rsid w:val="000F53FB"/>
    <w:rsid w:val="000F7127"/>
    <w:rsid w:val="000F7292"/>
    <w:rsid w:val="000F7B54"/>
    <w:rsid w:val="00100F8A"/>
    <w:rsid w:val="0010353F"/>
    <w:rsid w:val="0010452E"/>
    <w:rsid w:val="00104740"/>
    <w:rsid w:val="00105AE2"/>
    <w:rsid w:val="001060C6"/>
    <w:rsid w:val="00106B80"/>
    <w:rsid w:val="0011032E"/>
    <w:rsid w:val="0011348B"/>
    <w:rsid w:val="00115572"/>
    <w:rsid w:val="00115982"/>
    <w:rsid w:val="00115D5D"/>
    <w:rsid w:val="00115FAE"/>
    <w:rsid w:val="00116782"/>
    <w:rsid w:val="00116AFD"/>
    <w:rsid w:val="00116C53"/>
    <w:rsid w:val="0012031E"/>
    <w:rsid w:val="001207E7"/>
    <w:rsid w:val="00121799"/>
    <w:rsid w:val="001222FC"/>
    <w:rsid w:val="00122879"/>
    <w:rsid w:val="00123902"/>
    <w:rsid w:val="00124A51"/>
    <w:rsid w:val="00126621"/>
    <w:rsid w:val="00126B1D"/>
    <w:rsid w:val="00126F5D"/>
    <w:rsid w:val="001301E9"/>
    <w:rsid w:val="001306B3"/>
    <w:rsid w:val="00131116"/>
    <w:rsid w:val="00131D82"/>
    <w:rsid w:val="00132756"/>
    <w:rsid w:val="00132B22"/>
    <w:rsid w:val="00133170"/>
    <w:rsid w:val="001338B5"/>
    <w:rsid w:val="00133D36"/>
    <w:rsid w:val="00137645"/>
    <w:rsid w:val="0014015A"/>
    <w:rsid w:val="0014062A"/>
    <w:rsid w:val="00140E99"/>
    <w:rsid w:val="00142CD1"/>
    <w:rsid w:val="00143705"/>
    <w:rsid w:val="00143F67"/>
    <w:rsid w:val="0014519D"/>
    <w:rsid w:val="00145533"/>
    <w:rsid w:val="00145540"/>
    <w:rsid w:val="001456B0"/>
    <w:rsid w:val="00152EA4"/>
    <w:rsid w:val="00153680"/>
    <w:rsid w:val="00155AC6"/>
    <w:rsid w:val="00156AC1"/>
    <w:rsid w:val="00156F8F"/>
    <w:rsid w:val="00157130"/>
    <w:rsid w:val="001572CD"/>
    <w:rsid w:val="00157306"/>
    <w:rsid w:val="001576B1"/>
    <w:rsid w:val="00157845"/>
    <w:rsid w:val="0016002A"/>
    <w:rsid w:val="0016047B"/>
    <w:rsid w:val="001604FF"/>
    <w:rsid w:val="00160A4C"/>
    <w:rsid w:val="00162913"/>
    <w:rsid w:val="00162B3D"/>
    <w:rsid w:val="00163EE9"/>
    <w:rsid w:val="00163EFF"/>
    <w:rsid w:val="00163F66"/>
    <w:rsid w:val="00165433"/>
    <w:rsid w:val="001661FB"/>
    <w:rsid w:val="0016675F"/>
    <w:rsid w:val="001671A0"/>
    <w:rsid w:val="001675FC"/>
    <w:rsid w:val="0016767F"/>
    <w:rsid w:val="00171D77"/>
    <w:rsid w:val="001722B6"/>
    <w:rsid w:val="00173565"/>
    <w:rsid w:val="00173B07"/>
    <w:rsid w:val="001751FA"/>
    <w:rsid w:val="00175ACD"/>
    <w:rsid w:val="00177D03"/>
    <w:rsid w:val="00180A4A"/>
    <w:rsid w:val="00181D9C"/>
    <w:rsid w:val="0018364C"/>
    <w:rsid w:val="00184B0E"/>
    <w:rsid w:val="00186F04"/>
    <w:rsid w:val="0018752F"/>
    <w:rsid w:val="00191D14"/>
    <w:rsid w:val="0019205A"/>
    <w:rsid w:val="00193838"/>
    <w:rsid w:val="00194AD8"/>
    <w:rsid w:val="00195222"/>
    <w:rsid w:val="001975D8"/>
    <w:rsid w:val="001A0295"/>
    <w:rsid w:val="001A178E"/>
    <w:rsid w:val="001A3903"/>
    <w:rsid w:val="001A43FA"/>
    <w:rsid w:val="001A47C5"/>
    <w:rsid w:val="001A48EC"/>
    <w:rsid w:val="001A59FB"/>
    <w:rsid w:val="001A5E9E"/>
    <w:rsid w:val="001A6354"/>
    <w:rsid w:val="001A6366"/>
    <w:rsid w:val="001A724A"/>
    <w:rsid w:val="001A7AE8"/>
    <w:rsid w:val="001A7ED9"/>
    <w:rsid w:val="001B204E"/>
    <w:rsid w:val="001B22B5"/>
    <w:rsid w:val="001B2372"/>
    <w:rsid w:val="001B2E52"/>
    <w:rsid w:val="001B309C"/>
    <w:rsid w:val="001B3443"/>
    <w:rsid w:val="001B400A"/>
    <w:rsid w:val="001B4117"/>
    <w:rsid w:val="001B4D20"/>
    <w:rsid w:val="001C0554"/>
    <w:rsid w:val="001C2A9B"/>
    <w:rsid w:val="001C3AE2"/>
    <w:rsid w:val="001C4299"/>
    <w:rsid w:val="001C4874"/>
    <w:rsid w:val="001C4CB7"/>
    <w:rsid w:val="001C5934"/>
    <w:rsid w:val="001C5F94"/>
    <w:rsid w:val="001C625A"/>
    <w:rsid w:val="001C6E66"/>
    <w:rsid w:val="001C7F9B"/>
    <w:rsid w:val="001D1100"/>
    <w:rsid w:val="001D1391"/>
    <w:rsid w:val="001D25D7"/>
    <w:rsid w:val="001D35DC"/>
    <w:rsid w:val="001D3900"/>
    <w:rsid w:val="001D50B2"/>
    <w:rsid w:val="001D7645"/>
    <w:rsid w:val="001E10F8"/>
    <w:rsid w:val="001E1E86"/>
    <w:rsid w:val="001E238E"/>
    <w:rsid w:val="001E2483"/>
    <w:rsid w:val="001E2AA5"/>
    <w:rsid w:val="001E2B1E"/>
    <w:rsid w:val="001E2CFF"/>
    <w:rsid w:val="001E2F24"/>
    <w:rsid w:val="001E30D4"/>
    <w:rsid w:val="001E34DF"/>
    <w:rsid w:val="001E52EB"/>
    <w:rsid w:val="001E61D2"/>
    <w:rsid w:val="001E740C"/>
    <w:rsid w:val="001F1235"/>
    <w:rsid w:val="001F14A3"/>
    <w:rsid w:val="001F1CB3"/>
    <w:rsid w:val="001F38B5"/>
    <w:rsid w:val="001F4081"/>
    <w:rsid w:val="001F4B12"/>
    <w:rsid w:val="001F4BD6"/>
    <w:rsid w:val="001F7361"/>
    <w:rsid w:val="00200EF8"/>
    <w:rsid w:val="002011B0"/>
    <w:rsid w:val="00203181"/>
    <w:rsid w:val="00203783"/>
    <w:rsid w:val="0020385F"/>
    <w:rsid w:val="00203ED0"/>
    <w:rsid w:val="002068A0"/>
    <w:rsid w:val="00206CBC"/>
    <w:rsid w:val="00207021"/>
    <w:rsid w:val="0020712E"/>
    <w:rsid w:val="0020732F"/>
    <w:rsid w:val="00207D00"/>
    <w:rsid w:val="002105C1"/>
    <w:rsid w:val="00213112"/>
    <w:rsid w:val="00213EF5"/>
    <w:rsid w:val="0021565C"/>
    <w:rsid w:val="00216BF5"/>
    <w:rsid w:val="002204DB"/>
    <w:rsid w:val="002231E4"/>
    <w:rsid w:val="00223B49"/>
    <w:rsid w:val="00223D5A"/>
    <w:rsid w:val="002244D0"/>
    <w:rsid w:val="00224DD4"/>
    <w:rsid w:val="0022544B"/>
    <w:rsid w:val="0022681E"/>
    <w:rsid w:val="002272DB"/>
    <w:rsid w:val="002278A0"/>
    <w:rsid w:val="002309CC"/>
    <w:rsid w:val="00230BB0"/>
    <w:rsid w:val="00230DB1"/>
    <w:rsid w:val="0023112A"/>
    <w:rsid w:val="0023209F"/>
    <w:rsid w:val="00232E6F"/>
    <w:rsid w:val="00233C01"/>
    <w:rsid w:val="0023413C"/>
    <w:rsid w:val="002346F0"/>
    <w:rsid w:val="0023629D"/>
    <w:rsid w:val="00237255"/>
    <w:rsid w:val="0024052E"/>
    <w:rsid w:val="0024245C"/>
    <w:rsid w:val="002424AF"/>
    <w:rsid w:val="00242F62"/>
    <w:rsid w:val="00243759"/>
    <w:rsid w:val="002439DC"/>
    <w:rsid w:val="002441D2"/>
    <w:rsid w:val="00244DC8"/>
    <w:rsid w:val="00244F04"/>
    <w:rsid w:val="002452D7"/>
    <w:rsid w:val="0024575B"/>
    <w:rsid w:val="002458BA"/>
    <w:rsid w:val="00245CE9"/>
    <w:rsid w:val="0024636C"/>
    <w:rsid w:val="00247925"/>
    <w:rsid w:val="00251006"/>
    <w:rsid w:val="00251369"/>
    <w:rsid w:val="00251548"/>
    <w:rsid w:val="002519D3"/>
    <w:rsid w:val="002521CC"/>
    <w:rsid w:val="002524D5"/>
    <w:rsid w:val="00253B1D"/>
    <w:rsid w:val="002541C2"/>
    <w:rsid w:val="00254DCF"/>
    <w:rsid w:val="0025534B"/>
    <w:rsid w:val="00255BB7"/>
    <w:rsid w:val="00256914"/>
    <w:rsid w:val="00257541"/>
    <w:rsid w:val="00257A39"/>
    <w:rsid w:val="00257AC4"/>
    <w:rsid w:val="00257D2A"/>
    <w:rsid w:val="002601D8"/>
    <w:rsid w:val="00261EEF"/>
    <w:rsid w:val="00262A1A"/>
    <w:rsid w:val="00262A87"/>
    <w:rsid w:val="00262D66"/>
    <w:rsid w:val="00264D26"/>
    <w:rsid w:val="00267642"/>
    <w:rsid w:val="002679B7"/>
    <w:rsid w:val="00267AEA"/>
    <w:rsid w:val="002700E6"/>
    <w:rsid w:val="00271336"/>
    <w:rsid w:val="00271E8C"/>
    <w:rsid w:val="0027294B"/>
    <w:rsid w:val="002730F6"/>
    <w:rsid w:val="00273EB4"/>
    <w:rsid w:val="00274682"/>
    <w:rsid w:val="00274AE1"/>
    <w:rsid w:val="002751CB"/>
    <w:rsid w:val="00275C5A"/>
    <w:rsid w:val="00277AF5"/>
    <w:rsid w:val="00277C43"/>
    <w:rsid w:val="00277D6C"/>
    <w:rsid w:val="00281014"/>
    <w:rsid w:val="002829C5"/>
    <w:rsid w:val="00285FCA"/>
    <w:rsid w:val="0028665D"/>
    <w:rsid w:val="002867F9"/>
    <w:rsid w:val="0028789D"/>
    <w:rsid w:val="00296340"/>
    <w:rsid w:val="0029682E"/>
    <w:rsid w:val="00296CEE"/>
    <w:rsid w:val="002A0170"/>
    <w:rsid w:val="002A14AB"/>
    <w:rsid w:val="002A2ADE"/>
    <w:rsid w:val="002A2F50"/>
    <w:rsid w:val="002A37B1"/>
    <w:rsid w:val="002A53C6"/>
    <w:rsid w:val="002A76F3"/>
    <w:rsid w:val="002B05A1"/>
    <w:rsid w:val="002B09A4"/>
    <w:rsid w:val="002B1C1F"/>
    <w:rsid w:val="002B1F4A"/>
    <w:rsid w:val="002B432F"/>
    <w:rsid w:val="002B62B3"/>
    <w:rsid w:val="002B653A"/>
    <w:rsid w:val="002B6754"/>
    <w:rsid w:val="002B6CCE"/>
    <w:rsid w:val="002B7B0D"/>
    <w:rsid w:val="002C0B07"/>
    <w:rsid w:val="002C2510"/>
    <w:rsid w:val="002C253A"/>
    <w:rsid w:val="002C2775"/>
    <w:rsid w:val="002C27C1"/>
    <w:rsid w:val="002C3B61"/>
    <w:rsid w:val="002C3F5E"/>
    <w:rsid w:val="002C5099"/>
    <w:rsid w:val="002C5889"/>
    <w:rsid w:val="002C64DC"/>
    <w:rsid w:val="002C71CE"/>
    <w:rsid w:val="002C7A70"/>
    <w:rsid w:val="002D08F8"/>
    <w:rsid w:val="002D09EE"/>
    <w:rsid w:val="002D221F"/>
    <w:rsid w:val="002D24B9"/>
    <w:rsid w:val="002D27A4"/>
    <w:rsid w:val="002D4311"/>
    <w:rsid w:val="002D577C"/>
    <w:rsid w:val="002D60ED"/>
    <w:rsid w:val="002D6368"/>
    <w:rsid w:val="002E1071"/>
    <w:rsid w:val="002E1081"/>
    <w:rsid w:val="002E15B9"/>
    <w:rsid w:val="002E2158"/>
    <w:rsid w:val="002E4F02"/>
    <w:rsid w:val="002E5C5B"/>
    <w:rsid w:val="002E7722"/>
    <w:rsid w:val="002F07BA"/>
    <w:rsid w:val="002F0DA9"/>
    <w:rsid w:val="002F0F2F"/>
    <w:rsid w:val="002F1014"/>
    <w:rsid w:val="002F4797"/>
    <w:rsid w:val="002F643C"/>
    <w:rsid w:val="002F71C0"/>
    <w:rsid w:val="002F74F1"/>
    <w:rsid w:val="002F7B81"/>
    <w:rsid w:val="00300514"/>
    <w:rsid w:val="00301017"/>
    <w:rsid w:val="0030155F"/>
    <w:rsid w:val="00303623"/>
    <w:rsid w:val="0030382E"/>
    <w:rsid w:val="003045FA"/>
    <w:rsid w:val="0030587B"/>
    <w:rsid w:val="00306A71"/>
    <w:rsid w:val="00306D98"/>
    <w:rsid w:val="0030772F"/>
    <w:rsid w:val="0030786C"/>
    <w:rsid w:val="00307AB5"/>
    <w:rsid w:val="0031031A"/>
    <w:rsid w:val="00310981"/>
    <w:rsid w:val="003124D9"/>
    <w:rsid w:val="00312594"/>
    <w:rsid w:val="00315498"/>
    <w:rsid w:val="003159E4"/>
    <w:rsid w:val="00316474"/>
    <w:rsid w:val="00322107"/>
    <w:rsid w:val="003221C8"/>
    <w:rsid w:val="00322355"/>
    <w:rsid w:val="00322846"/>
    <w:rsid w:val="00322C1E"/>
    <w:rsid w:val="00324DBA"/>
    <w:rsid w:val="00326DA7"/>
    <w:rsid w:val="003270E4"/>
    <w:rsid w:val="00330DAA"/>
    <w:rsid w:val="00330F5C"/>
    <w:rsid w:val="00332F66"/>
    <w:rsid w:val="003335D6"/>
    <w:rsid w:val="003347B8"/>
    <w:rsid w:val="003363C8"/>
    <w:rsid w:val="003366C9"/>
    <w:rsid w:val="003371B0"/>
    <w:rsid w:val="00337742"/>
    <w:rsid w:val="003406D9"/>
    <w:rsid w:val="00340DF1"/>
    <w:rsid w:val="003415FC"/>
    <w:rsid w:val="00344FFF"/>
    <w:rsid w:val="00345A6D"/>
    <w:rsid w:val="00347007"/>
    <w:rsid w:val="00350564"/>
    <w:rsid w:val="00350C54"/>
    <w:rsid w:val="003517F9"/>
    <w:rsid w:val="00351BA9"/>
    <w:rsid w:val="003536B6"/>
    <w:rsid w:val="00353B46"/>
    <w:rsid w:val="00354F64"/>
    <w:rsid w:val="0035620E"/>
    <w:rsid w:val="0035629A"/>
    <w:rsid w:val="0035662D"/>
    <w:rsid w:val="003566C8"/>
    <w:rsid w:val="0035727F"/>
    <w:rsid w:val="00360345"/>
    <w:rsid w:val="00361A05"/>
    <w:rsid w:val="00361DB5"/>
    <w:rsid w:val="00361EBF"/>
    <w:rsid w:val="003624C4"/>
    <w:rsid w:val="00363B00"/>
    <w:rsid w:val="0036491D"/>
    <w:rsid w:val="003654AC"/>
    <w:rsid w:val="00365B26"/>
    <w:rsid w:val="003660DD"/>
    <w:rsid w:val="00367EF1"/>
    <w:rsid w:val="00370B87"/>
    <w:rsid w:val="003710CF"/>
    <w:rsid w:val="00372AE2"/>
    <w:rsid w:val="0037358A"/>
    <w:rsid w:val="003742E6"/>
    <w:rsid w:val="0037462F"/>
    <w:rsid w:val="00374690"/>
    <w:rsid w:val="003747E2"/>
    <w:rsid w:val="003750F6"/>
    <w:rsid w:val="003760FC"/>
    <w:rsid w:val="00376325"/>
    <w:rsid w:val="0038365C"/>
    <w:rsid w:val="0038369B"/>
    <w:rsid w:val="00383B78"/>
    <w:rsid w:val="003842C4"/>
    <w:rsid w:val="0038523E"/>
    <w:rsid w:val="00385A9D"/>
    <w:rsid w:val="0038744C"/>
    <w:rsid w:val="003902B1"/>
    <w:rsid w:val="0039179C"/>
    <w:rsid w:val="0039441B"/>
    <w:rsid w:val="00395EF5"/>
    <w:rsid w:val="003964FB"/>
    <w:rsid w:val="00396896"/>
    <w:rsid w:val="00396FD0"/>
    <w:rsid w:val="003A15F7"/>
    <w:rsid w:val="003A1A7A"/>
    <w:rsid w:val="003A2392"/>
    <w:rsid w:val="003A2831"/>
    <w:rsid w:val="003A3012"/>
    <w:rsid w:val="003A3CB6"/>
    <w:rsid w:val="003A3ED1"/>
    <w:rsid w:val="003A4323"/>
    <w:rsid w:val="003A44DB"/>
    <w:rsid w:val="003A589E"/>
    <w:rsid w:val="003A5D58"/>
    <w:rsid w:val="003B090E"/>
    <w:rsid w:val="003B0BA5"/>
    <w:rsid w:val="003B0EFE"/>
    <w:rsid w:val="003B1563"/>
    <w:rsid w:val="003B2269"/>
    <w:rsid w:val="003B3971"/>
    <w:rsid w:val="003B3C47"/>
    <w:rsid w:val="003B53BF"/>
    <w:rsid w:val="003B553A"/>
    <w:rsid w:val="003B55D1"/>
    <w:rsid w:val="003B5B61"/>
    <w:rsid w:val="003C07A3"/>
    <w:rsid w:val="003C1654"/>
    <w:rsid w:val="003C3EDF"/>
    <w:rsid w:val="003C41C7"/>
    <w:rsid w:val="003C5542"/>
    <w:rsid w:val="003C7D19"/>
    <w:rsid w:val="003C7D2F"/>
    <w:rsid w:val="003D0204"/>
    <w:rsid w:val="003D0BD2"/>
    <w:rsid w:val="003D1828"/>
    <w:rsid w:val="003D1DE4"/>
    <w:rsid w:val="003D1E9A"/>
    <w:rsid w:val="003D2422"/>
    <w:rsid w:val="003D24F6"/>
    <w:rsid w:val="003D25CB"/>
    <w:rsid w:val="003D25FB"/>
    <w:rsid w:val="003D385C"/>
    <w:rsid w:val="003D39A1"/>
    <w:rsid w:val="003D3FBF"/>
    <w:rsid w:val="003D433B"/>
    <w:rsid w:val="003D43B8"/>
    <w:rsid w:val="003D4A30"/>
    <w:rsid w:val="003D6728"/>
    <w:rsid w:val="003D7373"/>
    <w:rsid w:val="003D7452"/>
    <w:rsid w:val="003D79BB"/>
    <w:rsid w:val="003D7C98"/>
    <w:rsid w:val="003D7D9D"/>
    <w:rsid w:val="003E0543"/>
    <w:rsid w:val="003E0B6E"/>
    <w:rsid w:val="003E137E"/>
    <w:rsid w:val="003E605C"/>
    <w:rsid w:val="003E6336"/>
    <w:rsid w:val="003E749E"/>
    <w:rsid w:val="003F1147"/>
    <w:rsid w:val="003F292F"/>
    <w:rsid w:val="003F3D21"/>
    <w:rsid w:val="003F4156"/>
    <w:rsid w:val="003F51FE"/>
    <w:rsid w:val="003F5921"/>
    <w:rsid w:val="003F5ADF"/>
    <w:rsid w:val="003F6428"/>
    <w:rsid w:val="003F7821"/>
    <w:rsid w:val="00400300"/>
    <w:rsid w:val="00400B29"/>
    <w:rsid w:val="00403F0D"/>
    <w:rsid w:val="00404E8A"/>
    <w:rsid w:val="0040504B"/>
    <w:rsid w:val="004059F4"/>
    <w:rsid w:val="00406573"/>
    <w:rsid w:val="00407FE5"/>
    <w:rsid w:val="004101B0"/>
    <w:rsid w:val="00410326"/>
    <w:rsid w:val="00410708"/>
    <w:rsid w:val="00410EC7"/>
    <w:rsid w:val="00411B39"/>
    <w:rsid w:val="004127A7"/>
    <w:rsid w:val="00412C54"/>
    <w:rsid w:val="004135AB"/>
    <w:rsid w:val="00413A1E"/>
    <w:rsid w:val="00414476"/>
    <w:rsid w:val="004149EF"/>
    <w:rsid w:val="00414C2E"/>
    <w:rsid w:val="004151CF"/>
    <w:rsid w:val="00416364"/>
    <w:rsid w:val="004170D7"/>
    <w:rsid w:val="0042047F"/>
    <w:rsid w:val="00420AA6"/>
    <w:rsid w:val="00420B9F"/>
    <w:rsid w:val="00421775"/>
    <w:rsid w:val="0042192C"/>
    <w:rsid w:val="00422260"/>
    <w:rsid w:val="004231EB"/>
    <w:rsid w:val="0042390D"/>
    <w:rsid w:val="0042413F"/>
    <w:rsid w:val="00425371"/>
    <w:rsid w:val="00425EE4"/>
    <w:rsid w:val="00426DF8"/>
    <w:rsid w:val="00427EA0"/>
    <w:rsid w:val="004319F8"/>
    <w:rsid w:val="00431A25"/>
    <w:rsid w:val="00431E55"/>
    <w:rsid w:val="004321F6"/>
    <w:rsid w:val="00433044"/>
    <w:rsid w:val="00434088"/>
    <w:rsid w:val="00434BC2"/>
    <w:rsid w:val="00436195"/>
    <w:rsid w:val="004375B9"/>
    <w:rsid w:val="004428D0"/>
    <w:rsid w:val="00443DC9"/>
    <w:rsid w:val="00444185"/>
    <w:rsid w:val="004443A7"/>
    <w:rsid w:val="0044442C"/>
    <w:rsid w:val="00445645"/>
    <w:rsid w:val="004457FF"/>
    <w:rsid w:val="00445941"/>
    <w:rsid w:val="004464EB"/>
    <w:rsid w:val="0044680A"/>
    <w:rsid w:val="00447D26"/>
    <w:rsid w:val="00447DFC"/>
    <w:rsid w:val="00450ECC"/>
    <w:rsid w:val="004517BA"/>
    <w:rsid w:val="00453217"/>
    <w:rsid w:val="00454B06"/>
    <w:rsid w:val="00454C78"/>
    <w:rsid w:val="00455D45"/>
    <w:rsid w:val="004620A7"/>
    <w:rsid w:val="00462559"/>
    <w:rsid w:val="0046397C"/>
    <w:rsid w:val="00464595"/>
    <w:rsid w:val="00464919"/>
    <w:rsid w:val="004658B5"/>
    <w:rsid w:val="00471B5B"/>
    <w:rsid w:val="00471EA5"/>
    <w:rsid w:val="00472A79"/>
    <w:rsid w:val="00472CCD"/>
    <w:rsid w:val="00473692"/>
    <w:rsid w:val="00473F19"/>
    <w:rsid w:val="00474F05"/>
    <w:rsid w:val="00475E22"/>
    <w:rsid w:val="0048088E"/>
    <w:rsid w:val="00480F2B"/>
    <w:rsid w:val="0048244D"/>
    <w:rsid w:val="00482720"/>
    <w:rsid w:val="004831C6"/>
    <w:rsid w:val="004835E7"/>
    <w:rsid w:val="004853C6"/>
    <w:rsid w:val="004858CD"/>
    <w:rsid w:val="004867E2"/>
    <w:rsid w:val="00486C49"/>
    <w:rsid w:val="00490B17"/>
    <w:rsid w:val="004913DF"/>
    <w:rsid w:val="00491B3A"/>
    <w:rsid w:val="004925DE"/>
    <w:rsid w:val="00492CFD"/>
    <w:rsid w:val="00494207"/>
    <w:rsid w:val="00494DD5"/>
    <w:rsid w:val="004962D2"/>
    <w:rsid w:val="004A0DA1"/>
    <w:rsid w:val="004A13D6"/>
    <w:rsid w:val="004A284B"/>
    <w:rsid w:val="004A2EDA"/>
    <w:rsid w:val="004A386D"/>
    <w:rsid w:val="004A3C25"/>
    <w:rsid w:val="004A4B9D"/>
    <w:rsid w:val="004A52E9"/>
    <w:rsid w:val="004A6040"/>
    <w:rsid w:val="004A6597"/>
    <w:rsid w:val="004A7848"/>
    <w:rsid w:val="004B00AD"/>
    <w:rsid w:val="004B10BC"/>
    <w:rsid w:val="004B10D9"/>
    <w:rsid w:val="004B1CB4"/>
    <w:rsid w:val="004B2E7B"/>
    <w:rsid w:val="004B2F18"/>
    <w:rsid w:val="004B39F9"/>
    <w:rsid w:val="004B3B59"/>
    <w:rsid w:val="004B3DDB"/>
    <w:rsid w:val="004B4366"/>
    <w:rsid w:val="004B44FD"/>
    <w:rsid w:val="004B4643"/>
    <w:rsid w:val="004B4D4C"/>
    <w:rsid w:val="004B5CFC"/>
    <w:rsid w:val="004B6321"/>
    <w:rsid w:val="004B6CCC"/>
    <w:rsid w:val="004B6F79"/>
    <w:rsid w:val="004B774D"/>
    <w:rsid w:val="004C05F7"/>
    <w:rsid w:val="004C0F82"/>
    <w:rsid w:val="004C19F3"/>
    <w:rsid w:val="004C1DD5"/>
    <w:rsid w:val="004C4AED"/>
    <w:rsid w:val="004C7365"/>
    <w:rsid w:val="004D09A2"/>
    <w:rsid w:val="004D2C2D"/>
    <w:rsid w:val="004D2CFE"/>
    <w:rsid w:val="004D56CD"/>
    <w:rsid w:val="004D5C09"/>
    <w:rsid w:val="004D69B5"/>
    <w:rsid w:val="004D7227"/>
    <w:rsid w:val="004D77D1"/>
    <w:rsid w:val="004E0E7F"/>
    <w:rsid w:val="004E0EB8"/>
    <w:rsid w:val="004E18E9"/>
    <w:rsid w:val="004E2ADC"/>
    <w:rsid w:val="004E2ECD"/>
    <w:rsid w:val="004E43B2"/>
    <w:rsid w:val="004E5A2F"/>
    <w:rsid w:val="004E5C2D"/>
    <w:rsid w:val="004E5CA5"/>
    <w:rsid w:val="004E72A8"/>
    <w:rsid w:val="004F1630"/>
    <w:rsid w:val="004F1D02"/>
    <w:rsid w:val="004F2679"/>
    <w:rsid w:val="004F2F21"/>
    <w:rsid w:val="004F3A37"/>
    <w:rsid w:val="004F3DE5"/>
    <w:rsid w:val="004F6913"/>
    <w:rsid w:val="004F7865"/>
    <w:rsid w:val="004F7D2A"/>
    <w:rsid w:val="0050174E"/>
    <w:rsid w:val="00501854"/>
    <w:rsid w:val="0050219B"/>
    <w:rsid w:val="005022EC"/>
    <w:rsid w:val="00503F17"/>
    <w:rsid w:val="00503F4F"/>
    <w:rsid w:val="00503FA2"/>
    <w:rsid w:val="00504F1A"/>
    <w:rsid w:val="005066D2"/>
    <w:rsid w:val="00506928"/>
    <w:rsid w:val="005077EF"/>
    <w:rsid w:val="005100A3"/>
    <w:rsid w:val="0051114C"/>
    <w:rsid w:val="00511AD5"/>
    <w:rsid w:val="00511B56"/>
    <w:rsid w:val="00511DC7"/>
    <w:rsid w:val="005142C5"/>
    <w:rsid w:val="00514AD7"/>
    <w:rsid w:val="0051501B"/>
    <w:rsid w:val="005152B5"/>
    <w:rsid w:val="00516A6C"/>
    <w:rsid w:val="00520CA0"/>
    <w:rsid w:val="0052123C"/>
    <w:rsid w:val="00521319"/>
    <w:rsid w:val="0052230C"/>
    <w:rsid w:val="00522BC8"/>
    <w:rsid w:val="00523C28"/>
    <w:rsid w:val="00525CA8"/>
    <w:rsid w:val="00526B88"/>
    <w:rsid w:val="00530337"/>
    <w:rsid w:val="0053176B"/>
    <w:rsid w:val="00531D4E"/>
    <w:rsid w:val="00536F42"/>
    <w:rsid w:val="00537182"/>
    <w:rsid w:val="00540FE2"/>
    <w:rsid w:val="0054162E"/>
    <w:rsid w:val="00541EDD"/>
    <w:rsid w:val="00542743"/>
    <w:rsid w:val="00542C2D"/>
    <w:rsid w:val="005437E1"/>
    <w:rsid w:val="0054713B"/>
    <w:rsid w:val="005478BD"/>
    <w:rsid w:val="005479E3"/>
    <w:rsid w:val="00550CD5"/>
    <w:rsid w:val="005518DA"/>
    <w:rsid w:val="00551985"/>
    <w:rsid w:val="00552BD3"/>
    <w:rsid w:val="0055325D"/>
    <w:rsid w:val="005532A0"/>
    <w:rsid w:val="00555109"/>
    <w:rsid w:val="00556B35"/>
    <w:rsid w:val="0055741A"/>
    <w:rsid w:val="00560DC8"/>
    <w:rsid w:val="005611B7"/>
    <w:rsid w:val="005618D4"/>
    <w:rsid w:val="00563153"/>
    <w:rsid w:val="00563893"/>
    <w:rsid w:val="00565DF0"/>
    <w:rsid w:val="0056696F"/>
    <w:rsid w:val="00567855"/>
    <w:rsid w:val="00572269"/>
    <w:rsid w:val="0057244A"/>
    <w:rsid w:val="00572F26"/>
    <w:rsid w:val="0057478C"/>
    <w:rsid w:val="005750C5"/>
    <w:rsid w:val="005752DE"/>
    <w:rsid w:val="00575D8D"/>
    <w:rsid w:val="00576806"/>
    <w:rsid w:val="00576972"/>
    <w:rsid w:val="00577DBF"/>
    <w:rsid w:val="00577FD4"/>
    <w:rsid w:val="005802E5"/>
    <w:rsid w:val="005821E9"/>
    <w:rsid w:val="00583699"/>
    <w:rsid w:val="00585CDD"/>
    <w:rsid w:val="00587058"/>
    <w:rsid w:val="0059160C"/>
    <w:rsid w:val="00591635"/>
    <w:rsid w:val="00591957"/>
    <w:rsid w:val="00592D67"/>
    <w:rsid w:val="00596331"/>
    <w:rsid w:val="005964EB"/>
    <w:rsid w:val="00597BF9"/>
    <w:rsid w:val="005A0540"/>
    <w:rsid w:val="005A309A"/>
    <w:rsid w:val="005A373D"/>
    <w:rsid w:val="005A564D"/>
    <w:rsid w:val="005A5C2D"/>
    <w:rsid w:val="005A63A0"/>
    <w:rsid w:val="005A7938"/>
    <w:rsid w:val="005B0B58"/>
    <w:rsid w:val="005B0D9B"/>
    <w:rsid w:val="005B0DDB"/>
    <w:rsid w:val="005B499A"/>
    <w:rsid w:val="005B4E53"/>
    <w:rsid w:val="005B5857"/>
    <w:rsid w:val="005C177F"/>
    <w:rsid w:val="005C1B83"/>
    <w:rsid w:val="005C20A3"/>
    <w:rsid w:val="005C25FF"/>
    <w:rsid w:val="005C2D55"/>
    <w:rsid w:val="005C31CE"/>
    <w:rsid w:val="005C346B"/>
    <w:rsid w:val="005C48AF"/>
    <w:rsid w:val="005C7B20"/>
    <w:rsid w:val="005D044D"/>
    <w:rsid w:val="005D05C2"/>
    <w:rsid w:val="005D0ABD"/>
    <w:rsid w:val="005D18AD"/>
    <w:rsid w:val="005D1C6C"/>
    <w:rsid w:val="005D26B4"/>
    <w:rsid w:val="005D336F"/>
    <w:rsid w:val="005D5C45"/>
    <w:rsid w:val="005E101A"/>
    <w:rsid w:val="005E442E"/>
    <w:rsid w:val="005E46AC"/>
    <w:rsid w:val="005E5456"/>
    <w:rsid w:val="005E6CBC"/>
    <w:rsid w:val="005E72FF"/>
    <w:rsid w:val="005E73C0"/>
    <w:rsid w:val="005E7CC7"/>
    <w:rsid w:val="005E7D4C"/>
    <w:rsid w:val="005F2706"/>
    <w:rsid w:val="005F3471"/>
    <w:rsid w:val="005F4F11"/>
    <w:rsid w:val="005F6A8F"/>
    <w:rsid w:val="005F6BB7"/>
    <w:rsid w:val="005F7588"/>
    <w:rsid w:val="00601C4B"/>
    <w:rsid w:val="00602B96"/>
    <w:rsid w:val="00602F10"/>
    <w:rsid w:val="006033FC"/>
    <w:rsid w:val="00603B68"/>
    <w:rsid w:val="00603DB9"/>
    <w:rsid w:val="00604FB0"/>
    <w:rsid w:val="00605CE8"/>
    <w:rsid w:val="00606678"/>
    <w:rsid w:val="00606FBA"/>
    <w:rsid w:val="00607669"/>
    <w:rsid w:val="006076F4"/>
    <w:rsid w:val="00607AFD"/>
    <w:rsid w:val="00611950"/>
    <w:rsid w:val="00611C67"/>
    <w:rsid w:val="00612F97"/>
    <w:rsid w:val="0061345D"/>
    <w:rsid w:val="0061549B"/>
    <w:rsid w:val="00616802"/>
    <w:rsid w:val="00617E12"/>
    <w:rsid w:val="00620C25"/>
    <w:rsid w:val="00621477"/>
    <w:rsid w:val="00621ADA"/>
    <w:rsid w:val="00622F29"/>
    <w:rsid w:val="0062304D"/>
    <w:rsid w:val="00623F7B"/>
    <w:rsid w:val="00625543"/>
    <w:rsid w:val="006262C8"/>
    <w:rsid w:val="0063033C"/>
    <w:rsid w:val="00630BC2"/>
    <w:rsid w:val="0063158F"/>
    <w:rsid w:val="00631D6B"/>
    <w:rsid w:val="00632183"/>
    <w:rsid w:val="00632B1C"/>
    <w:rsid w:val="006330A1"/>
    <w:rsid w:val="006339E7"/>
    <w:rsid w:val="006345B3"/>
    <w:rsid w:val="0063479F"/>
    <w:rsid w:val="006353F0"/>
    <w:rsid w:val="006357B5"/>
    <w:rsid w:val="006364A1"/>
    <w:rsid w:val="0063678E"/>
    <w:rsid w:val="006377E4"/>
    <w:rsid w:val="00637BFD"/>
    <w:rsid w:val="0064097E"/>
    <w:rsid w:val="006417C3"/>
    <w:rsid w:val="00641C4E"/>
    <w:rsid w:val="00641FB3"/>
    <w:rsid w:val="0064434C"/>
    <w:rsid w:val="00644FD1"/>
    <w:rsid w:val="006466BF"/>
    <w:rsid w:val="006471CC"/>
    <w:rsid w:val="00647431"/>
    <w:rsid w:val="00647A29"/>
    <w:rsid w:val="00647A7D"/>
    <w:rsid w:val="006506A3"/>
    <w:rsid w:val="0065079F"/>
    <w:rsid w:val="00651857"/>
    <w:rsid w:val="006522AD"/>
    <w:rsid w:val="00652817"/>
    <w:rsid w:val="00652A28"/>
    <w:rsid w:val="0065379F"/>
    <w:rsid w:val="00653F93"/>
    <w:rsid w:val="006557DD"/>
    <w:rsid w:val="00656188"/>
    <w:rsid w:val="0065715A"/>
    <w:rsid w:val="00660700"/>
    <w:rsid w:val="006610F1"/>
    <w:rsid w:val="00661C6B"/>
    <w:rsid w:val="00662CED"/>
    <w:rsid w:val="00663802"/>
    <w:rsid w:val="00663BE5"/>
    <w:rsid w:val="006651A3"/>
    <w:rsid w:val="00671004"/>
    <w:rsid w:val="006716C6"/>
    <w:rsid w:val="00671BA7"/>
    <w:rsid w:val="006724DC"/>
    <w:rsid w:val="00672646"/>
    <w:rsid w:val="00672891"/>
    <w:rsid w:val="006734DD"/>
    <w:rsid w:val="00674E42"/>
    <w:rsid w:val="006813F8"/>
    <w:rsid w:val="00682112"/>
    <w:rsid w:val="006827FC"/>
    <w:rsid w:val="00682BA6"/>
    <w:rsid w:val="00683647"/>
    <w:rsid w:val="00684375"/>
    <w:rsid w:val="00685CCA"/>
    <w:rsid w:val="00686957"/>
    <w:rsid w:val="006872BA"/>
    <w:rsid w:val="00690795"/>
    <w:rsid w:val="00691648"/>
    <w:rsid w:val="006917D7"/>
    <w:rsid w:val="00692331"/>
    <w:rsid w:val="00692E12"/>
    <w:rsid w:val="0069434C"/>
    <w:rsid w:val="00694F44"/>
    <w:rsid w:val="0069540A"/>
    <w:rsid w:val="00696F51"/>
    <w:rsid w:val="0069793F"/>
    <w:rsid w:val="0069794B"/>
    <w:rsid w:val="006979A5"/>
    <w:rsid w:val="006A2506"/>
    <w:rsid w:val="006A2634"/>
    <w:rsid w:val="006A2B0B"/>
    <w:rsid w:val="006A2D23"/>
    <w:rsid w:val="006A3079"/>
    <w:rsid w:val="006A6B99"/>
    <w:rsid w:val="006A7E5F"/>
    <w:rsid w:val="006B04E0"/>
    <w:rsid w:val="006B261B"/>
    <w:rsid w:val="006B2BF1"/>
    <w:rsid w:val="006B2C90"/>
    <w:rsid w:val="006B35E6"/>
    <w:rsid w:val="006B3E9F"/>
    <w:rsid w:val="006B465A"/>
    <w:rsid w:val="006B5E82"/>
    <w:rsid w:val="006B6DD0"/>
    <w:rsid w:val="006B7148"/>
    <w:rsid w:val="006C0399"/>
    <w:rsid w:val="006C0B59"/>
    <w:rsid w:val="006C2A8E"/>
    <w:rsid w:val="006C3255"/>
    <w:rsid w:val="006C3F26"/>
    <w:rsid w:val="006C4417"/>
    <w:rsid w:val="006C52A6"/>
    <w:rsid w:val="006C5D11"/>
    <w:rsid w:val="006C655F"/>
    <w:rsid w:val="006D0D17"/>
    <w:rsid w:val="006D2B08"/>
    <w:rsid w:val="006D3C7D"/>
    <w:rsid w:val="006D4659"/>
    <w:rsid w:val="006D4D32"/>
    <w:rsid w:val="006D51EF"/>
    <w:rsid w:val="006D5B27"/>
    <w:rsid w:val="006D5D5F"/>
    <w:rsid w:val="006D68FB"/>
    <w:rsid w:val="006D710D"/>
    <w:rsid w:val="006E2045"/>
    <w:rsid w:val="006E2868"/>
    <w:rsid w:val="006E426C"/>
    <w:rsid w:val="006E4424"/>
    <w:rsid w:val="006E582F"/>
    <w:rsid w:val="006E5F86"/>
    <w:rsid w:val="006E6C91"/>
    <w:rsid w:val="006E7CEF"/>
    <w:rsid w:val="006F306C"/>
    <w:rsid w:val="006F4B9D"/>
    <w:rsid w:val="006F63A5"/>
    <w:rsid w:val="006F721C"/>
    <w:rsid w:val="006F7350"/>
    <w:rsid w:val="0070142B"/>
    <w:rsid w:val="00702197"/>
    <w:rsid w:val="0070276E"/>
    <w:rsid w:val="00702F8F"/>
    <w:rsid w:val="007031E6"/>
    <w:rsid w:val="007079FC"/>
    <w:rsid w:val="00710712"/>
    <w:rsid w:val="007110EE"/>
    <w:rsid w:val="00711A0C"/>
    <w:rsid w:val="00711A36"/>
    <w:rsid w:val="00712987"/>
    <w:rsid w:val="00712A2E"/>
    <w:rsid w:val="007136BB"/>
    <w:rsid w:val="00714C26"/>
    <w:rsid w:val="0071529C"/>
    <w:rsid w:val="007170DA"/>
    <w:rsid w:val="007172AD"/>
    <w:rsid w:val="00720801"/>
    <w:rsid w:val="007221D6"/>
    <w:rsid w:val="00722B1B"/>
    <w:rsid w:val="00723C84"/>
    <w:rsid w:val="0072416F"/>
    <w:rsid w:val="00726119"/>
    <w:rsid w:val="00726F4B"/>
    <w:rsid w:val="00727BE6"/>
    <w:rsid w:val="00727C94"/>
    <w:rsid w:val="007311C7"/>
    <w:rsid w:val="00731B0A"/>
    <w:rsid w:val="00731EAE"/>
    <w:rsid w:val="007324AF"/>
    <w:rsid w:val="00733073"/>
    <w:rsid w:val="00735033"/>
    <w:rsid w:val="00735328"/>
    <w:rsid w:val="00736477"/>
    <w:rsid w:val="0073685B"/>
    <w:rsid w:val="0074015F"/>
    <w:rsid w:val="00740F6D"/>
    <w:rsid w:val="00742943"/>
    <w:rsid w:val="00743129"/>
    <w:rsid w:val="00743B14"/>
    <w:rsid w:val="007441BC"/>
    <w:rsid w:val="007449BF"/>
    <w:rsid w:val="00745555"/>
    <w:rsid w:val="007460C9"/>
    <w:rsid w:val="007460E7"/>
    <w:rsid w:val="00746BC0"/>
    <w:rsid w:val="00750EE8"/>
    <w:rsid w:val="007510B4"/>
    <w:rsid w:val="0075113F"/>
    <w:rsid w:val="00752142"/>
    <w:rsid w:val="007523F9"/>
    <w:rsid w:val="0075357E"/>
    <w:rsid w:val="00755DB2"/>
    <w:rsid w:val="00756C41"/>
    <w:rsid w:val="007573E8"/>
    <w:rsid w:val="0076071B"/>
    <w:rsid w:val="00760C4E"/>
    <w:rsid w:val="00760F9E"/>
    <w:rsid w:val="007627BE"/>
    <w:rsid w:val="00762AD1"/>
    <w:rsid w:val="007633CC"/>
    <w:rsid w:val="00763A5C"/>
    <w:rsid w:val="00764F03"/>
    <w:rsid w:val="00765B1A"/>
    <w:rsid w:val="00767035"/>
    <w:rsid w:val="00770650"/>
    <w:rsid w:val="007732A5"/>
    <w:rsid w:val="00773AC9"/>
    <w:rsid w:val="007749DF"/>
    <w:rsid w:val="00777335"/>
    <w:rsid w:val="0078004D"/>
    <w:rsid w:val="007826D2"/>
    <w:rsid w:val="00783DEF"/>
    <w:rsid w:val="00783E96"/>
    <w:rsid w:val="00784371"/>
    <w:rsid w:val="007843F2"/>
    <w:rsid w:val="00784872"/>
    <w:rsid w:val="007858E5"/>
    <w:rsid w:val="00785A9F"/>
    <w:rsid w:val="00790BCF"/>
    <w:rsid w:val="00790FB6"/>
    <w:rsid w:val="007925DF"/>
    <w:rsid w:val="007946A0"/>
    <w:rsid w:val="00796579"/>
    <w:rsid w:val="007969BD"/>
    <w:rsid w:val="007A08AA"/>
    <w:rsid w:val="007A0A12"/>
    <w:rsid w:val="007A132D"/>
    <w:rsid w:val="007A1345"/>
    <w:rsid w:val="007A14FF"/>
    <w:rsid w:val="007A1EF2"/>
    <w:rsid w:val="007A1FA0"/>
    <w:rsid w:val="007A2DDB"/>
    <w:rsid w:val="007A3EBB"/>
    <w:rsid w:val="007A65AF"/>
    <w:rsid w:val="007A70BA"/>
    <w:rsid w:val="007B0D68"/>
    <w:rsid w:val="007B1BC1"/>
    <w:rsid w:val="007B251D"/>
    <w:rsid w:val="007B41AD"/>
    <w:rsid w:val="007B4F58"/>
    <w:rsid w:val="007B4FFD"/>
    <w:rsid w:val="007B528D"/>
    <w:rsid w:val="007B63CA"/>
    <w:rsid w:val="007B77D1"/>
    <w:rsid w:val="007C07C7"/>
    <w:rsid w:val="007C1CD9"/>
    <w:rsid w:val="007C2B4D"/>
    <w:rsid w:val="007C2E9F"/>
    <w:rsid w:val="007C32EF"/>
    <w:rsid w:val="007C361D"/>
    <w:rsid w:val="007C401B"/>
    <w:rsid w:val="007C4B84"/>
    <w:rsid w:val="007C557C"/>
    <w:rsid w:val="007C70FF"/>
    <w:rsid w:val="007C786F"/>
    <w:rsid w:val="007C7C25"/>
    <w:rsid w:val="007D004F"/>
    <w:rsid w:val="007D0B38"/>
    <w:rsid w:val="007D29D8"/>
    <w:rsid w:val="007D31F6"/>
    <w:rsid w:val="007D3B65"/>
    <w:rsid w:val="007D46E6"/>
    <w:rsid w:val="007D5440"/>
    <w:rsid w:val="007D69EB"/>
    <w:rsid w:val="007D7D0D"/>
    <w:rsid w:val="007E0328"/>
    <w:rsid w:val="007E128F"/>
    <w:rsid w:val="007E1573"/>
    <w:rsid w:val="007E4B92"/>
    <w:rsid w:val="007E636C"/>
    <w:rsid w:val="007F1017"/>
    <w:rsid w:val="007F228A"/>
    <w:rsid w:val="007F4A3F"/>
    <w:rsid w:val="007F4A61"/>
    <w:rsid w:val="007F4D80"/>
    <w:rsid w:val="007F4EFD"/>
    <w:rsid w:val="007F5255"/>
    <w:rsid w:val="007F56CC"/>
    <w:rsid w:val="007F58E9"/>
    <w:rsid w:val="007F5E6B"/>
    <w:rsid w:val="007F61C2"/>
    <w:rsid w:val="007F6A55"/>
    <w:rsid w:val="0080118D"/>
    <w:rsid w:val="00803FA6"/>
    <w:rsid w:val="00804509"/>
    <w:rsid w:val="00804679"/>
    <w:rsid w:val="00805142"/>
    <w:rsid w:val="00805FCE"/>
    <w:rsid w:val="00806ED7"/>
    <w:rsid w:val="00806F13"/>
    <w:rsid w:val="00807964"/>
    <w:rsid w:val="00807A8B"/>
    <w:rsid w:val="00811383"/>
    <w:rsid w:val="00812149"/>
    <w:rsid w:val="00812CAC"/>
    <w:rsid w:val="00816025"/>
    <w:rsid w:val="00816361"/>
    <w:rsid w:val="008166EF"/>
    <w:rsid w:val="00816890"/>
    <w:rsid w:val="00816FEF"/>
    <w:rsid w:val="00817B9B"/>
    <w:rsid w:val="00820A8C"/>
    <w:rsid w:val="008215FB"/>
    <w:rsid w:val="0082214C"/>
    <w:rsid w:val="00823174"/>
    <w:rsid w:val="00824323"/>
    <w:rsid w:val="008254A4"/>
    <w:rsid w:val="00825751"/>
    <w:rsid w:val="00825ADE"/>
    <w:rsid w:val="008264EB"/>
    <w:rsid w:val="008312EE"/>
    <w:rsid w:val="00831E8E"/>
    <w:rsid w:val="00832C71"/>
    <w:rsid w:val="00832F6B"/>
    <w:rsid w:val="008331F1"/>
    <w:rsid w:val="00833B05"/>
    <w:rsid w:val="0083613F"/>
    <w:rsid w:val="008361EE"/>
    <w:rsid w:val="008362B4"/>
    <w:rsid w:val="008365EE"/>
    <w:rsid w:val="00836DB4"/>
    <w:rsid w:val="008377FC"/>
    <w:rsid w:val="00840607"/>
    <w:rsid w:val="00840CA2"/>
    <w:rsid w:val="0084143E"/>
    <w:rsid w:val="0084374F"/>
    <w:rsid w:val="008444C2"/>
    <w:rsid w:val="00844A22"/>
    <w:rsid w:val="00844EF9"/>
    <w:rsid w:val="00845C9C"/>
    <w:rsid w:val="00846337"/>
    <w:rsid w:val="00847703"/>
    <w:rsid w:val="00847941"/>
    <w:rsid w:val="00847DF5"/>
    <w:rsid w:val="00850184"/>
    <w:rsid w:val="00850581"/>
    <w:rsid w:val="008512C8"/>
    <w:rsid w:val="00851F9F"/>
    <w:rsid w:val="0085309D"/>
    <w:rsid w:val="00853570"/>
    <w:rsid w:val="00856897"/>
    <w:rsid w:val="008568C8"/>
    <w:rsid w:val="00856A86"/>
    <w:rsid w:val="00856E9A"/>
    <w:rsid w:val="008574FE"/>
    <w:rsid w:val="00857ABF"/>
    <w:rsid w:val="00857E38"/>
    <w:rsid w:val="0086075D"/>
    <w:rsid w:val="00861AE8"/>
    <w:rsid w:val="008621F4"/>
    <w:rsid w:val="00862502"/>
    <w:rsid w:val="00862686"/>
    <w:rsid w:val="00862CC1"/>
    <w:rsid w:val="00863348"/>
    <w:rsid w:val="00864E03"/>
    <w:rsid w:val="00865B8D"/>
    <w:rsid w:val="008660D4"/>
    <w:rsid w:val="00871A19"/>
    <w:rsid w:val="00871ED4"/>
    <w:rsid w:val="00871FA9"/>
    <w:rsid w:val="008728E9"/>
    <w:rsid w:val="00872A7F"/>
    <w:rsid w:val="00876132"/>
    <w:rsid w:val="00882134"/>
    <w:rsid w:val="00882874"/>
    <w:rsid w:val="00882E3C"/>
    <w:rsid w:val="00883787"/>
    <w:rsid w:val="008837AE"/>
    <w:rsid w:val="00885261"/>
    <w:rsid w:val="008855E4"/>
    <w:rsid w:val="00886921"/>
    <w:rsid w:val="00886AB9"/>
    <w:rsid w:val="00886CD2"/>
    <w:rsid w:val="0088775F"/>
    <w:rsid w:val="00891E6F"/>
    <w:rsid w:val="0089275D"/>
    <w:rsid w:val="00892945"/>
    <w:rsid w:val="00892A36"/>
    <w:rsid w:val="00893239"/>
    <w:rsid w:val="008941D9"/>
    <w:rsid w:val="00894489"/>
    <w:rsid w:val="00895817"/>
    <w:rsid w:val="00895CFE"/>
    <w:rsid w:val="008963A5"/>
    <w:rsid w:val="008967E5"/>
    <w:rsid w:val="00896D5D"/>
    <w:rsid w:val="008970CB"/>
    <w:rsid w:val="008A07F7"/>
    <w:rsid w:val="008A1E60"/>
    <w:rsid w:val="008A2634"/>
    <w:rsid w:val="008A3363"/>
    <w:rsid w:val="008A3371"/>
    <w:rsid w:val="008A3BE1"/>
    <w:rsid w:val="008A3C3E"/>
    <w:rsid w:val="008A4DF5"/>
    <w:rsid w:val="008A5252"/>
    <w:rsid w:val="008A79DE"/>
    <w:rsid w:val="008B1757"/>
    <w:rsid w:val="008B27B0"/>
    <w:rsid w:val="008B3109"/>
    <w:rsid w:val="008B399C"/>
    <w:rsid w:val="008B5D91"/>
    <w:rsid w:val="008B6E57"/>
    <w:rsid w:val="008B7992"/>
    <w:rsid w:val="008B7D7E"/>
    <w:rsid w:val="008C324A"/>
    <w:rsid w:val="008C46FB"/>
    <w:rsid w:val="008C553F"/>
    <w:rsid w:val="008C5610"/>
    <w:rsid w:val="008C5739"/>
    <w:rsid w:val="008C58B9"/>
    <w:rsid w:val="008C6B24"/>
    <w:rsid w:val="008C7ADF"/>
    <w:rsid w:val="008C7ECB"/>
    <w:rsid w:val="008D107C"/>
    <w:rsid w:val="008D1191"/>
    <w:rsid w:val="008D2769"/>
    <w:rsid w:val="008D3B86"/>
    <w:rsid w:val="008D4755"/>
    <w:rsid w:val="008D4C3D"/>
    <w:rsid w:val="008D5ACE"/>
    <w:rsid w:val="008D67ED"/>
    <w:rsid w:val="008D743C"/>
    <w:rsid w:val="008E08EB"/>
    <w:rsid w:val="008E0D3C"/>
    <w:rsid w:val="008E1B9E"/>
    <w:rsid w:val="008E2497"/>
    <w:rsid w:val="008E2A8D"/>
    <w:rsid w:val="008E51FD"/>
    <w:rsid w:val="008E55AB"/>
    <w:rsid w:val="008E67A5"/>
    <w:rsid w:val="008E711D"/>
    <w:rsid w:val="008F120A"/>
    <w:rsid w:val="008F268A"/>
    <w:rsid w:val="008F27E0"/>
    <w:rsid w:val="008F474E"/>
    <w:rsid w:val="008F48EB"/>
    <w:rsid w:val="008F4F0B"/>
    <w:rsid w:val="008F5CD3"/>
    <w:rsid w:val="008F7A12"/>
    <w:rsid w:val="008F7ACA"/>
    <w:rsid w:val="008F7CD1"/>
    <w:rsid w:val="00901D1D"/>
    <w:rsid w:val="00902E6A"/>
    <w:rsid w:val="009046C4"/>
    <w:rsid w:val="00904D6A"/>
    <w:rsid w:val="00904E77"/>
    <w:rsid w:val="009051D6"/>
    <w:rsid w:val="0090596A"/>
    <w:rsid w:val="009062A5"/>
    <w:rsid w:val="00910FA7"/>
    <w:rsid w:val="00911272"/>
    <w:rsid w:val="009135D6"/>
    <w:rsid w:val="00914C77"/>
    <w:rsid w:val="0091545D"/>
    <w:rsid w:val="00915806"/>
    <w:rsid w:val="00921828"/>
    <w:rsid w:val="00921ACB"/>
    <w:rsid w:val="00922549"/>
    <w:rsid w:val="0092369B"/>
    <w:rsid w:val="009270F9"/>
    <w:rsid w:val="00927404"/>
    <w:rsid w:val="009274BD"/>
    <w:rsid w:val="009300B2"/>
    <w:rsid w:val="0093101E"/>
    <w:rsid w:val="00931035"/>
    <w:rsid w:val="00931640"/>
    <w:rsid w:val="00932121"/>
    <w:rsid w:val="00933F03"/>
    <w:rsid w:val="00934988"/>
    <w:rsid w:val="00934C64"/>
    <w:rsid w:val="00937089"/>
    <w:rsid w:val="0094155B"/>
    <w:rsid w:val="00944F8A"/>
    <w:rsid w:val="0094572B"/>
    <w:rsid w:val="00950DD9"/>
    <w:rsid w:val="009510A2"/>
    <w:rsid w:val="009514E7"/>
    <w:rsid w:val="00953257"/>
    <w:rsid w:val="0095399E"/>
    <w:rsid w:val="0095474C"/>
    <w:rsid w:val="00955F7C"/>
    <w:rsid w:val="00956CA3"/>
    <w:rsid w:val="00957D0D"/>
    <w:rsid w:val="00960558"/>
    <w:rsid w:val="00960848"/>
    <w:rsid w:val="00962327"/>
    <w:rsid w:val="009627B2"/>
    <w:rsid w:val="00962CB9"/>
    <w:rsid w:val="0096314C"/>
    <w:rsid w:val="00964312"/>
    <w:rsid w:val="00964E3A"/>
    <w:rsid w:val="00965B8A"/>
    <w:rsid w:val="00966A92"/>
    <w:rsid w:val="00966E3B"/>
    <w:rsid w:val="00967358"/>
    <w:rsid w:val="00970164"/>
    <w:rsid w:val="0097071F"/>
    <w:rsid w:val="00970E07"/>
    <w:rsid w:val="009717AC"/>
    <w:rsid w:val="00971C24"/>
    <w:rsid w:val="009737E1"/>
    <w:rsid w:val="009751C1"/>
    <w:rsid w:val="00980E68"/>
    <w:rsid w:val="009811F1"/>
    <w:rsid w:val="00981D2A"/>
    <w:rsid w:val="00982E18"/>
    <w:rsid w:val="00983A03"/>
    <w:rsid w:val="00983E57"/>
    <w:rsid w:val="0098413F"/>
    <w:rsid w:val="00984411"/>
    <w:rsid w:val="00984631"/>
    <w:rsid w:val="00985DE2"/>
    <w:rsid w:val="009863A4"/>
    <w:rsid w:val="0098675D"/>
    <w:rsid w:val="00991062"/>
    <w:rsid w:val="009926E0"/>
    <w:rsid w:val="00993865"/>
    <w:rsid w:val="00994271"/>
    <w:rsid w:val="0099451E"/>
    <w:rsid w:val="0099498D"/>
    <w:rsid w:val="00996A55"/>
    <w:rsid w:val="00996B1A"/>
    <w:rsid w:val="009A0FB2"/>
    <w:rsid w:val="009A2DCC"/>
    <w:rsid w:val="009A5ABC"/>
    <w:rsid w:val="009A6587"/>
    <w:rsid w:val="009A7F10"/>
    <w:rsid w:val="009B2355"/>
    <w:rsid w:val="009B3E26"/>
    <w:rsid w:val="009B7655"/>
    <w:rsid w:val="009C060E"/>
    <w:rsid w:val="009C0C51"/>
    <w:rsid w:val="009C0D0E"/>
    <w:rsid w:val="009C0FC2"/>
    <w:rsid w:val="009C121E"/>
    <w:rsid w:val="009C13E0"/>
    <w:rsid w:val="009C1CCB"/>
    <w:rsid w:val="009C3706"/>
    <w:rsid w:val="009C3A3A"/>
    <w:rsid w:val="009C5825"/>
    <w:rsid w:val="009C6CEA"/>
    <w:rsid w:val="009C789E"/>
    <w:rsid w:val="009C7B85"/>
    <w:rsid w:val="009D0254"/>
    <w:rsid w:val="009D0DD5"/>
    <w:rsid w:val="009D1115"/>
    <w:rsid w:val="009D1A53"/>
    <w:rsid w:val="009D1A64"/>
    <w:rsid w:val="009D2FA1"/>
    <w:rsid w:val="009D2FE9"/>
    <w:rsid w:val="009D5B91"/>
    <w:rsid w:val="009D67E6"/>
    <w:rsid w:val="009D792E"/>
    <w:rsid w:val="009E0DFE"/>
    <w:rsid w:val="009E0F96"/>
    <w:rsid w:val="009E31F6"/>
    <w:rsid w:val="009E4C07"/>
    <w:rsid w:val="009E583B"/>
    <w:rsid w:val="009E6A7A"/>
    <w:rsid w:val="009E7235"/>
    <w:rsid w:val="009F153C"/>
    <w:rsid w:val="009F1B4C"/>
    <w:rsid w:val="009F439B"/>
    <w:rsid w:val="009F4B59"/>
    <w:rsid w:val="009F5E77"/>
    <w:rsid w:val="009F6262"/>
    <w:rsid w:val="00A00865"/>
    <w:rsid w:val="00A01184"/>
    <w:rsid w:val="00A019F1"/>
    <w:rsid w:val="00A02A02"/>
    <w:rsid w:val="00A037C2"/>
    <w:rsid w:val="00A038D8"/>
    <w:rsid w:val="00A03D43"/>
    <w:rsid w:val="00A03DC9"/>
    <w:rsid w:val="00A03FD7"/>
    <w:rsid w:val="00A04380"/>
    <w:rsid w:val="00A0497D"/>
    <w:rsid w:val="00A05472"/>
    <w:rsid w:val="00A05C32"/>
    <w:rsid w:val="00A0653F"/>
    <w:rsid w:val="00A10C1D"/>
    <w:rsid w:val="00A10F08"/>
    <w:rsid w:val="00A11CD0"/>
    <w:rsid w:val="00A11E60"/>
    <w:rsid w:val="00A13948"/>
    <w:rsid w:val="00A154BD"/>
    <w:rsid w:val="00A1555B"/>
    <w:rsid w:val="00A155C5"/>
    <w:rsid w:val="00A16AD8"/>
    <w:rsid w:val="00A16F43"/>
    <w:rsid w:val="00A17D6D"/>
    <w:rsid w:val="00A21C95"/>
    <w:rsid w:val="00A21CF3"/>
    <w:rsid w:val="00A24813"/>
    <w:rsid w:val="00A2624B"/>
    <w:rsid w:val="00A27AEC"/>
    <w:rsid w:val="00A3014B"/>
    <w:rsid w:val="00A320DB"/>
    <w:rsid w:val="00A329B4"/>
    <w:rsid w:val="00A34BB3"/>
    <w:rsid w:val="00A3593F"/>
    <w:rsid w:val="00A35D16"/>
    <w:rsid w:val="00A37BCD"/>
    <w:rsid w:val="00A40F05"/>
    <w:rsid w:val="00A41689"/>
    <w:rsid w:val="00A41CD7"/>
    <w:rsid w:val="00A42592"/>
    <w:rsid w:val="00A43C59"/>
    <w:rsid w:val="00A44CF0"/>
    <w:rsid w:val="00A501C2"/>
    <w:rsid w:val="00A50ECD"/>
    <w:rsid w:val="00A50F12"/>
    <w:rsid w:val="00A518D5"/>
    <w:rsid w:val="00A518F3"/>
    <w:rsid w:val="00A5261C"/>
    <w:rsid w:val="00A52729"/>
    <w:rsid w:val="00A53675"/>
    <w:rsid w:val="00A548DC"/>
    <w:rsid w:val="00A557DB"/>
    <w:rsid w:val="00A564D7"/>
    <w:rsid w:val="00A56A31"/>
    <w:rsid w:val="00A56B6A"/>
    <w:rsid w:val="00A575F4"/>
    <w:rsid w:val="00A578DC"/>
    <w:rsid w:val="00A60E36"/>
    <w:rsid w:val="00A61751"/>
    <w:rsid w:val="00A61844"/>
    <w:rsid w:val="00A61D2B"/>
    <w:rsid w:val="00A62714"/>
    <w:rsid w:val="00A640E2"/>
    <w:rsid w:val="00A64D65"/>
    <w:rsid w:val="00A66750"/>
    <w:rsid w:val="00A6725B"/>
    <w:rsid w:val="00A702C2"/>
    <w:rsid w:val="00A70605"/>
    <w:rsid w:val="00A72742"/>
    <w:rsid w:val="00A72B3E"/>
    <w:rsid w:val="00A73134"/>
    <w:rsid w:val="00A7542C"/>
    <w:rsid w:val="00A756E0"/>
    <w:rsid w:val="00A76001"/>
    <w:rsid w:val="00A76003"/>
    <w:rsid w:val="00A77206"/>
    <w:rsid w:val="00A777B2"/>
    <w:rsid w:val="00A77E57"/>
    <w:rsid w:val="00A80717"/>
    <w:rsid w:val="00A811B8"/>
    <w:rsid w:val="00A82521"/>
    <w:rsid w:val="00A825D4"/>
    <w:rsid w:val="00A828F6"/>
    <w:rsid w:val="00A82B73"/>
    <w:rsid w:val="00A83CB2"/>
    <w:rsid w:val="00A86E8B"/>
    <w:rsid w:val="00A87164"/>
    <w:rsid w:val="00A878FB"/>
    <w:rsid w:val="00A90C51"/>
    <w:rsid w:val="00A92C36"/>
    <w:rsid w:val="00A93072"/>
    <w:rsid w:val="00A93574"/>
    <w:rsid w:val="00A938BD"/>
    <w:rsid w:val="00A93953"/>
    <w:rsid w:val="00A959D8"/>
    <w:rsid w:val="00AA113D"/>
    <w:rsid w:val="00AA15C1"/>
    <w:rsid w:val="00AA39E2"/>
    <w:rsid w:val="00AA6BD5"/>
    <w:rsid w:val="00AA6BD8"/>
    <w:rsid w:val="00AA6C7D"/>
    <w:rsid w:val="00AA7FD6"/>
    <w:rsid w:val="00AB042A"/>
    <w:rsid w:val="00AB12A6"/>
    <w:rsid w:val="00AB19EF"/>
    <w:rsid w:val="00AB2000"/>
    <w:rsid w:val="00AB204B"/>
    <w:rsid w:val="00AB2A6C"/>
    <w:rsid w:val="00AB2D34"/>
    <w:rsid w:val="00AB3430"/>
    <w:rsid w:val="00AB359E"/>
    <w:rsid w:val="00AB37B9"/>
    <w:rsid w:val="00AB4AD1"/>
    <w:rsid w:val="00AB4FB9"/>
    <w:rsid w:val="00AB5E07"/>
    <w:rsid w:val="00AB7CE6"/>
    <w:rsid w:val="00AB7CFA"/>
    <w:rsid w:val="00AC024F"/>
    <w:rsid w:val="00AC1A29"/>
    <w:rsid w:val="00AC2562"/>
    <w:rsid w:val="00AC31CC"/>
    <w:rsid w:val="00AC4691"/>
    <w:rsid w:val="00AC573E"/>
    <w:rsid w:val="00AC5B48"/>
    <w:rsid w:val="00AC614D"/>
    <w:rsid w:val="00AD017C"/>
    <w:rsid w:val="00AD0506"/>
    <w:rsid w:val="00AD1450"/>
    <w:rsid w:val="00AD2489"/>
    <w:rsid w:val="00AD6502"/>
    <w:rsid w:val="00AD739C"/>
    <w:rsid w:val="00AE0695"/>
    <w:rsid w:val="00AE23BA"/>
    <w:rsid w:val="00AE3CA1"/>
    <w:rsid w:val="00AE3E7E"/>
    <w:rsid w:val="00AE5FF8"/>
    <w:rsid w:val="00AF11FA"/>
    <w:rsid w:val="00AF1315"/>
    <w:rsid w:val="00AF19BD"/>
    <w:rsid w:val="00AF19BF"/>
    <w:rsid w:val="00AF25F4"/>
    <w:rsid w:val="00AF2DC3"/>
    <w:rsid w:val="00AF585E"/>
    <w:rsid w:val="00AF5A9F"/>
    <w:rsid w:val="00AF6922"/>
    <w:rsid w:val="00AF709E"/>
    <w:rsid w:val="00AF74B2"/>
    <w:rsid w:val="00B033E5"/>
    <w:rsid w:val="00B03A63"/>
    <w:rsid w:val="00B06339"/>
    <w:rsid w:val="00B14D77"/>
    <w:rsid w:val="00B173E4"/>
    <w:rsid w:val="00B1750C"/>
    <w:rsid w:val="00B17A3D"/>
    <w:rsid w:val="00B201A4"/>
    <w:rsid w:val="00B201D1"/>
    <w:rsid w:val="00B213A6"/>
    <w:rsid w:val="00B22A5A"/>
    <w:rsid w:val="00B235B0"/>
    <w:rsid w:val="00B237F4"/>
    <w:rsid w:val="00B24DF6"/>
    <w:rsid w:val="00B30F06"/>
    <w:rsid w:val="00B32138"/>
    <w:rsid w:val="00B3396E"/>
    <w:rsid w:val="00B33CEA"/>
    <w:rsid w:val="00B34FE2"/>
    <w:rsid w:val="00B35166"/>
    <w:rsid w:val="00B357D8"/>
    <w:rsid w:val="00B360F4"/>
    <w:rsid w:val="00B36A00"/>
    <w:rsid w:val="00B37BFC"/>
    <w:rsid w:val="00B40358"/>
    <w:rsid w:val="00B41220"/>
    <w:rsid w:val="00B41614"/>
    <w:rsid w:val="00B41959"/>
    <w:rsid w:val="00B4277A"/>
    <w:rsid w:val="00B42851"/>
    <w:rsid w:val="00B42F80"/>
    <w:rsid w:val="00B434C2"/>
    <w:rsid w:val="00B435CB"/>
    <w:rsid w:val="00B45286"/>
    <w:rsid w:val="00B505C8"/>
    <w:rsid w:val="00B50C8B"/>
    <w:rsid w:val="00B50DB8"/>
    <w:rsid w:val="00B51610"/>
    <w:rsid w:val="00B52A11"/>
    <w:rsid w:val="00B53654"/>
    <w:rsid w:val="00B53905"/>
    <w:rsid w:val="00B54B5B"/>
    <w:rsid w:val="00B5562E"/>
    <w:rsid w:val="00B55D65"/>
    <w:rsid w:val="00B57000"/>
    <w:rsid w:val="00B5725E"/>
    <w:rsid w:val="00B57F39"/>
    <w:rsid w:val="00B6007F"/>
    <w:rsid w:val="00B60939"/>
    <w:rsid w:val="00B60AFD"/>
    <w:rsid w:val="00B60FB8"/>
    <w:rsid w:val="00B62715"/>
    <w:rsid w:val="00B633C6"/>
    <w:rsid w:val="00B65611"/>
    <w:rsid w:val="00B66467"/>
    <w:rsid w:val="00B67532"/>
    <w:rsid w:val="00B70E8E"/>
    <w:rsid w:val="00B7107C"/>
    <w:rsid w:val="00B71674"/>
    <w:rsid w:val="00B7253F"/>
    <w:rsid w:val="00B726FF"/>
    <w:rsid w:val="00B73041"/>
    <w:rsid w:val="00B73220"/>
    <w:rsid w:val="00B73610"/>
    <w:rsid w:val="00B74C64"/>
    <w:rsid w:val="00B76C92"/>
    <w:rsid w:val="00B816DD"/>
    <w:rsid w:val="00B818A4"/>
    <w:rsid w:val="00B829B4"/>
    <w:rsid w:val="00B84117"/>
    <w:rsid w:val="00B858F0"/>
    <w:rsid w:val="00B85AA2"/>
    <w:rsid w:val="00B8649C"/>
    <w:rsid w:val="00B8695D"/>
    <w:rsid w:val="00B878FD"/>
    <w:rsid w:val="00B87F0A"/>
    <w:rsid w:val="00B90ADB"/>
    <w:rsid w:val="00B91586"/>
    <w:rsid w:val="00B92D0B"/>
    <w:rsid w:val="00B9321C"/>
    <w:rsid w:val="00B93270"/>
    <w:rsid w:val="00B93772"/>
    <w:rsid w:val="00B94945"/>
    <w:rsid w:val="00B94DD6"/>
    <w:rsid w:val="00B94F76"/>
    <w:rsid w:val="00B9552D"/>
    <w:rsid w:val="00B97892"/>
    <w:rsid w:val="00B97CE8"/>
    <w:rsid w:val="00BA0129"/>
    <w:rsid w:val="00BA0AB6"/>
    <w:rsid w:val="00BA0FF1"/>
    <w:rsid w:val="00BA227A"/>
    <w:rsid w:val="00BA322D"/>
    <w:rsid w:val="00BA63FA"/>
    <w:rsid w:val="00BB00B3"/>
    <w:rsid w:val="00BB012A"/>
    <w:rsid w:val="00BB0832"/>
    <w:rsid w:val="00BB0AD5"/>
    <w:rsid w:val="00BB0BDD"/>
    <w:rsid w:val="00BB176C"/>
    <w:rsid w:val="00BB1EA8"/>
    <w:rsid w:val="00BB2A73"/>
    <w:rsid w:val="00BB3A45"/>
    <w:rsid w:val="00BB4287"/>
    <w:rsid w:val="00BB4ACC"/>
    <w:rsid w:val="00BB50E8"/>
    <w:rsid w:val="00BB58B5"/>
    <w:rsid w:val="00BB5F15"/>
    <w:rsid w:val="00BB703E"/>
    <w:rsid w:val="00BB7090"/>
    <w:rsid w:val="00BB732D"/>
    <w:rsid w:val="00BB7405"/>
    <w:rsid w:val="00BC0A16"/>
    <w:rsid w:val="00BC24AA"/>
    <w:rsid w:val="00BC274A"/>
    <w:rsid w:val="00BC30E6"/>
    <w:rsid w:val="00BC3522"/>
    <w:rsid w:val="00BC3631"/>
    <w:rsid w:val="00BC3A26"/>
    <w:rsid w:val="00BC49BF"/>
    <w:rsid w:val="00BC4CD8"/>
    <w:rsid w:val="00BC591F"/>
    <w:rsid w:val="00BC7D6D"/>
    <w:rsid w:val="00BD2108"/>
    <w:rsid w:val="00BD36A8"/>
    <w:rsid w:val="00BD596A"/>
    <w:rsid w:val="00BD5CD2"/>
    <w:rsid w:val="00BD64E9"/>
    <w:rsid w:val="00BD666C"/>
    <w:rsid w:val="00BD68A3"/>
    <w:rsid w:val="00BD6938"/>
    <w:rsid w:val="00BD6CF3"/>
    <w:rsid w:val="00BD6FEA"/>
    <w:rsid w:val="00BD734A"/>
    <w:rsid w:val="00BE05BB"/>
    <w:rsid w:val="00BE0ECA"/>
    <w:rsid w:val="00BE14C8"/>
    <w:rsid w:val="00BE2157"/>
    <w:rsid w:val="00BE2180"/>
    <w:rsid w:val="00BE21F2"/>
    <w:rsid w:val="00BE4275"/>
    <w:rsid w:val="00BE5B84"/>
    <w:rsid w:val="00BE7821"/>
    <w:rsid w:val="00BF06AE"/>
    <w:rsid w:val="00BF0F95"/>
    <w:rsid w:val="00BF2433"/>
    <w:rsid w:val="00BF33D8"/>
    <w:rsid w:val="00BF3C90"/>
    <w:rsid w:val="00BF4255"/>
    <w:rsid w:val="00BF61C9"/>
    <w:rsid w:val="00BF6C94"/>
    <w:rsid w:val="00C0005B"/>
    <w:rsid w:val="00C00424"/>
    <w:rsid w:val="00C01AAE"/>
    <w:rsid w:val="00C030CF"/>
    <w:rsid w:val="00C07653"/>
    <w:rsid w:val="00C10917"/>
    <w:rsid w:val="00C10CC4"/>
    <w:rsid w:val="00C1179F"/>
    <w:rsid w:val="00C11AAD"/>
    <w:rsid w:val="00C12C14"/>
    <w:rsid w:val="00C1360D"/>
    <w:rsid w:val="00C13D2B"/>
    <w:rsid w:val="00C15F04"/>
    <w:rsid w:val="00C179B3"/>
    <w:rsid w:val="00C17E3F"/>
    <w:rsid w:val="00C200AA"/>
    <w:rsid w:val="00C2010A"/>
    <w:rsid w:val="00C217EC"/>
    <w:rsid w:val="00C21C89"/>
    <w:rsid w:val="00C226B6"/>
    <w:rsid w:val="00C237ED"/>
    <w:rsid w:val="00C241A7"/>
    <w:rsid w:val="00C24632"/>
    <w:rsid w:val="00C24DFA"/>
    <w:rsid w:val="00C25418"/>
    <w:rsid w:val="00C25D9C"/>
    <w:rsid w:val="00C2778B"/>
    <w:rsid w:val="00C27796"/>
    <w:rsid w:val="00C31649"/>
    <w:rsid w:val="00C3434C"/>
    <w:rsid w:val="00C35BAA"/>
    <w:rsid w:val="00C40385"/>
    <w:rsid w:val="00C40B9B"/>
    <w:rsid w:val="00C41768"/>
    <w:rsid w:val="00C4348E"/>
    <w:rsid w:val="00C45A76"/>
    <w:rsid w:val="00C475AA"/>
    <w:rsid w:val="00C5065E"/>
    <w:rsid w:val="00C51776"/>
    <w:rsid w:val="00C51786"/>
    <w:rsid w:val="00C53C98"/>
    <w:rsid w:val="00C55BFC"/>
    <w:rsid w:val="00C56F45"/>
    <w:rsid w:val="00C56FCF"/>
    <w:rsid w:val="00C57B6C"/>
    <w:rsid w:val="00C628A6"/>
    <w:rsid w:val="00C639F9"/>
    <w:rsid w:val="00C64344"/>
    <w:rsid w:val="00C65108"/>
    <w:rsid w:val="00C65576"/>
    <w:rsid w:val="00C66165"/>
    <w:rsid w:val="00C673C7"/>
    <w:rsid w:val="00C7060A"/>
    <w:rsid w:val="00C709F3"/>
    <w:rsid w:val="00C70C86"/>
    <w:rsid w:val="00C7151A"/>
    <w:rsid w:val="00C717E3"/>
    <w:rsid w:val="00C71F60"/>
    <w:rsid w:val="00C72241"/>
    <w:rsid w:val="00C750C8"/>
    <w:rsid w:val="00C7560F"/>
    <w:rsid w:val="00C75A9D"/>
    <w:rsid w:val="00C77406"/>
    <w:rsid w:val="00C80A0E"/>
    <w:rsid w:val="00C817FF"/>
    <w:rsid w:val="00C818B1"/>
    <w:rsid w:val="00C8213F"/>
    <w:rsid w:val="00C8317B"/>
    <w:rsid w:val="00C83DC1"/>
    <w:rsid w:val="00C85154"/>
    <w:rsid w:val="00C8797A"/>
    <w:rsid w:val="00C900B8"/>
    <w:rsid w:val="00C90C71"/>
    <w:rsid w:val="00C9185E"/>
    <w:rsid w:val="00C91FD1"/>
    <w:rsid w:val="00C931CF"/>
    <w:rsid w:val="00C93202"/>
    <w:rsid w:val="00C938CF"/>
    <w:rsid w:val="00C94053"/>
    <w:rsid w:val="00C9624D"/>
    <w:rsid w:val="00C969DA"/>
    <w:rsid w:val="00CA2C77"/>
    <w:rsid w:val="00CA444F"/>
    <w:rsid w:val="00CA4862"/>
    <w:rsid w:val="00CA5245"/>
    <w:rsid w:val="00CA71F4"/>
    <w:rsid w:val="00CA7B09"/>
    <w:rsid w:val="00CB0E8C"/>
    <w:rsid w:val="00CB12A5"/>
    <w:rsid w:val="00CB1CAC"/>
    <w:rsid w:val="00CB2F2A"/>
    <w:rsid w:val="00CB5B1A"/>
    <w:rsid w:val="00CB6B22"/>
    <w:rsid w:val="00CB7A45"/>
    <w:rsid w:val="00CB7F5F"/>
    <w:rsid w:val="00CC16E4"/>
    <w:rsid w:val="00CC1B39"/>
    <w:rsid w:val="00CC3013"/>
    <w:rsid w:val="00CC35EA"/>
    <w:rsid w:val="00CC3848"/>
    <w:rsid w:val="00CC3906"/>
    <w:rsid w:val="00CC4A83"/>
    <w:rsid w:val="00CC55D2"/>
    <w:rsid w:val="00CC695A"/>
    <w:rsid w:val="00CC6B92"/>
    <w:rsid w:val="00CC7F89"/>
    <w:rsid w:val="00CD160D"/>
    <w:rsid w:val="00CD3F77"/>
    <w:rsid w:val="00CD5D8D"/>
    <w:rsid w:val="00CD6ADC"/>
    <w:rsid w:val="00CD6D67"/>
    <w:rsid w:val="00CD7193"/>
    <w:rsid w:val="00CE0496"/>
    <w:rsid w:val="00CE0786"/>
    <w:rsid w:val="00CE085B"/>
    <w:rsid w:val="00CE0B40"/>
    <w:rsid w:val="00CE0EEA"/>
    <w:rsid w:val="00CE2732"/>
    <w:rsid w:val="00CE2D46"/>
    <w:rsid w:val="00CE2EB2"/>
    <w:rsid w:val="00CE38C8"/>
    <w:rsid w:val="00CE3941"/>
    <w:rsid w:val="00CE3D48"/>
    <w:rsid w:val="00CE4C4E"/>
    <w:rsid w:val="00CE5B29"/>
    <w:rsid w:val="00CE6274"/>
    <w:rsid w:val="00CE7413"/>
    <w:rsid w:val="00CE77B6"/>
    <w:rsid w:val="00CF2B8D"/>
    <w:rsid w:val="00CF456B"/>
    <w:rsid w:val="00CF4D89"/>
    <w:rsid w:val="00CF5A22"/>
    <w:rsid w:val="00CF6CDB"/>
    <w:rsid w:val="00D01C00"/>
    <w:rsid w:val="00D0262E"/>
    <w:rsid w:val="00D03271"/>
    <w:rsid w:val="00D04FE2"/>
    <w:rsid w:val="00D05966"/>
    <w:rsid w:val="00D05E3D"/>
    <w:rsid w:val="00D06139"/>
    <w:rsid w:val="00D07640"/>
    <w:rsid w:val="00D110BD"/>
    <w:rsid w:val="00D1128A"/>
    <w:rsid w:val="00D11F9F"/>
    <w:rsid w:val="00D13675"/>
    <w:rsid w:val="00D141E1"/>
    <w:rsid w:val="00D1438D"/>
    <w:rsid w:val="00D15314"/>
    <w:rsid w:val="00D17176"/>
    <w:rsid w:val="00D17D6C"/>
    <w:rsid w:val="00D20D94"/>
    <w:rsid w:val="00D2155B"/>
    <w:rsid w:val="00D22DEA"/>
    <w:rsid w:val="00D23D11"/>
    <w:rsid w:val="00D23D7E"/>
    <w:rsid w:val="00D24142"/>
    <w:rsid w:val="00D244B6"/>
    <w:rsid w:val="00D26016"/>
    <w:rsid w:val="00D2754D"/>
    <w:rsid w:val="00D27B27"/>
    <w:rsid w:val="00D325D7"/>
    <w:rsid w:val="00D33BE9"/>
    <w:rsid w:val="00D33F93"/>
    <w:rsid w:val="00D346A5"/>
    <w:rsid w:val="00D352C6"/>
    <w:rsid w:val="00D357FF"/>
    <w:rsid w:val="00D35E99"/>
    <w:rsid w:val="00D372C4"/>
    <w:rsid w:val="00D37648"/>
    <w:rsid w:val="00D403A8"/>
    <w:rsid w:val="00D40AE8"/>
    <w:rsid w:val="00D424C7"/>
    <w:rsid w:val="00D43B2A"/>
    <w:rsid w:val="00D43D83"/>
    <w:rsid w:val="00D451BF"/>
    <w:rsid w:val="00D45B9B"/>
    <w:rsid w:val="00D45CD8"/>
    <w:rsid w:val="00D47575"/>
    <w:rsid w:val="00D50A58"/>
    <w:rsid w:val="00D52113"/>
    <w:rsid w:val="00D5214D"/>
    <w:rsid w:val="00D5243B"/>
    <w:rsid w:val="00D533EC"/>
    <w:rsid w:val="00D53A9E"/>
    <w:rsid w:val="00D55738"/>
    <w:rsid w:val="00D56A95"/>
    <w:rsid w:val="00D57085"/>
    <w:rsid w:val="00D61A4E"/>
    <w:rsid w:val="00D62F90"/>
    <w:rsid w:val="00D6442A"/>
    <w:rsid w:val="00D64B5D"/>
    <w:rsid w:val="00D673FC"/>
    <w:rsid w:val="00D70F16"/>
    <w:rsid w:val="00D714E9"/>
    <w:rsid w:val="00D72F57"/>
    <w:rsid w:val="00D7539A"/>
    <w:rsid w:val="00D76031"/>
    <w:rsid w:val="00D76A44"/>
    <w:rsid w:val="00D76D79"/>
    <w:rsid w:val="00D815EF"/>
    <w:rsid w:val="00D81F26"/>
    <w:rsid w:val="00D85A35"/>
    <w:rsid w:val="00D86231"/>
    <w:rsid w:val="00D869CB"/>
    <w:rsid w:val="00D91923"/>
    <w:rsid w:val="00D91A59"/>
    <w:rsid w:val="00D93753"/>
    <w:rsid w:val="00D978CB"/>
    <w:rsid w:val="00D979E6"/>
    <w:rsid w:val="00DA18CE"/>
    <w:rsid w:val="00DA1D07"/>
    <w:rsid w:val="00DA3167"/>
    <w:rsid w:val="00DA3414"/>
    <w:rsid w:val="00DA4DC3"/>
    <w:rsid w:val="00DA77A5"/>
    <w:rsid w:val="00DB0120"/>
    <w:rsid w:val="00DB0EBC"/>
    <w:rsid w:val="00DB1E56"/>
    <w:rsid w:val="00DB246B"/>
    <w:rsid w:val="00DB3546"/>
    <w:rsid w:val="00DB3DBF"/>
    <w:rsid w:val="00DB484F"/>
    <w:rsid w:val="00DB49CD"/>
    <w:rsid w:val="00DB7F37"/>
    <w:rsid w:val="00DC04F6"/>
    <w:rsid w:val="00DC05E6"/>
    <w:rsid w:val="00DC0690"/>
    <w:rsid w:val="00DC1D65"/>
    <w:rsid w:val="00DC236C"/>
    <w:rsid w:val="00DC2808"/>
    <w:rsid w:val="00DC3C57"/>
    <w:rsid w:val="00DC5501"/>
    <w:rsid w:val="00DC5C03"/>
    <w:rsid w:val="00DC70AA"/>
    <w:rsid w:val="00DC7154"/>
    <w:rsid w:val="00DC7E8A"/>
    <w:rsid w:val="00DD0F78"/>
    <w:rsid w:val="00DD1018"/>
    <w:rsid w:val="00DD273C"/>
    <w:rsid w:val="00DD2F95"/>
    <w:rsid w:val="00DD3F28"/>
    <w:rsid w:val="00DD4537"/>
    <w:rsid w:val="00DD4E15"/>
    <w:rsid w:val="00DD6E62"/>
    <w:rsid w:val="00DE0315"/>
    <w:rsid w:val="00DE0AB8"/>
    <w:rsid w:val="00DE0B6E"/>
    <w:rsid w:val="00DE1329"/>
    <w:rsid w:val="00DE2304"/>
    <w:rsid w:val="00DE3138"/>
    <w:rsid w:val="00DE3360"/>
    <w:rsid w:val="00DE37F8"/>
    <w:rsid w:val="00DE4FCB"/>
    <w:rsid w:val="00DE5133"/>
    <w:rsid w:val="00DE5D07"/>
    <w:rsid w:val="00DE72A7"/>
    <w:rsid w:val="00DE7832"/>
    <w:rsid w:val="00DE7E7D"/>
    <w:rsid w:val="00DF03AF"/>
    <w:rsid w:val="00DF18FC"/>
    <w:rsid w:val="00DF3D61"/>
    <w:rsid w:val="00DF5B45"/>
    <w:rsid w:val="00DF5D2B"/>
    <w:rsid w:val="00DF79F0"/>
    <w:rsid w:val="00E00C3A"/>
    <w:rsid w:val="00E00E8E"/>
    <w:rsid w:val="00E0236A"/>
    <w:rsid w:val="00E02AD8"/>
    <w:rsid w:val="00E0468D"/>
    <w:rsid w:val="00E05630"/>
    <w:rsid w:val="00E06DBB"/>
    <w:rsid w:val="00E0773C"/>
    <w:rsid w:val="00E10149"/>
    <w:rsid w:val="00E10DA6"/>
    <w:rsid w:val="00E11340"/>
    <w:rsid w:val="00E11A31"/>
    <w:rsid w:val="00E120C6"/>
    <w:rsid w:val="00E122A1"/>
    <w:rsid w:val="00E129CF"/>
    <w:rsid w:val="00E132B4"/>
    <w:rsid w:val="00E13438"/>
    <w:rsid w:val="00E152E8"/>
    <w:rsid w:val="00E153CF"/>
    <w:rsid w:val="00E16372"/>
    <w:rsid w:val="00E2053D"/>
    <w:rsid w:val="00E20E4D"/>
    <w:rsid w:val="00E20ED6"/>
    <w:rsid w:val="00E21022"/>
    <w:rsid w:val="00E21358"/>
    <w:rsid w:val="00E2249B"/>
    <w:rsid w:val="00E22A0D"/>
    <w:rsid w:val="00E23168"/>
    <w:rsid w:val="00E244F6"/>
    <w:rsid w:val="00E26A49"/>
    <w:rsid w:val="00E27070"/>
    <w:rsid w:val="00E2746F"/>
    <w:rsid w:val="00E2771E"/>
    <w:rsid w:val="00E27CC0"/>
    <w:rsid w:val="00E30564"/>
    <w:rsid w:val="00E311EF"/>
    <w:rsid w:val="00E32180"/>
    <w:rsid w:val="00E329A9"/>
    <w:rsid w:val="00E34948"/>
    <w:rsid w:val="00E357F4"/>
    <w:rsid w:val="00E35E0F"/>
    <w:rsid w:val="00E35E82"/>
    <w:rsid w:val="00E37569"/>
    <w:rsid w:val="00E37D31"/>
    <w:rsid w:val="00E401B2"/>
    <w:rsid w:val="00E41E30"/>
    <w:rsid w:val="00E42F73"/>
    <w:rsid w:val="00E43D70"/>
    <w:rsid w:val="00E466F3"/>
    <w:rsid w:val="00E4792A"/>
    <w:rsid w:val="00E47B2C"/>
    <w:rsid w:val="00E5088B"/>
    <w:rsid w:val="00E510EE"/>
    <w:rsid w:val="00E51560"/>
    <w:rsid w:val="00E51A32"/>
    <w:rsid w:val="00E52001"/>
    <w:rsid w:val="00E53FC8"/>
    <w:rsid w:val="00E54347"/>
    <w:rsid w:val="00E5438D"/>
    <w:rsid w:val="00E549C8"/>
    <w:rsid w:val="00E55424"/>
    <w:rsid w:val="00E55700"/>
    <w:rsid w:val="00E55915"/>
    <w:rsid w:val="00E559D9"/>
    <w:rsid w:val="00E55BB5"/>
    <w:rsid w:val="00E57712"/>
    <w:rsid w:val="00E579E4"/>
    <w:rsid w:val="00E627DA"/>
    <w:rsid w:val="00E62AD1"/>
    <w:rsid w:val="00E65E79"/>
    <w:rsid w:val="00E6604F"/>
    <w:rsid w:val="00E6653C"/>
    <w:rsid w:val="00E66BA2"/>
    <w:rsid w:val="00E67050"/>
    <w:rsid w:val="00E67416"/>
    <w:rsid w:val="00E70BDA"/>
    <w:rsid w:val="00E7189F"/>
    <w:rsid w:val="00E718B6"/>
    <w:rsid w:val="00E723BA"/>
    <w:rsid w:val="00E73581"/>
    <w:rsid w:val="00E759DF"/>
    <w:rsid w:val="00E771D9"/>
    <w:rsid w:val="00E80EFE"/>
    <w:rsid w:val="00E82BD1"/>
    <w:rsid w:val="00E833F7"/>
    <w:rsid w:val="00E83BDF"/>
    <w:rsid w:val="00E85B71"/>
    <w:rsid w:val="00E87A1D"/>
    <w:rsid w:val="00E9094A"/>
    <w:rsid w:val="00E91D35"/>
    <w:rsid w:val="00E926A5"/>
    <w:rsid w:val="00E93174"/>
    <w:rsid w:val="00E97C4E"/>
    <w:rsid w:val="00EA0C95"/>
    <w:rsid w:val="00EA0CCA"/>
    <w:rsid w:val="00EA17C3"/>
    <w:rsid w:val="00EA2AEF"/>
    <w:rsid w:val="00EA2CAA"/>
    <w:rsid w:val="00EA3864"/>
    <w:rsid w:val="00EA57E6"/>
    <w:rsid w:val="00EA7F1C"/>
    <w:rsid w:val="00EB0732"/>
    <w:rsid w:val="00EB147C"/>
    <w:rsid w:val="00EB15B6"/>
    <w:rsid w:val="00EB17E3"/>
    <w:rsid w:val="00EB3D06"/>
    <w:rsid w:val="00EB42B3"/>
    <w:rsid w:val="00EB4916"/>
    <w:rsid w:val="00EB6B3A"/>
    <w:rsid w:val="00EB6FFF"/>
    <w:rsid w:val="00EC00C9"/>
    <w:rsid w:val="00EC0DD9"/>
    <w:rsid w:val="00EC1DAE"/>
    <w:rsid w:val="00EC2649"/>
    <w:rsid w:val="00EC31ED"/>
    <w:rsid w:val="00EC5836"/>
    <w:rsid w:val="00EC5B35"/>
    <w:rsid w:val="00EC5F03"/>
    <w:rsid w:val="00EC688C"/>
    <w:rsid w:val="00EC733A"/>
    <w:rsid w:val="00EC7C80"/>
    <w:rsid w:val="00ED350E"/>
    <w:rsid w:val="00ED40E1"/>
    <w:rsid w:val="00ED410F"/>
    <w:rsid w:val="00ED57EA"/>
    <w:rsid w:val="00ED5BD4"/>
    <w:rsid w:val="00ED6E93"/>
    <w:rsid w:val="00EE000B"/>
    <w:rsid w:val="00EE07D3"/>
    <w:rsid w:val="00EE1996"/>
    <w:rsid w:val="00EE1C01"/>
    <w:rsid w:val="00EE2174"/>
    <w:rsid w:val="00EE22AF"/>
    <w:rsid w:val="00EE2EBE"/>
    <w:rsid w:val="00EE55C2"/>
    <w:rsid w:val="00EF0171"/>
    <w:rsid w:val="00EF0CFC"/>
    <w:rsid w:val="00EF1B25"/>
    <w:rsid w:val="00EF1DA0"/>
    <w:rsid w:val="00EF3EA9"/>
    <w:rsid w:val="00EF3F05"/>
    <w:rsid w:val="00EF4747"/>
    <w:rsid w:val="00EF4A52"/>
    <w:rsid w:val="00EF4BF8"/>
    <w:rsid w:val="00EF5110"/>
    <w:rsid w:val="00EF6460"/>
    <w:rsid w:val="00F016F3"/>
    <w:rsid w:val="00F02253"/>
    <w:rsid w:val="00F02513"/>
    <w:rsid w:val="00F03C2E"/>
    <w:rsid w:val="00F04A66"/>
    <w:rsid w:val="00F04B4B"/>
    <w:rsid w:val="00F0516C"/>
    <w:rsid w:val="00F0547B"/>
    <w:rsid w:val="00F067A2"/>
    <w:rsid w:val="00F0799F"/>
    <w:rsid w:val="00F07B9E"/>
    <w:rsid w:val="00F1108C"/>
    <w:rsid w:val="00F1116F"/>
    <w:rsid w:val="00F11E53"/>
    <w:rsid w:val="00F1263A"/>
    <w:rsid w:val="00F144E6"/>
    <w:rsid w:val="00F15B77"/>
    <w:rsid w:val="00F15BA6"/>
    <w:rsid w:val="00F22C26"/>
    <w:rsid w:val="00F24837"/>
    <w:rsid w:val="00F255AB"/>
    <w:rsid w:val="00F2575F"/>
    <w:rsid w:val="00F27565"/>
    <w:rsid w:val="00F310D4"/>
    <w:rsid w:val="00F312E2"/>
    <w:rsid w:val="00F31D5A"/>
    <w:rsid w:val="00F33975"/>
    <w:rsid w:val="00F33DE9"/>
    <w:rsid w:val="00F35E6D"/>
    <w:rsid w:val="00F35E91"/>
    <w:rsid w:val="00F3619A"/>
    <w:rsid w:val="00F36FEF"/>
    <w:rsid w:val="00F40089"/>
    <w:rsid w:val="00F40AAA"/>
    <w:rsid w:val="00F40BA7"/>
    <w:rsid w:val="00F40F9D"/>
    <w:rsid w:val="00F41ACD"/>
    <w:rsid w:val="00F45052"/>
    <w:rsid w:val="00F4649E"/>
    <w:rsid w:val="00F46CB6"/>
    <w:rsid w:val="00F4756D"/>
    <w:rsid w:val="00F47DE8"/>
    <w:rsid w:val="00F519A4"/>
    <w:rsid w:val="00F542C1"/>
    <w:rsid w:val="00F55E73"/>
    <w:rsid w:val="00F55EDA"/>
    <w:rsid w:val="00F56C80"/>
    <w:rsid w:val="00F578D7"/>
    <w:rsid w:val="00F57A8F"/>
    <w:rsid w:val="00F60092"/>
    <w:rsid w:val="00F61587"/>
    <w:rsid w:val="00F61C18"/>
    <w:rsid w:val="00F65F4B"/>
    <w:rsid w:val="00F67365"/>
    <w:rsid w:val="00F67A69"/>
    <w:rsid w:val="00F70BFF"/>
    <w:rsid w:val="00F70C9D"/>
    <w:rsid w:val="00F7196C"/>
    <w:rsid w:val="00F7482A"/>
    <w:rsid w:val="00F74956"/>
    <w:rsid w:val="00F74CD9"/>
    <w:rsid w:val="00F75D9B"/>
    <w:rsid w:val="00F7631C"/>
    <w:rsid w:val="00F8017F"/>
    <w:rsid w:val="00F80441"/>
    <w:rsid w:val="00F80A7B"/>
    <w:rsid w:val="00F80E5D"/>
    <w:rsid w:val="00F81E78"/>
    <w:rsid w:val="00F84D19"/>
    <w:rsid w:val="00F84FE4"/>
    <w:rsid w:val="00F851CE"/>
    <w:rsid w:val="00F85718"/>
    <w:rsid w:val="00F86759"/>
    <w:rsid w:val="00F91219"/>
    <w:rsid w:val="00F92444"/>
    <w:rsid w:val="00F9252F"/>
    <w:rsid w:val="00F9393E"/>
    <w:rsid w:val="00F96B27"/>
    <w:rsid w:val="00F96FD0"/>
    <w:rsid w:val="00F97A78"/>
    <w:rsid w:val="00FA0B20"/>
    <w:rsid w:val="00FA0D36"/>
    <w:rsid w:val="00FA0ED3"/>
    <w:rsid w:val="00FA24E7"/>
    <w:rsid w:val="00FA42BB"/>
    <w:rsid w:val="00FA453E"/>
    <w:rsid w:val="00FA5EE6"/>
    <w:rsid w:val="00FA62F4"/>
    <w:rsid w:val="00FA70C2"/>
    <w:rsid w:val="00FA7956"/>
    <w:rsid w:val="00FB07D5"/>
    <w:rsid w:val="00FB084D"/>
    <w:rsid w:val="00FB118F"/>
    <w:rsid w:val="00FB2FCB"/>
    <w:rsid w:val="00FB394D"/>
    <w:rsid w:val="00FB7808"/>
    <w:rsid w:val="00FB7C55"/>
    <w:rsid w:val="00FC1074"/>
    <w:rsid w:val="00FC1427"/>
    <w:rsid w:val="00FC1884"/>
    <w:rsid w:val="00FC1B59"/>
    <w:rsid w:val="00FC3059"/>
    <w:rsid w:val="00FC371D"/>
    <w:rsid w:val="00FC4AB1"/>
    <w:rsid w:val="00FC5F0B"/>
    <w:rsid w:val="00FC5FDE"/>
    <w:rsid w:val="00FD06EF"/>
    <w:rsid w:val="00FD2100"/>
    <w:rsid w:val="00FD2791"/>
    <w:rsid w:val="00FD436C"/>
    <w:rsid w:val="00FD446D"/>
    <w:rsid w:val="00FD4F2C"/>
    <w:rsid w:val="00FD6394"/>
    <w:rsid w:val="00FD6EE4"/>
    <w:rsid w:val="00FE05F5"/>
    <w:rsid w:val="00FE0C2E"/>
    <w:rsid w:val="00FE0E6C"/>
    <w:rsid w:val="00FE14E1"/>
    <w:rsid w:val="00FE1CDC"/>
    <w:rsid w:val="00FE70C3"/>
    <w:rsid w:val="00FF2AD9"/>
    <w:rsid w:val="00FF359F"/>
    <w:rsid w:val="00FF3DCF"/>
    <w:rsid w:val="00FF492C"/>
    <w:rsid w:val="00FF4A21"/>
    <w:rsid w:val="00FF581E"/>
    <w:rsid w:val="00FF59B9"/>
    <w:rsid w:val="00FF5AA3"/>
    <w:rsid w:val="00FF5AD8"/>
    <w:rsid w:val="00FF6A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12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5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uiPriority w:val="99"/>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uiPriority w:val="99"/>
    <w:rsid w:val="00EE1996"/>
    <w:rPr>
      <w:rFonts w:ascii="Arial Narrow" w:eastAsiaTheme="majorEastAsia" w:hAnsi="Arial Narrow" w:cstheme="majorBidi"/>
      <w:bCs/>
      <w:szCs w:val="24"/>
    </w:rPr>
  </w:style>
  <w:style w:type="character" w:styleId="CommentReference">
    <w:name w:val="annotation reference"/>
    <w:basedOn w:val="DefaultParagraphFont"/>
    <w:uiPriority w:val="99"/>
    <w:semiHidden/>
    <w:unhideWhenUsed/>
    <w:rsid w:val="000E46AD"/>
    <w:rPr>
      <w:sz w:val="16"/>
      <w:szCs w:val="16"/>
    </w:rPr>
  </w:style>
  <w:style w:type="paragraph" w:styleId="CommentText">
    <w:name w:val="annotation text"/>
    <w:basedOn w:val="Normal"/>
    <w:link w:val="CommentTextChar"/>
    <w:uiPriority w:val="99"/>
    <w:unhideWhenUsed/>
    <w:rsid w:val="000E46AD"/>
    <w:rPr>
      <w:sz w:val="20"/>
      <w:szCs w:val="20"/>
    </w:rPr>
  </w:style>
  <w:style w:type="character" w:customStyle="1" w:styleId="CommentTextChar">
    <w:name w:val="Comment Text Char"/>
    <w:basedOn w:val="DefaultParagraphFont"/>
    <w:link w:val="CommentText"/>
    <w:uiPriority w:val="99"/>
    <w:rsid w:val="000E46AD"/>
    <w:rPr>
      <w:rFonts w:ascii="Calibri" w:hAnsi="Calibri" w:cs="Arial"/>
    </w:rPr>
  </w:style>
  <w:style w:type="paragraph" w:styleId="CommentSubject">
    <w:name w:val="annotation subject"/>
    <w:basedOn w:val="CommentText"/>
    <w:next w:val="CommentText"/>
    <w:link w:val="CommentSubjectChar"/>
    <w:semiHidden/>
    <w:unhideWhenUsed/>
    <w:rsid w:val="000E46AD"/>
    <w:rPr>
      <w:b/>
      <w:bCs/>
    </w:rPr>
  </w:style>
  <w:style w:type="character" w:customStyle="1" w:styleId="CommentSubjectChar">
    <w:name w:val="Comment Subject Char"/>
    <w:basedOn w:val="CommentTextChar"/>
    <w:link w:val="CommentSubject"/>
    <w:semiHidden/>
    <w:rsid w:val="000E46AD"/>
    <w:rPr>
      <w:rFonts w:ascii="Calibri" w:hAnsi="Calibri" w:cs="Arial"/>
      <w:b/>
      <w:bCs/>
    </w:rPr>
  </w:style>
  <w:style w:type="paragraph" w:customStyle="1" w:styleId="TableFooter">
    <w:name w:val="Table Footer"/>
    <w:basedOn w:val="Normal"/>
    <w:link w:val="TableFooterChar"/>
    <w:qFormat/>
    <w:rsid w:val="004231EB"/>
    <w:pPr>
      <w:widowControl w:val="0"/>
    </w:pPr>
    <w:rPr>
      <w:rFonts w:ascii="Arial Narrow" w:hAnsi="Arial Narrow"/>
      <w:snapToGrid w:val="0"/>
      <w:sz w:val="18"/>
      <w:szCs w:val="22"/>
      <w:lang w:eastAsia="en-US"/>
    </w:rPr>
  </w:style>
  <w:style w:type="character" w:customStyle="1" w:styleId="TableFooterChar">
    <w:name w:val="Table Footer Char"/>
    <w:link w:val="TableFooter"/>
    <w:rsid w:val="004231EB"/>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4231EB"/>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231EB"/>
    <w:rPr>
      <w:rFonts w:ascii="Arial Narrow" w:eastAsiaTheme="minorHAnsi" w:hAnsi="Arial Narrow" w:cstheme="minorBidi"/>
      <w:b/>
      <w:szCs w:val="22"/>
      <w:lang w:eastAsia="en-US"/>
    </w:rPr>
  </w:style>
  <w:style w:type="character" w:customStyle="1" w:styleId="CaptionChar">
    <w:name w:val="Caption Char"/>
    <w:aliases w:val="Inset title Char,Caption Char1 Char Char,Caption Char Char Char Char,Bayer Caption Char,IB Caption Char,Medical Caption Char,- H17 Char,Caption Char2 Char Char,Caption Char Char Char2 Char,Caption Char1 Char Char Char1 Char,Char Char"/>
    <w:basedOn w:val="DefaultParagraphFont"/>
    <w:link w:val="Caption"/>
    <w:uiPriority w:val="99"/>
    <w:rsid w:val="000C5503"/>
    <w:rPr>
      <w:rFonts w:ascii="Calibri" w:hAnsi="Calibri"/>
      <w:b/>
      <w:bCs/>
      <w:szCs w:val="18"/>
    </w:rPr>
  </w:style>
  <w:style w:type="paragraph" w:styleId="Caption">
    <w:name w:val="caption"/>
    <w:aliases w:val="Inset title,Caption Char1 Char,Caption Char Char Char,Bayer Caption,IB Caption,Medical Caption,- H17,Caption Char2 Char,Caption Char Char Char2,Caption Char1 Char Char Char1,Caption Char2 Char Char Char1 Char1,Char"/>
    <w:basedOn w:val="Normal"/>
    <w:next w:val="Normal"/>
    <w:link w:val="CaptionChar"/>
    <w:uiPriority w:val="99"/>
    <w:qFormat/>
    <w:rsid w:val="000C5503"/>
    <w:pPr>
      <w:spacing w:after="120"/>
    </w:pPr>
    <w:rPr>
      <w:rFonts w:cs="Times New Roman"/>
      <w:b/>
      <w:bCs/>
      <w:sz w:val="20"/>
      <w:szCs w:val="18"/>
    </w:rPr>
  </w:style>
  <w:style w:type="paragraph" w:customStyle="1" w:styleId="BulletLast">
    <w:name w:val="Bullet Last"/>
    <w:basedOn w:val="Normal"/>
    <w:qFormat/>
    <w:rsid w:val="000C5503"/>
    <w:pPr>
      <w:numPr>
        <w:numId w:val="9"/>
      </w:numPr>
      <w:spacing w:after="240"/>
    </w:pPr>
    <w:rPr>
      <w:rFonts w:asciiTheme="minorHAnsi" w:eastAsiaTheme="minorHAnsi" w:hAnsiTheme="minorHAnsi" w:cstheme="minorBidi"/>
      <w:sz w:val="22"/>
      <w:szCs w:val="22"/>
      <w:lang w:eastAsia="en-US"/>
    </w:rPr>
  </w:style>
  <w:style w:type="paragraph" w:customStyle="1" w:styleId="TableLeft">
    <w:name w:val="Table Left"/>
    <w:basedOn w:val="Normal"/>
    <w:link w:val="TableLeftChar"/>
    <w:uiPriority w:val="99"/>
    <w:qFormat/>
    <w:rsid w:val="000C5503"/>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0C5503"/>
    <w:rPr>
      <w:rFonts w:ascii="Calibri" w:eastAsiaTheme="majorEastAsia" w:hAnsi="Calibri" w:cstheme="majorBidi"/>
      <w:sz w:val="18"/>
      <w:szCs w:val="22"/>
      <w:lang w:eastAsia="en-US" w:bidi="en-US"/>
    </w:rPr>
  </w:style>
  <w:style w:type="paragraph" w:styleId="ListParagraph">
    <w:name w:val="List Paragraph"/>
    <w:aliases w:val="BulletPoints,Figure_name,List Paragraph1,Numbered Indented Text,Bullet- First level,List NUmber,Listenabsatz1,lp1,List Paragraph11,Style 2,TOC style,List Paragraph2,List Paragraph Char Char,Number_1,SGLText List Paragraph,new,Footnote"/>
    <w:basedOn w:val="Normal"/>
    <w:link w:val="ListParagraphChar"/>
    <w:uiPriority w:val="34"/>
    <w:qFormat/>
    <w:rsid w:val="004925DE"/>
    <w:pPr>
      <w:ind w:left="720"/>
      <w:contextualSpacing/>
    </w:pPr>
  </w:style>
  <w:style w:type="paragraph" w:styleId="EndnoteText">
    <w:name w:val="endnote text"/>
    <w:basedOn w:val="Normal"/>
    <w:link w:val="EndnoteTextChar"/>
    <w:semiHidden/>
    <w:unhideWhenUsed/>
    <w:rsid w:val="00D869CB"/>
    <w:rPr>
      <w:sz w:val="20"/>
      <w:szCs w:val="20"/>
    </w:rPr>
  </w:style>
  <w:style w:type="character" w:customStyle="1" w:styleId="EndnoteTextChar">
    <w:name w:val="Endnote Text Char"/>
    <w:basedOn w:val="DefaultParagraphFont"/>
    <w:link w:val="EndnoteText"/>
    <w:semiHidden/>
    <w:rsid w:val="00D869CB"/>
    <w:rPr>
      <w:rFonts w:ascii="Calibri" w:hAnsi="Calibri" w:cs="Arial"/>
    </w:rPr>
  </w:style>
  <w:style w:type="character" w:styleId="EndnoteReference">
    <w:name w:val="endnote reference"/>
    <w:basedOn w:val="DefaultParagraphFont"/>
    <w:semiHidden/>
    <w:unhideWhenUsed/>
    <w:rsid w:val="00D869CB"/>
    <w:rPr>
      <w:vertAlign w:val="superscript"/>
    </w:rPr>
  </w:style>
  <w:style w:type="paragraph" w:styleId="FootnoteText">
    <w:name w:val="footnote text"/>
    <w:basedOn w:val="Normal"/>
    <w:link w:val="FootnoteTextChar"/>
    <w:semiHidden/>
    <w:unhideWhenUsed/>
    <w:rsid w:val="00D869CB"/>
    <w:rPr>
      <w:sz w:val="20"/>
      <w:szCs w:val="20"/>
    </w:rPr>
  </w:style>
  <w:style w:type="character" w:customStyle="1" w:styleId="FootnoteTextChar">
    <w:name w:val="Footnote Text Char"/>
    <w:basedOn w:val="DefaultParagraphFont"/>
    <w:link w:val="FootnoteText"/>
    <w:semiHidden/>
    <w:rsid w:val="00D869CB"/>
    <w:rPr>
      <w:rFonts w:ascii="Calibri" w:hAnsi="Calibri" w:cs="Arial"/>
    </w:rPr>
  </w:style>
  <w:style w:type="character" w:styleId="FootnoteReference">
    <w:name w:val="footnote reference"/>
    <w:basedOn w:val="DefaultParagraphFont"/>
    <w:semiHidden/>
    <w:unhideWhenUsed/>
    <w:rsid w:val="00D869CB"/>
    <w:rPr>
      <w:vertAlign w:val="superscript"/>
    </w:rPr>
  </w:style>
  <w:style w:type="paragraph" w:customStyle="1" w:styleId="Tabletextleft">
    <w:name w:val="Table text left"/>
    <w:basedOn w:val="Normal"/>
    <w:link w:val="TabletextleftChar"/>
    <w:qFormat/>
    <w:rsid w:val="00EA0CCA"/>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EA0CCA"/>
    <w:rPr>
      <w:rFonts w:asciiTheme="minorHAnsi" w:hAnsiTheme="minorHAnsi"/>
      <w:sz w:val="18"/>
    </w:rPr>
  </w:style>
  <w:style w:type="paragraph" w:customStyle="1" w:styleId="Tabletextcent">
    <w:name w:val="Table text cent"/>
    <w:basedOn w:val="Tabletextleft"/>
    <w:qFormat/>
    <w:rsid w:val="00EA0CCA"/>
    <w:pPr>
      <w:ind w:left="113" w:right="113"/>
      <w:jc w:val="center"/>
    </w:pPr>
    <w:rPr>
      <w:rFonts w:ascii="Calibri" w:hAnsi="Calibri"/>
      <w:sz w:val="20"/>
      <w:lang w:val="de-DE"/>
    </w:rPr>
  </w:style>
  <w:style w:type="paragraph" w:customStyle="1" w:styleId="Tableheadingcent">
    <w:name w:val="Table heading cent"/>
    <w:basedOn w:val="Normal"/>
    <w:qFormat/>
    <w:rsid w:val="00EA0CCA"/>
    <w:pPr>
      <w:spacing w:before="40" w:after="40"/>
      <w:jc w:val="center"/>
    </w:pPr>
    <w:rPr>
      <w:rFonts w:asciiTheme="minorHAnsi" w:eastAsiaTheme="minorHAnsi" w:hAnsiTheme="minorHAnsi" w:cs="Tahoma"/>
      <w:b/>
      <w:sz w:val="20"/>
      <w:szCs w:val="18"/>
      <w:lang w:val="de-DE" w:eastAsia="en-US"/>
    </w:rPr>
  </w:style>
  <w:style w:type="table" w:customStyle="1" w:styleId="ELILILLYTABLE">
    <w:name w:val="ELI_LILLY TABLE"/>
    <w:basedOn w:val="TableNormal"/>
    <w:uiPriority w:val="99"/>
    <w:rsid w:val="00EA0CCA"/>
    <w:pPr>
      <w:spacing w:before="20" w:after="20"/>
      <w:ind w:left="113" w:right="113"/>
    </w:pPr>
    <w:rPr>
      <w:rFonts w:ascii="Calibri" w:eastAsiaTheme="minorHAnsi" w:hAnsi="Calibr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paragraph" w:customStyle="1" w:styleId="TableHeadingleft">
    <w:name w:val="Table Heading left"/>
    <w:basedOn w:val="Normal"/>
    <w:next w:val="Tabletextleft"/>
    <w:qFormat/>
    <w:rsid w:val="00EA0CCA"/>
    <w:pPr>
      <w:spacing w:before="40" w:after="40"/>
      <w:jc w:val="left"/>
    </w:pPr>
    <w:rPr>
      <w:rFonts w:asciiTheme="minorHAnsi" w:eastAsiaTheme="minorHAnsi" w:hAnsiTheme="minorHAnsi" w:cs="Tahoma"/>
      <w:b/>
      <w:sz w:val="20"/>
      <w:szCs w:val="18"/>
      <w:lang w:val="de-DE" w:eastAsia="en-US"/>
    </w:rPr>
  </w:style>
  <w:style w:type="character" w:customStyle="1" w:styleId="normaltextrun">
    <w:name w:val="normaltextrun"/>
    <w:basedOn w:val="DefaultParagraphFont"/>
    <w:rsid w:val="000D3410"/>
  </w:style>
  <w:style w:type="paragraph" w:styleId="Header">
    <w:name w:val="header"/>
    <w:aliases w:val="Page Header,Header title,he=header,cntr/bld"/>
    <w:basedOn w:val="Normal"/>
    <w:link w:val="HeaderChar"/>
    <w:uiPriority w:val="99"/>
    <w:unhideWhenUsed/>
    <w:qFormat/>
    <w:rsid w:val="008E249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E2497"/>
    <w:rPr>
      <w:rFonts w:ascii="Calibri" w:hAnsi="Calibri" w:cs="Arial"/>
      <w:sz w:val="24"/>
      <w:szCs w:val="24"/>
    </w:rPr>
  </w:style>
  <w:style w:type="paragraph" w:styleId="Footer">
    <w:name w:val="footer"/>
    <w:basedOn w:val="Normal"/>
    <w:link w:val="FooterChar"/>
    <w:uiPriority w:val="99"/>
    <w:unhideWhenUsed/>
    <w:rsid w:val="008E2497"/>
    <w:pPr>
      <w:tabs>
        <w:tab w:val="center" w:pos="4513"/>
        <w:tab w:val="right" w:pos="9026"/>
      </w:tabs>
    </w:pPr>
  </w:style>
  <w:style w:type="character" w:customStyle="1" w:styleId="FooterChar">
    <w:name w:val="Footer Char"/>
    <w:basedOn w:val="DefaultParagraphFont"/>
    <w:link w:val="Footer"/>
    <w:uiPriority w:val="99"/>
    <w:rsid w:val="008E2497"/>
    <w:rPr>
      <w:rFonts w:ascii="Calibri" w:hAnsi="Calibri" w:cs="Arial"/>
      <w:sz w:val="24"/>
      <w:szCs w:val="24"/>
    </w:rPr>
  </w:style>
  <w:style w:type="character" w:customStyle="1" w:styleId="ListParagraphChar">
    <w:name w:val="List Paragraph Char"/>
    <w:aliases w:val="BulletPoints Char,Figure_name Char,List Paragraph1 Char,Numbered Indented Text Char,Bullet- First level Char,List NUmber Char,Listenabsatz1 Char,lp1 Char,List Paragraph11 Char,Style 2 Char,TOC style Char,List Paragraph2 Char,new Char"/>
    <w:link w:val="ListParagraph"/>
    <w:uiPriority w:val="34"/>
    <w:qFormat/>
    <w:locked/>
    <w:rsid w:val="004E72A8"/>
    <w:rPr>
      <w:rFonts w:ascii="Calibri" w:hAnsi="Calibri" w:cs="Arial"/>
      <w:sz w:val="24"/>
      <w:szCs w:val="24"/>
    </w:rPr>
  </w:style>
  <w:style w:type="paragraph" w:customStyle="1" w:styleId="PBACHeading1">
    <w:name w:val="PBAC Heading 1"/>
    <w:qFormat/>
    <w:rsid w:val="00A61844"/>
    <w:pPr>
      <w:ind w:left="720" w:hanging="720"/>
      <w:outlineLvl w:val="0"/>
    </w:pPr>
    <w:rPr>
      <w:rFonts w:ascii="Calibri" w:hAnsi="Calibri" w:cs="Calibri"/>
      <w:b/>
      <w:snapToGrid w:val="0"/>
      <w:sz w:val="32"/>
      <w:szCs w:val="32"/>
      <w:lang w:eastAsia="en-US"/>
    </w:rPr>
  </w:style>
  <w:style w:type="paragraph" w:styleId="NoSpacing">
    <w:name w:val="No Spacing"/>
    <w:uiPriority w:val="1"/>
    <w:qFormat/>
    <w:rsid w:val="00A83CB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372811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99631333">
      <w:bodyDiv w:val="1"/>
      <w:marLeft w:val="0"/>
      <w:marRight w:val="0"/>
      <w:marTop w:val="0"/>
      <w:marBottom w:val="0"/>
      <w:divBdr>
        <w:top w:val="none" w:sz="0" w:space="0" w:color="auto"/>
        <w:left w:val="none" w:sz="0" w:space="0" w:color="auto"/>
        <w:bottom w:val="none" w:sz="0" w:space="0" w:color="auto"/>
        <w:right w:val="none" w:sz="0" w:space="0" w:color="auto"/>
      </w:divBdr>
      <w:divsChild>
        <w:div w:id="1371808612">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29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4385514">
      <w:bodyDiv w:val="1"/>
      <w:marLeft w:val="0"/>
      <w:marRight w:val="0"/>
      <w:marTop w:val="0"/>
      <w:marBottom w:val="0"/>
      <w:divBdr>
        <w:top w:val="none" w:sz="0" w:space="0" w:color="auto"/>
        <w:left w:val="none" w:sz="0" w:space="0" w:color="auto"/>
        <w:bottom w:val="none" w:sz="0" w:space="0" w:color="auto"/>
        <w:right w:val="none" w:sz="0" w:space="0" w:color="auto"/>
      </w:divBdr>
      <w:divsChild>
        <w:div w:id="726415139">
          <w:marLeft w:val="360"/>
          <w:marRight w:val="0"/>
          <w:marTop w:val="200"/>
          <w:marBottom w:val="0"/>
          <w:divBdr>
            <w:top w:val="none" w:sz="0" w:space="0" w:color="auto"/>
            <w:left w:val="none" w:sz="0" w:space="0" w:color="auto"/>
            <w:bottom w:val="none" w:sz="0" w:space="0" w:color="auto"/>
            <w:right w:val="none" w:sz="0" w:space="0" w:color="auto"/>
          </w:divBdr>
        </w:div>
        <w:div w:id="355812708">
          <w:marLeft w:val="1080"/>
          <w:marRight w:val="0"/>
          <w:marTop w:val="100"/>
          <w:marBottom w:val="0"/>
          <w:divBdr>
            <w:top w:val="none" w:sz="0" w:space="0" w:color="auto"/>
            <w:left w:val="none" w:sz="0" w:space="0" w:color="auto"/>
            <w:bottom w:val="none" w:sz="0" w:space="0" w:color="auto"/>
            <w:right w:val="none" w:sz="0" w:space="0" w:color="auto"/>
          </w:divBdr>
        </w:div>
        <w:div w:id="1615752457">
          <w:marLeft w:val="1080"/>
          <w:marRight w:val="0"/>
          <w:marTop w:val="100"/>
          <w:marBottom w:val="0"/>
          <w:divBdr>
            <w:top w:val="none" w:sz="0" w:space="0" w:color="auto"/>
            <w:left w:val="none" w:sz="0" w:space="0" w:color="auto"/>
            <w:bottom w:val="none" w:sz="0" w:space="0" w:color="auto"/>
            <w:right w:val="none" w:sz="0" w:space="0" w:color="auto"/>
          </w:divBdr>
        </w:div>
        <w:div w:id="2053924341">
          <w:marLeft w:val="1080"/>
          <w:marRight w:val="0"/>
          <w:marTop w:val="100"/>
          <w:marBottom w:val="0"/>
          <w:divBdr>
            <w:top w:val="none" w:sz="0" w:space="0" w:color="auto"/>
            <w:left w:val="none" w:sz="0" w:space="0" w:color="auto"/>
            <w:bottom w:val="none" w:sz="0" w:space="0" w:color="auto"/>
            <w:right w:val="none" w:sz="0" w:space="0" w:color="auto"/>
          </w:divBdr>
        </w:div>
        <w:div w:id="1312909374">
          <w:marLeft w:val="1080"/>
          <w:marRight w:val="0"/>
          <w:marTop w:val="100"/>
          <w:marBottom w:val="0"/>
          <w:divBdr>
            <w:top w:val="none" w:sz="0" w:space="0" w:color="auto"/>
            <w:left w:val="none" w:sz="0" w:space="0" w:color="auto"/>
            <w:bottom w:val="none" w:sz="0" w:space="0" w:color="auto"/>
            <w:right w:val="none" w:sz="0" w:space="0" w:color="auto"/>
          </w:divBdr>
        </w:div>
        <w:div w:id="9014045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ottishmedicines.org.uk/medicines-advice/melatonin-slenyto-resubmission-smc2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F625-1512-4B46-A159-0DC9C843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11777</Words>
  <Characters>66111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2021-07-08T04:41:00Z</dcterms:created>
  <dcterms:modified xsi:type="dcterms:W3CDTF">2021-07-08T04:41:00Z</dcterms:modified>
</cp:coreProperties>
</file>