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3718" w:rsidRDefault="00A334F3" w:rsidP="00BE64AA">
      <w:pPr>
        <w:pStyle w:val="1-MainHeading"/>
      </w:pPr>
      <w:bookmarkStart w:id="0" w:name="_Toc61962132"/>
      <w:r>
        <w:t>5.12</w:t>
      </w:r>
      <w:r w:rsidR="00E13718">
        <w:tab/>
      </w:r>
      <w:r w:rsidR="00E13718" w:rsidRPr="00874267">
        <w:rPr>
          <w:caps/>
        </w:rPr>
        <w:t>Niraparib</w:t>
      </w:r>
      <w:r w:rsidR="00E23342">
        <w:t>,</w:t>
      </w:r>
      <w:r w:rsidR="00E23342">
        <w:br/>
        <w:t>Capsule</w:t>
      </w:r>
      <w:r w:rsidR="00E13718">
        <w:t xml:space="preserve"> 100</w:t>
      </w:r>
      <w:r w:rsidR="000939EE">
        <w:t xml:space="preserve"> </w:t>
      </w:r>
      <w:r w:rsidR="00E13718">
        <w:t>mg,</w:t>
      </w:r>
      <w:r w:rsidR="00E13718">
        <w:br/>
      </w:r>
      <w:r w:rsidR="00E13718" w:rsidRPr="001C6BAC">
        <w:t>Zejula</w:t>
      </w:r>
      <w:r w:rsidR="00E13718" w:rsidRPr="001C6BAC">
        <w:rPr>
          <w:vertAlign w:val="superscript"/>
        </w:rPr>
        <w:t>®</w:t>
      </w:r>
      <w:r w:rsidR="001C6BAC">
        <w:t>,</w:t>
      </w:r>
      <w:r w:rsidR="00E13718" w:rsidRPr="004A6040">
        <w:br/>
      </w:r>
      <w:r w:rsidR="00E13718" w:rsidRPr="007D0088">
        <w:t>GlaxoSmithKline Australia Pty Ltd</w:t>
      </w:r>
      <w:bookmarkEnd w:id="0"/>
    </w:p>
    <w:p w:rsidR="00E13718" w:rsidRPr="00407F2D" w:rsidRDefault="00E13718" w:rsidP="00BE64AA">
      <w:pPr>
        <w:pStyle w:val="2-SectionHeading"/>
      </w:pPr>
      <w:bookmarkStart w:id="1" w:name="_Toc61962134"/>
      <w:r w:rsidRPr="00407F2D">
        <w:t xml:space="preserve">Purpose of </w:t>
      </w:r>
      <w:r>
        <w:t>submission</w:t>
      </w:r>
      <w:bookmarkEnd w:id="1"/>
      <w:r>
        <w:t xml:space="preserve"> </w:t>
      </w:r>
    </w:p>
    <w:p w:rsidR="00E13718" w:rsidRPr="00603289" w:rsidRDefault="00E13718" w:rsidP="00BE64AA">
      <w:pPr>
        <w:pStyle w:val="3-BodyText"/>
        <w:ind w:left="709"/>
      </w:pPr>
      <w:r>
        <w:t>The submission requested</w:t>
      </w:r>
      <w:r w:rsidRPr="007D208B">
        <w:t xml:space="preserve"> a Section 85 (General schedule), Authority required (telephone application for initiation and streamlined approval for the continuation) listing for niraparib for </w:t>
      </w:r>
      <w:r>
        <w:t>the</w:t>
      </w:r>
      <w:r w:rsidRPr="007D208B">
        <w:t xml:space="preserve"> treatment of </w:t>
      </w:r>
      <w:r w:rsidRPr="007D208B">
        <w:rPr>
          <w:rFonts w:eastAsia="CIDFont+F4"/>
        </w:rPr>
        <w:t>platinum</w:t>
      </w:r>
      <w:r>
        <w:rPr>
          <w:rFonts w:eastAsia="CIDFont+F4"/>
        </w:rPr>
        <w:t>-</w:t>
      </w:r>
      <w:r w:rsidRPr="007D208B">
        <w:rPr>
          <w:rFonts w:eastAsia="CIDFont+F4"/>
        </w:rPr>
        <w:t>sensi</w:t>
      </w:r>
      <w:r w:rsidRPr="007D208B">
        <w:t xml:space="preserve">tive relapsed (PSR), high grade </w:t>
      </w:r>
      <w:r w:rsidRPr="007D208B">
        <w:rPr>
          <w:rFonts w:eastAsia="CIDFont+F4"/>
        </w:rPr>
        <w:t>serous ovarian, fallopian tube or primary peritoneal cancer (HGSOC), who ar</w:t>
      </w:r>
      <w:r w:rsidRPr="007D208B">
        <w:t xml:space="preserve">e in response to platinum-based </w:t>
      </w:r>
      <w:r w:rsidRPr="007D208B">
        <w:rPr>
          <w:rFonts w:eastAsia="CIDFont+F4"/>
        </w:rPr>
        <w:t>chemotherapy</w:t>
      </w:r>
      <w:r w:rsidRPr="00603289">
        <w:rPr>
          <w:rFonts w:eastAsia="CIDFont+F4"/>
        </w:rPr>
        <w:t xml:space="preserve">. This is the first submission of niraparib for this indication. </w:t>
      </w:r>
    </w:p>
    <w:p w:rsidR="00E13718" w:rsidRDefault="00E13718" w:rsidP="00BE64AA">
      <w:pPr>
        <w:pStyle w:val="3-BodyText"/>
        <w:ind w:left="709"/>
      </w:pPr>
      <w:r>
        <w:t>Listing was requested based on a cost-utility analysis of niraparib versus standard medical managem</w:t>
      </w:r>
      <w:r w:rsidR="000B477D">
        <w:t>ent in patients without BRCA1/2 pathogenic variants (referred to as BRCA wild type, or non-BRCAm)</w:t>
      </w:r>
      <w:r>
        <w:t xml:space="preserve"> and cost-minimisation analysis of niraparib versus olaparib in patients with </w:t>
      </w:r>
      <w:r w:rsidR="00FD2FD5">
        <w:t>BRCA1/2 pathogenic variants (</w:t>
      </w:r>
      <w:r>
        <w:t>BRCAm</w:t>
      </w:r>
      <w:r w:rsidR="00FD2FD5">
        <w:t>)</w:t>
      </w:r>
      <w:r>
        <w:t xml:space="preserve">.  </w:t>
      </w:r>
    </w:p>
    <w:p w:rsidR="00E13718" w:rsidRDefault="00E13718" w:rsidP="00BE64AA">
      <w:pPr>
        <w:pStyle w:val="3-BodyText"/>
        <w:ind w:left="709"/>
      </w:pPr>
      <w:r>
        <w:t>The key components of the clinical issue addressed by the submission are presented below.</w:t>
      </w:r>
    </w:p>
    <w:p w:rsidR="00E13718" w:rsidRDefault="00E13718" w:rsidP="00BE64AA">
      <w:pPr>
        <w:pStyle w:val="TableFigureHeading"/>
      </w:pPr>
      <w:bookmarkStart w:id="2" w:name="_Ref64575363"/>
      <w:r>
        <w:t xml:space="preserve">Table </w:t>
      </w:r>
      <w:r w:rsidR="00681899">
        <w:rPr>
          <w:noProof/>
        </w:rPr>
        <w:t>1</w:t>
      </w:r>
      <w:bookmarkEnd w:id="2"/>
      <w:r w:rsidRPr="00F34C29">
        <w:rPr>
          <w:b w:val="0"/>
        </w:rPr>
        <w:t xml:space="preserve">: </w:t>
      </w:r>
      <w:r w:rsidRPr="00F34C29">
        <w:rPr>
          <w:rStyle w:val="CommentReference"/>
          <w:b/>
        </w:rPr>
        <w:t>Key components of the clinical issue addressed by the submission</w:t>
      </w:r>
    </w:p>
    <w:tbl>
      <w:tblPr>
        <w:tblStyle w:val="TableGrid"/>
        <w:tblW w:w="5000" w:type="pct"/>
        <w:tblLook w:val="04A0" w:firstRow="1" w:lastRow="0" w:firstColumn="1" w:lastColumn="0" w:noHBand="0" w:noVBand="1"/>
        <w:tblCaption w:val="Table 1: Key components of the clinical issue addressed by the submission"/>
      </w:tblPr>
      <w:tblGrid>
        <w:gridCol w:w="1127"/>
        <w:gridCol w:w="792"/>
        <w:gridCol w:w="7098"/>
      </w:tblGrid>
      <w:tr w:rsidR="00E13718" w:rsidRPr="000E20FA" w:rsidTr="00C64862">
        <w:trPr>
          <w:tblHeader/>
        </w:trPr>
        <w:tc>
          <w:tcPr>
            <w:tcW w:w="625" w:type="pct"/>
          </w:tcPr>
          <w:p w:rsidR="00E13718" w:rsidRPr="000E20FA" w:rsidRDefault="00E13718" w:rsidP="00BE64AA">
            <w:pPr>
              <w:pStyle w:val="In-tableHeading"/>
            </w:pPr>
            <w:r w:rsidRPr="000E20FA">
              <w:t>Component</w:t>
            </w:r>
          </w:p>
        </w:tc>
        <w:tc>
          <w:tcPr>
            <w:tcW w:w="4375" w:type="pct"/>
            <w:gridSpan w:val="2"/>
          </w:tcPr>
          <w:p w:rsidR="00E13718" w:rsidRPr="000E20FA" w:rsidRDefault="00E13718" w:rsidP="00BE64AA">
            <w:pPr>
              <w:pStyle w:val="In-tableHeading"/>
            </w:pPr>
            <w:r w:rsidRPr="000E20FA">
              <w:t>Description</w:t>
            </w:r>
          </w:p>
        </w:tc>
      </w:tr>
      <w:tr w:rsidR="00E13718" w:rsidRPr="000E20FA" w:rsidTr="002B25A8">
        <w:tc>
          <w:tcPr>
            <w:tcW w:w="625" w:type="pct"/>
          </w:tcPr>
          <w:p w:rsidR="00E13718" w:rsidRPr="000E20FA" w:rsidRDefault="00E13718" w:rsidP="00BE64AA">
            <w:pPr>
              <w:pStyle w:val="TableText0"/>
            </w:pPr>
            <w:r w:rsidRPr="000E20FA">
              <w:t>Population</w:t>
            </w:r>
          </w:p>
        </w:tc>
        <w:tc>
          <w:tcPr>
            <w:tcW w:w="4375" w:type="pct"/>
            <w:gridSpan w:val="2"/>
          </w:tcPr>
          <w:p w:rsidR="00E13718" w:rsidRPr="000E20FA" w:rsidRDefault="00E13718" w:rsidP="00BE64AA">
            <w:pPr>
              <w:pStyle w:val="TableText0"/>
            </w:pPr>
            <w:r w:rsidRPr="000E20FA">
              <w:t>Platinum-sensitive relapsed HGSOC, who are in response (complete or partial) to platinum-based chemotherapy.</w:t>
            </w:r>
          </w:p>
        </w:tc>
      </w:tr>
      <w:tr w:rsidR="00E13718" w:rsidRPr="000E20FA" w:rsidTr="002B25A8">
        <w:tc>
          <w:tcPr>
            <w:tcW w:w="625" w:type="pct"/>
          </w:tcPr>
          <w:p w:rsidR="00E13718" w:rsidRPr="000E20FA" w:rsidRDefault="00E13718" w:rsidP="00BE64AA">
            <w:pPr>
              <w:pStyle w:val="TableText0"/>
            </w:pPr>
            <w:r w:rsidRPr="000E20FA">
              <w:t>Intervention</w:t>
            </w:r>
          </w:p>
        </w:tc>
        <w:tc>
          <w:tcPr>
            <w:tcW w:w="4375" w:type="pct"/>
            <w:gridSpan w:val="2"/>
          </w:tcPr>
          <w:p w:rsidR="00E13718" w:rsidRPr="000E20FA" w:rsidRDefault="00E13718" w:rsidP="00BE64AA">
            <w:pPr>
              <w:pStyle w:val="TableText0"/>
            </w:pPr>
            <w:r w:rsidRPr="000E20FA">
              <w:t>Niraparib</w:t>
            </w:r>
            <w:r>
              <w:t xml:space="preserve"> (</w:t>
            </w:r>
            <w:r w:rsidRPr="00566DF0">
              <w:t>poly ADP ribose polymerase inhibitor</w:t>
            </w:r>
            <w:r>
              <w:t>)</w:t>
            </w:r>
          </w:p>
        </w:tc>
      </w:tr>
      <w:tr w:rsidR="00E13718" w:rsidRPr="000E20FA" w:rsidTr="002B25A8">
        <w:tc>
          <w:tcPr>
            <w:tcW w:w="625" w:type="pct"/>
          </w:tcPr>
          <w:p w:rsidR="00E13718" w:rsidRPr="000E20FA" w:rsidRDefault="00E13718" w:rsidP="00BE64AA">
            <w:pPr>
              <w:pStyle w:val="TableText0"/>
            </w:pPr>
            <w:r w:rsidRPr="000E20FA">
              <w:t>Comparator</w:t>
            </w:r>
          </w:p>
        </w:tc>
        <w:tc>
          <w:tcPr>
            <w:tcW w:w="4375" w:type="pct"/>
            <w:gridSpan w:val="2"/>
          </w:tcPr>
          <w:p w:rsidR="00E13718" w:rsidRPr="000E20FA" w:rsidRDefault="00E13718" w:rsidP="00BE64AA">
            <w:pPr>
              <w:pStyle w:val="TableText0"/>
            </w:pPr>
            <w:r w:rsidRPr="000E20FA">
              <w:t>BRCAm: Olaparib tablet; Non-BRCA</w:t>
            </w:r>
            <w:r>
              <w:t xml:space="preserve">m: standard medical management </w:t>
            </w:r>
          </w:p>
        </w:tc>
      </w:tr>
      <w:tr w:rsidR="00E13718" w:rsidRPr="000E20FA" w:rsidTr="002B25A8">
        <w:tc>
          <w:tcPr>
            <w:tcW w:w="625" w:type="pct"/>
          </w:tcPr>
          <w:p w:rsidR="00E13718" w:rsidRPr="000E20FA" w:rsidRDefault="00E13718" w:rsidP="00BE64AA">
            <w:pPr>
              <w:pStyle w:val="TableText0"/>
            </w:pPr>
            <w:r w:rsidRPr="000E20FA">
              <w:t>Outcomes</w:t>
            </w:r>
          </w:p>
        </w:tc>
        <w:tc>
          <w:tcPr>
            <w:tcW w:w="4375" w:type="pct"/>
            <w:gridSpan w:val="2"/>
          </w:tcPr>
          <w:p w:rsidR="00E13718" w:rsidRPr="000E20FA" w:rsidRDefault="00E13718" w:rsidP="00BE64AA">
            <w:pPr>
              <w:pStyle w:val="TableText0"/>
            </w:pPr>
            <w:r w:rsidRPr="000E20FA">
              <w:t>PFS, OS, TFST, Safety</w:t>
            </w:r>
          </w:p>
        </w:tc>
      </w:tr>
      <w:tr w:rsidR="00E13718" w:rsidRPr="000E20FA" w:rsidTr="002B25A8">
        <w:tc>
          <w:tcPr>
            <w:tcW w:w="625" w:type="pct"/>
            <w:vMerge w:val="restart"/>
          </w:tcPr>
          <w:p w:rsidR="00E13718" w:rsidRPr="000E20FA" w:rsidRDefault="00E13718" w:rsidP="00BE64AA">
            <w:pPr>
              <w:pStyle w:val="TableText0"/>
            </w:pPr>
            <w:r w:rsidRPr="000E20FA">
              <w:t>Clinical claim</w:t>
            </w:r>
          </w:p>
        </w:tc>
        <w:tc>
          <w:tcPr>
            <w:tcW w:w="439" w:type="pct"/>
          </w:tcPr>
          <w:p w:rsidR="00E13718" w:rsidRPr="000E20FA" w:rsidRDefault="00E13718" w:rsidP="00BE64AA">
            <w:pPr>
              <w:pStyle w:val="TableText0"/>
            </w:pPr>
            <w:r w:rsidRPr="000E20FA">
              <w:t>Efficacy</w:t>
            </w:r>
          </w:p>
        </w:tc>
        <w:tc>
          <w:tcPr>
            <w:tcW w:w="3936" w:type="pct"/>
          </w:tcPr>
          <w:p w:rsidR="00E13718" w:rsidRPr="000E20FA" w:rsidRDefault="00E13718" w:rsidP="00BE64AA">
            <w:pPr>
              <w:pStyle w:val="TableText0"/>
            </w:pPr>
            <w:r w:rsidRPr="000E20FA">
              <w:t>BRCAm: Niraparib is non-inferior in terms of effectiveness for PFS in comparison to olaparib</w:t>
            </w:r>
          </w:p>
          <w:p w:rsidR="00E13718" w:rsidRPr="000E20FA" w:rsidRDefault="00E13718" w:rsidP="00BE64AA">
            <w:pPr>
              <w:pStyle w:val="TableText0"/>
            </w:pPr>
            <w:r w:rsidRPr="000E20FA">
              <w:t xml:space="preserve">Non-BRCAm: Niraparib is superior in terms of effectiveness for PFS in comparison to no active treatment </w:t>
            </w:r>
          </w:p>
        </w:tc>
      </w:tr>
      <w:tr w:rsidR="00E13718" w:rsidRPr="000E20FA" w:rsidTr="002B25A8">
        <w:tc>
          <w:tcPr>
            <w:tcW w:w="625" w:type="pct"/>
            <w:vMerge/>
          </w:tcPr>
          <w:p w:rsidR="00E13718" w:rsidRPr="000E20FA" w:rsidRDefault="00E13718" w:rsidP="00BE64AA">
            <w:pPr>
              <w:pStyle w:val="TableText0"/>
            </w:pPr>
          </w:p>
        </w:tc>
        <w:tc>
          <w:tcPr>
            <w:tcW w:w="439" w:type="pct"/>
          </w:tcPr>
          <w:p w:rsidR="00E13718" w:rsidRPr="000E20FA" w:rsidRDefault="00E13718" w:rsidP="00BE64AA">
            <w:pPr>
              <w:pStyle w:val="TableText0"/>
            </w:pPr>
            <w:r w:rsidRPr="000E20FA">
              <w:t>Safety</w:t>
            </w:r>
          </w:p>
        </w:tc>
        <w:tc>
          <w:tcPr>
            <w:tcW w:w="3936" w:type="pct"/>
          </w:tcPr>
          <w:p w:rsidR="00E13718" w:rsidRPr="000E20FA" w:rsidRDefault="00E13718" w:rsidP="00BE64AA">
            <w:pPr>
              <w:pStyle w:val="TableText0"/>
            </w:pPr>
            <w:r w:rsidRPr="000E20FA">
              <w:t>Niraparib has a manageable safety profile for the treatment of platinum-sensitive, relapsed HGSOC</w:t>
            </w:r>
          </w:p>
        </w:tc>
      </w:tr>
    </w:tbl>
    <w:p w:rsidR="00E13718" w:rsidRPr="00367360" w:rsidRDefault="00E13718" w:rsidP="00BE64AA">
      <w:pPr>
        <w:pStyle w:val="TableFigureFooter"/>
      </w:pPr>
      <w:r w:rsidRPr="00367360">
        <w:t>Source: Table 2 of the submission, p20</w:t>
      </w:r>
    </w:p>
    <w:p w:rsidR="00E13718" w:rsidRDefault="00E13718" w:rsidP="00BE64AA">
      <w:pPr>
        <w:pStyle w:val="TableFigureFooter"/>
      </w:pPr>
      <w:r w:rsidRPr="00367360">
        <w:t>BRCAm = BRCA</w:t>
      </w:r>
      <w:r w:rsidR="0068179E">
        <w:t>1/2</w:t>
      </w:r>
      <w:r w:rsidRPr="00367360">
        <w:t xml:space="preserve"> </w:t>
      </w:r>
      <w:r w:rsidR="005502B9">
        <w:t>pathogenic and likely pathogenic gene variants</w:t>
      </w:r>
      <w:r w:rsidRPr="00367360">
        <w:t>; HGSOC = high grade serous ovarian, fallopian tube, or primary peritoneal cancer; OS = overall survival; PFS = progression free survival; TFST = tim</w:t>
      </w:r>
      <w:r>
        <w:t>e to first subsequent treatment</w:t>
      </w:r>
    </w:p>
    <w:p w:rsidR="00E13718" w:rsidRPr="00407F2D" w:rsidRDefault="00E13718" w:rsidP="00BE64AA">
      <w:pPr>
        <w:pStyle w:val="2-SectionHeading"/>
      </w:pPr>
      <w:bookmarkStart w:id="3" w:name="_Toc61962135"/>
      <w:r w:rsidRPr="00407F2D">
        <w:t>Background</w:t>
      </w:r>
      <w:bookmarkEnd w:id="3"/>
    </w:p>
    <w:p w:rsidR="00E13718" w:rsidRPr="004151CF" w:rsidRDefault="00E13718" w:rsidP="00BE64AA">
      <w:pPr>
        <w:pStyle w:val="4-SubsectionHeading"/>
      </w:pPr>
      <w:bookmarkStart w:id="4" w:name="_Toc22897638"/>
      <w:bookmarkStart w:id="5" w:name="_Toc61962136"/>
      <w:r w:rsidRPr="004151CF">
        <w:t>Registration status</w:t>
      </w:r>
      <w:bookmarkEnd w:id="4"/>
      <w:bookmarkEnd w:id="5"/>
    </w:p>
    <w:p w:rsidR="00E13718" w:rsidRDefault="00E13718" w:rsidP="00BE64AA">
      <w:pPr>
        <w:pStyle w:val="3-BodyText"/>
        <w:ind w:left="709"/>
      </w:pPr>
      <w:r>
        <w:t xml:space="preserve">Niraparib is TGA </w:t>
      </w:r>
      <w:r w:rsidR="00900736" w:rsidRPr="00D476BB">
        <w:t>registered</w:t>
      </w:r>
      <w:r w:rsidR="00900736" w:rsidRPr="00862904">
        <w:rPr>
          <w:i/>
        </w:rPr>
        <w:t xml:space="preserve"> </w:t>
      </w:r>
      <w:r>
        <w:t>as m</w:t>
      </w:r>
      <w:r w:rsidRPr="001260E2">
        <w:t>onotherapy for the maintenance treatment of adult patients with platinum-sensitive relapsed</w:t>
      </w:r>
      <w:r>
        <w:t xml:space="preserve"> </w:t>
      </w:r>
      <w:r w:rsidRPr="001260E2">
        <w:t>high grade serous epithelial ovarian, fallopian tube, or primary peritoneal cancer who are in response (complete or partial) to platinum-based chemotherapy</w:t>
      </w:r>
      <w:r>
        <w:t xml:space="preserve">. </w:t>
      </w:r>
    </w:p>
    <w:p w:rsidR="00210C36" w:rsidRDefault="00E13718" w:rsidP="00BE64AA">
      <w:pPr>
        <w:pStyle w:val="3-BodyText"/>
        <w:ind w:left="709"/>
      </w:pPr>
      <w:r>
        <w:lastRenderedPageBreak/>
        <w:t xml:space="preserve">The sponsor has applied to the TGA </w:t>
      </w:r>
      <w:r w:rsidR="00D930DF">
        <w:t>for registration of</w:t>
      </w:r>
      <w:r>
        <w:t xml:space="preserve"> niraparib in the first-line (1L) </w:t>
      </w:r>
      <w:r w:rsidR="00D930DF">
        <w:t xml:space="preserve">maintenance </w:t>
      </w:r>
      <w:r>
        <w:t>setting for patients with platinum-sensitive HGSOC. The application</w:t>
      </w:r>
      <w:r w:rsidR="00210C36">
        <w:t xml:space="preserve"> is still under consideration. </w:t>
      </w:r>
      <w:r w:rsidR="00F56D4E">
        <w:t xml:space="preserve"> </w:t>
      </w:r>
    </w:p>
    <w:p w:rsidR="00210C36" w:rsidRDefault="00E13718" w:rsidP="00BE64AA">
      <w:pPr>
        <w:pStyle w:val="3-BodyText"/>
        <w:ind w:left="709"/>
      </w:pPr>
      <w:r>
        <w:t xml:space="preserve">The current TGA approved starting dose of niraparib is 300mg daily. </w:t>
      </w:r>
      <w:r w:rsidR="00210C36">
        <w:t xml:space="preserve">The submission </w:t>
      </w:r>
      <w:r w:rsidR="00822E9E">
        <w:t>indicated</w:t>
      </w:r>
      <w:r w:rsidR="00210C36">
        <w:t xml:space="preserve"> that t</w:t>
      </w:r>
      <w:r>
        <w:t>he s</w:t>
      </w:r>
      <w:r w:rsidRPr="0025431D">
        <w:t>ponsor has submitted to the TGA the following amendment</w:t>
      </w:r>
      <w:r w:rsidR="006E6E68">
        <w:t>:</w:t>
      </w:r>
    </w:p>
    <w:p w:rsidR="00E13718" w:rsidRDefault="00E13718" w:rsidP="00BE64AA">
      <w:pPr>
        <w:pStyle w:val="ListParagraph"/>
        <w:numPr>
          <w:ilvl w:val="0"/>
          <w:numId w:val="0"/>
        </w:numPr>
        <w:ind w:left="1211"/>
      </w:pPr>
      <w:r w:rsidRPr="0025431D">
        <w:t xml:space="preserve">For patients who weigh less than 77 kg or have </w:t>
      </w:r>
      <w:r>
        <w:t xml:space="preserve">a </w:t>
      </w:r>
      <w:r w:rsidRPr="0025431D">
        <w:t>base</w:t>
      </w:r>
      <w:r>
        <w:t>line platelet count &lt;150,000/μL;</w:t>
      </w:r>
      <w:r w:rsidRPr="0025431D">
        <w:t xml:space="preserve"> the recommended starting dose of niraparib is 200 mg taken orally once daily.  For all other patients, the recommended starting dose is 300 mg</w:t>
      </w:r>
      <w:r>
        <w:t>.</w:t>
      </w:r>
    </w:p>
    <w:p w:rsidR="006E6E68" w:rsidRPr="006302D7" w:rsidRDefault="00E64324" w:rsidP="00D476BB">
      <w:pPr>
        <w:pStyle w:val="3-BodyText"/>
        <w:ind w:left="709"/>
      </w:pPr>
      <w:r w:rsidRPr="00D476BB">
        <w:rPr>
          <w:snapToGrid/>
        </w:rPr>
        <w:t>Both the FDA and EMA have approved niraparib in the first-line maintenance setting</w:t>
      </w:r>
      <w:r w:rsidRPr="006302D7">
        <w:t xml:space="preserve"> and have recommended a </w:t>
      </w:r>
      <w:r w:rsidR="000E7196" w:rsidRPr="006302D7">
        <w:t xml:space="preserve">starting </w:t>
      </w:r>
      <w:r w:rsidRPr="006302D7">
        <w:t xml:space="preserve">dose of 200 mg </w:t>
      </w:r>
      <w:r w:rsidR="000E7196" w:rsidRPr="006302D7">
        <w:t xml:space="preserve">(depending on weight and platelets) </w:t>
      </w:r>
      <w:r w:rsidRPr="006302D7">
        <w:t>as per the protocol change in PRIMA, but neither have changed the dosing instructions in the second-line maintenance setting (i.e., the starting dose in the second-line setting remains 300 mg).</w:t>
      </w:r>
      <w:r w:rsidRPr="00D476BB">
        <w:t xml:space="preserve"> In the </w:t>
      </w:r>
      <w:r w:rsidR="00BE64AA" w:rsidRPr="00D476BB">
        <w:t>Pre-Sub-Committee Response (PSCR)</w:t>
      </w:r>
      <w:r w:rsidRPr="00D476BB">
        <w:t>, the sponsor confirmed</w:t>
      </w:r>
      <w:r w:rsidR="008D1705" w:rsidRPr="00D476BB">
        <w:t xml:space="preserve"> their request for</w:t>
      </w:r>
      <w:r w:rsidRPr="00D476BB">
        <w:t xml:space="preserve"> the TGA to consider ISD for maintenance treatment using an exploratory analysis of the NOVA trial (2L+ setting) and evidence from PRIMA (1L setting). </w:t>
      </w:r>
      <w:r w:rsidR="006E6E68" w:rsidRPr="006302D7">
        <w:t>The PSCR noted that the delegate’s overview for this evaluation is not expected until 6</w:t>
      </w:r>
      <w:r w:rsidR="006E6E68" w:rsidRPr="00D476BB">
        <w:t>th</w:t>
      </w:r>
      <w:r w:rsidR="006E6E68" w:rsidRPr="006302D7">
        <w:t xml:space="preserve"> July 2021).</w:t>
      </w:r>
      <w:r w:rsidR="008D1705" w:rsidRPr="00D476BB">
        <w:t xml:space="preserve"> The ESC considered the efficacy and safety of niraparib using the ISD has not been sufficiently established in the relevant population for this submission.</w:t>
      </w:r>
    </w:p>
    <w:p w:rsidR="00603289" w:rsidRPr="006302D7" w:rsidRDefault="00E13718" w:rsidP="006302D7">
      <w:pPr>
        <w:pStyle w:val="2-SectionHeading"/>
      </w:pPr>
      <w:bookmarkStart w:id="6" w:name="_Toc61962137"/>
      <w:r w:rsidRPr="00407F2D">
        <w:t>Requested listing</w:t>
      </w:r>
      <w:bookmarkEnd w:id="6"/>
    </w:p>
    <w:tbl>
      <w:tblPr>
        <w:tblW w:w="5000" w:type="pct"/>
        <w:tblBorders>
          <w:top w:val="single" w:sz="4" w:space="0" w:color="auto"/>
          <w:bottom w:val="single" w:sz="4" w:space="0" w:color="auto"/>
          <w:insideH w:val="single" w:sz="4" w:space="0" w:color="auto"/>
        </w:tblBorders>
        <w:tblLook w:val="04A0" w:firstRow="1" w:lastRow="0" w:firstColumn="1" w:lastColumn="0" w:noHBand="0" w:noVBand="1"/>
      </w:tblPr>
      <w:tblGrid>
        <w:gridCol w:w="2262"/>
        <w:gridCol w:w="973"/>
        <w:gridCol w:w="997"/>
        <w:gridCol w:w="1251"/>
        <w:gridCol w:w="2065"/>
        <w:gridCol w:w="1479"/>
      </w:tblGrid>
      <w:tr w:rsidR="00E13718" w:rsidRPr="00CB212D" w:rsidTr="00CA1D6F">
        <w:trPr>
          <w:tblHeader/>
        </w:trPr>
        <w:tc>
          <w:tcPr>
            <w:tcW w:w="1253" w:type="pct"/>
            <w:tcBorders>
              <w:bottom w:val="single" w:sz="4" w:space="0" w:color="auto"/>
            </w:tcBorders>
            <w:vAlign w:val="center"/>
          </w:tcPr>
          <w:p w:rsidR="00E13718" w:rsidRPr="00CB212D" w:rsidRDefault="00E13718" w:rsidP="005614F3">
            <w:pPr>
              <w:pStyle w:val="TableText0"/>
              <w:jc w:val="center"/>
              <w:rPr>
                <w:b/>
                <w:lang w:val="en-US"/>
              </w:rPr>
            </w:pPr>
            <w:r w:rsidRPr="00CB212D">
              <w:rPr>
                <w:b/>
                <w:lang w:val="en-US"/>
              </w:rPr>
              <w:t>Name, restriction, manner of administration, form</w:t>
            </w:r>
          </w:p>
        </w:tc>
        <w:tc>
          <w:tcPr>
            <w:tcW w:w="539" w:type="pct"/>
            <w:tcBorders>
              <w:bottom w:val="single" w:sz="4" w:space="0" w:color="auto"/>
            </w:tcBorders>
            <w:shd w:val="clear" w:color="auto" w:fill="auto"/>
            <w:vAlign w:val="center"/>
          </w:tcPr>
          <w:p w:rsidR="00E13718" w:rsidRPr="00CB212D" w:rsidRDefault="00E13718" w:rsidP="005614F3">
            <w:pPr>
              <w:pStyle w:val="TableText0"/>
              <w:jc w:val="center"/>
              <w:rPr>
                <w:b/>
                <w:lang w:val="en-US"/>
              </w:rPr>
            </w:pPr>
            <w:r w:rsidRPr="00CB212D">
              <w:rPr>
                <w:b/>
                <w:lang w:val="en-US"/>
              </w:rPr>
              <w:t>Maximum amount (units)</w:t>
            </w:r>
          </w:p>
        </w:tc>
        <w:tc>
          <w:tcPr>
            <w:tcW w:w="552" w:type="pct"/>
            <w:shd w:val="clear" w:color="auto" w:fill="auto"/>
            <w:vAlign w:val="center"/>
          </w:tcPr>
          <w:p w:rsidR="00E13718" w:rsidRPr="00CB212D" w:rsidRDefault="00E13718" w:rsidP="005614F3">
            <w:pPr>
              <w:pStyle w:val="TableText0"/>
              <w:jc w:val="center"/>
              <w:rPr>
                <w:b/>
                <w:lang w:val="en-US"/>
              </w:rPr>
            </w:pPr>
            <w:r w:rsidRPr="00CB212D">
              <w:rPr>
                <w:b/>
                <w:lang w:val="en-US"/>
              </w:rPr>
              <w:t>Maximum quantity (units)</w:t>
            </w:r>
          </w:p>
        </w:tc>
        <w:tc>
          <w:tcPr>
            <w:tcW w:w="693" w:type="pct"/>
            <w:tcBorders>
              <w:bottom w:val="single" w:sz="4" w:space="0" w:color="auto"/>
            </w:tcBorders>
            <w:shd w:val="clear" w:color="auto" w:fill="auto"/>
            <w:vAlign w:val="center"/>
          </w:tcPr>
          <w:p w:rsidR="00E13718" w:rsidRPr="00CB212D" w:rsidRDefault="00E13718" w:rsidP="005614F3">
            <w:pPr>
              <w:pStyle w:val="TableText0"/>
              <w:jc w:val="center"/>
              <w:rPr>
                <w:b/>
                <w:lang w:val="en-US"/>
              </w:rPr>
            </w:pPr>
            <w:r w:rsidRPr="00CB212D">
              <w:rPr>
                <w:b/>
                <w:lang w:val="en-US"/>
              </w:rPr>
              <w:t>No. of repeats</w:t>
            </w:r>
          </w:p>
        </w:tc>
        <w:tc>
          <w:tcPr>
            <w:tcW w:w="1144" w:type="pct"/>
            <w:tcBorders>
              <w:bottom w:val="single" w:sz="4" w:space="0" w:color="auto"/>
            </w:tcBorders>
            <w:vAlign w:val="center"/>
          </w:tcPr>
          <w:p w:rsidR="00E13718" w:rsidRPr="00CB212D" w:rsidRDefault="00E13718" w:rsidP="005614F3">
            <w:pPr>
              <w:pStyle w:val="TableText0"/>
              <w:jc w:val="center"/>
              <w:rPr>
                <w:b/>
                <w:lang w:val="en-US"/>
              </w:rPr>
            </w:pPr>
            <w:r w:rsidRPr="00CB212D">
              <w:rPr>
                <w:b/>
                <w:lang w:val="en-US"/>
              </w:rPr>
              <w:t>Dispensed price for maximum amount</w:t>
            </w:r>
          </w:p>
        </w:tc>
        <w:tc>
          <w:tcPr>
            <w:tcW w:w="819" w:type="pct"/>
            <w:tcBorders>
              <w:bottom w:val="single" w:sz="4" w:space="0" w:color="auto"/>
            </w:tcBorders>
            <w:vAlign w:val="center"/>
          </w:tcPr>
          <w:p w:rsidR="00E13718" w:rsidRPr="00CB212D" w:rsidRDefault="00E13718" w:rsidP="005614F3">
            <w:pPr>
              <w:pStyle w:val="TableText0"/>
              <w:jc w:val="center"/>
              <w:rPr>
                <w:b/>
                <w:lang w:val="en-US"/>
              </w:rPr>
            </w:pPr>
            <w:r w:rsidRPr="00CB212D">
              <w:rPr>
                <w:b/>
                <w:lang w:val="en-US"/>
              </w:rPr>
              <w:t>Proprietary name and manufacturer</w:t>
            </w:r>
          </w:p>
        </w:tc>
      </w:tr>
      <w:tr w:rsidR="00E13718" w:rsidRPr="00CB212D" w:rsidTr="00CA1D6F">
        <w:tc>
          <w:tcPr>
            <w:tcW w:w="1253" w:type="pct"/>
            <w:vMerge w:val="restart"/>
            <w:vAlign w:val="center"/>
          </w:tcPr>
          <w:p w:rsidR="00E13718" w:rsidRPr="00CB212D" w:rsidRDefault="00E13718" w:rsidP="00E17C15">
            <w:pPr>
              <w:pStyle w:val="TableText0"/>
            </w:pPr>
            <w:r w:rsidRPr="00CB212D">
              <w:t>Niraparib 100</w:t>
            </w:r>
            <w:r w:rsidR="00854C6A">
              <w:t xml:space="preserve"> </w:t>
            </w:r>
            <w:r w:rsidRPr="00CB212D">
              <w:t>mg (as tosilate monohydrate), Capsules</w:t>
            </w:r>
          </w:p>
        </w:tc>
        <w:tc>
          <w:tcPr>
            <w:tcW w:w="539" w:type="pct"/>
            <w:vMerge w:val="restart"/>
            <w:vAlign w:val="center"/>
          </w:tcPr>
          <w:p w:rsidR="00E13718" w:rsidRPr="00CB212D" w:rsidRDefault="00E13718" w:rsidP="005614F3">
            <w:pPr>
              <w:pStyle w:val="TableText0"/>
              <w:jc w:val="center"/>
            </w:pPr>
            <w:r w:rsidRPr="00CB212D">
              <w:t>1</w:t>
            </w:r>
          </w:p>
        </w:tc>
        <w:tc>
          <w:tcPr>
            <w:tcW w:w="552" w:type="pct"/>
            <w:vMerge w:val="restart"/>
            <w:vAlign w:val="center"/>
          </w:tcPr>
          <w:p w:rsidR="00E13718" w:rsidRPr="00CB212D" w:rsidRDefault="00E13718" w:rsidP="005614F3">
            <w:pPr>
              <w:pStyle w:val="TableText0"/>
              <w:jc w:val="center"/>
            </w:pPr>
            <w:r w:rsidRPr="00CB212D">
              <w:t>84</w:t>
            </w:r>
          </w:p>
        </w:tc>
        <w:tc>
          <w:tcPr>
            <w:tcW w:w="693" w:type="pct"/>
            <w:tcBorders>
              <w:bottom w:val="nil"/>
            </w:tcBorders>
            <w:vAlign w:val="center"/>
          </w:tcPr>
          <w:p w:rsidR="00E13718" w:rsidRPr="00CB212D" w:rsidRDefault="00E13718" w:rsidP="005614F3">
            <w:pPr>
              <w:pStyle w:val="TableText0"/>
              <w:jc w:val="center"/>
            </w:pPr>
            <w:r w:rsidRPr="00CB212D">
              <w:t>2 (initial)</w:t>
            </w:r>
          </w:p>
        </w:tc>
        <w:tc>
          <w:tcPr>
            <w:tcW w:w="1144" w:type="pct"/>
            <w:tcBorders>
              <w:bottom w:val="nil"/>
            </w:tcBorders>
            <w:vAlign w:val="center"/>
          </w:tcPr>
          <w:p w:rsidR="00E13718" w:rsidRPr="00CB212D" w:rsidRDefault="00E13718" w:rsidP="005614F3">
            <w:pPr>
              <w:pStyle w:val="TableText0"/>
              <w:jc w:val="center"/>
            </w:pPr>
            <w:r w:rsidRPr="00CB212D">
              <w:t>$12,673.34(published);</w:t>
            </w:r>
          </w:p>
        </w:tc>
        <w:tc>
          <w:tcPr>
            <w:tcW w:w="819" w:type="pct"/>
            <w:vMerge w:val="restart"/>
            <w:vAlign w:val="center"/>
          </w:tcPr>
          <w:p w:rsidR="00E13718" w:rsidRPr="00CB212D" w:rsidRDefault="00E13718" w:rsidP="005614F3">
            <w:pPr>
              <w:pStyle w:val="TableText0"/>
              <w:jc w:val="center"/>
            </w:pPr>
            <w:r w:rsidRPr="00CB212D">
              <w:t>Zejula, GlaxoSmithKline Australia Pty Ltd</w:t>
            </w:r>
          </w:p>
        </w:tc>
      </w:tr>
      <w:tr w:rsidR="00E13718" w:rsidRPr="00CB212D" w:rsidTr="00CA1D6F">
        <w:trPr>
          <w:trHeight w:val="450"/>
        </w:trPr>
        <w:tc>
          <w:tcPr>
            <w:tcW w:w="1253" w:type="pct"/>
            <w:vMerge/>
            <w:vAlign w:val="center"/>
          </w:tcPr>
          <w:p w:rsidR="00E13718" w:rsidRPr="00CB212D" w:rsidRDefault="00E13718" w:rsidP="005614F3">
            <w:pPr>
              <w:pStyle w:val="TableText0"/>
              <w:jc w:val="center"/>
            </w:pPr>
          </w:p>
        </w:tc>
        <w:tc>
          <w:tcPr>
            <w:tcW w:w="539" w:type="pct"/>
            <w:vMerge/>
            <w:tcBorders>
              <w:bottom w:val="nil"/>
            </w:tcBorders>
            <w:vAlign w:val="center"/>
          </w:tcPr>
          <w:p w:rsidR="00E13718" w:rsidRPr="00CB212D" w:rsidRDefault="00E13718" w:rsidP="005614F3">
            <w:pPr>
              <w:pStyle w:val="TableText0"/>
              <w:jc w:val="center"/>
            </w:pPr>
          </w:p>
        </w:tc>
        <w:tc>
          <w:tcPr>
            <w:tcW w:w="552" w:type="pct"/>
            <w:vMerge/>
            <w:tcBorders>
              <w:bottom w:val="nil"/>
            </w:tcBorders>
            <w:vAlign w:val="center"/>
          </w:tcPr>
          <w:p w:rsidR="00E13718" w:rsidRPr="00CB212D" w:rsidRDefault="00E13718" w:rsidP="005614F3">
            <w:pPr>
              <w:pStyle w:val="TableText0"/>
              <w:jc w:val="center"/>
            </w:pPr>
          </w:p>
        </w:tc>
        <w:tc>
          <w:tcPr>
            <w:tcW w:w="693" w:type="pct"/>
            <w:tcBorders>
              <w:top w:val="nil"/>
              <w:bottom w:val="nil"/>
            </w:tcBorders>
            <w:vAlign w:val="center"/>
          </w:tcPr>
          <w:p w:rsidR="00E13718" w:rsidRPr="00CB212D" w:rsidRDefault="00E13718" w:rsidP="005614F3">
            <w:pPr>
              <w:pStyle w:val="TableText0"/>
              <w:jc w:val="center"/>
            </w:pPr>
            <w:r w:rsidRPr="00CB212D">
              <w:t>5 (continuing)</w:t>
            </w:r>
          </w:p>
        </w:tc>
        <w:tc>
          <w:tcPr>
            <w:tcW w:w="1144" w:type="pct"/>
            <w:tcBorders>
              <w:top w:val="nil"/>
              <w:bottom w:val="nil"/>
            </w:tcBorders>
            <w:vAlign w:val="center"/>
          </w:tcPr>
          <w:p w:rsidR="00E13718" w:rsidRPr="00CB212D" w:rsidRDefault="00E13718" w:rsidP="005614F3">
            <w:pPr>
              <w:pStyle w:val="TableText0"/>
              <w:jc w:val="center"/>
            </w:pPr>
            <w:r w:rsidRPr="00CB212D">
              <w:t>$</w:t>
            </w:r>
            <w:r w:rsidR="00614C0A">
              <w:rPr>
                <w:noProof/>
                <w:color w:val="000000"/>
                <w:highlight w:val="black"/>
              </w:rPr>
              <w:t>'''''''''''''''''''</w:t>
            </w:r>
            <w:r w:rsidRPr="00CB212D">
              <w:t xml:space="preserve"> (effective)</w:t>
            </w:r>
          </w:p>
        </w:tc>
        <w:tc>
          <w:tcPr>
            <w:tcW w:w="819" w:type="pct"/>
            <w:vMerge/>
            <w:vAlign w:val="center"/>
          </w:tcPr>
          <w:p w:rsidR="00E13718" w:rsidRPr="00CB212D" w:rsidRDefault="00E13718" w:rsidP="005614F3">
            <w:pPr>
              <w:pStyle w:val="TableText0"/>
              <w:jc w:val="center"/>
            </w:pPr>
          </w:p>
        </w:tc>
      </w:tr>
      <w:tr w:rsidR="00E13718" w:rsidRPr="00CB212D" w:rsidTr="00CA1D6F">
        <w:tc>
          <w:tcPr>
            <w:tcW w:w="1253" w:type="pct"/>
            <w:vMerge/>
            <w:vAlign w:val="center"/>
          </w:tcPr>
          <w:p w:rsidR="00E13718" w:rsidRPr="00CB212D" w:rsidRDefault="00E13718" w:rsidP="005614F3">
            <w:pPr>
              <w:pStyle w:val="TableText0"/>
              <w:jc w:val="center"/>
            </w:pPr>
          </w:p>
        </w:tc>
        <w:tc>
          <w:tcPr>
            <w:tcW w:w="539" w:type="pct"/>
            <w:vMerge w:val="restart"/>
            <w:tcBorders>
              <w:top w:val="nil"/>
            </w:tcBorders>
            <w:vAlign w:val="center"/>
          </w:tcPr>
          <w:p w:rsidR="00E13718" w:rsidRPr="00CB212D" w:rsidRDefault="00E13718" w:rsidP="005614F3">
            <w:pPr>
              <w:pStyle w:val="TableText0"/>
              <w:jc w:val="center"/>
            </w:pPr>
            <w:r w:rsidRPr="00CB212D">
              <w:t>1</w:t>
            </w:r>
          </w:p>
        </w:tc>
        <w:tc>
          <w:tcPr>
            <w:tcW w:w="552" w:type="pct"/>
            <w:vMerge w:val="restart"/>
            <w:tcBorders>
              <w:top w:val="nil"/>
            </w:tcBorders>
            <w:vAlign w:val="center"/>
          </w:tcPr>
          <w:p w:rsidR="00E13718" w:rsidRPr="00CB212D" w:rsidRDefault="00E13718" w:rsidP="005614F3">
            <w:pPr>
              <w:pStyle w:val="TableText0"/>
              <w:jc w:val="center"/>
            </w:pPr>
            <w:r w:rsidRPr="00CB212D">
              <w:t>56</w:t>
            </w:r>
          </w:p>
        </w:tc>
        <w:tc>
          <w:tcPr>
            <w:tcW w:w="693" w:type="pct"/>
            <w:tcBorders>
              <w:top w:val="nil"/>
              <w:bottom w:val="nil"/>
            </w:tcBorders>
            <w:vAlign w:val="center"/>
          </w:tcPr>
          <w:p w:rsidR="00E13718" w:rsidRPr="00CB212D" w:rsidRDefault="00E13718" w:rsidP="005614F3">
            <w:pPr>
              <w:pStyle w:val="TableText0"/>
              <w:jc w:val="center"/>
            </w:pPr>
            <w:r w:rsidRPr="00CB212D">
              <w:t>2 (initial)</w:t>
            </w:r>
          </w:p>
        </w:tc>
        <w:tc>
          <w:tcPr>
            <w:tcW w:w="1144" w:type="pct"/>
            <w:tcBorders>
              <w:top w:val="nil"/>
              <w:bottom w:val="nil"/>
            </w:tcBorders>
            <w:vAlign w:val="center"/>
          </w:tcPr>
          <w:p w:rsidR="00E13718" w:rsidRPr="00CB212D" w:rsidRDefault="00E13718" w:rsidP="005614F3">
            <w:pPr>
              <w:pStyle w:val="TableText0"/>
              <w:jc w:val="center"/>
            </w:pPr>
            <w:r w:rsidRPr="00CB212D">
              <w:t>$8507.88 (published);</w:t>
            </w:r>
          </w:p>
        </w:tc>
        <w:tc>
          <w:tcPr>
            <w:tcW w:w="819" w:type="pct"/>
            <w:vMerge/>
            <w:vAlign w:val="center"/>
          </w:tcPr>
          <w:p w:rsidR="00E13718" w:rsidRPr="00CB212D" w:rsidRDefault="00E13718" w:rsidP="005614F3">
            <w:pPr>
              <w:pStyle w:val="TableText0"/>
              <w:jc w:val="center"/>
            </w:pPr>
          </w:p>
        </w:tc>
      </w:tr>
      <w:tr w:rsidR="00E13718" w:rsidRPr="00CB212D" w:rsidTr="00CA1D6F">
        <w:trPr>
          <w:trHeight w:val="305"/>
        </w:trPr>
        <w:tc>
          <w:tcPr>
            <w:tcW w:w="1253" w:type="pct"/>
            <w:vMerge/>
            <w:vAlign w:val="center"/>
          </w:tcPr>
          <w:p w:rsidR="00E13718" w:rsidRPr="00CB212D" w:rsidRDefault="00E13718" w:rsidP="005614F3">
            <w:pPr>
              <w:pStyle w:val="TableText0"/>
              <w:jc w:val="center"/>
            </w:pPr>
          </w:p>
        </w:tc>
        <w:tc>
          <w:tcPr>
            <w:tcW w:w="539" w:type="pct"/>
            <w:vMerge/>
            <w:vAlign w:val="center"/>
          </w:tcPr>
          <w:p w:rsidR="00E13718" w:rsidRPr="00CB212D" w:rsidRDefault="00E13718" w:rsidP="005614F3">
            <w:pPr>
              <w:pStyle w:val="TableText0"/>
              <w:jc w:val="center"/>
            </w:pPr>
          </w:p>
        </w:tc>
        <w:tc>
          <w:tcPr>
            <w:tcW w:w="552" w:type="pct"/>
            <w:vMerge/>
            <w:vAlign w:val="center"/>
          </w:tcPr>
          <w:p w:rsidR="00E13718" w:rsidRPr="00CB212D" w:rsidRDefault="00E13718" w:rsidP="005614F3">
            <w:pPr>
              <w:pStyle w:val="TableText0"/>
              <w:jc w:val="center"/>
            </w:pPr>
          </w:p>
        </w:tc>
        <w:tc>
          <w:tcPr>
            <w:tcW w:w="693" w:type="pct"/>
            <w:tcBorders>
              <w:top w:val="nil"/>
            </w:tcBorders>
            <w:vAlign w:val="center"/>
          </w:tcPr>
          <w:p w:rsidR="00E13718" w:rsidRPr="00CB212D" w:rsidRDefault="00E13718" w:rsidP="005614F3">
            <w:pPr>
              <w:pStyle w:val="TableText0"/>
              <w:jc w:val="center"/>
            </w:pPr>
            <w:r w:rsidRPr="00CB212D">
              <w:t>5 (continuing)</w:t>
            </w:r>
          </w:p>
        </w:tc>
        <w:tc>
          <w:tcPr>
            <w:tcW w:w="1144" w:type="pct"/>
            <w:tcBorders>
              <w:top w:val="nil"/>
            </w:tcBorders>
            <w:vAlign w:val="center"/>
          </w:tcPr>
          <w:p w:rsidR="00E13718" w:rsidRPr="00CB212D" w:rsidRDefault="00E13718" w:rsidP="005614F3">
            <w:pPr>
              <w:pStyle w:val="TableText0"/>
              <w:jc w:val="center"/>
            </w:pPr>
            <w:r w:rsidRPr="00CB212D">
              <w:t>$</w:t>
            </w:r>
            <w:r w:rsidR="00614C0A">
              <w:rPr>
                <w:noProof/>
                <w:color w:val="000000"/>
                <w:highlight w:val="black"/>
              </w:rPr>
              <w:t>'''''''''''''''''''</w:t>
            </w:r>
            <w:r w:rsidRPr="00CB212D">
              <w:t xml:space="preserve"> (effective)</w:t>
            </w:r>
          </w:p>
        </w:tc>
        <w:tc>
          <w:tcPr>
            <w:tcW w:w="819" w:type="pct"/>
            <w:vMerge/>
            <w:vAlign w:val="center"/>
          </w:tcPr>
          <w:p w:rsidR="00E13718" w:rsidRPr="00CB212D" w:rsidRDefault="00E13718" w:rsidP="005614F3">
            <w:pPr>
              <w:pStyle w:val="TableText0"/>
              <w:jc w:val="center"/>
            </w:pPr>
          </w:p>
        </w:tc>
      </w:tr>
    </w:tbl>
    <w:p w:rsidR="00E13718" w:rsidRDefault="00E13718" w:rsidP="005614F3">
      <w:pPr>
        <w:pStyle w:val="TableFigureFooter"/>
        <w:keepNext/>
      </w:pPr>
      <w:r>
        <w:t xml:space="preserve"> </w:t>
      </w:r>
    </w:p>
    <w:tbl>
      <w:tblPr>
        <w:tblStyle w:val="TableGrid"/>
        <w:tblW w:w="5000" w:type="pct"/>
        <w:tblCellMar>
          <w:top w:w="28" w:type="dxa"/>
          <w:left w:w="28" w:type="dxa"/>
          <w:bottom w:w="28" w:type="dxa"/>
          <w:right w:w="28" w:type="dxa"/>
        </w:tblCellMar>
        <w:tblLook w:val="04A0" w:firstRow="1" w:lastRow="0" w:firstColumn="1" w:lastColumn="0" w:noHBand="0" w:noVBand="1"/>
        <w:tblCaption w:val="Requested listing"/>
      </w:tblPr>
      <w:tblGrid>
        <w:gridCol w:w="1542"/>
        <w:gridCol w:w="7475"/>
      </w:tblGrid>
      <w:tr w:rsidR="00E13718" w:rsidRPr="008C0C11" w:rsidTr="00C64862">
        <w:trPr>
          <w:tblHeader/>
        </w:trPr>
        <w:tc>
          <w:tcPr>
            <w:tcW w:w="855" w:type="pct"/>
          </w:tcPr>
          <w:p w:rsidR="00E13718" w:rsidRPr="008C0C11" w:rsidRDefault="00E13718" w:rsidP="005614F3">
            <w:pPr>
              <w:pStyle w:val="TableText0"/>
              <w:rPr>
                <w:b/>
                <w:lang w:val="en-US"/>
              </w:rPr>
            </w:pPr>
            <w:r w:rsidRPr="008C0C11">
              <w:rPr>
                <w:b/>
                <w:lang w:val="en-US"/>
              </w:rPr>
              <w:t>Category/Program:</w:t>
            </w:r>
          </w:p>
        </w:tc>
        <w:tc>
          <w:tcPr>
            <w:tcW w:w="4145" w:type="pct"/>
          </w:tcPr>
          <w:p w:rsidR="00E13718" w:rsidRPr="008C0C11" w:rsidRDefault="00E13718" w:rsidP="005614F3">
            <w:pPr>
              <w:pStyle w:val="TableText0"/>
            </w:pPr>
            <w:r w:rsidRPr="008C0C11">
              <w:t>General Schedule</w:t>
            </w:r>
          </w:p>
        </w:tc>
      </w:tr>
      <w:tr w:rsidR="00E13718" w:rsidRPr="008C0C11" w:rsidTr="002B25A8">
        <w:tc>
          <w:tcPr>
            <w:tcW w:w="855" w:type="pct"/>
          </w:tcPr>
          <w:p w:rsidR="00E13718" w:rsidRPr="008C0C11" w:rsidRDefault="00E13718" w:rsidP="005614F3">
            <w:pPr>
              <w:pStyle w:val="TableText0"/>
              <w:rPr>
                <w:b/>
                <w:lang w:val="en-US"/>
              </w:rPr>
            </w:pPr>
            <w:r w:rsidRPr="008C0C11">
              <w:rPr>
                <w:b/>
                <w:lang w:val="en-US"/>
              </w:rPr>
              <w:t>Prescriber type</w:t>
            </w:r>
          </w:p>
        </w:tc>
        <w:tc>
          <w:tcPr>
            <w:tcW w:w="4145" w:type="pct"/>
          </w:tcPr>
          <w:p w:rsidR="00E13718" w:rsidRPr="008C0C11" w:rsidRDefault="00E13718" w:rsidP="005614F3">
            <w:pPr>
              <w:pStyle w:val="TableText0"/>
            </w:pPr>
            <w:r w:rsidRPr="008C0C11">
              <w:t>Medical practitioner</w:t>
            </w:r>
          </w:p>
        </w:tc>
      </w:tr>
      <w:tr w:rsidR="00E13718" w:rsidRPr="008C0C11" w:rsidTr="002B25A8">
        <w:tc>
          <w:tcPr>
            <w:tcW w:w="855" w:type="pct"/>
          </w:tcPr>
          <w:p w:rsidR="00E13718" w:rsidRPr="008C0C11" w:rsidRDefault="00E13718" w:rsidP="005614F3">
            <w:pPr>
              <w:pStyle w:val="TableText0"/>
              <w:rPr>
                <w:b/>
                <w:lang w:val="en-US"/>
              </w:rPr>
            </w:pPr>
            <w:r w:rsidRPr="008C0C11">
              <w:rPr>
                <w:b/>
                <w:lang w:val="en-US"/>
              </w:rPr>
              <w:t>Condition:</w:t>
            </w:r>
          </w:p>
        </w:tc>
        <w:tc>
          <w:tcPr>
            <w:tcW w:w="4145" w:type="pct"/>
          </w:tcPr>
          <w:p w:rsidR="00E13718" w:rsidRPr="008C0C11" w:rsidRDefault="00E13718" w:rsidP="005614F3">
            <w:pPr>
              <w:pStyle w:val="TableText0"/>
            </w:pPr>
            <w:r w:rsidRPr="008C0C11">
              <w:t>High grade serous ovarian, fallopian tube, or primary peritoneal cancer</w:t>
            </w:r>
          </w:p>
        </w:tc>
      </w:tr>
      <w:tr w:rsidR="00E13718" w:rsidRPr="008C0C11" w:rsidTr="002B25A8">
        <w:tc>
          <w:tcPr>
            <w:tcW w:w="855" w:type="pct"/>
          </w:tcPr>
          <w:p w:rsidR="00E13718" w:rsidRPr="008C0C11" w:rsidRDefault="00E13718" w:rsidP="005614F3">
            <w:pPr>
              <w:pStyle w:val="TableText0"/>
              <w:rPr>
                <w:b/>
                <w:lang w:val="en-US"/>
              </w:rPr>
            </w:pPr>
            <w:r w:rsidRPr="008C0C11">
              <w:rPr>
                <w:b/>
                <w:lang w:val="en-US"/>
              </w:rPr>
              <w:t>PBS Indication:</w:t>
            </w:r>
          </w:p>
        </w:tc>
        <w:tc>
          <w:tcPr>
            <w:tcW w:w="4145" w:type="pct"/>
          </w:tcPr>
          <w:p w:rsidR="00E13718" w:rsidRPr="008C0C11" w:rsidRDefault="00E13718" w:rsidP="005614F3">
            <w:pPr>
              <w:pStyle w:val="TableText0"/>
            </w:pPr>
            <w:r w:rsidRPr="008C0C11">
              <w:t>High grade serous ovarian, fallopian tube, or primary peritoneal cancer</w:t>
            </w:r>
          </w:p>
        </w:tc>
      </w:tr>
      <w:tr w:rsidR="00E13718" w:rsidRPr="008C0C11" w:rsidTr="002B25A8">
        <w:tc>
          <w:tcPr>
            <w:tcW w:w="855" w:type="pct"/>
          </w:tcPr>
          <w:p w:rsidR="00E13718" w:rsidRPr="008C0C11" w:rsidRDefault="00E13718" w:rsidP="005614F3">
            <w:pPr>
              <w:pStyle w:val="TableText0"/>
              <w:rPr>
                <w:b/>
                <w:lang w:val="en-US"/>
              </w:rPr>
            </w:pPr>
            <w:r w:rsidRPr="008C0C11">
              <w:rPr>
                <w:b/>
                <w:lang w:val="en-US"/>
              </w:rPr>
              <w:t>Treatment phase:</w:t>
            </w:r>
          </w:p>
        </w:tc>
        <w:tc>
          <w:tcPr>
            <w:tcW w:w="4145" w:type="pct"/>
          </w:tcPr>
          <w:p w:rsidR="00E13718" w:rsidRPr="008C0C11" w:rsidRDefault="00E13718" w:rsidP="005614F3">
            <w:pPr>
              <w:pStyle w:val="TableText0"/>
            </w:pPr>
            <w:r w:rsidRPr="008C0C11">
              <w:t>Initial treatment</w:t>
            </w:r>
          </w:p>
        </w:tc>
      </w:tr>
      <w:tr w:rsidR="00E17C15" w:rsidRPr="008C0C11" w:rsidTr="005F5AF5">
        <w:trPr>
          <w:trHeight w:val="728"/>
        </w:trPr>
        <w:tc>
          <w:tcPr>
            <w:tcW w:w="1" w:type="pct"/>
            <w:gridSpan w:val="2"/>
          </w:tcPr>
          <w:p w:rsidR="00E17C15" w:rsidRPr="008C0C11" w:rsidRDefault="00E17C15" w:rsidP="005614F3">
            <w:pPr>
              <w:pStyle w:val="TableText0"/>
              <w:rPr>
                <w:b/>
                <w:lang w:val="en-US"/>
              </w:rPr>
            </w:pPr>
            <w:r w:rsidRPr="008C0C11">
              <w:rPr>
                <w:b/>
                <w:lang w:val="en-US"/>
              </w:rPr>
              <w:t>Restriction:</w:t>
            </w:r>
          </w:p>
          <w:p w:rsidR="00E17C15" w:rsidRPr="008C0C11" w:rsidRDefault="00E17C15" w:rsidP="005614F3">
            <w:pPr>
              <w:pStyle w:val="TableText0"/>
            </w:pPr>
            <w:r w:rsidRPr="008C0C11">
              <w:fldChar w:fldCharType="begin">
                <w:ffData>
                  <w:name w:val=""/>
                  <w:enabled/>
                  <w:calcOnExit w:val="0"/>
                  <w:checkBox>
                    <w:sizeAuto/>
                    <w:default w:val="1"/>
                  </w:checkBox>
                </w:ffData>
              </w:fldChar>
            </w:r>
            <w:r w:rsidRPr="008C0C11">
              <w:instrText xml:space="preserve"> FORMCHECKBOX </w:instrText>
            </w:r>
            <w:r w:rsidR="00C31E6A">
              <w:fldChar w:fldCharType="separate"/>
            </w:r>
            <w:r w:rsidRPr="008C0C11">
              <w:fldChar w:fldCharType="end"/>
            </w:r>
            <w:r w:rsidRPr="008C0C11">
              <w:t xml:space="preserve"> Authority Required </w:t>
            </w:r>
            <w:r>
              <w:t>–</w:t>
            </w:r>
            <w:r w:rsidRPr="008C0C11">
              <w:t xml:space="preserve"> </w:t>
            </w:r>
            <w:r>
              <w:t>t</w:t>
            </w:r>
            <w:r w:rsidRPr="008C0C11">
              <w:t>elephone</w:t>
            </w:r>
            <w:r>
              <w:t>/online</w:t>
            </w:r>
          </w:p>
          <w:p w:rsidR="00E17C15" w:rsidRPr="008C0C11" w:rsidRDefault="00E17C15" w:rsidP="005614F3">
            <w:pPr>
              <w:pStyle w:val="TableText0"/>
            </w:pPr>
          </w:p>
        </w:tc>
      </w:tr>
      <w:tr w:rsidR="00E17C15" w:rsidRPr="008C0C11" w:rsidTr="005F5AF5">
        <w:tc>
          <w:tcPr>
            <w:tcW w:w="1" w:type="pct"/>
            <w:gridSpan w:val="2"/>
          </w:tcPr>
          <w:p w:rsidR="00E17C15" w:rsidRPr="008C0C11" w:rsidRDefault="00E17C15" w:rsidP="00BE64AA">
            <w:pPr>
              <w:pStyle w:val="TableText0"/>
              <w:keepNext w:val="0"/>
              <w:rPr>
                <w:b/>
                <w:lang w:val="en-US"/>
              </w:rPr>
            </w:pPr>
            <w:r w:rsidRPr="008C0C11">
              <w:rPr>
                <w:b/>
                <w:lang w:val="en-US"/>
              </w:rPr>
              <w:t>Clinical criteria:</w:t>
            </w:r>
          </w:p>
          <w:p w:rsidR="00E17C15" w:rsidRPr="008C0C11" w:rsidRDefault="00E17C15" w:rsidP="00BE64AA">
            <w:pPr>
              <w:pStyle w:val="TableText0"/>
              <w:keepNext w:val="0"/>
            </w:pPr>
            <w:r w:rsidRPr="008C0C11">
              <w:t xml:space="preserve">The condition must be platinum-sensitive. </w:t>
            </w:r>
          </w:p>
          <w:p w:rsidR="00E17C15" w:rsidRPr="008C0C11" w:rsidRDefault="00E17C15" w:rsidP="00BE64AA">
            <w:pPr>
              <w:pStyle w:val="TableText0"/>
              <w:keepNext w:val="0"/>
            </w:pPr>
            <w:r w:rsidRPr="008C0C11">
              <w:t>AND</w:t>
            </w:r>
          </w:p>
          <w:p w:rsidR="00E17C15" w:rsidRPr="008C0C11" w:rsidRDefault="00E17C15" w:rsidP="00BE64AA">
            <w:pPr>
              <w:pStyle w:val="TableText0"/>
              <w:keepNext w:val="0"/>
            </w:pPr>
            <w:r w:rsidRPr="008C0C11">
              <w:t xml:space="preserve">Patient must have received at least two previous platinum-containing regimens, </w:t>
            </w:r>
          </w:p>
          <w:p w:rsidR="00E17C15" w:rsidRPr="008C0C11" w:rsidRDefault="00E17C15" w:rsidP="00BE64AA">
            <w:pPr>
              <w:pStyle w:val="TableText0"/>
              <w:keepNext w:val="0"/>
            </w:pPr>
            <w:r w:rsidRPr="008C0C11">
              <w:t>AND</w:t>
            </w:r>
          </w:p>
          <w:p w:rsidR="00E17C15" w:rsidRPr="008C0C11" w:rsidRDefault="00E17C15" w:rsidP="00BE64AA">
            <w:pPr>
              <w:pStyle w:val="TableText0"/>
              <w:keepNext w:val="0"/>
            </w:pPr>
            <w:r w:rsidRPr="008C0C11">
              <w:t xml:space="preserve">Patient must have relapsed following a previous platinum-containing regimen, </w:t>
            </w:r>
          </w:p>
          <w:p w:rsidR="00E17C15" w:rsidRPr="008C0C11" w:rsidRDefault="00E17C15" w:rsidP="00BE64AA">
            <w:pPr>
              <w:pStyle w:val="TableText0"/>
              <w:keepNext w:val="0"/>
            </w:pPr>
            <w:r w:rsidRPr="008C0C11">
              <w:lastRenderedPageBreak/>
              <w:t>AND</w:t>
            </w:r>
          </w:p>
          <w:p w:rsidR="00E17C15" w:rsidRPr="008C0C11" w:rsidRDefault="00E17C15" w:rsidP="00BE64AA">
            <w:pPr>
              <w:pStyle w:val="TableText0"/>
              <w:keepNext w:val="0"/>
            </w:pPr>
            <w:r w:rsidRPr="008C0C11">
              <w:t xml:space="preserve">Patient must be in partial or complete response to the immediately preceding platinum-based chemotherapy regimen, </w:t>
            </w:r>
          </w:p>
          <w:p w:rsidR="00E17C15" w:rsidRPr="008C0C11" w:rsidRDefault="00E17C15" w:rsidP="00BE64AA">
            <w:pPr>
              <w:pStyle w:val="TableText0"/>
              <w:keepNext w:val="0"/>
            </w:pPr>
            <w:r w:rsidRPr="008C0C11">
              <w:t>AND</w:t>
            </w:r>
          </w:p>
          <w:p w:rsidR="00E17C15" w:rsidRPr="008C0C11" w:rsidRDefault="00E17C15" w:rsidP="00BE64AA">
            <w:pPr>
              <w:pStyle w:val="TableText0"/>
              <w:keepNext w:val="0"/>
            </w:pPr>
            <w:r w:rsidRPr="008C0C11">
              <w:t xml:space="preserve">The treatment must be the sole PBS-subsidised PARP inhibitor therapy for this condition, </w:t>
            </w:r>
          </w:p>
          <w:p w:rsidR="00E17C15" w:rsidRPr="008C0C11" w:rsidRDefault="00E17C15" w:rsidP="00BE64AA">
            <w:pPr>
              <w:pStyle w:val="TableText0"/>
              <w:keepNext w:val="0"/>
            </w:pPr>
            <w:r w:rsidRPr="008C0C11">
              <w:t>AND</w:t>
            </w:r>
          </w:p>
          <w:p w:rsidR="00E17C15" w:rsidRPr="008C0C11" w:rsidRDefault="00E17C15" w:rsidP="00BE64AA">
            <w:pPr>
              <w:pStyle w:val="TableText0"/>
              <w:keepNext w:val="0"/>
            </w:pPr>
            <w:r w:rsidRPr="008C0C11">
              <w:t xml:space="preserve">The treatment must be maintenance therapy, </w:t>
            </w:r>
          </w:p>
          <w:p w:rsidR="00E17C15" w:rsidRPr="008C0C11" w:rsidRDefault="00E17C15" w:rsidP="00BE64AA">
            <w:pPr>
              <w:pStyle w:val="TableText0"/>
              <w:keepNext w:val="0"/>
            </w:pPr>
            <w:r w:rsidRPr="008C0C11">
              <w:t>AND</w:t>
            </w:r>
          </w:p>
          <w:p w:rsidR="00E17C15" w:rsidRPr="008C0C11" w:rsidRDefault="00E17C15" w:rsidP="00BE64AA">
            <w:pPr>
              <w:pStyle w:val="TableText0"/>
              <w:keepNext w:val="0"/>
            </w:pPr>
            <w:r w:rsidRPr="008C0C11">
              <w:t>Patients who have progressive disease on PBS subsidised olaparib as maintenance therapy are not eligible to receive PBS subsidised niraparib for this condition</w:t>
            </w:r>
          </w:p>
        </w:tc>
      </w:tr>
      <w:tr w:rsidR="00E17C15" w:rsidRPr="008C0C11" w:rsidTr="005F5AF5">
        <w:tc>
          <w:tcPr>
            <w:tcW w:w="1" w:type="pct"/>
            <w:gridSpan w:val="2"/>
          </w:tcPr>
          <w:p w:rsidR="00E17C15" w:rsidRPr="008C0C11" w:rsidRDefault="00E17C15" w:rsidP="00BE64AA">
            <w:pPr>
              <w:pStyle w:val="TableText0"/>
              <w:keepNext w:val="0"/>
              <w:rPr>
                <w:b/>
                <w:lang w:val="en-US"/>
              </w:rPr>
            </w:pPr>
            <w:r w:rsidRPr="008C0C11">
              <w:rPr>
                <w:b/>
                <w:lang w:val="en-US"/>
              </w:rPr>
              <w:lastRenderedPageBreak/>
              <w:t xml:space="preserve">Prescriber instructions: </w:t>
            </w:r>
          </w:p>
          <w:p w:rsidR="00E17C15" w:rsidRPr="008C0C11" w:rsidRDefault="00E17C15" w:rsidP="00BE64AA">
            <w:pPr>
              <w:pStyle w:val="TableText0"/>
              <w:keepNext w:val="0"/>
            </w:pPr>
            <w:r w:rsidRPr="008C0C11">
              <w:t>Patients who have developed intolerance to olaparib of a severity necessitating permanent treatment withdrawal are eligible to receive PBS-subsidised niraparib</w:t>
            </w:r>
          </w:p>
          <w:p w:rsidR="00E17C15" w:rsidRPr="008C0C11" w:rsidRDefault="00E17C15" w:rsidP="00BE64AA">
            <w:pPr>
              <w:pStyle w:val="TableText0"/>
              <w:keepNext w:val="0"/>
            </w:pPr>
            <w:r w:rsidRPr="008C0C11">
              <w:t>Platinum sensitivity is defined as disease progression greater than 6 months after completion of the penultimate platinum regimen.</w:t>
            </w:r>
          </w:p>
          <w:p w:rsidR="00E17C15" w:rsidRPr="008C0C11" w:rsidRDefault="00E17C15" w:rsidP="00BE64AA">
            <w:pPr>
              <w:pStyle w:val="TableText0"/>
              <w:keepNext w:val="0"/>
            </w:pPr>
            <w:r w:rsidRPr="008C0C11">
              <w:t xml:space="preserve">A response (complete or partial) to the platinum-based chemotherapy regimen is to be assessed using either </w:t>
            </w:r>
            <w:bookmarkStart w:id="7" w:name="_Hlk41586550"/>
            <w:r w:rsidRPr="008C0C11">
              <w:t xml:space="preserve">Gynaecologic Cancer Inter Group </w:t>
            </w:r>
            <w:bookmarkEnd w:id="7"/>
            <w:r w:rsidRPr="008C0C11">
              <w:t>(GCIG) or Response Evaluation Criteria in Solid Tumours (RECIST) guidelines.</w:t>
            </w:r>
          </w:p>
        </w:tc>
      </w:tr>
      <w:tr w:rsidR="00E17C15" w:rsidRPr="008C0C11" w:rsidTr="005F5AF5">
        <w:tc>
          <w:tcPr>
            <w:tcW w:w="1" w:type="pct"/>
            <w:gridSpan w:val="2"/>
          </w:tcPr>
          <w:p w:rsidR="00E17C15" w:rsidRPr="008C0C11" w:rsidRDefault="00E17C15" w:rsidP="00BE64AA">
            <w:pPr>
              <w:pStyle w:val="TableText0"/>
              <w:keepNext w:val="0"/>
              <w:rPr>
                <w:b/>
                <w:lang w:val="en-US"/>
              </w:rPr>
            </w:pPr>
            <w:r w:rsidRPr="008C0C11">
              <w:rPr>
                <w:b/>
                <w:lang w:val="en-US"/>
              </w:rPr>
              <w:t xml:space="preserve">Administrative advice: </w:t>
            </w:r>
          </w:p>
          <w:p w:rsidR="00E17C15" w:rsidRPr="008C0C11" w:rsidRDefault="00E17C15" w:rsidP="00BE64AA">
            <w:pPr>
              <w:pStyle w:val="TableText0"/>
              <w:keepNext w:val="0"/>
            </w:pPr>
            <w:r w:rsidRPr="008C0C11">
              <w:t>Applications for authorisation under this criterion may be made by telephone by contacting the Department of Human Services on 1800 700 270 (hours of operation 8 a.m. to 5 p.m. EST Monday to Friday).</w:t>
            </w:r>
          </w:p>
          <w:p w:rsidR="00E17C15" w:rsidRPr="008C0C11" w:rsidRDefault="00E17C15" w:rsidP="00BE64AA">
            <w:pPr>
              <w:pStyle w:val="TableText0"/>
              <w:keepNext w:val="0"/>
            </w:pPr>
            <w:r w:rsidRPr="008C0C11">
              <w:t>Special Pricing Arrangements apply.</w:t>
            </w:r>
          </w:p>
        </w:tc>
      </w:tr>
    </w:tbl>
    <w:p w:rsidR="00E13718" w:rsidRDefault="00E13718" w:rsidP="00BE64AA">
      <w:pPr>
        <w:pStyle w:val="TableText0"/>
        <w:keepNext w:val="0"/>
      </w:pPr>
    </w:p>
    <w:tbl>
      <w:tblPr>
        <w:tblStyle w:val="TableGrid"/>
        <w:tblW w:w="5000" w:type="pct"/>
        <w:tblCellMar>
          <w:top w:w="28" w:type="dxa"/>
          <w:left w:w="28" w:type="dxa"/>
          <w:bottom w:w="28" w:type="dxa"/>
          <w:right w:w="28" w:type="dxa"/>
        </w:tblCellMar>
        <w:tblLook w:val="04A0" w:firstRow="1" w:lastRow="0" w:firstColumn="1" w:lastColumn="0" w:noHBand="0" w:noVBand="1"/>
        <w:tblCaption w:val="Requested listing"/>
      </w:tblPr>
      <w:tblGrid>
        <w:gridCol w:w="1542"/>
        <w:gridCol w:w="7475"/>
      </w:tblGrid>
      <w:tr w:rsidR="00E13718" w:rsidRPr="008C0C11" w:rsidTr="00C64862">
        <w:trPr>
          <w:tblHeader/>
        </w:trPr>
        <w:tc>
          <w:tcPr>
            <w:tcW w:w="855" w:type="pct"/>
          </w:tcPr>
          <w:p w:rsidR="00E13718" w:rsidRPr="008C0C11" w:rsidRDefault="00E13718" w:rsidP="00BE64AA">
            <w:pPr>
              <w:pStyle w:val="TableText0"/>
              <w:rPr>
                <w:b/>
                <w:lang w:val="en-US"/>
              </w:rPr>
            </w:pPr>
            <w:r w:rsidRPr="008C0C11">
              <w:rPr>
                <w:b/>
                <w:lang w:val="en-US"/>
              </w:rPr>
              <w:t>Category/Program:</w:t>
            </w:r>
          </w:p>
        </w:tc>
        <w:tc>
          <w:tcPr>
            <w:tcW w:w="4145" w:type="pct"/>
          </w:tcPr>
          <w:p w:rsidR="00E13718" w:rsidRPr="008C0C11" w:rsidRDefault="00E13718" w:rsidP="00BE64AA">
            <w:pPr>
              <w:pStyle w:val="TableText0"/>
            </w:pPr>
            <w:r w:rsidRPr="008C0C11">
              <w:t>General schedule</w:t>
            </w:r>
          </w:p>
        </w:tc>
      </w:tr>
      <w:tr w:rsidR="00E13718" w:rsidRPr="008C0C11" w:rsidTr="002B25A8">
        <w:tc>
          <w:tcPr>
            <w:tcW w:w="855" w:type="pct"/>
          </w:tcPr>
          <w:p w:rsidR="00E13718" w:rsidRPr="008C0C11" w:rsidRDefault="00E13718" w:rsidP="00BE64AA">
            <w:pPr>
              <w:pStyle w:val="TableText0"/>
              <w:rPr>
                <w:b/>
                <w:lang w:val="en-US"/>
              </w:rPr>
            </w:pPr>
            <w:r w:rsidRPr="008C0C11">
              <w:rPr>
                <w:b/>
                <w:lang w:val="en-US"/>
              </w:rPr>
              <w:t>Prescriber type:</w:t>
            </w:r>
          </w:p>
        </w:tc>
        <w:tc>
          <w:tcPr>
            <w:tcW w:w="4145" w:type="pct"/>
          </w:tcPr>
          <w:p w:rsidR="00E13718" w:rsidRPr="008C0C11" w:rsidRDefault="00E13718" w:rsidP="00BE64AA">
            <w:pPr>
              <w:pStyle w:val="TableText0"/>
            </w:pPr>
            <w:r w:rsidRPr="008C0C11">
              <w:t>Medical practitioner</w:t>
            </w:r>
          </w:p>
        </w:tc>
      </w:tr>
      <w:tr w:rsidR="00E13718" w:rsidRPr="008C0C11" w:rsidTr="002B25A8">
        <w:tc>
          <w:tcPr>
            <w:tcW w:w="855" w:type="pct"/>
          </w:tcPr>
          <w:p w:rsidR="00E13718" w:rsidRPr="008C0C11" w:rsidRDefault="00E13718" w:rsidP="00BE64AA">
            <w:pPr>
              <w:pStyle w:val="TableText0"/>
              <w:rPr>
                <w:b/>
                <w:lang w:val="en-US"/>
              </w:rPr>
            </w:pPr>
            <w:r w:rsidRPr="008C0C11">
              <w:rPr>
                <w:b/>
                <w:lang w:val="en-US"/>
              </w:rPr>
              <w:t>Condition:</w:t>
            </w:r>
          </w:p>
        </w:tc>
        <w:tc>
          <w:tcPr>
            <w:tcW w:w="4145" w:type="pct"/>
          </w:tcPr>
          <w:p w:rsidR="00E13718" w:rsidRPr="008C0C11" w:rsidRDefault="00E13718" w:rsidP="00BE64AA">
            <w:pPr>
              <w:pStyle w:val="TableText0"/>
            </w:pPr>
            <w:r w:rsidRPr="008C0C11">
              <w:t>High grade serous ovarian, fallopian tube, or primary peritoneal cancer</w:t>
            </w:r>
          </w:p>
        </w:tc>
      </w:tr>
      <w:tr w:rsidR="00E13718" w:rsidRPr="008C0C11" w:rsidTr="002B25A8">
        <w:tc>
          <w:tcPr>
            <w:tcW w:w="855" w:type="pct"/>
          </w:tcPr>
          <w:p w:rsidR="00E13718" w:rsidRPr="008C0C11" w:rsidRDefault="00E13718" w:rsidP="00BE64AA">
            <w:pPr>
              <w:pStyle w:val="TableText0"/>
              <w:rPr>
                <w:b/>
                <w:lang w:val="en-US"/>
              </w:rPr>
            </w:pPr>
            <w:r w:rsidRPr="008C0C11">
              <w:rPr>
                <w:b/>
                <w:lang w:val="en-US"/>
              </w:rPr>
              <w:t>PBS Indication:</w:t>
            </w:r>
          </w:p>
        </w:tc>
        <w:tc>
          <w:tcPr>
            <w:tcW w:w="4145" w:type="pct"/>
          </w:tcPr>
          <w:p w:rsidR="00E13718" w:rsidRPr="008C0C11" w:rsidRDefault="00E13718" w:rsidP="00BE64AA">
            <w:pPr>
              <w:pStyle w:val="TableText0"/>
            </w:pPr>
            <w:r w:rsidRPr="008C0C11">
              <w:t>High grade serous ovarian, fallopian tube, or primary peritoneal cancer</w:t>
            </w:r>
          </w:p>
        </w:tc>
      </w:tr>
      <w:tr w:rsidR="00E13718" w:rsidRPr="008C0C11" w:rsidTr="002B25A8">
        <w:tc>
          <w:tcPr>
            <w:tcW w:w="855" w:type="pct"/>
          </w:tcPr>
          <w:p w:rsidR="00E13718" w:rsidRPr="008C0C11" w:rsidRDefault="00E13718" w:rsidP="00BE64AA">
            <w:pPr>
              <w:pStyle w:val="TableText0"/>
              <w:rPr>
                <w:b/>
                <w:lang w:val="en-US"/>
              </w:rPr>
            </w:pPr>
            <w:r w:rsidRPr="008C0C11">
              <w:rPr>
                <w:b/>
                <w:lang w:val="en-US"/>
              </w:rPr>
              <w:t>Treatment phase:</w:t>
            </w:r>
          </w:p>
        </w:tc>
        <w:tc>
          <w:tcPr>
            <w:tcW w:w="4145" w:type="pct"/>
          </w:tcPr>
          <w:p w:rsidR="00E13718" w:rsidRPr="008C0C11" w:rsidRDefault="00E13718" w:rsidP="00BE64AA">
            <w:pPr>
              <w:pStyle w:val="TableText0"/>
            </w:pPr>
            <w:r w:rsidRPr="008C0C11">
              <w:t>Continuing treatment</w:t>
            </w:r>
          </w:p>
        </w:tc>
      </w:tr>
      <w:tr w:rsidR="00E17C15" w:rsidRPr="008C0C11" w:rsidTr="005F5AF5">
        <w:trPr>
          <w:trHeight w:val="728"/>
        </w:trPr>
        <w:tc>
          <w:tcPr>
            <w:tcW w:w="1" w:type="pct"/>
            <w:gridSpan w:val="2"/>
          </w:tcPr>
          <w:p w:rsidR="00E17C15" w:rsidRPr="008C0C11" w:rsidRDefault="00E17C15">
            <w:pPr>
              <w:pStyle w:val="TableText0"/>
            </w:pPr>
            <w:r w:rsidRPr="008C0C11">
              <w:rPr>
                <w:b/>
                <w:lang w:val="en-US"/>
              </w:rPr>
              <w:t>Restriction:</w:t>
            </w:r>
            <w:r w:rsidRPr="008C0C11" w:rsidDel="00E17C15">
              <w:rPr>
                <w:b/>
                <w:lang w:val="en-US"/>
              </w:rPr>
              <w:t xml:space="preserve"> </w:t>
            </w:r>
            <w:r w:rsidRPr="008C0C11">
              <w:fldChar w:fldCharType="begin">
                <w:ffData>
                  <w:name w:val="Check1"/>
                  <w:enabled/>
                  <w:calcOnExit w:val="0"/>
                  <w:checkBox>
                    <w:sizeAuto/>
                    <w:default w:val="1"/>
                  </w:checkBox>
                </w:ffData>
              </w:fldChar>
            </w:r>
            <w:r w:rsidRPr="008C0C11">
              <w:instrText xml:space="preserve"> FORMCHECKBOX </w:instrText>
            </w:r>
            <w:r w:rsidR="00C31E6A">
              <w:fldChar w:fldCharType="separate"/>
            </w:r>
            <w:r w:rsidRPr="008C0C11">
              <w:fldChar w:fldCharType="end"/>
            </w:r>
            <w:r w:rsidRPr="008C0C11">
              <w:t xml:space="preserve"> Streamlined</w:t>
            </w:r>
          </w:p>
        </w:tc>
      </w:tr>
      <w:tr w:rsidR="00E17C15" w:rsidRPr="008C0C11" w:rsidTr="005F5AF5">
        <w:tc>
          <w:tcPr>
            <w:tcW w:w="1" w:type="pct"/>
            <w:gridSpan w:val="2"/>
          </w:tcPr>
          <w:p w:rsidR="00E17C15" w:rsidRPr="008C0C11" w:rsidRDefault="00E17C15" w:rsidP="00BE64AA">
            <w:pPr>
              <w:pStyle w:val="TableText0"/>
              <w:rPr>
                <w:b/>
                <w:lang w:val="en-US"/>
              </w:rPr>
            </w:pPr>
            <w:r w:rsidRPr="008C0C11">
              <w:rPr>
                <w:b/>
                <w:lang w:val="en-US"/>
              </w:rPr>
              <w:t>Clinical criteria:</w:t>
            </w:r>
          </w:p>
          <w:p w:rsidR="00E17C15" w:rsidRPr="008C0C11" w:rsidRDefault="00E17C15" w:rsidP="00BE64AA">
            <w:pPr>
              <w:pStyle w:val="TableText0"/>
            </w:pPr>
            <w:r w:rsidRPr="008C0C11">
              <w:t>Patient must have previously perceived PBS-subsidised treatment with this drug for this condition</w:t>
            </w:r>
          </w:p>
          <w:p w:rsidR="00E17C15" w:rsidRPr="008C0C11" w:rsidRDefault="00E17C15" w:rsidP="00BE64AA">
            <w:pPr>
              <w:pStyle w:val="TableText0"/>
            </w:pPr>
            <w:r w:rsidRPr="008C0C11">
              <w:t>AND</w:t>
            </w:r>
          </w:p>
          <w:p w:rsidR="00E17C15" w:rsidRPr="008C0C11" w:rsidRDefault="00E17C15" w:rsidP="00BE64AA">
            <w:pPr>
              <w:pStyle w:val="TableText0"/>
            </w:pPr>
            <w:r w:rsidRPr="008C0C11">
              <w:t>The treatment must be the sole PBS-subsidised PARP inhibitor therapy for this condition</w:t>
            </w:r>
          </w:p>
          <w:p w:rsidR="00E17C15" w:rsidRPr="008C0C11" w:rsidRDefault="00E17C15" w:rsidP="00BE64AA">
            <w:pPr>
              <w:pStyle w:val="TableText0"/>
            </w:pPr>
            <w:r w:rsidRPr="008C0C11">
              <w:t>AND</w:t>
            </w:r>
          </w:p>
          <w:p w:rsidR="00E17C15" w:rsidRPr="008C0C11" w:rsidRDefault="00E17C15" w:rsidP="00BE64AA">
            <w:pPr>
              <w:pStyle w:val="TableText0"/>
            </w:pPr>
            <w:r w:rsidRPr="008C0C11">
              <w:t>The treatment must be maintenance therapy</w:t>
            </w:r>
          </w:p>
          <w:p w:rsidR="00E17C15" w:rsidRPr="008C0C11" w:rsidRDefault="00E17C15" w:rsidP="00BE64AA">
            <w:pPr>
              <w:pStyle w:val="TableText0"/>
            </w:pPr>
            <w:r w:rsidRPr="008C0C11">
              <w:t>AND</w:t>
            </w:r>
          </w:p>
          <w:p w:rsidR="00E17C15" w:rsidRPr="008C0C11" w:rsidRDefault="00E17C15" w:rsidP="00BE64AA">
            <w:pPr>
              <w:pStyle w:val="TableText0"/>
            </w:pPr>
            <w:r w:rsidRPr="008C0C11">
              <w:t>Patient must not have developed disease progression while receiving treatment with this drug for this condition</w:t>
            </w:r>
          </w:p>
        </w:tc>
      </w:tr>
    </w:tbl>
    <w:p w:rsidR="00E13718" w:rsidRDefault="00E13718" w:rsidP="00BE64AA">
      <w:pPr>
        <w:pStyle w:val="3-BodyText"/>
        <w:numPr>
          <w:ilvl w:val="0"/>
          <w:numId w:val="0"/>
        </w:numPr>
        <w:rPr>
          <w:color w:val="0066FF"/>
        </w:rPr>
      </w:pPr>
    </w:p>
    <w:p w:rsidR="00E13718" w:rsidRPr="002606BD" w:rsidRDefault="00E13718" w:rsidP="00BE64AA">
      <w:pPr>
        <w:pStyle w:val="3-BodyText"/>
        <w:ind w:left="709"/>
      </w:pPr>
      <w:r w:rsidRPr="002606BD">
        <w:t xml:space="preserve">The </w:t>
      </w:r>
      <w:r>
        <w:t xml:space="preserve">proposed listing provides two </w:t>
      </w:r>
      <w:r w:rsidR="003A1C96">
        <w:t>pack sizes</w:t>
      </w:r>
      <w:r>
        <w:t xml:space="preserve"> to permit 28 </w:t>
      </w:r>
      <w:r w:rsidR="007311FE">
        <w:t>days’</w:t>
      </w:r>
      <w:r>
        <w:t xml:space="preserve"> supply for </w:t>
      </w:r>
      <w:r w:rsidR="00B127B8">
        <w:t xml:space="preserve">either a </w:t>
      </w:r>
      <w:r>
        <w:t xml:space="preserve">200mg </w:t>
      </w:r>
      <w:r w:rsidR="00B127B8">
        <w:t xml:space="preserve">or </w:t>
      </w:r>
      <w:r>
        <w:t>300mg dose</w:t>
      </w:r>
      <w:r w:rsidR="00B127B8">
        <w:t>.</w:t>
      </w:r>
    </w:p>
    <w:p w:rsidR="00E13718" w:rsidRPr="007F56CF" w:rsidRDefault="00E13718" w:rsidP="00BE64AA">
      <w:pPr>
        <w:pStyle w:val="3-BodyText"/>
        <w:ind w:left="709"/>
      </w:pPr>
      <w:r w:rsidRPr="002606BD">
        <w:t xml:space="preserve">The proposed effective price </w:t>
      </w:r>
      <w:r>
        <w:t>was</w:t>
      </w:r>
      <w:r w:rsidRPr="002606BD">
        <w:t xml:space="preserve"> derived from a weighting across the BRCAm (28.9%) and non-BRCAm</w:t>
      </w:r>
      <w:r w:rsidR="003114E2">
        <w:t xml:space="preserve"> </w:t>
      </w:r>
      <w:r w:rsidRPr="002606BD">
        <w:t>(71.1%) populations.</w:t>
      </w:r>
      <w:r>
        <w:t xml:space="preserve"> The submission requested a special pricing arrangement (SPA) with a </w:t>
      </w:r>
      <w:r w:rsidR="00614C0A">
        <w:rPr>
          <w:noProof/>
          <w:color w:val="000000"/>
          <w:highlight w:val="black"/>
        </w:rPr>
        <w:t>'''''</w:t>
      </w:r>
      <w:r>
        <w:t xml:space="preserve">% </w:t>
      </w:r>
      <w:r w:rsidR="003A3054">
        <w:t xml:space="preserve">reduction in the published </w:t>
      </w:r>
      <w:r>
        <w:t xml:space="preserve">price. </w:t>
      </w:r>
      <w:r w:rsidRPr="00C630FA">
        <w:t xml:space="preserve">The sponsor acknowledged that the cost minimisation analyses in the BRCAm population are contingent on the </w:t>
      </w:r>
      <w:r w:rsidR="00B127B8">
        <w:t>effective</w:t>
      </w:r>
      <w:r w:rsidR="00B127B8" w:rsidRPr="00C630FA">
        <w:t xml:space="preserve"> </w:t>
      </w:r>
      <w:r w:rsidRPr="00C630FA">
        <w:t xml:space="preserve">price of olaparib, </w:t>
      </w:r>
      <w:r w:rsidR="00B127B8">
        <w:t>to</w:t>
      </w:r>
      <w:r w:rsidRPr="00C630FA">
        <w:t xml:space="preserve"> which a confidential SPA is currently applicable. </w:t>
      </w:r>
      <w:r w:rsidR="00B127B8">
        <w:t xml:space="preserve">The sponsor noted </w:t>
      </w:r>
      <w:r w:rsidRPr="00C630FA">
        <w:t>re-specification of the weighted effective price for niraparib</w:t>
      </w:r>
      <w:r w:rsidR="00B127B8">
        <w:t xml:space="preserve"> would be required following a positive recommendation and disclosure of </w:t>
      </w:r>
      <w:r w:rsidR="00B127B8">
        <w:lastRenderedPageBreak/>
        <w:t>the effective price for olaparib</w:t>
      </w:r>
      <w:r>
        <w:t xml:space="preserve">. </w:t>
      </w:r>
      <w:r w:rsidRPr="00603289">
        <w:t xml:space="preserve">The impact of the recent listing of olaparib in the 1L setting for patients with </w:t>
      </w:r>
      <w:r w:rsidRPr="002B72D8">
        <w:t>platinum-sensitive HGSOC on the suggested weighted pric</w:t>
      </w:r>
      <w:r w:rsidR="00B127B8" w:rsidRPr="002B72D8">
        <w:t>e is</w:t>
      </w:r>
      <w:r w:rsidRPr="002B72D8">
        <w:t xml:space="preserve"> discussed </w:t>
      </w:r>
      <w:r w:rsidR="003A3054" w:rsidRPr="002B72D8">
        <w:t>below (see</w:t>
      </w:r>
      <w:r w:rsidR="00475E1F" w:rsidRPr="002B72D8">
        <w:t xml:space="preserve"> paragraph</w:t>
      </w:r>
      <w:r w:rsidR="003A3054" w:rsidRPr="002B72D8">
        <w:t xml:space="preserve"> </w:t>
      </w:r>
      <w:r w:rsidR="00475E1F" w:rsidRPr="002B72D8">
        <w:t>6.44</w:t>
      </w:r>
      <w:r w:rsidR="003A3054" w:rsidRPr="002B72D8">
        <w:t>)</w:t>
      </w:r>
      <w:r w:rsidRPr="00603289">
        <w:t>.</w:t>
      </w:r>
      <w:r>
        <w:rPr>
          <w:i/>
        </w:rPr>
        <w:t xml:space="preserve"> </w:t>
      </w:r>
    </w:p>
    <w:p w:rsidR="00FD78E4" w:rsidRDefault="00FD78E4" w:rsidP="00FD2FD5">
      <w:pPr>
        <w:pStyle w:val="3-BodyText"/>
        <w:ind w:left="709"/>
      </w:pPr>
      <w:r w:rsidRPr="006302D7">
        <w:t xml:space="preserve">The </w:t>
      </w:r>
      <w:r>
        <w:t xml:space="preserve">PBAC </w:t>
      </w:r>
      <w:r w:rsidRPr="008845FB">
        <w:t>considered that treatment with</w:t>
      </w:r>
      <w:r w:rsidR="008845FB" w:rsidRPr="008845FB">
        <w:t xml:space="preserve"> poly ADP ribose polymerase</w:t>
      </w:r>
      <w:r w:rsidRPr="008845FB">
        <w:t xml:space="preserve"> </w:t>
      </w:r>
      <w:r w:rsidR="008845FB" w:rsidRPr="008845FB">
        <w:t>(</w:t>
      </w:r>
      <w:r w:rsidRPr="008845FB">
        <w:t>PARP</w:t>
      </w:r>
      <w:r w:rsidR="008845FB" w:rsidRPr="008845FB">
        <w:t>)</w:t>
      </w:r>
      <w:r w:rsidRPr="008845FB">
        <w:t xml:space="preserve"> inhibitors should be limited to one course per lifetime and noted</w:t>
      </w:r>
      <w:r w:rsidR="008845FB" w:rsidRPr="008845FB">
        <w:t xml:space="preserve"> American Society of Clinical Oncology</w:t>
      </w:r>
      <w:r w:rsidRPr="008845FB">
        <w:t xml:space="preserve"> </w:t>
      </w:r>
      <w:r w:rsidR="008845FB" w:rsidRPr="008845FB">
        <w:t>(</w:t>
      </w:r>
      <w:r w:rsidRPr="008845FB">
        <w:t>ASCO</w:t>
      </w:r>
      <w:r w:rsidR="008845FB" w:rsidRPr="008845FB">
        <w:t>)</w:t>
      </w:r>
      <w:r w:rsidRPr="008845FB">
        <w:t xml:space="preserve"> PARP</w:t>
      </w:r>
      <w:r w:rsidR="008845FB" w:rsidRPr="008845FB">
        <w:t xml:space="preserve"> inhibitor (PARPi</w:t>
      </w:r>
      <w:r w:rsidR="008845FB">
        <w:t>)</w:t>
      </w:r>
      <w:r w:rsidRPr="006302D7">
        <w:t xml:space="preserve"> guidelines recommend against using more than one PARP inhibitor given the lack of evidence.</w:t>
      </w:r>
    </w:p>
    <w:p w:rsidR="00FD78E4" w:rsidRDefault="00E13718" w:rsidP="003A3054">
      <w:pPr>
        <w:pStyle w:val="3-BodyText"/>
        <w:ind w:left="709"/>
      </w:pPr>
      <w:r w:rsidRPr="00603289">
        <w:t xml:space="preserve">The sponsor </w:t>
      </w:r>
      <w:r w:rsidR="00D22F99">
        <w:t>requested the</w:t>
      </w:r>
      <w:r w:rsidRPr="00603289">
        <w:t xml:space="preserve"> option of treatment switching from olaparib to niraparib for </w:t>
      </w:r>
      <w:r w:rsidR="00D22F99">
        <w:t>patients</w:t>
      </w:r>
      <w:r w:rsidR="00D22F99" w:rsidRPr="00603289">
        <w:t xml:space="preserve"> </w:t>
      </w:r>
      <w:r w:rsidRPr="00603289">
        <w:t>who develop olaparib intolerance necessitat</w:t>
      </w:r>
      <w:r w:rsidR="00D22F99">
        <w:t xml:space="preserve">ing </w:t>
      </w:r>
      <w:r w:rsidRPr="00603289">
        <w:t xml:space="preserve">permanent treatment withdrawal. </w:t>
      </w:r>
      <w:r w:rsidR="00FD78E4">
        <w:t>The PBAC considered</w:t>
      </w:r>
      <w:r w:rsidR="00427250" w:rsidRPr="006302D7">
        <w:t xml:space="preserve"> </w:t>
      </w:r>
      <w:r w:rsidR="00D22F99" w:rsidRPr="006302D7">
        <w:t>there is likely to be little impetus for treatment switching between PARP inhibitors in practice, particularly from olaparib to niraparib, given that olaparib may have a better safety profile</w:t>
      </w:r>
      <w:r w:rsidR="00FD78E4">
        <w:t>.</w:t>
      </w:r>
    </w:p>
    <w:p w:rsidR="00E13718" w:rsidRPr="00603289" w:rsidRDefault="00E13718" w:rsidP="00FD78E4">
      <w:pPr>
        <w:pStyle w:val="3-BodyText"/>
        <w:ind w:left="709"/>
      </w:pPr>
      <w:r w:rsidRPr="00603289">
        <w:t xml:space="preserve">The requested restriction did not </w:t>
      </w:r>
      <w:r w:rsidR="00686164">
        <w:t>limit</w:t>
      </w:r>
      <w:r w:rsidRPr="00603289">
        <w:t xml:space="preserve"> the use of niraparib to patients with a performance status of 0-1 on the </w:t>
      </w:r>
      <w:r w:rsidRPr="00FD78E4">
        <w:rPr>
          <w:bCs/>
        </w:rPr>
        <w:t>Eastern Cooperative Oncology Group</w:t>
      </w:r>
      <w:r w:rsidRPr="00603289">
        <w:t xml:space="preserve"> (ECOG) scale. The NOVA trial included only patients with a performance status of 0-1, and no clinical data are available regarding the use of niraparib in patients with poorer performance status (TGA niraparib PI, p3). As niraparib efficacy and toxicity are unknown in patients with poor performance status, </w:t>
      </w:r>
      <w:r w:rsidR="00427250" w:rsidRPr="00FD78E4">
        <w:t>the commentary</w:t>
      </w:r>
      <w:r w:rsidRPr="00603289">
        <w:t xml:space="preserve"> suggested restrict</w:t>
      </w:r>
      <w:r w:rsidR="00427250">
        <w:t>ing</w:t>
      </w:r>
      <w:r w:rsidRPr="00603289">
        <w:t xml:space="preserve"> the use of niraparib among patients with a performance status of 0-1 on the ECOG scale.</w:t>
      </w:r>
      <w:r w:rsidR="00427250">
        <w:t xml:space="preserve"> </w:t>
      </w:r>
      <w:r w:rsidR="00427250" w:rsidRPr="006302D7">
        <w:t xml:space="preserve">The PSCR argued that </w:t>
      </w:r>
      <w:r w:rsidR="00A727D1" w:rsidRPr="006302D7">
        <w:t xml:space="preserve">the </w:t>
      </w:r>
      <w:r w:rsidR="00427250" w:rsidRPr="006302D7">
        <w:t xml:space="preserve">olaparib </w:t>
      </w:r>
      <w:r w:rsidR="00A727D1" w:rsidRPr="006302D7">
        <w:t>listings are</w:t>
      </w:r>
      <w:r w:rsidR="00427250" w:rsidRPr="006302D7">
        <w:t xml:space="preserve"> not limited to </w:t>
      </w:r>
      <w:r w:rsidR="00A727D1" w:rsidRPr="006302D7">
        <w:t>pati</w:t>
      </w:r>
      <w:r w:rsidR="00427250" w:rsidRPr="006302D7">
        <w:t>e</w:t>
      </w:r>
      <w:r w:rsidR="00A727D1" w:rsidRPr="006302D7">
        <w:t>n</w:t>
      </w:r>
      <w:r w:rsidR="00427250" w:rsidRPr="006302D7">
        <w:t xml:space="preserve">ts with ECOG 0-1 despite </w:t>
      </w:r>
      <w:r w:rsidR="00A727D1" w:rsidRPr="006302D7">
        <w:t xml:space="preserve">the pivotal evidence for olaparib being limited to patients with ECOG 0-1. The ESC considered that it would </w:t>
      </w:r>
      <w:r w:rsidR="00031ADA" w:rsidRPr="006302D7">
        <w:t xml:space="preserve">be </w:t>
      </w:r>
      <w:r w:rsidR="00A727D1" w:rsidRPr="006302D7">
        <w:t xml:space="preserve">preferable to not limit the listing based on ECOG performance status as clinicians would be best placed to determine whether a patient’s level of functioning is likely to </w:t>
      </w:r>
      <w:r w:rsidR="00C6532C" w:rsidRPr="006302D7">
        <w:t>be adequate for treatment with niraparib to be beneficial and appropriate.</w:t>
      </w:r>
      <w:r w:rsidR="00A727D1" w:rsidRPr="00FD78E4">
        <w:rPr>
          <w:i/>
        </w:rPr>
        <w:t xml:space="preserve"> </w:t>
      </w:r>
    </w:p>
    <w:p w:rsidR="00E13718" w:rsidRPr="00407F2D" w:rsidRDefault="00E13718" w:rsidP="00BE64AA">
      <w:pPr>
        <w:pStyle w:val="2-SectionHeading"/>
      </w:pPr>
      <w:bookmarkStart w:id="8" w:name="_Toc61962138"/>
      <w:r>
        <w:t>Population and disease</w:t>
      </w:r>
      <w:bookmarkEnd w:id="8"/>
    </w:p>
    <w:p w:rsidR="00E13718" w:rsidRPr="00803304" w:rsidRDefault="00E13718" w:rsidP="00BE64AA">
      <w:pPr>
        <w:pStyle w:val="3-BodyText"/>
        <w:ind w:left="709"/>
      </w:pPr>
      <w:r w:rsidRPr="00803304">
        <w:t xml:space="preserve">HGSOC is the most common and aggressive histological subtype of ovarian cancer (OC). </w:t>
      </w:r>
      <w:r>
        <w:t>M</w:t>
      </w:r>
      <w:r w:rsidRPr="00803304">
        <w:t>ost patients (&gt;75%) are diagnosed at an adv</w:t>
      </w:r>
      <w:r>
        <w:t xml:space="preserve">anced stage (stage III and IV), with a </w:t>
      </w:r>
      <w:r w:rsidRPr="00803304">
        <w:t>limited long-term survival (7-year survival: serous subtype: 28%, Stage III/</w:t>
      </w:r>
      <w:r>
        <w:t>IV: 9-15%; High grade: 30-38%).</w:t>
      </w:r>
      <w:r w:rsidRPr="00803304">
        <w:t xml:space="preserve"> </w:t>
      </w:r>
    </w:p>
    <w:p w:rsidR="00E13718" w:rsidRPr="00803304" w:rsidRDefault="00E13718" w:rsidP="00BE64AA">
      <w:pPr>
        <w:pStyle w:val="3-BodyText"/>
        <w:ind w:left="709"/>
      </w:pPr>
      <w:r w:rsidRPr="00803304">
        <w:t>Although initial treatment with cytoreductive surgery and platinum-based chemotherapy usually lead</w:t>
      </w:r>
      <w:r w:rsidR="00C23ACD">
        <w:t>s</w:t>
      </w:r>
      <w:r w:rsidRPr="00803304">
        <w:t xml:space="preserve"> to initial response, </w:t>
      </w:r>
      <w:r>
        <w:t>70%</w:t>
      </w:r>
      <w:r w:rsidRPr="00803304">
        <w:t xml:space="preserve"> of patients usually relapse within the first three years. Post-progression treatment is usually associated with reduced efficacy</w:t>
      </w:r>
      <w:r w:rsidR="00D60075">
        <w:t xml:space="preserve"> and</w:t>
      </w:r>
      <w:r w:rsidRPr="00803304">
        <w:t xml:space="preserve"> prolonged exposure to chemotherapeutic agents (mainly platinum-based chemotherapy) is associated with long term toxicities and atte</w:t>
      </w:r>
      <w:r>
        <w:t xml:space="preserve">nuation </w:t>
      </w:r>
      <w:r w:rsidR="00D60075">
        <w:t>in</w:t>
      </w:r>
      <w:r>
        <w:t xml:space="preserve"> quality of life.</w:t>
      </w:r>
      <w:r w:rsidR="00492EB1">
        <w:t xml:space="preserve"> </w:t>
      </w:r>
      <w:r w:rsidR="00492EB1" w:rsidRPr="00603289">
        <w:t xml:space="preserve">In July 2020 the PBAC recommended listing of olaparib as maintenance treatment after an initial response to platinum-based chemotherapy in the 1L setting for patients with a BRCA1/2 pathogenic variant. </w:t>
      </w:r>
      <w:r w:rsidR="00686164" w:rsidRPr="006302D7">
        <w:t>In the PSCR the sponsor noted that a submission to PBAC for listing of niraparib in the 1L setting is planned, for consideration at the July 2021 PBAC meeting</w:t>
      </w:r>
      <w:r w:rsidR="00686164" w:rsidRPr="00C87723">
        <w:rPr>
          <w:i/>
        </w:rPr>
        <w:t>.</w:t>
      </w:r>
      <w:r w:rsidR="00686164">
        <w:rPr>
          <w:i/>
        </w:rPr>
        <w:t xml:space="preserve"> </w:t>
      </w:r>
      <w:r w:rsidR="00492EB1" w:rsidRPr="00603289">
        <w:t>As such the treatment algorithm</w:t>
      </w:r>
      <w:r w:rsidR="00751863" w:rsidRPr="00603289">
        <w:t xml:space="preserve"> in ovarian cancer</w:t>
      </w:r>
      <w:r w:rsidR="00492EB1" w:rsidRPr="00603289">
        <w:t xml:space="preserve"> is evolving.</w:t>
      </w:r>
      <w:r w:rsidR="00686164">
        <w:t xml:space="preserve"> </w:t>
      </w:r>
      <w:r w:rsidR="00E43595">
        <w:lastRenderedPageBreak/>
        <w:t>The PBAC considered that the preferred place for PARP inhibitors is in 1L maintenance treatment, and therefore the submission was of limited relevance, particularly for the BRCAm population where olaparib is currently available on the PBS as 1L maintenance.</w:t>
      </w:r>
    </w:p>
    <w:p w:rsidR="00E13718" w:rsidRPr="00803304" w:rsidRDefault="00E13718" w:rsidP="00BE64AA">
      <w:pPr>
        <w:pStyle w:val="3-BodyText"/>
        <w:ind w:left="709"/>
      </w:pPr>
      <w:r w:rsidRPr="00803304">
        <w:t xml:space="preserve">In Australia, olaparib is the only drug </w:t>
      </w:r>
      <w:r w:rsidR="00124CC0" w:rsidRPr="002B72D8">
        <w:t>PBS listed</w:t>
      </w:r>
      <w:r w:rsidR="00124CC0" w:rsidRPr="00803304">
        <w:t xml:space="preserve"> </w:t>
      </w:r>
      <w:r w:rsidRPr="00803304">
        <w:t>for maintenance treatment after</w:t>
      </w:r>
      <w:r>
        <w:t xml:space="preserve"> an initial response in the 2L</w:t>
      </w:r>
      <w:r w:rsidRPr="00803304">
        <w:t xml:space="preserve"> setting</w:t>
      </w:r>
      <w:r>
        <w:t xml:space="preserve"> for</w:t>
      </w:r>
      <w:r w:rsidRPr="00803304">
        <w:t xml:space="preserve"> patients with a </w:t>
      </w:r>
      <w:r w:rsidR="007573A5">
        <w:t xml:space="preserve">BRCA pathogenic </w:t>
      </w:r>
      <w:r w:rsidR="007573A5" w:rsidRPr="006302D7">
        <w:t>variant</w:t>
      </w:r>
      <w:r w:rsidR="00F30CA5" w:rsidRPr="006302D7">
        <w:t xml:space="preserve"> (although</w:t>
      </w:r>
      <w:r w:rsidR="00124CC0" w:rsidRPr="006302D7">
        <w:t xml:space="preserve"> the TGA indication </w:t>
      </w:r>
      <w:r w:rsidR="000F1E05" w:rsidRPr="006302D7">
        <w:t xml:space="preserve">in 2L </w:t>
      </w:r>
      <w:r w:rsidR="00124CC0" w:rsidRPr="006302D7">
        <w:t>is not restricted to patients with BRCA pathogenic variants</w:t>
      </w:r>
      <w:r w:rsidR="00F30CA5" w:rsidRPr="006302D7">
        <w:t>)</w:t>
      </w:r>
      <w:r w:rsidR="00124CC0" w:rsidRPr="006302D7">
        <w:t xml:space="preserve">. </w:t>
      </w:r>
      <w:r w:rsidR="00124CC0">
        <w:t>P</w:t>
      </w:r>
      <w:r w:rsidR="00751863">
        <w:t>atients who receive olapa</w:t>
      </w:r>
      <w:r w:rsidR="00832FE3">
        <w:t>r</w:t>
      </w:r>
      <w:r w:rsidR="00751863">
        <w:t>ib as 1L maintenance would not be eligible for retreatment in the 2L setting</w:t>
      </w:r>
      <w:r w:rsidRPr="00803304">
        <w:t xml:space="preserve">. </w:t>
      </w:r>
      <w:r w:rsidR="00751863">
        <w:t>Patients with BRCA1/2 pathogenic variants</w:t>
      </w:r>
      <w:r w:rsidRPr="00803304">
        <w:t xml:space="preserve"> represent less than 30% of all ovarian cancer patient</w:t>
      </w:r>
      <w:r w:rsidR="0072629D">
        <w:t>s</w:t>
      </w:r>
      <w:r w:rsidRPr="00803304">
        <w:t xml:space="preserve">. For the remaining 70% of </w:t>
      </w:r>
      <w:r w:rsidR="00BA4603">
        <w:t>ovarian cancer</w:t>
      </w:r>
      <w:r w:rsidRPr="00803304">
        <w:t xml:space="preserve"> patients</w:t>
      </w:r>
      <w:r w:rsidR="003114E2">
        <w:t xml:space="preserve"> (</w:t>
      </w:r>
      <w:r w:rsidR="00BE36D4">
        <w:t>BRCA wild type</w:t>
      </w:r>
      <w:r w:rsidR="003114E2">
        <w:t>)</w:t>
      </w:r>
      <w:r w:rsidRPr="00803304">
        <w:t>, there is no standard maintenance treatment, with follow-up (</w:t>
      </w:r>
      <w:r>
        <w:t>standard medical management</w:t>
      </w:r>
      <w:r w:rsidRPr="00803304">
        <w:t xml:space="preserve">) </w:t>
      </w:r>
      <w:r>
        <w:t>as</w:t>
      </w:r>
      <w:r w:rsidRPr="00803304">
        <w:t xml:space="preserve"> the standard of care for patients who achieve a response to 2L treatment.</w:t>
      </w:r>
      <w:r>
        <w:t xml:space="preserve"> </w:t>
      </w:r>
      <w:r w:rsidRPr="00803304">
        <w:t xml:space="preserve"> </w:t>
      </w:r>
    </w:p>
    <w:p w:rsidR="00E13718" w:rsidRPr="00FF63AD" w:rsidRDefault="00E13718" w:rsidP="00BE64AA">
      <w:pPr>
        <w:pStyle w:val="3-BodyText"/>
        <w:ind w:left="709"/>
        <w:rPr>
          <w:snapToGrid/>
          <w:lang w:val="en-US"/>
        </w:rPr>
      </w:pPr>
      <w:r w:rsidRPr="00803304">
        <w:t xml:space="preserve">Niraparib is a </w:t>
      </w:r>
      <w:r w:rsidRPr="008845FB">
        <w:t xml:space="preserve">selective </w:t>
      </w:r>
      <w:r w:rsidR="008845FB" w:rsidRPr="008845FB">
        <w:t>PARPi</w:t>
      </w:r>
      <w:r w:rsidRPr="008845FB">
        <w:t xml:space="preserve"> which</w:t>
      </w:r>
      <w:r w:rsidRPr="00803304">
        <w:t xml:space="preserve"> has shown clinical benefit when used as a maintenance treatment for patients with platinum-sensitive relapsed HGSOC who have achieved a partial</w:t>
      </w:r>
      <w:r>
        <w:t xml:space="preserve"> (PR)</w:t>
      </w:r>
      <w:r w:rsidRPr="00803304">
        <w:t xml:space="preserve"> or complete response</w:t>
      </w:r>
      <w:r>
        <w:t xml:space="preserve"> (CR)</w:t>
      </w:r>
      <w:r w:rsidRPr="00803304">
        <w:t xml:space="preserve"> to platinum-based chemotherapy in the 2L setting.  </w:t>
      </w:r>
    </w:p>
    <w:p w:rsidR="00E13718" w:rsidRPr="00407F2D" w:rsidRDefault="00E13718" w:rsidP="00BE64AA">
      <w:pPr>
        <w:pStyle w:val="2-SectionHeading"/>
      </w:pPr>
      <w:bookmarkStart w:id="9" w:name="_Toc61962139"/>
      <w:r w:rsidRPr="00407F2D">
        <w:t>Comparator</w:t>
      </w:r>
      <w:bookmarkEnd w:id="9"/>
    </w:p>
    <w:p w:rsidR="00E13718" w:rsidRPr="00A32194" w:rsidRDefault="00E13718" w:rsidP="00BE64AA">
      <w:pPr>
        <w:pStyle w:val="3-BodyText"/>
        <w:ind w:left="709"/>
      </w:pPr>
      <w:r>
        <w:t>As the proposed patient population was all patients with relapsed HGSOC, irrespective of their BRCA status, the submission nominated two comparators: o</w:t>
      </w:r>
      <w:r w:rsidRPr="00A32EA4">
        <w:t>laparib</w:t>
      </w:r>
      <w:r>
        <w:t xml:space="preserve"> </w:t>
      </w:r>
      <w:r w:rsidRPr="00A32EA4">
        <w:t>for patients with BRCAm</w:t>
      </w:r>
      <w:r>
        <w:t>; and standard medical management (SMM)</w:t>
      </w:r>
      <w:r w:rsidRPr="00A32EA4">
        <w:t xml:space="preserve"> (</w:t>
      </w:r>
      <w:r>
        <w:t>follow-up or no active treatment</w:t>
      </w:r>
      <w:r w:rsidRPr="00A32EA4">
        <w:t xml:space="preserve">), as the standard of care for patients with </w:t>
      </w:r>
      <w:r w:rsidR="00385C11" w:rsidRPr="00ED166C">
        <w:rPr>
          <w:lang w:val="en-US"/>
        </w:rPr>
        <w:t>BRCA wild type (</w:t>
      </w:r>
      <w:r w:rsidR="0047678F">
        <w:rPr>
          <w:lang w:val="en-US"/>
        </w:rPr>
        <w:t>non-BRCAm</w:t>
      </w:r>
      <w:r w:rsidR="00385C11" w:rsidRPr="00ED166C">
        <w:rPr>
          <w:lang w:val="en-US"/>
        </w:rPr>
        <w:t>)</w:t>
      </w:r>
      <w:r w:rsidRPr="00385C11">
        <w:t>.</w:t>
      </w:r>
      <w:r w:rsidRPr="00A32EA4">
        <w:t xml:space="preserve"> </w:t>
      </w:r>
    </w:p>
    <w:p w:rsidR="00E13718" w:rsidRPr="00603289" w:rsidRDefault="00E13718" w:rsidP="00BE64AA">
      <w:pPr>
        <w:pStyle w:val="3-BodyText"/>
        <w:ind w:left="709"/>
        <w:rPr>
          <w:snapToGrid/>
          <w:lang w:val="en-US"/>
        </w:rPr>
      </w:pPr>
      <w:r w:rsidRPr="00862904">
        <w:rPr>
          <w:b/>
        </w:rPr>
        <w:t>For patients with BRCAm</w:t>
      </w:r>
      <w:r w:rsidRPr="00862904">
        <w:t>, the</w:t>
      </w:r>
      <w:r w:rsidR="00141291" w:rsidRPr="00862904">
        <w:t xml:space="preserve"> submission</w:t>
      </w:r>
      <w:r w:rsidRPr="00862904">
        <w:t xml:space="preserve"> </w:t>
      </w:r>
      <w:r w:rsidR="00141291" w:rsidRPr="006302D7">
        <w:t>nominated olaparib as the comparator on the basis that it is</w:t>
      </w:r>
      <w:r w:rsidRPr="00123988">
        <w:t xml:space="preserve"> PBS listed for this patient population (</w:t>
      </w:r>
      <w:r w:rsidR="00141291" w:rsidRPr="00123988">
        <w:t xml:space="preserve">recommended </w:t>
      </w:r>
      <w:r w:rsidRPr="00123988">
        <w:t>November 2016</w:t>
      </w:r>
      <w:r w:rsidR="00141291" w:rsidRPr="00123988">
        <w:t xml:space="preserve"> and expanded to include patients with both somatic BRCAm (sBRCAm) and germline BRCAm (gBRCAm) in March 2020).</w:t>
      </w:r>
      <w:r w:rsidR="00123988" w:rsidRPr="00123988">
        <w:t xml:space="preserve"> T</w:t>
      </w:r>
      <w:r w:rsidRPr="00123988">
        <w:t xml:space="preserve">he nomination of olaparib as a comparator to niraparib in patients with BRCAm (irrespective of having somatic or germline mutation) </w:t>
      </w:r>
      <w:r w:rsidR="00261171">
        <w:t>was</w:t>
      </w:r>
      <w:r w:rsidR="00261171" w:rsidRPr="00123988">
        <w:t xml:space="preserve"> </w:t>
      </w:r>
      <w:r w:rsidRPr="00123988">
        <w:t>appropriate.</w:t>
      </w:r>
      <w:r w:rsidRPr="00862904">
        <w:t xml:space="preserve"> </w:t>
      </w:r>
      <w:r w:rsidRPr="00123988">
        <w:t>However, the relevance of</w:t>
      </w:r>
      <w:r w:rsidR="00BA4603" w:rsidRPr="00123988">
        <w:t xml:space="preserve"> the</w:t>
      </w:r>
      <w:r w:rsidRPr="00123988">
        <w:t xml:space="preserve"> BRCAm population to the submission </w:t>
      </w:r>
      <w:r w:rsidR="00261171">
        <w:t>was</w:t>
      </w:r>
      <w:r w:rsidR="00261171" w:rsidRPr="00123988">
        <w:t xml:space="preserve"> </w:t>
      </w:r>
      <w:r w:rsidR="00261171">
        <w:t>limited</w:t>
      </w:r>
      <w:r w:rsidR="00261171" w:rsidRPr="00123988">
        <w:t xml:space="preserve"> </w:t>
      </w:r>
      <w:r w:rsidRPr="00123988">
        <w:t xml:space="preserve">because of the recent listing of olaparib for the treatment of patients with BRCAm in the 1L setting. The proportion of patients who </w:t>
      </w:r>
      <w:r w:rsidR="00874D02" w:rsidRPr="00123988">
        <w:t xml:space="preserve">would not receive </w:t>
      </w:r>
      <w:r w:rsidRPr="00123988">
        <w:t>1L maintenance with olaparib and fall into this group is uncertain, a</w:t>
      </w:r>
      <w:r w:rsidR="005F5AF5">
        <w:t>nd</w:t>
      </w:r>
      <w:r w:rsidRPr="00123988">
        <w:t xml:space="preserve"> likely </w:t>
      </w:r>
      <w:r w:rsidR="005F5AF5">
        <w:t xml:space="preserve">to be </w:t>
      </w:r>
      <w:r w:rsidRPr="00123988">
        <w:t>small</w:t>
      </w:r>
      <w:r w:rsidR="00BA4603" w:rsidRPr="00123988">
        <w:t xml:space="preserve"> and decreasing</w:t>
      </w:r>
      <w:r w:rsidRPr="00603289">
        <w:t>.</w:t>
      </w:r>
      <w:r w:rsidR="00874D02" w:rsidRPr="00603289">
        <w:t xml:space="preserve"> </w:t>
      </w:r>
    </w:p>
    <w:p w:rsidR="00E13718" w:rsidRPr="00F67E2E" w:rsidRDefault="00E13718" w:rsidP="00BE64AA">
      <w:pPr>
        <w:pStyle w:val="3-BodyText"/>
        <w:ind w:left="709"/>
        <w:rPr>
          <w:b/>
          <w:snapToGrid/>
          <w:lang w:val="en-US"/>
        </w:rPr>
      </w:pPr>
      <w:r w:rsidRPr="00F67E2E">
        <w:rPr>
          <w:b/>
          <w:snapToGrid/>
          <w:lang w:val="en-US"/>
        </w:rPr>
        <w:t>For patients with</w:t>
      </w:r>
      <w:r w:rsidR="004176EA">
        <w:rPr>
          <w:b/>
          <w:snapToGrid/>
          <w:lang w:val="en-US"/>
        </w:rPr>
        <w:t xml:space="preserve"> </w:t>
      </w:r>
      <w:r w:rsidR="00385C11">
        <w:rPr>
          <w:b/>
          <w:snapToGrid/>
          <w:lang w:val="en-US"/>
        </w:rPr>
        <w:t>BRCA</w:t>
      </w:r>
      <w:r w:rsidR="003114E2">
        <w:rPr>
          <w:b/>
          <w:snapToGrid/>
          <w:lang w:val="en-US"/>
        </w:rPr>
        <w:t xml:space="preserve"> wild type (non-BRCAm)</w:t>
      </w:r>
      <w:r>
        <w:rPr>
          <w:b/>
          <w:snapToGrid/>
          <w:lang w:val="en-US"/>
        </w:rPr>
        <w:t xml:space="preserve">, </w:t>
      </w:r>
      <w:r>
        <w:rPr>
          <w:snapToGrid/>
          <w:lang w:val="en-US"/>
        </w:rPr>
        <w:t xml:space="preserve">the submission provided the following evidence to support </w:t>
      </w:r>
      <w:r>
        <w:t>SMM (follow-up or no active treatment) as a comparator:</w:t>
      </w:r>
    </w:p>
    <w:p w:rsidR="00E13718" w:rsidRDefault="00E13718" w:rsidP="00BE64AA">
      <w:pPr>
        <w:pStyle w:val="ListParagraph"/>
      </w:pPr>
      <w:r w:rsidRPr="00F67E2E">
        <w:t>Currently, there are no PBS listed therapies for maintenance treatme</w:t>
      </w:r>
      <w:r>
        <w:t>nt for this patient population;</w:t>
      </w:r>
    </w:p>
    <w:p w:rsidR="00123988" w:rsidRDefault="00E13718" w:rsidP="00BE64AA">
      <w:pPr>
        <w:pStyle w:val="ListParagraph"/>
      </w:pPr>
      <w:r w:rsidRPr="0049118A">
        <w:t>Although bevacizumab is TGA registered for the treatment of recurrent, platinum</w:t>
      </w:r>
      <w:r>
        <w:t>-</w:t>
      </w:r>
      <w:r w:rsidRPr="0049118A">
        <w:t xml:space="preserve">sensitive OC, </w:t>
      </w:r>
      <w:r>
        <w:t>the submission did not consider it</w:t>
      </w:r>
      <w:r w:rsidRPr="0049118A">
        <w:t xml:space="preserve"> as a comparator, given </w:t>
      </w:r>
      <w:r w:rsidRPr="0049118A">
        <w:lastRenderedPageBreak/>
        <w:t>the cost</w:t>
      </w:r>
      <w:r>
        <w:t>-</w:t>
      </w:r>
      <w:r w:rsidRPr="0049118A">
        <w:t xml:space="preserve">effectiveness of this indication has not </w:t>
      </w:r>
      <w:r>
        <w:t xml:space="preserve">been </w:t>
      </w:r>
      <w:r w:rsidRPr="0049118A">
        <w:t xml:space="preserve">considered by the PBAC, with the PBS listing restricting </w:t>
      </w:r>
      <w:r>
        <w:t xml:space="preserve">its </w:t>
      </w:r>
      <w:r w:rsidRPr="0049118A">
        <w:t xml:space="preserve">utilisation </w:t>
      </w:r>
      <w:r>
        <w:t>to</w:t>
      </w:r>
      <w:r w:rsidRPr="0049118A">
        <w:t xml:space="preserve"> the </w:t>
      </w:r>
      <w:r>
        <w:t>1L</w:t>
      </w:r>
      <w:r w:rsidRPr="0049118A">
        <w:t xml:space="preserve"> setting</w:t>
      </w:r>
      <w:r>
        <w:t xml:space="preserve">. </w:t>
      </w:r>
    </w:p>
    <w:p w:rsidR="00E13718" w:rsidRPr="00603289" w:rsidRDefault="00123988" w:rsidP="00BE64AA">
      <w:pPr>
        <w:ind w:left="720"/>
      </w:pPr>
      <w:r w:rsidRPr="006302D7">
        <w:t>The</w:t>
      </w:r>
      <w:r w:rsidR="000F1E05" w:rsidRPr="006302D7">
        <w:t xml:space="preserve"> ESC </w:t>
      </w:r>
      <w:r w:rsidR="00261171">
        <w:t>considered</w:t>
      </w:r>
      <w:r w:rsidR="000F1E05" w:rsidRPr="006302D7">
        <w:t xml:space="preserve"> that the</w:t>
      </w:r>
      <w:r>
        <w:t xml:space="preserve"> </w:t>
      </w:r>
      <w:r w:rsidR="00E13718" w:rsidRPr="00603289">
        <w:t>nominated comparator for patients with</w:t>
      </w:r>
      <w:r w:rsidR="004176EA" w:rsidRPr="00603289">
        <w:t xml:space="preserve"> </w:t>
      </w:r>
      <w:r w:rsidR="004176EA" w:rsidRPr="00603289">
        <w:rPr>
          <w:lang w:val="en-US"/>
        </w:rPr>
        <w:t>BRC</w:t>
      </w:r>
      <w:r w:rsidR="003114E2" w:rsidRPr="00603289">
        <w:rPr>
          <w:lang w:val="en-US"/>
        </w:rPr>
        <w:t>A wild type</w:t>
      </w:r>
      <w:r w:rsidR="00610DEC" w:rsidRPr="00603289">
        <w:rPr>
          <w:lang w:val="en-US"/>
        </w:rPr>
        <w:t xml:space="preserve"> </w:t>
      </w:r>
      <w:r w:rsidR="00261171">
        <w:t>wa</w:t>
      </w:r>
      <w:r w:rsidR="00E13718" w:rsidRPr="00603289">
        <w:t xml:space="preserve">s appropriate. </w:t>
      </w:r>
    </w:p>
    <w:p w:rsidR="00E13718" w:rsidRPr="00407F2D" w:rsidRDefault="00E13718" w:rsidP="00BE64AA">
      <w:pPr>
        <w:pStyle w:val="2-SectionHeading"/>
      </w:pPr>
      <w:bookmarkStart w:id="10" w:name="_Toc61962140"/>
      <w:bookmarkStart w:id="11" w:name="_Toc22897640"/>
      <w:r>
        <w:t>C</w:t>
      </w:r>
      <w:r w:rsidRPr="00407F2D">
        <w:t>onsideration of the evidence</w:t>
      </w:r>
      <w:bookmarkEnd w:id="10"/>
    </w:p>
    <w:p w:rsidR="00D476BB" w:rsidRPr="00D476BB" w:rsidRDefault="00D476BB" w:rsidP="00D476BB">
      <w:pPr>
        <w:pStyle w:val="4-SubsectionHeading"/>
      </w:pPr>
      <w:bookmarkStart w:id="12" w:name="_Toc61962141"/>
      <w:r w:rsidRPr="00D476BB">
        <w:t>Sponsor hearing</w:t>
      </w:r>
    </w:p>
    <w:p w:rsidR="00D476BB" w:rsidRPr="00836F75" w:rsidRDefault="00D476BB" w:rsidP="00D476BB">
      <w:pPr>
        <w:widowControl w:val="0"/>
        <w:numPr>
          <w:ilvl w:val="1"/>
          <w:numId w:val="1"/>
        </w:numPr>
        <w:spacing w:after="120"/>
        <w:ind w:left="720"/>
        <w:rPr>
          <w:rFonts w:asciiTheme="minorHAnsi" w:hAnsiTheme="minorHAnsi"/>
          <w:bCs/>
          <w:snapToGrid w:val="0"/>
        </w:rPr>
      </w:pPr>
      <w:r w:rsidRPr="00836F75">
        <w:rPr>
          <w:rFonts w:asciiTheme="minorHAnsi" w:hAnsiTheme="minorHAnsi"/>
          <w:bCs/>
          <w:snapToGrid w:val="0"/>
        </w:rPr>
        <w:t>There was no hearing for this item.</w:t>
      </w:r>
    </w:p>
    <w:p w:rsidR="00D476BB" w:rsidRPr="00D476BB" w:rsidRDefault="00D476BB" w:rsidP="00D476BB">
      <w:pPr>
        <w:pStyle w:val="4-SubsectionHeading"/>
      </w:pPr>
      <w:r w:rsidRPr="00D476BB">
        <w:t>Consumer comments</w:t>
      </w:r>
    </w:p>
    <w:p w:rsidR="00D476BB" w:rsidRPr="00836F75" w:rsidRDefault="00D476BB" w:rsidP="00D476BB">
      <w:pPr>
        <w:widowControl w:val="0"/>
        <w:numPr>
          <w:ilvl w:val="1"/>
          <w:numId w:val="1"/>
        </w:numPr>
        <w:spacing w:after="120"/>
        <w:ind w:left="720"/>
        <w:rPr>
          <w:rFonts w:asciiTheme="minorHAnsi" w:hAnsiTheme="minorHAnsi"/>
          <w:bCs/>
          <w:snapToGrid w:val="0"/>
        </w:rPr>
      </w:pPr>
      <w:r w:rsidRPr="00836F75">
        <w:rPr>
          <w:rFonts w:asciiTheme="minorHAnsi" w:hAnsiTheme="minorHAnsi"/>
          <w:bCs/>
          <w:snapToGrid w:val="0"/>
        </w:rPr>
        <w:t>The PBAC noted and welcomed the input from individuals (</w:t>
      </w:r>
      <w:r w:rsidR="00D83C7D">
        <w:rPr>
          <w:rFonts w:asciiTheme="minorHAnsi" w:hAnsiTheme="minorHAnsi"/>
          <w:bCs/>
          <w:snapToGrid w:val="0"/>
        </w:rPr>
        <w:t>1</w:t>
      </w:r>
      <w:r w:rsidRPr="00836F75">
        <w:rPr>
          <w:rFonts w:asciiTheme="minorHAnsi" w:hAnsiTheme="minorHAnsi"/>
          <w:bCs/>
          <w:snapToGrid w:val="0"/>
        </w:rPr>
        <w:t xml:space="preserve">4), </w:t>
      </w:r>
      <w:r w:rsidR="00D83C7D">
        <w:rPr>
          <w:rFonts w:asciiTheme="minorHAnsi" w:hAnsiTheme="minorHAnsi"/>
          <w:bCs/>
          <w:snapToGrid w:val="0"/>
        </w:rPr>
        <w:t>and organisations (4</w:t>
      </w:r>
      <w:r w:rsidRPr="00836F75">
        <w:rPr>
          <w:rFonts w:asciiTheme="minorHAnsi" w:hAnsiTheme="minorHAnsi"/>
          <w:bCs/>
          <w:snapToGrid w:val="0"/>
        </w:rPr>
        <w:t xml:space="preserve">) via the Consumer Comments facility on the PBS website.  The comments </w:t>
      </w:r>
      <w:r w:rsidR="00D83C7D">
        <w:rPr>
          <w:rFonts w:asciiTheme="minorHAnsi" w:hAnsiTheme="minorHAnsi"/>
          <w:bCs/>
          <w:snapToGrid w:val="0"/>
        </w:rPr>
        <w:t xml:space="preserve">noted that patients </w:t>
      </w:r>
      <w:r w:rsidR="00FD78E4">
        <w:rPr>
          <w:rFonts w:asciiTheme="minorHAnsi" w:hAnsiTheme="minorHAnsi"/>
          <w:bCs/>
          <w:snapToGrid w:val="0"/>
        </w:rPr>
        <w:t xml:space="preserve">with ovarian cancer </w:t>
      </w:r>
      <w:r w:rsidR="00D83C7D">
        <w:rPr>
          <w:rFonts w:asciiTheme="minorHAnsi" w:hAnsiTheme="minorHAnsi"/>
          <w:bCs/>
          <w:snapToGrid w:val="0"/>
        </w:rPr>
        <w:t xml:space="preserve">without a BRCA </w:t>
      </w:r>
      <w:r w:rsidR="00D83C7D">
        <w:t>pathogenic variant are not currently able to access PARP inhibitors</w:t>
      </w:r>
      <w:r w:rsidR="00A84F44">
        <w:t>, nor any kind of immunotherapy</w:t>
      </w:r>
      <w:r w:rsidR="00D83C7D">
        <w:t xml:space="preserve">. The comments reported that patients often require neoadjuvant chemotherapy before a biopsy can be performed and this can prevent the confirmation of </w:t>
      </w:r>
      <w:r w:rsidR="00FD78E4">
        <w:t xml:space="preserve">the presence of </w:t>
      </w:r>
      <w:r w:rsidR="00D83C7D">
        <w:t xml:space="preserve">BRCA </w:t>
      </w:r>
      <w:r w:rsidR="00D83C7D" w:rsidRPr="0047678F">
        <w:t>pathogenic variants</w:t>
      </w:r>
      <w:r w:rsidR="00261171">
        <w:t>, which is</w:t>
      </w:r>
      <w:r w:rsidR="00D83C7D" w:rsidRPr="0047678F">
        <w:t xml:space="preserve"> </w:t>
      </w:r>
      <w:r w:rsidR="00D83C7D">
        <w:t>required for access to treatment</w:t>
      </w:r>
      <w:r w:rsidR="0002156F">
        <w:t xml:space="preserve"> with PARP inhibitors</w:t>
      </w:r>
      <w:r w:rsidR="00D83C7D">
        <w:t xml:space="preserve">. </w:t>
      </w:r>
      <w:r w:rsidR="0002156F">
        <w:t xml:space="preserve">One patient reported self-funding </w:t>
      </w:r>
      <w:r w:rsidR="00FD78E4">
        <w:t xml:space="preserve">additional </w:t>
      </w:r>
      <w:r w:rsidR="0002156F">
        <w:t xml:space="preserve">pathology tests following an initial “unknown” BRCA outcome (as no viable tumour tissue was harvested during biopsy) with a view to accessing PBS funded olaparib if BRCA status could be shown to be positive. </w:t>
      </w:r>
      <w:r w:rsidR="00EA7161">
        <w:t xml:space="preserve">Individuals reported that self-funding PARP inhibitors was not possible for most patients due to their high cost. Individuals considered that maintenance with niraparib may increase survival and extend time until progression for patients without BRCA </w:t>
      </w:r>
      <w:r w:rsidR="00EA7161" w:rsidRPr="0047678F">
        <w:t>pathogenic variants</w:t>
      </w:r>
      <w:r w:rsidR="00EA7161">
        <w:t xml:space="preserve">. Patients also noted the </w:t>
      </w:r>
      <w:r w:rsidR="00A84F44">
        <w:t>impact on quality of life of chemotherapy which can be poorly tolerated.</w:t>
      </w:r>
    </w:p>
    <w:p w:rsidR="00D476BB" w:rsidRDefault="00D476BB" w:rsidP="00D476BB">
      <w:pPr>
        <w:widowControl w:val="0"/>
        <w:numPr>
          <w:ilvl w:val="1"/>
          <w:numId w:val="1"/>
        </w:numPr>
        <w:spacing w:after="120"/>
        <w:ind w:left="720"/>
        <w:rPr>
          <w:rFonts w:asciiTheme="minorHAnsi" w:hAnsiTheme="minorHAnsi"/>
          <w:bCs/>
          <w:snapToGrid w:val="0"/>
        </w:rPr>
      </w:pPr>
      <w:r w:rsidRPr="00836F75">
        <w:rPr>
          <w:rFonts w:asciiTheme="minorHAnsi" w:hAnsiTheme="minorHAnsi"/>
          <w:bCs/>
          <w:snapToGrid w:val="0"/>
        </w:rPr>
        <w:t>The PBAC noted the advice received from</w:t>
      </w:r>
      <w:r w:rsidR="00FD78E4">
        <w:rPr>
          <w:rFonts w:asciiTheme="minorHAnsi" w:hAnsiTheme="minorHAnsi"/>
          <w:bCs/>
          <w:snapToGrid w:val="0"/>
        </w:rPr>
        <w:t xml:space="preserve"> </w:t>
      </w:r>
      <w:r w:rsidR="00675AFE">
        <w:rPr>
          <w:rFonts w:asciiTheme="minorHAnsi" w:hAnsiTheme="minorHAnsi"/>
          <w:bCs/>
          <w:snapToGrid w:val="0"/>
        </w:rPr>
        <w:t xml:space="preserve">the Ovarian Cancer Research Foundation (OCRF), Ovarian Cancer Australia </w:t>
      </w:r>
      <w:r w:rsidR="00BB2EDB">
        <w:rPr>
          <w:rFonts w:asciiTheme="minorHAnsi" w:hAnsiTheme="minorHAnsi"/>
          <w:bCs/>
          <w:snapToGrid w:val="0"/>
        </w:rPr>
        <w:t xml:space="preserve">(OCA) </w:t>
      </w:r>
      <w:r w:rsidR="00675AFE">
        <w:rPr>
          <w:rFonts w:asciiTheme="minorHAnsi" w:hAnsiTheme="minorHAnsi"/>
          <w:bCs/>
          <w:snapToGrid w:val="0"/>
        </w:rPr>
        <w:t xml:space="preserve">and Rare Cancers Australia </w:t>
      </w:r>
      <w:r w:rsidR="00BB2EDB">
        <w:rPr>
          <w:rFonts w:asciiTheme="minorHAnsi" w:hAnsiTheme="minorHAnsi"/>
          <w:bCs/>
          <w:snapToGrid w:val="0"/>
        </w:rPr>
        <w:t xml:space="preserve">(RCA) </w:t>
      </w:r>
      <w:r w:rsidR="00675AFE">
        <w:rPr>
          <w:rFonts w:asciiTheme="minorHAnsi" w:hAnsiTheme="minorHAnsi"/>
          <w:bCs/>
          <w:snapToGrid w:val="0"/>
        </w:rPr>
        <w:t>in support of the niraparib submission. The comments from these organisations focuss</w:t>
      </w:r>
      <w:r w:rsidR="00261171">
        <w:rPr>
          <w:rFonts w:asciiTheme="minorHAnsi" w:hAnsiTheme="minorHAnsi"/>
          <w:bCs/>
          <w:snapToGrid w:val="0"/>
        </w:rPr>
        <w:t>ed o</w:t>
      </w:r>
      <w:r w:rsidR="00675AFE">
        <w:rPr>
          <w:rFonts w:asciiTheme="minorHAnsi" w:hAnsiTheme="minorHAnsi"/>
          <w:bCs/>
          <w:snapToGrid w:val="0"/>
        </w:rPr>
        <w:t>n the impact of ovarian cancer on patients</w:t>
      </w:r>
      <w:r w:rsidR="00051C5A">
        <w:rPr>
          <w:rFonts w:asciiTheme="minorHAnsi" w:hAnsiTheme="minorHAnsi"/>
          <w:bCs/>
          <w:snapToGrid w:val="0"/>
        </w:rPr>
        <w:t>’</w:t>
      </w:r>
      <w:r w:rsidR="00675AFE">
        <w:rPr>
          <w:rFonts w:asciiTheme="minorHAnsi" w:hAnsiTheme="minorHAnsi"/>
          <w:bCs/>
          <w:snapToGrid w:val="0"/>
        </w:rPr>
        <w:t xml:space="preserve"> mental health and quality of life</w:t>
      </w:r>
      <w:r w:rsidR="00051C5A">
        <w:rPr>
          <w:rFonts w:asciiTheme="minorHAnsi" w:hAnsiTheme="minorHAnsi"/>
          <w:bCs/>
          <w:snapToGrid w:val="0"/>
        </w:rPr>
        <w:t xml:space="preserve"> and the </w:t>
      </w:r>
      <w:r w:rsidR="00BB2EDB">
        <w:rPr>
          <w:rFonts w:asciiTheme="minorHAnsi" w:hAnsiTheme="minorHAnsi"/>
          <w:bCs/>
          <w:snapToGrid w:val="0"/>
        </w:rPr>
        <w:t>hope of</w:t>
      </w:r>
      <w:r w:rsidR="00051C5A">
        <w:rPr>
          <w:rFonts w:asciiTheme="minorHAnsi" w:hAnsiTheme="minorHAnsi"/>
          <w:bCs/>
          <w:snapToGrid w:val="0"/>
        </w:rPr>
        <w:t xml:space="preserve"> new treatments that prevent or delay relapse and extend survival</w:t>
      </w:r>
      <w:r w:rsidR="00675AFE">
        <w:rPr>
          <w:rFonts w:asciiTheme="minorHAnsi" w:hAnsiTheme="minorHAnsi"/>
          <w:bCs/>
          <w:snapToGrid w:val="0"/>
        </w:rPr>
        <w:t>.</w:t>
      </w:r>
      <w:r w:rsidR="00BB2EDB">
        <w:rPr>
          <w:rFonts w:asciiTheme="minorHAnsi" w:hAnsiTheme="minorHAnsi"/>
          <w:bCs/>
          <w:snapToGrid w:val="0"/>
        </w:rPr>
        <w:t xml:space="preserve"> RCA and OCA reported that issues impacting p</w:t>
      </w:r>
      <w:r w:rsidR="00261171">
        <w:rPr>
          <w:rFonts w:asciiTheme="minorHAnsi" w:hAnsiTheme="minorHAnsi"/>
          <w:bCs/>
          <w:snapToGrid w:val="0"/>
        </w:rPr>
        <w:t>atients with ovarian cancer included:</w:t>
      </w:r>
      <w:r w:rsidR="00BB2EDB">
        <w:rPr>
          <w:rFonts w:asciiTheme="minorHAnsi" w:hAnsiTheme="minorHAnsi"/>
          <w:bCs/>
          <w:snapToGrid w:val="0"/>
        </w:rPr>
        <w:t xml:space="preserve"> the burden of indignity, impacts on fertility, the f</w:t>
      </w:r>
      <w:r w:rsidR="00675AFE">
        <w:rPr>
          <w:rFonts w:asciiTheme="minorHAnsi" w:hAnsiTheme="minorHAnsi"/>
          <w:bCs/>
          <w:snapToGrid w:val="0"/>
        </w:rPr>
        <w:t xml:space="preserve">ear of recurrence, </w:t>
      </w:r>
      <w:r w:rsidR="00BB2EDB">
        <w:rPr>
          <w:rFonts w:asciiTheme="minorHAnsi" w:hAnsiTheme="minorHAnsi"/>
          <w:bCs/>
          <w:snapToGrid w:val="0"/>
        </w:rPr>
        <w:t xml:space="preserve">and the </w:t>
      </w:r>
      <w:r w:rsidR="00675AFE">
        <w:rPr>
          <w:rFonts w:asciiTheme="minorHAnsi" w:hAnsiTheme="minorHAnsi"/>
          <w:bCs/>
          <w:snapToGrid w:val="0"/>
        </w:rPr>
        <w:t>impact on families</w:t>
      </w:r>
      <w:r w:rsidR="00BB2EDB">
        <w:rPr>
          <w:rFonts w:asciiTheme="minorHAnsi" w:hAnsiTheme="minorHAnsi"/>
          <w:bCs/>
          <w:snapToGrid w:val="0"/>
        </w:rPr>
        <w:t xml:space="preserve">. In addition, patients felt there was a lack of </w:t>
      </w:r>
      <w:r w:rsidR="00675AFE">
        <w:rPr>
          <w:rFonts w:asciiTheme="minorHAnsi" w:hAnsiTheme="minorHAnsi"/>
          <w:bCs/>
          <w:snapToGrid w:val="0"/>
        </w:rPr>
        <w:t xml:space="preserve">equity of access, </w:t>
      </w:r>
      <w:r w:rsidR="00BB2EDB">
        <w:rPr>
          <w:rFonts w:asciiTheme="minorHAnsi" w:hAnsiTheme="minorHAnsi"/>
          <w:bCs/>
          <w:snapToGrid w:val="0"/>
        </w:rPr>
        <w:t xml:space="preserve">with PARP inhibitors PBS </w:t>
      </w:r>
      <w:r w:rsidR="00261171">
        <w:rPr>
          <w:rFonts w:asciiTheme="minorHAnsi" w:hAnsiTheme="minorHAnsi"/>
          <w:bCs/>
          <w:snapToGrid w:val="0"/>
        </w:rPr>
        <w:t xml:space="preserve">currently </w:t>
      </w:r>
      <w:r w:rsidR="00BB2EDB">
        <w:rPr>
          <w:rFonts w:asciiTheme="minorHAnsi" w:hAnsiTheme="minorHAnsi"/>
          <w:bCs/>
          <w:snapToGrid w:val="0"/>
        </w:rPr>
        <w:t xml:space="preserve">subsidised only for patients with BRCA pathogenic variants. </w:t>
      </w:r>
      <w:r w:rsidR="00051C5A">
        <w:rPr>
          <w:rFonts w:asciiTheme="minorHAnsi" w:hAnsiTheme="minorHAnsi"/>
          <w:bCs/>
          <w:snapToGrid w:val="0"/>
        </w:rPr>
        <w:t xml:space="preserve">OCRF </w:t>
      </w:r>
      <w:r w:rsidR="00261171">
        <w:rPr>
          <w:rFonts w:asciiTheme="minorHAnsi" w:hAnsiTheme="minorHAnsi"/>
          <w:bCs/>
          <w:snapToGrid w:val="0"/>
        </w:rPr>
        <w:t xml:space="preserve">also </w:t>
      </w:r>
      <w:r w:rsidR="00051C5A">
        <w:rPr>
          <w:rFonts w:asciiTheme="minorHAnsi" w:hAnsiTheme="minorHAnsi"/>
          <w:bCs/>
          <w:snapToGrid w:val="0"/>
        </w:rPr>
        <w:t>note</w:t>
      </w:r>
      <w:r w:rsidR="00BB2EDB">
        <w:rPr>
          <w:rFonts w:asciiTheme="minorHAnsi" w:hAnsiTheme="minorHAnsi"/>
          <w:bCs/>
          <w:snapToGrid w:val="0"/>
        </w:rPr>
        <w:t>d the</w:t>
      </w:r>
      <w:r w:rsidR="00051C5A">
        <w:rPr>
          <w:rFonts w:asciiTheme="minorHAnsi" w:hAnsiTheme="minorHAnsi"/>
          <w:bCs/>
          <w:snapToGrid w:val="0"/>
        </w:rPr>
        <w:t xml:space="preserve"> lack of effective screening strategies to detect ovarian cancer in </w:t>
      </w:r>
      <w:r w:rsidR="00BB2EDB">
        <w:rPr>
          <w:rFonts w:asciiTheme="minorHAnsi" w:hAnsiTheme="minorHAnsi"/>
          <w:bCs/>
          <w:snapToGrid w:val="0"/>
        </w:rPr>
        <w:t xml:space="preserve">its </w:t>
      </w:r>
      <w:r w:rsidR="00051C5A">
        <w:rPr>
          <w:rFonts w:asciiTheme="minorHAnsi" w:hAnsiTheme="minorHAnsi"/>
          <w:bCs/>
          <w:snapToGrid w:val="0"/>
        </w:rPr>
        <w:t xml:space="preserve">earlier stages. </w:t>
      </w:r>
    </w:p>
    <w:p w:rsidR="008E27D3" w:rsidRPr="008E27D3" w:rsidRDefault="008E27D3" w:rsidP="008E27D3">
      <w:pPr>
        <w:widowControl w:val="0"/>
        <w:numPr>
          <w:ilvl w:val="1"/>
          <w:numId w:val="1"/>
        </w:numPr>
        <w:spacing w:after="120"/>
        <w:ind w:left="720"/>
        <w:rPr>
          <w:rFonts w:asciiTheme="minorHAnsi" w:hAnsiTheme="minorHAnsi"/>
          <w:bCs/>
          <w:snapToGrid w:val="0"/>
        </w:rPr>
      </w:pPr>
      <w:r w:rsidRPr="008E27D3">
        <w:rPr>
          <w:rFonts w:asciiTheme="minorHAnsi" w:hAnsiTheme="minorHAnsi"/>
          <w:bCs/>
          <w:snapToGrid w:val="0"/>
        </w:rPr>
        <w:t xml:space="preserve">The Medical Oncology Group of Australia (MOGA) also expressed its support for the </w:t>
      </w:r>
      <w:r>
        <w:rPr>
          <w:rFonts w:asciiTheme="minorHAnsi" w:hAnsiTheme="minorHAnsi"/>
          <w:bCs/>
          <w:snapToGrid w:val="0"/>
        </w:rPr>
        <w:t>niraparib</w:t>
      </w:r>
      <w:r w:rsidRPr="008E27D3">
        <w:rPr>
          <w:rFonts w:asciiTheme="minorHAnsi" w:hAnsiTheme="minorHAnsi"/>
          <w:bCs/>
          <w:snapToGrid w:val="0"/>
        </w:rPr>
        <w:t xml:space="preserve"> submission. The PBAC noted that the MOGA presented a European Society for Medical Oncology Magnitude of Clinical Benefit Scale (ESMO-MCBS) for </w:t>
      </w:r>
      <w:r>
        <w:rPr>
          <w:rFonts w:asciiTheme="minorHAnsi" w:hAnsiTheme="minorHAnsi"/>
          <w:bCs/>
          <w:snapToGrid w:val="0"/>
        </w:rPr>
        <w:t>niraparib, which was limited to 3</w:t>
      </w:r>
      <w:r w:rsidRPr="008E27D3">
        <w:rPr>
          <w:rFonts w:asciiTheme="minorHAnsi" w:hAnsiTheme="minorHAnsi"/>
          <w:bCs/>
          <w:snapToGrid w:val="0"/>
        </w:rPr>
        <w:t xml:space="preserve"> (out of a maximum of 5, where 5 and 4 represent the grades </w:t>
      </w:r>
      <w:r w:rsidRPr="008E27D3">
        <w:rPr>
          <w:rFonts w:asciiTheme="minorHAnsi" w:hAnsiTheme="minorHAnsi"/>
          <w:bCs/>
          <w:snapToGrid w:val="0"/>
        </w:rPr>
        <w:lastRenderedPageBreak/>
        <w:t>with substantial improvement)</w:t>
      </w:r>
      <w:r>
        <w:rPr>
          <w:rStyle w:val="FootnoteReference"/>
          <w:rFonts w:asciiTheme="minorHAnsi" w:hAnsiTheme="minorHAnsi"/>
          <w:bCs/>
          <w:snapToGrid w:val="0"/>
        </w:rPr>
        <w:footnoteReference w:id="1"/>
      </w:r>
      <w:r w:rsidRPr="008E27D3">
        <w:rPr>
          <w:rFonts w:asciiTheme="minorHAnsi" w:hAnsiTheme="minorHAnsi"/>
          <w:bCs/>
          <w:snapToGrid w:val="0"/>
        </w:rPr>
        <w:t xml:space="preserve">, based on a comparison with </w:t>
      </w:r>
      <w:r>
        <w:rPr>
          <w:rFonts w:asciiTheme="minorHAnsi" w:hAnsiTheme="minorHAnsi"/>
          <w:bCs/>
          <w:snapToGrid w:val="0"/>
        </w:rPr>
        <w:t>placebo</w:t>
      </w:r>
      <w:r w:rsidRPr="008E27D3">
        <w:rPr>
          <w:rFonts w:asciiTheme="minorHAnsi" w:hAnsiTheme="minorHAnsi"/>
          <w:bCs/>
          <w:snapToGrid w:val="0"/>
        </w:rPr>
        <w:t>.</w:t>
      </w:r>
    </w:p>
    <w:p w:rsidR="00E13718" w:rsidRPr="00C9624D" w:rsidRDefault="00E13718" w:rsidP="00BE64AA">
      <w:pPr>
        <w:pStyle w:val="4-SubsectionHeading"/>
      </w:pPr>
      <w:r w:rsidRPr="00C9624D">
        <w:t xml:space="preserve">Clinical </w:t>
      </w:r>
      <w:bookmarkEnd w:id="11"/>
      <w:r>
        <w:t>trials</w:t>
      </w:r>
      <w:bookmarkEnd w:id="12"/>
    </w:p>
    <w:p w:rsidR="00E13718" w:rsidRDefault="00E13718" w:rsidP="00BE64AA">
      <w:pPr>
        <w:pStyle w:val="3-BodyText"/>
        <w:ind w:left="709"/>
      </w:pPr>
      <w:r>
        <w:t>The submission was based on two randomised placebo-controlled trials:</w:t>
      </w:r>
    </w:p>
    <w:p w:rsidR="00E13718" w:rsidRDefault="00E13718" w:rsidP="00BE64AA">
      <w:pPr>
        <w:pStyle w:val="ListParagraph"/>
      </w:pPr>
      <w:r w:rsidRPr="00652D21">
        <w:rPr>
          <w:b/>
        </w:rPr>
        <w:t>NOVA trial:</w:t>
      </w:r>
      <w:r w:rsidRPr="006C1561">
        <w:t xml:space="preserve"> A phase III, multicentre, double-blind, randomised, placebo-controlled trial</w:t>
      </w:r>
      <w:r>
        <w:t xml:space="preserve"> (N= 553)</w:t>
      </w:r>
      <w:r w:rsidRPr="006C1561">
        <w:t xml:space="preserve">, comparing niraparib to placebo in patients with </w:t>
      </w:r>
      <w:r>
        <w:t xml:space="preserve">PSR, </w:t>
      </w:r>
      <w:r w:rsidRPr="006C1561">
        <w:t xml:space="preserve"> HGSOC who received at least two prior lines of platinum-based therapies and have developed CR or PR to the last platinum-based therapy; </w:t>
      </w:r>
    </w:p>
    <w:p w:rsidR="00F060AD" w:rsidRPr="0047678F" w:rsidRDefault="00F060AD" w:rsidP="00BE64AA">
      <w:pPr>
        <w:pStyle w:val="ListParagraph"/>
        <w:numPr>
          <w:ilvl w:val="2"/>
          <w:numId w:val="3"/>
        </w:numPr>
      </w:pPr>
      <w:r w:rsidRPr="0047678F">
        <w:t xml:space="preserve">There were two patient cohorts in the NOVA trial: patients with germline </w:t>
      </w:r>
      <w:r w:rsidR="00743593">
        <w:t>BRCAm (</w:t>
      </w:r>
      <w:r w:rsidRPr="0047678F">
        <w:t>gBRCAm</w:t>
      </w:r>
      <w:r w:rsidR="00743593">
        <w:t>)</w:t>
      </w:r>
      <w:r w:rsidRPr="0047678F">
        <w:t>, and patients without evidence of these germline variants (non-gBRCAm). Randomisation was conducted separately for each cohort.</w:t>
      </w:r>
      <w:r w:rsidR="003C51F2" w:rsidRPr="003C51F2">
        <w:t xml:space="preserve"> </w:t>
      </w:r>
      <w:r w:rsidR="003C51F2" w:rsidRPr="00603289">
        <w:t>Germline BRCAm was identified using Myriad Integrated BRCAnalysis.</w:t>
      </w:r>
    </w:p>
    <w:p w:rsidR="00F060AD" w:rsidRPr="00BA2866" w:rsidRDefault="00F060AD" w:rsidP="00BE64AA">
      <w:pPr>
        <w:pStyle w:val="ListParagraph"/>
        <w:numPr>
          <w:ilvl w:val="2"/>
          <w:numId w:val="3"/>
        </w:numPr>
      </w:pPr>
      <w:r w:rsidRPr="00C278F0">
        <w:t>The non-g</w:t>
      </w:r>
      <w:r w:rsidRPr="00C278F0">
        <w:rPr>
          <w:iCs/>
        </w:rPr>
        <w:t>BRCA</w:t>
      </w:r>
      <w:r w:rsidRPr="00C278F0">
        <w:t xml:space="preserve">m cohort is comprised of 3 groups of patients: </w:t>
      </w:r>
      <w:r w:rsidR="00123988">
        <w:t xml:space="preserve">tumours with </w:t>
      </w:r>
      <w:r w:rsidRPr="00C278F0">
        <w:t>homologous recombination deficiency (HRD) (HRDpos), HRD negative (HRDneg), and a group whose tumo</w:t>
      </w:r>
      <w:r w:rsidR="00AB294C">
        <w:t>u</w:t>
      </w:r>
      <w:r w:rsidRPr="00C278F0">
        <w:t>r HRD status could not be determined (HRDnd).</w:t>
      </w:r>
      <w:r w:rsidR="003C51F2" w:rsidRPr="003C51F2">
        <w:t xml:space="preserve"> </w:t>
      </w:r>
      <w:r w:rsidR="003C51F2" w:rsidRPr="00603289">
        <w:t xml:space="preserve">HRD </w:t>
      </w:r>
      <w:r w:rsidR="00725692">
        <w:t xml:space="preserve">status </w:t>
      </w:r>
      <w:r w:rsidR="003C51F2" w:rsidRPr="00603289">
        <w:t xml:space="preserve">(including somatic BRCAm) was identified using the myChoice HRD test.  </w:t>
      </w:r>
    </w:p>
    <w:p w:rsidR="00E35350" w:rsidRDefault="00123988" w:rsidP="00BE64AA">
      <w:pPr>
        <w:pStyle w:val="ListParagraph"/>
        <w:numPr>
          <w:ilvl w:val="2"/>
          <w:numId w:val="3"/>
        </w:numPr>
      </w:pPr>
      <w:r>
        <w:t>Within the</w:t>
      </w:r>
      <w:r w:rsidR="00F060AD" w:rsidRPr="00D3018E">
        <w:t xml:space="preserve"> HRDpos group </w:t>
      </w:r>
      <w:r>
        <w:t>there are</w:t>
      </w:r>
      <w:r w:rsidRPr="00D3018E">
        <w:t xml:space="preserve"> </w:t>
      </w:r>
      <w:r w:rsidR="00F060AD" w:rsidRPr="00D3018E">
        <w:t xml:space="preserve">women with somatic </w:t>
      </w:r>
      <w:r w:rsidR="00F060AD" w:rsidRPr="00210C36">
        <w:rPr>
          <w:iCs/>
        </w:rPr>
        <w:t>BRCAm</w:t>
      </w:r>
      <w:r w:rsidR="00F060AD" w:rsidRPr="0089191D">
        <w:t xml:space="preserve"> and those </w:t>
      </w:r>
      <w:r>
        <w:t>with</w:t>
      </w:r>
      <w:r w:rsidR="00F060AD" w:rsidRPr="0089191D">
        <w:t xml:space="preserve"> HRDpos tumo</w:t>
      </w:r>
      <w:r w:rsidR="00D038AA">
        <w:t>u</w:t>
      </w:r>
      <w:r w:rsidR="00F060AD" w:rsidRPr="0089191D">
        <w:t>rs d</w:t>
      </w:r>
      <w:r w:rsidR="00F060AD" w:rsidRPr="00C500D9">
        <w:t>ue to non-</w:t>
      </w:r>
      <w:r w:rsidR="00F060AD" w:rsidRPr="00C500D9">
        <w:rPr>
          <w:iCs/>
        </w:rPr>
        <w:t xml:space="preserve">BRCA </w:t>
      </w:r>
      <w:r w:rsidR="00F060AD" w:rsidRPr="00B14527">
        <w:t>related defects in the homologous recombination pathway (HRDpos/</w:t>
      </w:r>
      <w:r w:rsidR="00F060AD" w:rsidRPr="00C278F0">
        <w:rPr>
          <w:iCs/>
        </w:rPr>
        <w:t>BRCA</w:t>
      </w:r>
      <w:r w:rsidR="00F060AD" w:rsidRPr="00C278F0">
        <w:t>wt)</w:t>
      </w:r>
      <w:r>
        <w:t>.</w:t>
      </w:r>
      <w:r w:rsidR="00F060AD" w:rsidRPr="00C278F0">
        <w:t xml:space="preserve"> </w:t>
      </w:r>
    </w:p>
    <w:p w:rsidR="00E35350" w:rsidRPr="00215E46" w:rsidRDefault="00E35350" w:rsidP="00BE64AA">
      <w:pPr>
        <w:pStyle w:val="ListBullet"/>
      </w:pPr>
    </w:p>
    <w:p w:rsidR="00E13718" w:rsidRPr="00652D21" w:rsidRDefault="00E13718" w:rsidP="00BE64AA">
      <w:pPr>
        <w:pStyle w:val="ListParagraph"/>
      </w:pPr>
      <w:r w:rsidRPr="00652D21">
        <w:rPr>
          <w:b/>
        </w:rPr>
        <w:t>SOLO-2 trial</w:t>
      </w:r>
      <w:r w:rsidRPr="006C1561">
        <w:t>: A phase III, multicentre, double-blind, randomised, placebo-controlled trial</w:t>
      </w:r>
      <w:r>
        <w:t xml:space="preserve"> (N=295)</w:t>
      </w:r>
      <w:r w:rsidRPr="006C1561">
        <w:t xml:space="preserve">, comparing olaparib tablets to placebo in patients with gBRCAm and </w:t>
      </w:r>
      <w:r>
        <w:t xml:space="preserve">PSR, </w:t>
      </w:r>
      <w:r w:rsidRPr="006C1561">
        <w:t>HGSOC who received at least two prior lines of platinum-based therapies and have developed CR or PR to the last platinum-based therapy.</w:t>
      </w:r>
      <w:r w:rsidRPr="006C1561">
        <w:rPr>
          <w:snapToGrid/>
          <w:color w:val="0066FF"/>
          <w:lang w:val="en-US"/>
        </w:rPr>
        <w:t xml:space="preserve"> </w:t>
      </w:r>
    </w:p>
    <w:p w:rsidR="00E13718" w:rsidRDefault="00E13718" w:rsidP="00BE64AA">
      <w:pPr>
        <w:pStyle w:val="3-BodyText"/>
        <w:ind w:left="709"/>
      </w:pPr>
      <w:r w:rsidRPr="0099362A">
        <w:t xml:space="preserve">The evidence presented in the submission was based on: </w:t>
      </w:r>
    </w:p>
    <w:p w:rsidR="00E13718" w:rsidRDefault="00E13718" w:rsidP="00BE64AA">
      <w:pPr>
        <w:pStyle w:val="ListParagraph"/>
      </w:pPr>
      <w:r>
        <w:t>A</w:t>
      </w:r>
      <w:r w:rsidRPr="0099362A">
        <w:t xml:space="preserve"> direct comparison of niraparib versus placebo</w:t>
      </w:r>
      <w:r>
        <w:t xml:space="preserve"> </w:t>
      </w:r>
      <w:r w:rsidRPr="0099362A">
        <w:t>(NOVA trial) in patients with non-</w:t>
      </w:r>
      <w:r>
        <w:t>g</w:t>
      </w:r>
      <w:r w:rsidRPr="0099362A">
        <w:t xml:space="preserve">BRCAm; </w:t>
      </w:r>
    </w:p>
    <w:p w:rsidR="00E13718" w:rsidRPr="0099362A" w:rsidRDefault="00E13718" w:rsidP="00BE64AA">
      <w:pPr>
        <w:pStyle w:val="ListParagraph"/>
      </w:pPr>
      <w:r>
        <w:t>A</w:t>
      </w:r>
      <w:r w:rsidRPr="0099362A">
        <w:t xml:space="preserve"> one-step indirect comparison </w:t>
      </w:r>
      <w:r>
        <w:t>between</w:t>
      </w:r>
      <w:r w:rsidRPr="0099362A">
        <w:t xml:space="preserve"> niraparib</w:t>
      </w:r>
      <w:r>
        <w:t xml:space="preserve"> (NOVA trial)</w:t>
      </w:r>
      <w:r w:rsidRPr="0099362A">
        <w:t xml:space="preserve"> versus olaparib</w:t>
      </w:r>
      <w:r>
        <w:t xml:space="preserve"> (SOLO-2 trial)</w:t>
      </w:r>
      <w:r w:rsidRPr="0099362A">
        <w:t xml:space="preserve"> in patients with </w:t>
      </w:r>
      <w:r>
        <w:t>g</w:t>
      </w:r>
      <w:r w:rsidRPr="0099362A">
        <w:t xml:space="preserve">BRCAm (with placebo as a common comparator). </w:t>
      </w:r>
    </w:p>
    <w:p w:rsidR="00E255D2" w:rsidRPr="00862904" w:rsidRDefault="00E255D2" w:rsidP="00BE64AA">
      <w:pPr>
        <w:pStyle w:val="3-BodyText"/>
        <w:ind w:left="709"/>
        <w:rPr>
          <w:i/>
        </w:rPr>
      </w:pPr>
      <w:r w:rsidRPr="00603289">
        <w:t xml:space="preserve">The clinical claim for patients with BRCAm was based on evidence from the </w:t>
      </w:r>
      <w:r w:rsidR="00725692">
        <w:t>cohort</w:t>
      </w:r>
      <w:r w:rsidRPr="00603289">
        <w:t xml:space="preserve"> in the NOVA trial with gBRCA</w:t>
      </w:r>
      <w:r w:rsidR="00332DAF">
        <w:t>m</w:t>
      </w:r>
      <w:r w:rsidRPr="00603289">
        <w:t>. The clinical claim for the non-BRCAm group was based on patients in the NOVA trial without gBRCAm, which included 47 patients (</w:t>
      </w:r>
      <w:r w:rsidR="00610DEC" w:rsidRPr="00603289">
        <w:t>~</w:t>
      </w:r>
      <w:r w:rsidR="0027466A" w:rsidRPr="00603289">
        <w:t>13</w:t>
      </w:r>
      <w:r w:rsidRPr="00603289">
        <w:t xml:space="preserve">%) who had a somatic BRCA1/2 pathogenic or likely pathogenic variant (sBRCAm). As patients with germline or somatic BRCAm had a better response to treatment than patients in the non-gBRCAm cohort, inclusion of sBRCAm patients in this group is likely to </w:t>
      </w:r>
      <w:r w:rsidRPr="00603289">
        <w:lastRenderedPageBreak/>
        <w:t>overestimate the clinical benefit for the true non-BRCAm group.</w:t>
      </w:r>
      <w:r w:rsidR="00B114A8" w:rsidRPr="00603289">
        <w:t xml:space="preserve"> </w:t>
      </w:r>
      <w:r w:rsidR="00C524A0">
        <w:t>See also paragraph</w:t>
      </w:r>
      <w:r w:rsidR="00862904">
        <w:t xml:space="preserve"> </w:t>
      </w:r>
      <w:r w:rsidR="00681899">
        <w:t>6.23</w:t>
      </w:r>
      <w:r w:rsidR="00862904">
        <w:t>-</w:t>
      </w:r>
      <w:r w:rsidR="00681899">
        <w:t>6.24</w:t>
      </w:r>
      <w:r w:rsidR="00862904">
        <w:t>.</w:t>
      </w:r>
    </w:p>
    <w:p w:rsidR="00E13718" w:rsidRDefault="00E13718" w:rsidP="00BE64AA">
      <w:pPr>
        <w:pStyle w:val="3-BodyText"/>
        <w:ind w:left="709"/>
      </w:pPr>
      <w:r>
        <w:t>Details of the trials presented in the submission are provided in the table below</w:t>
      </w:r>
      <w:r w:rsidR="00DD4469">
        <w:t>.</w:t>
      </w:r>
    </w:p>
    <w:p w:rsidR="00E13718" w:rsidRDefault="00E13718" w:rsidP="00BE64AA">
      <w:pPr>
        <w:pStyle w:val="TableText0"/>
        <w:keepNext w:val="0"/>
      </w:pPr>
    </w:p>
    <w:p w:rsidR="00E13718" w:rsidRDefault="00E13718" w:rsidP="00867DE7">
      <w:pPr>
        <w:pStyle w:val="TableFigureHeading"/>
        <w:keepLines/>
      </w:pPr>
      <w:r>
        <w:t xml:space="preserve">Table </w:t>
      </w:r>
      <w:r w:rsidR="00681899">
        <w:rPr>
          <w:noProof/>
        </w:rPr>
        <w:t>2</w:t>
      </w:r>
      <w:r>
        <w:t xml:space="preserve">: </w:t>
      </w:r>
      <w:r w:rsidRPr="00C7580D">
        <w:rPr>
          <w:rStyle w:val="CommentReference"/>
          <w:b/>
        </w:rPr>
        <w:t>Trials and associated reports presented in the submission</w:t>
      </w:r>
    </w:p>
    <w:tbl>
      <w:tblPr>
        <w:tblStyle w:val="TableGrid"/>
        <w:tblW w:w="5000" w:type="pct"/>
        <w:tblCellMar>
          <w:top w:w="28" w:type="dxa"/>
          <w:left w:w="28" w:type="dxa"/>
          <w:bottom w:w="28" w:type="dxa"/>
          <w:right w:w="28" w:type="dxa"/>
        </w:tblCellMar>
        <w:tblLook w:val="04A0" w:firstRow="1" w:lastRow="0" w:firstColumn="1" w:lastColumn="0" w:noHBand="0" w:noVBand="1"/>
        <w:tblCaption w:val="Table 2: Trials and associated reports presented in the submission"/>
      </w:tblPr>
      <w:tblGrid>
        <w:gridCol w:w="703"/>
        <w:gridCol w:w="5531"/>
        <w:gridCol w:w="2783"/>
      </w:tblGrid>
      <w:tr w:rsidR="00E13718" w:rsidRPr="00681E95" w:rsidTr="00C64862">
        <w:trPr>
          <w:tblHeader/>
        </w:trPr>
        <w:tc>
          <w:tcPr>
            <w:tcW w:w="390" w:type="pct"/>
            <w:shd w:val="clear" w:color="auto" w:fill="auto"/>
          </w:tcPr>
          <w:p w:rsidR="00E13718" w:rsidRPr="00681E95" w:rsidRDefault="00E13718" w:rsidP="00867DE7">
            <w:pPr>
              <w:pStyle w:val="In-tableHeading"/>
              <w:keepLines/>
            </w:pPr>
            <w:r w:rsidRPr="00681E95">
              <w:t>Trial ID</w:t>
            </w:r>
          </w:p>
        </w:tc>
        <w:tc>
          <w:tcPr>
            <w:tcW w:w="3066" w:type="pct"/>
            <w:tcBorders>
              <w:bottom w:val="single" w:sz="4" w:space="0" w:color="auto"/>
            </w:tcBorders>
            <w:shd w:val="clear" w:color="auto" w:fill="auto"/>
          </w:tcPr>
          <w:p w:rsidR="00E13718" w:rsidRPr="00681E95" w:rsidRDefault="00E13718" w:rsidP="00867DE7">
            <w:pPr>
              <w:pStyle w:val="In-tableHeading"/>
              <w:keepLines/>
            </w:pPr>
            <w:r w:rsidRPr="00681E95">
              <w:t>Protocol title/ Publication title</w:t>
            </w:r>
          </w:p>
        </w:tc>
        <w:tc>
          <w:tcPr>
            <w:tcW w:w="1543" w:type="pct"/>
            <w:tcBorders>
              <w:bottom w:val="single" w:sz="4" w:space="0" w:color="auto"/>
            </w:tcBorders>
            <w:shd w:val="clear" w:color="auto" w:fill="auto"/>
          </w:tcPr>
          <w:p w:rsidR="00E13718" w:rsidRPr="007311FE" w:rsidRDefault="00E13718" w:rsidP="00867DE7">
            <w:pPr>
              <w:pStyle w:val="In-tableHeading"/>
              <w:keepLines/>
            </w:pPr>
            <w:r w:rsidRPr="007311FE">
              <w:t>Publication citation</w:t>
            </w:r>
          </w:p>
        </w:tc>
      </w:tr>
      <w:tr w:rsidR="00E13718" w:rsidRPr="00681E95" w:rsidTr="00ED166C">
        <w:tc>
          <w:tcPr>
            <w:tcW w:w="390" w:type="pct"/>
            <w:vMerge w:val="restart"/>
          </w:tcPr>
          <w:p w:rsidR="00E13718" w:rsidRPr="00681E95" w:rsidRDefault="00E13718" w:rsidP="00867DE7">
            <w:pPr>
              <w:pStyle w:val="TableText0"/>
              <w:keepLines/>
            </w:pPr>
            <w:r w:rsidRPr="00681E95">
              <w:t>NOVA</w:t>
            </w:r>
          </w:p>
        </w:tc>
        <w:tc>
          <w:tcPr>
            <w:tcW w:w="3066" w:type="pct"/>
            <w:tcBorders>
              <w:bottom w:val="nil"/>
            </w:tcBorders>
          </w:tcPr>
          <w:p w:rsidR="00E13718" w:rsidRPr="00681E95" w:rsidRDefault="00E13718" w:rsidP="00867DE7">
            <w:pPr>
              <w:pStyle w:val="TableText0"/>
              <w:keepLines/>
            </w:pPr>
            <w:r w:rsidRPr="00681E95">
              <w:t>PR-30-5011-C: A phase 3, randomi</w:t>
            </w:r>
            <w:r>
              <w:t>s</w:t>
            </w:r>
            <w:r w:rsidRPr="00681E95">
              <w:t>ed, double-blind trial of maintenance with niraparib versus placebo in patients with platinum-sensitive ovarian cancer.</w:t>
            </w:r>
          </w:p>
        </w:tc>
        <w:tc>
          <w:tcPr>
            <w:tcW w:w="1543" w:type="pct"/>
            <w:tcBorders>
              <w:bottom w:val="nil"/>
            </w:tcBorders>
          </w:tcPr>
          <w:p w:rsidR="00E13718" w:rsidRPr="007311FE" w:rsidRDefault="00E13718" w:rsidP="00867DE7">
            <w:pPr>
              <w:pStyle w:val="TableText0"/>
              <w:keepLines/>
            </w:pPr>
            <w:r w:rsidRPr="007311FE">
              <w:t>24th September 2016</w:t>
            </w:r>
          </w:p>
        </w:tc>
      </w:tr>
      <w:tr w:rsidR="00E13718" w:rsidRPr="00681E95" w:rsidTr="00ED166C">
        <w:tc>
          <w:tcPr>
            <w:tcW w:w="390" w:type="pct"/>
            <w:vMerge/>
          </w:tcPr>
          <w:p w:rsidR="00E13718" w:rsidRPr="00681E95" w:rsidRDefault="00E13718" w:rsidP="00867DE7">
            <w:pPr>
              <w:pStyle w:val="TableText0"/>
              <w:keepLines/>
            </w:pPr>
          </w:p>
        </w:tc>
        <w:tc>
          <w:tcPr>
            <w:tcW w:w="3066" w:type="pct"/>
            <w:tcBorders>
              <w:top w:val="nil"/>
              <w:bottom w:val="nil"/>
            </w:tcBorders>
          </w:tcPr>
          <w:p w:rsidR="00E13718" w:rsidRPr="00681E95" w:rsidRDefault="00E13718" w:rsidP="00867DE7">
            <w:pPr>
              <w:pStyle w:val="TableText0"/>
              <w:keepLines/>
            </w:pPr>
            <w:r w:rsidRPr="00681E95">
              <w:t>PR-30-5011-C: Quality of life analysis in platinum-sensitive ovarian cancer: a phase 3 clinical study analysis – patient reported outcomes report.</w:t>
            </w:r>
          </w:p>
        </w:tc>
        <w:tc>
          <w:tcPr>
            <w:tcW w:w="1543" w:type="pct"/>
            <w:tcBorders>
              <w:top w:val="nil"/>
              <w:bottom w:val="nil"/>
            </w:tcBorders>
          </w:tcPr>
          <w:p w:rsidR="00E13718" w:rsidRPr="007311FE" w:rsidRDefault="00E13718" w:rsidP="00867DE7">
            <w:pPr>
              <w:pStyle w:val="TableText0"/>
              <w:keepLines/>
            </w:pPr>
            <w:r w:rsidRPr="007311FE">
              <w:t>27 September 2016</w:t>
            </w:r>
          </w:p>
        </w:tc>
      </w:tr>
      <w:tr w:rsidR="00E13718" w:rsidRPr="00681E95" w:rsidTr="00ED166C">
        <w:tc>
          <w:tcPr>
            <w:tcW w:w="390" w:type="pct"/>
            <w:vMerge/>
          </w:tcPr>
          <w:p w:rsidR="00E13718" w:rsidRPr="00681E95" w:rsidRDefault="00E13718" w:rsidP="00867DE7">
            <w:pPr>
              <w:pStyle w:val="TableText0"/>
              <w:keepLines/>
            </w:pPr>
          </w:p>
        </w:tc>
        <w:tc>
          <w:tcPr>
            <w:tcW w:w="3066" w:type="pct"/>
            <w:tcBorders>
              <w:top w:val="nil"/>
              <w:bottom w:val="nil"/>
            </w:tcBorders>
          </w:tcPr>
          <w:p w:rsidR="00E13718" w:rsidRPr="00681E95" w:rsidRDefault="00E13718" w:rsidP="00867DE7">
            <w:pPr>
              <w:pStyle w:val="TableText0"/>
              <w:keepLines/>
            </w:pPr>
            <w:r w:rsidRPr="00681E95">
              <w:t>Mirza MR, Monk BJ, Herrstedt J, Oza AM, Mahner S, Redondo A, et al. Niraparib maintenance therapy in platinum-sensitive, recurrent ovarian cancer.</w:t>
            </w:r>
          </w:p>
        </w:tc>
        <w:tc>
          <w:tcPr>
            <w:tcW w:w="1543" w:type="pct"/>
            <w:tcBorders>
              <w:top w:val="nil"/>
              <w:bottom w:val="nil"/>
            </w:tcBorders>
          </w:tcPr>
          <w:p w:rsidR="00E13718" w:rsidRPr="006302D7" w:rsidRDefault="00E13718" w:rsidP="00867DE7">
            <w:pPr>
              <w:pStyle w:val="TableText0"/>
              <w:keepLines/>
            </w:pPr>
            <w:r w:rsidRPr="006302D7">
              <w:t>New England Journal of Medicine. 2016</w:t>
            </w:r>
            <w:r w:rsidR="00AD1492" w:rsidRPr="006302D7">
              <w:t>; 375</w:t>
            </w:r>
            <w:r w:rsidRPr="006302D7">
              <w:t>(22):2154-64.</w:t>
            </w:r>
          </w:p>
        </w:tc>
      </w:tr>
      <w:tr w:rsidR="00E13718" w:rsidRPr="00681E95" w:rsidTr="00ED166C">
        <w:tc>
          <w:tcPr>
            <w:tcW w:w="390" w:type="pct"/>
            <w:vMerge/>
            <w:tcBorders>
              <w:bottom w:val="single" w:sz="4" w:space="0" w:color="auto"/>
            </w:tcBorders>
          </w:tcPr>
          <w:p w:rsidR="00E13718" w:rsidRPr="00681E95" w:rsidRDefault="00E13718" w:rsidP="00867DE7">
            <w:pPr>
              <w:pStyle w:val="TableText0"/>
              <w:keepLines/>
            </w:pPr>
          </w:p>
        </w:tc>
        <w:tc>
          <w:tcPr>
            <w:tcW w:w="3066" w:type="pct"/>
            <w:tcBorders>
              <w:top w:val="nil"/>
              <w:bottom w:val="single" w:sz="4" w:space="0" w:color="auto"/>
            </w:tcBorders>
          </w:tcPr>
          <w:p w:rsidR="00E13718" w:rsidRPr="00681E95" w:rsidRDefault="00E13718" w:rsidP="00867DE7">
            <w:pPr>
              <w:pStyle w:val="TableText0"/>
              <w:keepLines/>
            </w:pPr>
            <w:r w:rsidRPr="00681E95">
              <w:t>Mirza MR, Dørum A, Benigno B, Mahner S, Bessette P, Bover Barcelo IM, et al. Long-term safety assessment of niraparib in patients with recurrent ovarian cancer: Results from the ENGOT-OV16/NOVA trial.</w:t>
            </w:r>
          </w:p>
        </w:tc>
        <w:tc>
          <w:tcPr>
            <w:tcW w:w="1543" w:type="pct"/>
            <w:tcBorders>
              <w:top w:val="nil"/>
              <w:bottom w:val="single" w:sz="4" w:space="0" w:color="auto"/>
            </w:tcBorders>
          </w:tcPr>
          <w:p w:rsidR="00E13718" w:rsidRPr="006302D7" w:rsidRDefault="00E13718" w:rsidP="00867DE7">
            <w:pPr>
              <w:pStyle w:val="TableText0"/>
              <w:keepLines/>
            </w:pPr>
            <w:r w:rsidRPr="006302D7">
              <w:t>International Journal of Gynecological Cancer. 2019;29:A15-A6.</w:t>
            </w:r>
            <w:r w:rsidR="007311FE" w:rsidRPr="006302D7">
              <w:t xml:space="preserve"> </w:t>
            </w:r>
          </w:p>
        </w:tc>
      </w:tr>
      <w:tr w:rsidR="00E76B23" w:rsidRPr="00681E95" w:rsidTr="00ED166C">
        <w:tc>
          <w:tcPr>
            <w:tcW w:w="390" w:type="pct"/>
            <w:vMerge w:val="restart"/>
          </w:tcPr>
          <w:p w:rsidR="00E76B23" w:rsidRPr="00681E95" w:rsidRDefault="00E76B23" w:rsidP="00867DE7">
            <w:pPr>
              <w:pStyle w:val="TableText0"/>
              <w:keepLines/>
            </w:pPr>
            <w:r w:rsidRPr="00681E95">
              <w:t>SOLO-2</w:t>
            </w:r>
          </w:p>
        </w:tc>
        <w:tc>
          <w:tcPr>
            <w:tcW w:w="3066" w:type="pct"/>
            <w:tcBorders>
              <w:bottom w:val="nil"/>
            </w:tcBorders>
          </w:tcPr>
          <w:p w:rsidR="00E76B23" w:rsidRPr="00681E95" w:rsidRDefault="00E76B23" w:rsidP="00867DE7">
            <w:pPr>
              <w:pStyle w:val="TableText0"/>
              <w:keepLines/>
            </w:pPr>
            <w:r w:rsidRPr="00681E95">
              <w:t>Pujade-Lauraine E, Ledermann JA, Selle F, Gebski V, Penson RT, Oza AM, et al. Olaparib tablets as maintenance therapy in patients with platinum-sensitive, relapsed ovarian cancer and a BRCA1/2 mutation (</w:t>
            </w:r>
            <w:r>
              <w:t>SOLO-2</w:t>
            </w:r>
            <w:r w:rsidRPr="00681E95">
              <w:t>/ENGOT-Ov21): a double-blind, randomised, placebo-controlled, phase 3 trial.</w:t>
            </w:r>
          </w:p>
        </w:tc>
        <w:tc>
          <w:tcPr>
            <w:tcW w:w="1543" w:type="pct"/>
            <w:tcBorders>
              <w:bottom w:val="nil"/>
            </w:tcBorders>
          </w:tcPr>
          <w:p w:rsidR="00E76B23" w:rsidRPr="006302D7" w:rsidRDefault="00E76B23" w:rsidP="00867DE7">
            <w:pPr>
              <w:pStyle w:val="TableText0"/>
              <w:keepLines/>
            </w:pPr>
            <w:r w:rsidRPr="006302D7">
              <w:t>The Lancet Oncology. 2017;18(9):1274-84.</w:t>
            </w:r>
          </w:p>
        </w:tc>
      </w:tr>
      <w:tr w:rsidR="00E76B23" w:rsidRPr="00681E95" w:rsidTr="00ED166C">
        <w:tc>
          <w:tcPr>
            <w:tcW w:w="390" w:type="pct"/>
            <w:vMerge/>
            <w:tcBorders>
              <w:bottom w:val="single" w:sz="4" w:space="0" w:color="auto"/>
            </w:tcBorders>
          </w:tcPr>
          <w:p w:rsidR="00E76B23" w:rsidRPr="00681E95" w:rsidRDefault="00E76B23" w:rsidP="00867DE7">
            <w:pPr>
              <w:pStyle w:val="TableText0"/>
              <w:keepLines/>
            </w:pPr>
          </w:p>
        </w:tc>
        <w:tc>
          <w:tcPr>
            <w:tcW w:w="3066" w:type="pct"/>
            <w:tcBorders>
              <w:top w:val="nil"/>
              <w:bottom w:val="single" w:sz="4" w:space="0" w:color="auto"/>
            </w:tcBorders>
          </w:tcPr>
          <w:p w:rsidR="00E76B23" w:rsidRPr="00681E95" w:rsidRDefault="00E76B23" w:rsidP="00867DE7">
            <w:pPr>
              <w:pStyle w:val="TableText0"/>
              <w:keepLines/>
            </w:pPr>
            <w:r w:rsidRPr="00870EE4">
              <w:t xml:space="preserve">Poveda A, Floquet A, Ledermann JA, Asher R, Penson T, Oza A et al. Final overall survival (OS) results from </w:t>
            </w:r>
            <w:r>
              <w:t>SOLO-2</w:t>
            </w:r>
            <w:r w:rsidRPr="00870EE4">
              <w:t xml:space="preserve">/ENGOT-ov21: A phase III trial assessing maintenance olaparib in patients (pts) with platinum-sensitive, relapsed ovarian cancer and a BRCA mutation. </w:t>
            </w:r>
          </w:p>
        </w:tc>
        <w:tc>
          <w:tcPr>
            <w:tcW w:w="1543" w:type="pct"/>
            <w:tcBorders>
              <w:top w:val="nil"/>
              <w:bottom w:val="single" w:sz="4" w:space="0" w:color="auto"/>
            </w:tcBorders>
          </w:tcPr>
          <w:p w:rsidR="00E76B23" w:rsidRPr="006302D7" w:rsidRDefault="00E76B23" w:rsidP="00867DE7">
            <w:pPr>
              <w:pStyle w:val="TableText0"/>
              <w:keepLines/>
            </w:pPr>
            <w:r w:rsidRPr="006302D7">
              <w:t>J Clin Oncol 38</w:t>
            </w:r>
            <w:r w:rsidR="007311FE" w:rsidRPr="006302D7">
              <w:t>: 2020 (suppl; abstr 6002). doi</w:t>
            </w:r>
            <w:r w:rsidRPr="006302D7">
              <w:t>: 10.1200/JCO.2020.38.15_suppl.6002</w:t>
            </w:r>
          </w:p>
          <w:p w:rsidR="00E76B23" w:rsidRPr="006302D7" w:rsidRDefault="00E76B23" w:rsidP="00867DE7">
            <w:pPr>
              <w:pStyle w:val="TableText0"/>
              <w:keepLines/>
            </w:pPr>
          </w:p>
        </w:tc>
      </w:tr>
    </w:tbl>
    <w:p w:rsidR="00E13718" w:rsidRDefault="00E13718" w:rsidP="00867DE7">
      <w:pPr>
        <w:pStyle w:val="TableFigureFooter"/>
        <w:keepNext/>
        <w:keepLines/>
      </w:pPr>
      <w:r>
        <w:t>Source: Table 19 of the submission, p41</w:t>
      </w:r>
    </w:p>
    <w:p w:rsidR="006F718E" w:rsidRDefault="006F718E">
      <w:pPr>
        <w:spacing w:after="160" w:line="259" w:lineRule="auto"/>
        <w:jc w:val="left"/>
        <w:rPr>
          <w:rFonts w:asciiTheme="minorHAnsi" w:hAnsiTheme="minorHAnsi"/>
          <w:snapToGrid w:val="0"/>
        </w:rPr>
      </w:pPr>
      <w:r>
        <w:br w:type="page"/>
      </w:r>
    </w:p>
    <w:p w:rsidR="00E13718" w:rsidRPr="001A1E4C" w:rsidRDefault="001A1E4C" w:rsidP="00BE64AA">
      <w:pPr>
        <w:pStyle w:val="3-BodyText"/>
        <w:ind w:left="709"/>
      </w:pPr>
      <w:r>
        <w:lastRenderedPageBreak/>
        <w:t>T</w:t>
      </w:r>
      <w:r w:rsidR="00E13718" w:rsidRPr="001A1E4C">
        <w:t xml:space="preserve">he key features of the </w:t>
      </w:r>
      <w:r>
        <w:t xml:space="preserve">pivotal </w:t>
      </w:r>
      <w:r w:rsidR="00E13718" w:rsidRPr="001A1E4C">
        <w:t>evidence are presented in the below table</w:t>
      </w:r>
      <w:r w:rsidR="006E1377" w:rsidRPr="001A1E4C">
        <w:t>.</w:t>
      </w:r>
    </w:p>
    <w:p w:rsidR="00E13718" w:rsidRDefault="00E13718" w:rsidP="00BE64AA">
      <w:pPr>
        <w:pStyle w:val="TableFigureHeading"/>
      </w:pPr>
      <w:r>
        <w:t xml:space="preserve">Table </w:t>
      </w:r>
      <w:r w:rsidR="00681899">
        <w:rPr>
          <w:noProof/>
        </w:rPr>
        <w:t>3</w:t>
      </w:r>
      <w:r>
        <w:t>:</w:t>
      </w:r>
      <w:r w:rsidRPr="00BC56A0">
        <w:rPr>
          <w:rStyle w:val="CommentReference"/>
        </w:rPr>
        <w:t xml:space="preserve"> </w:t>
      </w:r>
      <w:r w:rsidRPr="00C7580D">
        <w:rPr>
          <w:rStyle w:val="CommentReference"/>
          <w:b/>
        </w:rPr>
        <w:t>Key features of the included evidence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46"/>
        <w:gridCol w:w="849"/>
        <w:gridCol w:w="1277"/>
        <w:gridCol w:w="992"/>
        <w:gridCol w:w="2552"/>
        <w:gridCol w:w="1275"/>
        <w:gridCol w:w="1226"/>
      </w:tblGrid>
      <w:tr w:rsidR="00E13718" w:rsidRPr="00B41614" w:rsidTr="002B25A8">
        <w:trPr>
          <w:cantSplit/>
          <w:tblHeader/>
        </w:trPr>
        <w:tc>
          <w:tcPr>
            <w:tcW w:w="469" w:type="pct"/>
            <w:shd w:val="clear" w:color="auto" w:fill="auto"/>
            <w:vAlign w:val="center"/>
          </w:tcPr>
          <w:p w:rsidR="00E13718" w:rsidRPr="00B41614" w:rsidRDefault="00E13718" w:rsidP="00BE64AA">
            <w:pPr>
              <w:pStyle w:val="In-tableHeading"/>
            </w:pPr>
            <w:r w:rsidRPr="00B41614">
              <w:t>Trial</w:t>
            </w:r>
          </w:p>
        </w:tc>
        <w:tc>
          <w:tcPr>
            <w:tcW w:w="471" w:type="pct"/>
            <w:shd w:val="clear" w:color="auto" w:fill="auto"/>
            <w:vAlign w:val="center"/>
          </w:tcPr>
          <w:p w:rsidR="00E13718" w:rsidRPr="00B41614" w:rsidRDefault="00E13718" w:rsidP="00BE64AA">
            <w:pPr>
              <w:pStyle w:val="In-tableHeading"/>
              <w:jc w:val="center"/>
            </w:pPr>
            <w:r w:rsidRPr="00B41614">
              <w:t>N</w:t>
            </w:r>
          </w:p>
        </w:tc>
        <w:tc>
          <w:tcPr>
            <w:tcW w:w="708" w:type="pct"/>
            <w:shd w:val="clear" w:color="auto" w:fill="auto"/>
            <w:vAlign w:val="center"/>
          </w:tcPr>
          <w:p w:rsidR="00E13718" w:rsidRPr="00B41614" w:rsidRDefault="00E13718" w:rsidP="00BE64AA">
            <w:pPr>
              <w:pStyle w:val="In-tableHeading"/>
              <w:jc w:val="center"/>
            </w:pPr>
            <w:r w:rsidRPr="00B41614">
              <w:t>Design/ duration</w:t>
            </w:r>
          </w:p>
        </w:tc>
        <w:tc>
          <w:tcPr>
            <w:tcW w:w="550" w:type="pct"/>
            <w:shd w:val="clear" w:color="auto" w:fill="auto"/>
            <w:vAlign w:val="center"/>
          </w:tcPr>
          <w:p w:rsidR="00E13718" w:rsidRPr="00B41614" w:rsidRDefault="00E13718" w:rsidP="00BE64AA">
            <w:pPr>
              <w:pStyle w:val="In-tableHeading"/>
              <w:jc w:val="center"/>
            </w:pPr>
            <w:r w:rsidRPr="00B41614">
              <w:t>Risk of bias</w:t>
            </w:r>
          </w:p>
        </w:tc>
        <w:tc>
          <w:tcPr>
            <w:tcW w:w="1415" w:type="pct"/>
            <w:shd w:val="clear" w:color="auto" w:fill="auto"/>
            <w:vAlign w:val="center"/>
          </w:tcPr>
          <w:p w:rsidR="00E13718" w:rsidRPr="00B41614" w:rsidRDefault="00E13718" w:rsidP="00BE64AA">
            <w:pPr>
              <w:pStyle w:val="In-tableHeading"/>
              <w:jc w:val="center"/>
            </w:pPr>
            <w:r w:rsidRPr="00B41614">
              <w:t>Patient population</w:t>
            </w:r>
          </w:p>
        </w:tc>
        <w:tc>
          <w:tcPr>
            <w:tcW w:w="707" w:type="pct"/>
            <w:shd w:val="clear" w:color="auto" w:fill="auto"/>
            <w:vAlign w:val="center"/>
          </w:tcPr>
          <w:p w:rsidR="00E13718" w:rsidRPr="00B41614" w:rsidRDefault="00E13718" w:rsidP="00BE64AA">
            <w:pPr>
              <w:pStyle w:val="In-tableHeading"/>
              <w:jc w:val="center"/>
            </w:pPr>
            <w:r w:rsidRPr="00B41614">
              <w:t>Outcome(s)</w:t>
            </w:r>
          </w:p>
        </w:tc>
        <w:tc>
          <w:tcPr>
            <w:tcW w:w="680" w:type="pct"/>
            <w:shd w:val="clear" w:color="auto" w:fill="auto"/>
            <w:vAlign w:val="center"/>
          </w:tcPr>
          <w:p w:rsidR="00E13718" w:rsidRPr="00B41614" w:rsidRDefault="00E13718" w:rsidP="00BE64AA">
            <w:pPr>
              <w:pStyle w:val="In-tableHeading"/>
              <w:jc w:val="center"/>
            </w:pPr>
            <w:r w:rsidRPr="00B41614">
              <w:t>Use in modelled evaluation</w:t>
            </w:r>
          </w:p>
        </w:tc>
      </w:tr>
      <w:tr w:rsidR="00E13718" w:rsidRPr="00E2771E" w:rsidTr="002B25A8">
        <w:trPr>
          <w:cantSplit/>
        </w:trPr>
        <w:tc>
          <w:tcPr>
            <w:tcW w:w="5000" w:type="pct"/>
            <w:gridSpan w:val="7"/>
            <w:shd w:val="clear" w:color="auto" w:fill="auto"/>
            <w:vAlign w:val="center"/>
          </w:tcPr>
          <w:p w:rsidR="00E13718" w:rsidRPr="00EC5836" w:rsidRDefault="00E13718" w:rsidP="00BE64AA">
            <w:pPr>
              <w:pStyle w:val="In-tableHeading"/>
              <w:keepNext w:val="0"/>
            </w:pPr>
            <w:r>
              <w:t>For patients with non-BRCAm</w:t>
            </w:r>
          </w:p>
        </w:tc>
      </w:tr>
      <w:tr w:rsidR="00E13718" w:rsidRPr="00E2771E" w:rsidTr="002B25A8">
        <w:trPr>
          <w:cantSplit/>
        </w:trPr>
        <w:tc>
          <w:tcPr>
            <w:tcW w:w="469" w:type="pct"/>
            <w:shd w:val="clear" w:color="auto" w:fill="auto"/>
            <w:vAlign w:val="center"/>
          </w:tcPr>
          <w:p w:rsidR="00E13718" w:rsidRPr="00E2771E" w:rsidRDefault="00E13718" w:rsidP="00BE64AA">
            <w:pPr>
              <w:pStyle w:val="TableText0"/>
              <w:keepNext w:val="0"/>
              <w:rPr>
                <w:lang w:val="en-US"/>
              </w:rPr>
            </w:pPr>
            <w:r>
              <w:rPr>
                <w:lang w:val="en-US"/>
              </w:rPr>
              <w:t>NOVA</w:t>
            </w:r>
          </w:p>
        </w:tc>
        <w:tc>
          <w:tcPr>
            <w:tcW w:w="471" w:type="pct"/>
            <w:shd w:val="clear" w:color="auto" w:fill="auto"/>
            <w:vAlign w:val="center"/>
          </w:tcPr>
          <w:p w:rsidR="00E13718" w:rsidRPr="00E2771E" w:rsidRDefault="00E13718" w:rsidP="00BE64AA">
            <w:pPr>
              <w:pStyle w:val="TableText0"/>
              <w:keepNext w:val="0"/>
              <w:jc w:val="center"/>
              <w:rPr>
                <w:lang w:val="en-US"/>
              </w:rPr>
            </w:pPr>
            <w:r>
              <w:rPr>
                <w:lang w:val="en-US"/>
              </w:rPr>
              <w:t>553</w:t>
            </w:r>
          </w:p>
        </w:tc>
        <w:tc>
          <w:tcPr>
            <w:tcW w:w="708" w:type="pct"/>
            <w:shd w:val="clear" w:color="auto" w:fill="auto"/>
            <w:vAlign w:val="center"/>
          </w:tcPr>
          <w:p w:rsidR="00E13718" w:rsidRPr="00E2771E" w:rsidRDefault="00E13718" w:rsidP="00BE64AA">
            <w:pPr>
              <w:pStyle w:val="TableText0"/>
              <w:keepNext w:val="0"/>
              <w:jc w:val="center"/>
              <w:rPr>
                <w:lang w:val="en-US"/>
              </w:rPr>
            </w:pPr>
            <w:r>
              <w:rPr>
                <w:lang w:val="en-US"/>
              </w:rPr>
              <w:t>MC, DB, R, PC, Phase III; 15.7 months</w:t>
            </w:r>
          </w:p>
        </w:tc>
        <w:tc>
          <w:tcPr>
            <w:tcW w:w="550" w:type="pct"/>
            <w:shd w:val="clear" w:color="auto" w:fill="auto"/>
            <w:vAlign w:val="center"/>
          </w:tcPr>
          <w:p w:rsidR="00E13718" w:rsidRPr="00603289" w:rsidRDefault="00E13718" w:rsidP="00BE64AA">
            <w:pPr>
              <w:pStyle w:val="TableText0"/>
              <w:keepNext w:val="0"/>
              <w:jc w:val="center"/>
              <w:rPr>
                <w:lang w:val="en-US"/>
              </w:rPr>
            </w:pPr>
            <w:r w:rsidRPr="00603289">
              <w:rPr>
                <w:lang w:val="en-US"/>
              </w:rPr>
              <w:t>Low</w:t>
            </w:r>
          </w:p>
        </w:tc>
        <w:tc>
          <w:tcPr>
            <w:tcW w:w="1415" w:type="pct"/>
            <w:shd w:val="clear" w:color="auto" w:fill="auto"/>
            <w:vAlign w:val="center"/>
          </w:tcPr>
          <w:p w:rsidR="00E13718" w:rsidRPr="00E2771E" w:rsidRDefault="00E13718" w:rsidP="00BE64AA">
            <w:pPr>
              <w:pStyle w:val="TableText0"/>
              <w:keepNext w:val="0"/>
              <w:jc w:val="center"/>
              <w:rPr>
                <w:lang w:val="en-US"/>
              </w:rPr>
            </w:pPr>
            <w:r>
              <w:t>R</w:t>
            </w:r>
            <w:r w:rsidRPr="00BC56A0">
              <w:t xml:space="preserve">ecurrent platinum-sensitive HGSOC who received </w:t>
            </w:r>
            <w:r>
              <w:t xml:space="preserve">≥2 </w:t>
            </w:r>
            <w:r w:rsidRPr="00BC56A0">
              <w:t>lines of platinum-based therapies and have developed CR or PR to the last platinum-based therapy</w:t>
            </w:r>
          </w:p>
        </w:tc>
        <w:tc>
          <w:tcPr>
            <w:tcW w:w="707" w:type="pct"/>
            <w:shd w:val="clear" w:color="auto" w:fill="auto"/>
            <w:vAlign w:val="center"/>
          </w:tcPr>
          <w:p w:rsidR="00E13718" w:rsidRPr="00E2771E" w:rsidRDefault="00E13718" w:rsidP="00BE64AA">
            <w:pPr>
              <w:pStyle w:val="TableText0"/>
              <w:keepNext w:val="0"/>
              <w:jc w:val="center"/>
              <w:rPr>
                <w:lang w:val="en-US"/>
              </w:rPr>
            </w:pPr>
            <w:r>
              <w:rPr>
                <w:lang w:val="en-US"/>
              </w:rPr>
              <w:t xml:space="preserve">PFS, OS, TFST, PFS2, TSST, safety </w:t>
            </w:r>
          </w:p>
        </w:tc>
        <w:tc>
          <w:tcPr>
            <w:tcW w:w="680" w:type="pct"/>
            <w:shd w:val="clear" w:color="auto" w:fill="auto"/>
            <w:vAlign w:val="center"/>
          </w:tcPr>
          <w:p w:rsidR="00E13718" w:rsidRPr="00E2771E" w:rsidRDefault="00E13718" w:rsidP="00BE64AA">
            <w:pPr>
              <w:pStyle w:val="TableText0"/>
              <w:keepNext w:val="0"/>
              <w:jc w:val="center"/>
              <w:rPr>
                <w:lang w:val="en-US"/>
              </w:rPr>
            </w:pPr>
            <w:r>
              <w:rPr>
                <w:lang w:val="en-US"/>
              </w:rPr>
              <w:t xml:space="preserve">Used </w:t>
            </w:r>
          </w:p>
        </w:tc>
      </w:tr>
      <w:tr w:rsidR="00E13718" w:rsidRPr="00E2771E" w:rsidTr="002B25A8">
        <w:trPr>
          <w:cantSplit/>
        </w:trPr>
        <w:tc>
          <w:tcPr>
            <w:tcW w:w="5000" w:type="pct"/>
            <w:gridSpan w:val="7"/>
            <w:shd w:val="clear" w:color="auto" w:fill="auto"/>
            <w:vAlign w:val="center"/>
          </w:tcPr>
          <w:p w:rsidR="00E13718" w:rsidRPr="00603289" w:rsidRDefault="00E13718" w:rsidP="00BE64AA">
            <w:pPr>
              <w:pStyle w:val="TableText0"/>
              <w:keepNext w:val="0"/>
              <w:rPr>
                <w:b/>
                <w:lang w:val="en-US"/>
              </w:rPr>
            </w:pPr>
            <w:r w:rsidRPr="00603289">
              <w:rPr>
                <w:b/>
                <w:lang w:val="en-US"/>
              </w:rPr>
              <w:t>For patients with BRCAm</w:t>
            </w:r>
          </w:p>
        </w:tc>
      </w:tr>
      <w:tr w:rsidR="00E13718" w:rsidRPr="00E2771E" w:rsidTr="002B25A8">
        <w:trPr>
          <w:cantSplit/>
        </w:trPr>
        <w:tc>
          <w:tcPr>
            <w:tcW w:w="469" w:type="pct"/>
            <w:shd w:val="clear" w:color="auto" w:fill="auto"/>
            <w:vAlign w:val="center"/>
          </w:tcPr>
          <w:p w:rsidR="00E13718" w:rsidRPr="00E2771E" w:rsidRDefault="00E13718" w:rsidP="00BE64AA">
            <w:pPr>
              <w:pStyle w:val="TableText0"/>
              <w:keepNext w:val="0"/>
              <w:rPr>
                <w:lang w:val="en-US"/>
              </w:rPr>
            </w:pPr>
            <w:r>
              <w:rPr>
                <w:lang w:val="en-US"/>
              </w:rPr>
              <w:t>NOVA</w:t>
            </w:r>
          </w:p>
        </w:tc>
        <w:tc>
          <w:tcPr>
            <w:tcW w:w="471" w:type="pct"/>
            <w:shd w:val="clear" w:color="auto" w:fill="auto"/>
            <w:vAlign w:val="center"/>
          </w:tcPr>
          <w:p w:rsidR="00E13718" w:rsidRPr="00E2771E" w:rsidRDefault="00E13718" w:rsidP="00BE64AA">
            <w:pPr>
              <w:pStyle w:val="TableText0"/>
              <w:keepNext w:val="0"/>
              <w:jc w:val="center"/>
              <w:rPr>
                <w:lang w:val="en-US"/>
              </w:rPr>
            </w:pPr>
            <w:r>
              <w:rPr>
                <w:lang w:val="en-US"/>
              </w:rPr>
              <w:t>553</w:t>
            </w:r>
          </w:p>
        </w:tc>
        <w:tc>
          <w:tcPr>
            <w:tcW w:w="708" w:type="pct"/>
            <w:shd w:val="clear" w:color="auto" w:fill="auto"/>
            <w:vAlign w:val="center"/>
          </w:tcPr>
          <w:p w:rsidR="00E13718" w:rsidRPr="00E2771E" w:rsidRDefault="00E13718" w:rsidP="00BE64AA">
            <w:pPr>
              <w:pStyle w:val="TableText0"/>
              <w:keepNext w:val="0"/>
              <w:jc w:val="center"/>
              <w:rPr>
                <w:lang w:val="en-US"/>
              </w:rPr>
            </w:pPr>
            <w:r>
              <w:rPr>
                <w:lang w:val="en-US"/>
              </w:rPr>
              <w:t>MC, DB, R, PC, Phase III; 15.7 months</w:t>
            </w:r>
          </w:p>
        </w:tc>
        <w:tc>
          <w:tcPr>
            <w:tcW w:w="550" w:type="pct"/>
            <w:shd w:val="clear" w:color="auto" w:fill="auto"/>
            <w:vAlign w:val="center"/>
          </w:tcPr>
          <w:p w:rsidR="00E13718" w:rsidRPr="00603289" w:rsidRDefault="00E13718" w:rsidP="00BE64AA">
            <w:pPr>
              <w:pStyle w:val="TableText0"/>
              <w:keepNext w:val="0"/>
              <w:jc w:val="center"/>
              <w:rPr>
                <w:lang w:val="en-US"/>
              </w:rPr>
            </w:pPr>
            <w:r w:rsidRPr="00603289">
              <w:rPr>
                <w:lang w:val="en-US"/>
              </w:rPr>
              <w:t>Low</w:t>
            </w:r>
          </w:p>
        </w:tc>
        <w:tc>
          <w:tcPr>
            <w:tcW w:w="1415" w:type="pct"/>
            <w:shd w:val="clear" w:color="auto" w:fill="auto"/>
            <w:vAlign w:val="center"/>
          </w:tcPr>
          <w:p w:rsidR="00E13718" w:rsidRPr="00E2771E" w:rsidRDefault="00E13718" w:rsidP="00BE64AA">
            <w:pPr>
              <w:pStyle w:val="TableText0"/>
              <w:keepNext w:val="0"/>
              <w:jc w:val="center"/>
              <w:rPr>
                <w:lang w:val="en-US"/>
              </w:rPr>
            </w:pPr>
            <w:r>
              <w:t>R</w:t>
            </w:r>
            <w:r w:rsidRPr="00BC56A0">
              <w:t xml:space="preserve">ecurrent platinum-sensitive HGSOC who received </w:t>
            </w:r>
            <w:r>
              <w:t xml:space="preserve">≥2 </w:t>
            </w:r>
            <w:r w:rsidRPr="00BC56A0">
              <w:t>lines of platinum-based therapies and have developed CR or PR to the last platinum-based therapy</w:t>
            </w:r>
          </w:p>
        </w:tc>
        <w:tc>
          <w:tcPr>
            <w:tcW w:w="707" w:type="pct"/>
            <w:shd w:val="clear" w:color="auto" w:fill="auto"/>
            <w:vAlign w:val="center"/>
          </w:tcPr>
          <w:p w:rsidR="00E13718" w:rsidRPr="00E2771E" w:rsidRDefault="00E13718" w:rsidP="00BE64AA">
            <w:pPr>
              <w:pStyle w:val="TableText0"/>
              <w:keepNext w:val="0"/>
              <w:jc w:val="center"/>
              <w:rPr>
                <w:lang w:val="en-US"/>
              </w:rPr>
            </w:pPr>
            <w:r>
              <w:rPr>
                <w:lang w:val="en-US"/>
              </w:rPr>
              <w:t xml:space="preserve">PFS, OS, TFST, PFS2, TSST, safety </w:t>
            </w:r>
          </w:p>
        </w:tc>
        <w:tc>
          <w:tcPr>
            <w:tcW w:w="680" w:type="pct"/>
            <w:shd w:val="clear" w:color="auto" w:fill="auto"/>
            <w:vAlign w:val="center"/>
          </w:tcPr>
          <w:p w:rsidR="00E13718" w:rsidRPr="00E2771E" w:rsidRDefault="00E13718" w:rsidP="00BE64AA">
            <w:pPr>
              <w:pStyle w:val="TableText0"/>
              <w:keepNext w:val="0"/>
              <w:jc w:val="center"/>
              <w:rPr>
                <w:lang w:val="en-US"/>
              </w:rPr>
            </w:pPr>
            <w:r>
              <w:rPr>
                <w:lang w:val="en-US"/>
              </w:rPr>
              <w:t xml:space="preserve">Used </w:t>
            </w:r>
          </w:p>
        </w:tc>
      </w:tr>
      <w:tr w:rsidR="00E13718" w:rsidRPr="00E2771E" w:rsidTr="002B25A8">
        <w:trPr>
          <w:cantSplit/>
        </w:trPr>
        <w:tc>
          <w:tcPr>
            <w:tcW w:w="469" w:type="pct"/>
            <w:shd w:val="clear" w:color="auto" w:fill="auto"/>
            <w:vAlign w:val="center"/>
          </w:tcPr>
          <w:p w:rsidR="00E13718" w:rsidRPr="00E2771E" w:rsidRDefault="00E13718" w:rsidP="00BE64AA">
            <w:pPr>
              <w:pStyle w:val="TableText0"/>
              <w:keepNext w:val="0"/>
              <w:rPr>
                <w:lang w:val="en-US"/>
              </w:rPr>
            </w:pPr>
            <w:r>
              <w:rPr>
                <w:lang w:val="en-US"/>
              </w:rPr>
              <w:t>SOLO-2</w:t>
            </w:r>
          </w:p>
        </w:tc>
        <w:tc>
          <w:tcPr>
            <w:tcW w:w="471" w:type="pct"/>
            <w:shd w:val="clear" w:color="auto" w:fill="auto"/>
            <w:vAlign w:val="center"/>
          </w:tcPr>
          <w:p w:rsidR="00E13718" w:rsidRPr="00E2771E" w:rsidRDefault="00E13718" w:rsidP="00BE64AA">
            <w:pPr>
              <w:pStyle w:val="TableText0"/>
              <w:keepNext w:val="0"/>
              <w:jc w:val="center"/>
              <w:rPr>
                <w:lang w:val="en-US"/>
              </w:rPr>
            </w:pPr>
            <w:r>
              <w:rPr>
                <w:lang w:val="en-US"/>
              </w:rPr>
              <w:t>295</w:t>
            </w:r>
          </w:p>
        </w:tc>
        <w:tc>
          <w:tcPr>
            <w:tcW w:w="708" w:type="pct"/>
            <w:shd w:val="clear" w:color="auto" w:fill="auto"/>
            <w:vAlign w:val="center"/>
          </w:tcPr>
          <w:p w:rsidR="00E13718" w:rsidRPr="00E2771E" w:rsidRDefault="00E13718" w:rsidP="00BE64AA">
            <w:pPr>
              <w:pStyle w:val="TableText0"/>
              <w:keepNext w:val="0"/>
              <w:jc w:val="center"/>
              <w:rPr>
                <w:lang w:val="en-US"/>
              </w:rPr>
            </w:pPr>
            <w:r>
              <w:rPr>
                <w:lang w:val="en-US"/>
              </w:rPr>
              <w:t>MC, DB, R, PC, Phase III; 22 months</w:t>
            </w:r>
          </w:p>
        </w:tc>
        <w:tc>
          <w:tcPr>
            <w:tcW w:w="550" w:type="pct"/>
            <w:shd w:val="clear" w:color="auto" w:fill="auto"/>
            <w:vAlign w:val="center"/>
          </w:tcPr>
          <w:p w:rsidR="00E13718" w:rsidRPr="00603289" w:rsidRDefault="00E13718" w:rsidP="00BE64AA">
            <w:pPr>
              <w:pStyle w:val="TableText0"/>
              <w:keepNext w:val="0"/>
              <w:jc w:val="center"/>
              <w:rPr>
                <w:lang w:val="en-US"/>
              </w:rPr>
            </w:pPr>
            <w:r w:rsidRPr="00603289">
              <w:rPr>
                <w:lang w:val="en-US"/>
              </w:rPr>
              <w:t xml:space="preserve">Low </w:t>
            </w:r>
          </w:p>
        </w:tc>
        <w:tc>
          <w:tcPr>
            <w:tcW w:w="1415" w:type="pct"/>
            <w:shd w:val="clear" w:color="auto" w:fill="auto"/>
            <w:vAlign w:val="center"/>
          </w:tcPr>
          <w:p w:rsidR="00E13718" w:rsidRPr="00E2771E" w:rsidRDefault="00E13718" w:rsidP="00BE64AA">
            <w:pPr>
              <w:pStyle w:val="TableText0"/>
              <w:keepNext w:val="0"/>
              <w:jc w:val="center"/>
              <w:rPr>
                <w:lang w:val="en-US"/>
              </w:rPr>
            </w:pPr>
            <w:r w:rsidRPr="00BC56A0">
              <w:t xml:space="preserve">patients with gBRCAm and recurrent platinum-sensitive HGSOC who received </w:t>
            </w:r>
            <w:r>
              <w:t xml:space="preserve">≥2 </w:t>
            </w:r>
            <w:r w:rsidRPr="00BC56A0">
              <w:t>lines of platinum-based therapies and have developed CR or PR to the last platinum-based therapy</w:t>
            </w:r>
          </w:p>
        </w:tc>
        <w:tc>
          <w:tcPr>
            <w:tcW w:w="707" w:type="pct"/>
            <w:shd w:val="clear" w:color="auto" w:fill="auto"/>
            <w:vAlign w:val="center"/>
          </w:tcPr>
          <w:p w:rsidR="00E13718" w:rsidRPr="00E2771E" w:rsidRDefault="00E13718" w:rsidP="00BE64AA">
            <w:pPr>
              <w:pStyle w:val="TableText0"/>
              <w:keepNext w:val="0"/>
              <w:jc w:val="center"/>
              <w:rPr>
                <w:lang w:val="en-US"/>
              </w:rPr>
            </w:pPr>
            <w:r>
              <w:rPr>
                <w:lang w:val="en-US"/>
              </w:rPr>
              <w:t>PFS, OS, TFST, PFS2, TSST, safety</w:t>
            </w:r>
          </w:p>
        </w:tc>
        <w:tc>
          <w:tcPr>
            <w:tcW w:w="680" w:type="pct"/>
            <w:shd w:val="clear" w:color="auto" w:fill="auto"/>
            <w:vAlign w:val="center"/>
          </w:tcPr>
          <w:p w:rsidR="00E13718" w:rsidRPr="00E2771E" w:rsidRDefault="00E13718" w:rsidP="00BE64AA">
            <w:pPr>
              <w:pStyle w:val="TableText0"/>
              <w:keepNext w:val="0"/>
              <w:jc w:val="center"/>
              <w:rPr>
                <w:lang w:val="en-US"/>
              </w:rPr>
            </w:pPr>
            <w:r>
              <w:rPr>
                <w:lang w:val="en-US"/>
              </w:rPr>
              <w:t xml:space="preserve">Used </w:t>
            </w:r>
          </w:p>
        </w:tc>
      </w:tr>
    </w:tbl>
    <w:p w:rsidR="00E13718" w:rsidRDefault="00E13718" w:rsidP="00BE64AA">
      <w:pPr>
        <w:pStyle w:val="TableFigureFooter"/>
      </w:pPr>
      <w:r>
        <w:t xml:space="preserve">Source: Section 2.3 and 2.4 of the submission </w:t>
      </w:r>
    </w:p>
    <w:p w:rsidR="00E13718" w:rsidRDefault="00E13718" w:rsidP="00BE64AA">
      <w:pPr>
        <w:pStyle w:val="TableFigureFooter"/>
      </w:pPr>
      <w:r w:rsidRPr="005B564F">
        <w:t xml:space="preserve">CR = complete response; </w:t>
      </w:r>
      <w:r>
        <w:t xml:space="preserve">DB= double blind; </w:t>
      </w:r>
      <w:r w:rsidRPr="005B564F">
        <w:t xml:space="preserve">gBRCAm = germline </w:t>
      </w:r>
      <w:r w:rsidR="00A72D6D" w:rsidRPr="005B564F">
        <w:t>BRCA</w:t>
      </w:r>
      <w:r w:rsidR="00A72D6D">
        <w:t xml:space="preserve">1/2 </w:t>
      </w:r>
      <w:r w:rsidR="005502B9">
        <w:t>pathogenic and likely pathogenic gene variants</w:t>
      </w:r>
      <w:r w:rsidRPr="005B564F">
        <w:t>; HGSOC = high grade serous ovarian, fallopian tube, or primary peritoneal cancer;</w:t>
      </w:r>
      <w:r>
        <w:t xml:space="preserve"> MC= multicentre</w:t>
      </w:r>
      <w:r w:rsidR="007311FE">
        <w:t>; OS</w:t>
      </w:r>
      <w:r>
        <w:t xml:space="preserve">= overall survival; </w:t>
      </w:r>
      <w:r w:rsidRPr="005B564F">
        <w:t xml:space="preserve">PFS = progression free survival; </w:t>
      </w:r>
      <w:r>
        <w:t xml:space="preserve">PFS2= second progression free survival; </w:t>
      </w:r>
      <w:r w:rsidRPr="005B564F">
        <w:t>PR = partial respons</w:t>
      </w:r>
      <w:r>
        <w:t>e; PC= placebo controlled; R= randomised, TFST= time to first subsequent treatment; TSST= time to second subsequent treatment</w:t>
      </w:r>
    </w:p>
    <w:p w:rsidR="00E13718" w:rsidRPr="00F27393" w:rsidRDefault="00E13718" w:rsidP="00BE64AA">
      <w:pPr>
        <w:pStyle w:val="TableFigureFooter"/>
      </w:pPr>
    </w:p>
    <w:p w:rsidR="00E13718" w:rsidRPr="00C9624D" w:rsidRDefault="00E13718" w:rsidP="00BE64AA">
      <w:pPr>
        <w:pStyle w:val="4-SubsectionHeading"/>
      </w:pPr>
      <w:bookmarkStart w:id="13" w:name="_Toc22897641"/>
      <w:bookmarkStart w:id="14" w:name="_Toc61962142"/>
      <w:r w:rsidRPr="00C9624D">
        <w:t>Comparative effectiveness</w:t>
      </w:r>
      <w:bookmarkEnd w:id="13"/>
      <w:bookmarkEnd w:id="14"/>
    </w:p>
    <w:p w:rsidR="00BB2EDB" w:rsidRDefault="00EC452D" w:rsidP="00BE64AA">
      <w:pPr>
        <w:pStyle w:val="3-BodyText"/>
        <w:ind w:left="709"/>
      </w:pPr>
      <w:r>
        <w:t>T</w:t>
      </w:r>
      <w:r w:rsidR="00E13718">
        <w:t xml:space="preserve">he submission included results of the NOVA trial at the first data cut-off (DCO) (May 2016). </w:t>
      </w:r>
      <w:r w:rsidR="00C73179" w:rsidRPr="006302D7">
        <w:t xml:space="preserve">The PSCR provided an update on the NOVA trial which reported that data collection and analysis have been impacted by COVID-19, </w:t>
      </w:r>
      <w:r w:rsidR="00DF2422" w:rsidRPr="006302D7">
        <w:t xml:space="preserve">mainly </w:t>
      </w:r>
      <w:r w:rsidR="00C73179" w:rsidRPr="006302D7">
        <w:t>due to</w:t>
      </w:r>
      <w:r w:rsidR="00D221EA" w:rsidRPr="006302D7">
        <w:t xml:space="preserve"> considerable premature study discontinuation and the</w:t>
      </w:r>
      <w:r w:rsidR="00C73179" w:rsidRPr="006302D7">
        <w:t xml:space="preserve"> absence of research staff at participating institutions. </w:t>
      </w:r>
      <w:r w:rsidR="00BB2EDB">
        <w:t xml:space="preserve">The pre-PBAC response provided updated efficacy results for NOVA with a data cut-off of 1/10/2020. </w:t>
      </w:r>
      <w:r w:rsidR="00133B5A">
        <w:t xml:space="preserve">In the overall population 28% of patients (155/553) discontinued for reasons other than death and survival status could not be retrieved for 49% (76/155) of these patients. </w:t>
      </w:r>
      <w:r w:rsidR="00BB2EDB">
        <w:t xml:space="preserve">The pre-PBAC response noted that </w:t>
      </w:r>
      <w:r w:rsidR="00133B5A">
        <w:t xml:space="preserve">interpretation of </w:t>
      </w:r>
      <w:r w:rsidR="00BB2EDB">
        <w:t xml:space="preserve">the results for overall survival </w:t>
      </w:r>
      <w:r w:rsidR="00133B5A">
        <w:t>was challenging due to the high rate of subsequent PARP inhibitor use and missing data</w:t>
      </w:r>
      <w:r w:rsidR="00341CF7">
        <w:t>.</w:t>
      </w:r>
      <w:r w:rsidR="00475E1F" w:rsidDel="00475E1F">
        <w:rPr>
          <w:rStyle w:val="CommentReference"/>
          <w:rFonts w:cs="Times New Roman"/>
          <w:snapToGrid/>
        </w:rPr>
        <w:t xml:space="preserve"> </w:t>
      </w:r>
    </w:p>
    <w:p w:rsidR="00E13718" w:rsidRDefault="00E13718" w:rsidP="00BE64AA">
      <w:pPr>
        <w:pStyle w:val="3-BodyText"/>
        <w:ind w:left="709"/>
      </w:pPr>
      <w:r>
        <w:t>The indirect comparison between NOVA and SOLO-2 trial</w:t>
      </w:r>
      <w:r w:rsidR="00725692">
        <w:t>s</w:t>
      </w:r>
      <w:r>
        <w:t xml:space="preserve"> was conducted based on the SOLO-2 trial results at the first DCO (September 2016). Updated OS data of the SOLO-2 trial were presented but not included in the indirect comparison.</w:t>
      </w:r>
    </w:p>
    <w:p w:rsidR="00B54B84" w:rsidRPr="002B72D8" w:rsidRDefault="00E13718" w:rsidP="00BE64AA">
      <w:pPr>
        <w:pStyle w:val="3-BodyText"/>
        <w:ind w:left="709"/>
        <w:rPr>
          <w:b/>
        </w:rPr>
      </w:pPr>
      <w:r w:rsidRPr="004B3355">
        <w:rPr>
          <w:b/>
        </w:rPr>
        <w:t>Regarding the non-BRCAm cohort</w:t>
      </w:r>
      <w:r>
        <w:rPr>
          <w:b/>
        </w:rPr>
        <w:t xml:space="preserve">, </w:t>
      </w:r>
      <w:r>
        <w:t xml:space="preserve">the comparative effectiveness was based on the direct comparison between the niraparib arm and the placebo arm in the NOVA trial (Intention to treat (ITT) analysis = 350 in the non-gBRCAm </w:t>
      </w:r>
      <w:r w:rsidR="00B114A8">
        <w:t>cohort</w:t>
      </w:r>
      <w:r>
        <w:t xml:space="preserve">). The primary outcome (PFS) was based on the </w:t>
      </w:r>
      <w:r w:rsidRPr="007D4058">
        <w:t>blinded independent central review</w:t>
      </w:r>
      <w:r>
        <w:t xml:space="preserve"> (BICR) </w:t>
      </w:r>
      <w:r>
        <w:lastRenderedPageBreak/>
        <w:t xml:space="preserve">assessment. Compared to placebo, niraparib resulted in 5.4 months increase in median PFS (HR= 0.45 (0.34, 0.61)). </w:t>
      </w:r>
      <w:r w:rsidRPr="00346052">
        <w:t>Sensitivity analyses</w:t>
      </w:r>
      <w:r>
        <w:t xml:space="preserve"> (for PFS),</w:t>
      </w:r>
      <w:r w:rsidRPr="00346052">
        <w:t xml:space="preserve"> according to per investigator assessment</w:t>
      </w:r>
      <w:r>
        <w:t xml:space="preserve"> (INV),</w:t>
      </w:r>
      <w:r w:rsidRPr="00346052">
        <w:t xml:space="preserve"> were consistent with the primary analyses</w:t>
      </w:r>
      <w:r>
        <w:t xml:space="preserve">. </w:t>
      </w:r>
    </w:p>
    <w:p w:rsidR="00E13718" w:rsidRPr="002B72D8" w:rsidRDefault="00E13718" w:rsidP="002B72D8">
      <w:pPr>
        <w:pStyle w:val="3-BodyText"/>
        <w:ind w:left="709"/>
        <w:rPr>
          <w:b/>
        </w:rPr>
      </w:pPr>
      <w:r>
        <w:t>At the time of first DCO (May 2016), the median OS was not reached, and there was no statistically significant difference in OS between the niraparib arm and the placebo arm (</w:t>
      </w:r>
      <w:r w:rsidR="00681899">
        <w:t xml:space="preserve">Table </w:t>
      </w:r>
      <w:r w:rsidR="00681899">
        <w:rPr>
          <w:noProof/>
        </w:rPr>
        <w:t>4</w:t>
      </w:r>
      <w:r>
        <w:t xml:space="preserve">). </w:t>
      </w:r>
      <w:r w:rsidR="008674B1">
        <w:t>The PBAC noted that a</w:t>
      </w:r>
      <w:r w:rsidR="00726CE3">
        <w:t xml:space="preserve">t the final data cut (October 2020) </w:t>
      </w:r>
      <w:r w:rsidR="008674B1">
        <w:t xml:space="preserve">a higher proportion of patients had died in the niraparib arm than the placebo arm and the unadjusted OS HR numerically favoured placebo, though there was no statistically significant difference. </w:t>
      </w:r>
      <w:r w:rsidR="00B54B84">
        <w:t xml:space="preserve">The pre-PBAC response noted that although cross-over to a PARPi was not permitted within the NOVA trial, receipt could occur following disease progression or withdrawal from the trial and subsequent use of PARPi was extensive in the placebo arm of the gBRCAm cohort (reported as 46% in the text but only 13% as reported in Table 2 of the attachment to the pre-PBAC response). </w:t>
      </w:r>
      <w:r w:rsidR="00E12FF4">
        <w:t>The HR adjusted for post-progression PARPi use in the control group also did not show a difference from placebo: HR=0.97 (0.74, 1.26)</w:t>
      </w:r>
      <w:r w:rsidR="00475E1F">
        <w:t>.</w:t>
      </w:r>
    </w:p>
    <w:p w:rsidR="00E13718" w:rsidRDefault="00E13718" w:rsidP="00BE64AA">
      <w:pPr>
        <w:pStyle w:val="TableFigureHeading"/>
      </w:pPr>
      <w:bookmarkStart w:id="15" w:name="_Ref57742481"/>
      <w:r>
        <w:t xml:space="preserve">Table </w:t>
      </w:r>
      <w:r w:rsidR="00681899">
        <w:rPr>
          <w:noProof/>
        </w:rPr>
        <w:t>4</w:t>
      </w:r>
      <w:bookmarkEnd w:id="15"/>
      <w:r>
        <w:t>:</w:t>
      </w:r>
      <w:r w:rsidRPr="004B3355">
        <w:t xml:space="preserve"> PFS and OS results in the non-gBRCAm group, NOVA trial (ITT)</w:t>
      </w:r>
      <w: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555"/>
        <w:gridCol w:w="1560"/>
        <w:gridCol w:w="1695"/>
        <w:gridCol w:w="1556"/>
        <w:gridCol w:w="1001"/>
        <w:gridCol w:w="1650"/>
      </w:tblGrid>
      <w:tr w:rsidR="00B0093E" w:rsidRPr="004B3355" w:rsidTr="00725692">
        <w:tc>
          <w:tcPr>
            <w:tcW w:w="1727" w:type="pct"/>
            <w:gridSpan w:val="2"/>
            <w:vAlign w:val="center"/>
          </w:tcPr>
          <w:p w:rsidR="00E13718" w:rsidRPr="004B3355" w:rsidRDefault="00E13718" w:rsidP="00BE64AA">
            <w:pPr>
              <w:pStyle w:val="TableText0"/>
              <w:jc w:val="center"/>
              <w:rPr>
                <w:b/>
                <w:lang w:val="en-US"/>
              </w:rPr>
            </w:pPr>
          </w:p>
        </w:tc>
        <w:tc>
          <w:tcPr>
            <w:tcW w:w="940" w:type="pct"/>
            <w:vAlign w:val="center"/>
          </w:tcPr>
          <w:p w:rsidR="00E13718" w:rsidRPr="004B3355" w:rsidRDefault="00E13718" w:rsidP="00BE64AA">
            <w:pPr>
              <w:pStyle w:val="TableText0"/>
              <w:jc w:val="center"/>
              <w:rPr>
                <w:b/>
                <w:lang w:val="en-US"/>
              </w:rPr>
            </w:pPr>
            <w:r w:rsidRPr="004B3355">
              <w:rPr>
                <w:b/>
                <w:lang w:val="en-US"/>
              </w:rPr>
              <w:t>Niraparib</w:t>
            </w:r>
          </w:p>
          <w:p w:rsidR="00E13718" w:rsidRPr="004B3355" w:rsidRDefault="00E13718" w:rsidP="00BE64AA">
            <w:pPr>
              <w:pStyle w:val="TableText0"/>
              <w:jc w:val="center"/>
              <w:rPr>
                <w:b/>
                <w:lang w:val="en-US"/>
              </w:rPr>
            </w:pPr>
            <w:r w:rsidRPr="004B3355">
              <w:rPr>
                <w:b/>
                <w:lang w:val="en-US"/>
              </w:rPr>
              <w:t>234/350 (66.9%)</w:t>
            </w:r>
          </w:p>
        </w:tc>
        <w:tc>
          <w:tcPr>
            <w:tcW w:w="863" w:type="pct"/>
            <w:vAlign w:val="center"/>
          </w:tcPr>
          <w:p w:rsidR="00E13718" w:rsidRPr="004B3355" w:rsidRDefault="00E13718" w:rsidP="00BE64AA">
            <w:pPr>
              <w:pStyle w:val="TableText0"/>
              <w:jc w:val="center"/>
              <w:rPr>
                <w:b/>
                <w:lang w:val="en-US"/>
              </w:rPr>
            </w:pPr>
            <w:r w:rsidRPr="004B3355">
              <w:rPr>
                <w:b/>
                <w:lang w:val="en-US"/>
              </w:rPr>
              <w:t>Placebo</w:t>
            </w:r>
          </w:p>
          <w:p w:rsidR="00E13718" w:rsidRPr="004B3355" w:rsidRDefault="00E13718" w:rsidP="00BE64AA">
            <w:pPr>
              <w:pStyle w:val="TableText0"/>
              <w:jc w:val="center"/>
              <w:rPr>
                <w:b/>
                <w:lang w:val="en-US"/>
              </w:rPr>
            </w:pPr>
            <w:r w:rsidRPr="004B3355">
              <w:rPr>
                <w:b/>
                <w:lang w:val="en-US"/>
              </w:rPr>
              <w:t>116/350 (33.1%)</w:t>
            </w:r>
          </w:p>
        </w:tc>
        <w:tc>
          <w:tcPr>
            <w:tcW w:w="555" w:type="pct"/>
            <w:vAlign w:val="center"/>
          </w:tcPr>
          <w:p w:rsidR="00E13718" w:rsidRPr="004B3355" w:rsidRDefault="00E13718" w:rsidP="00BE64AA">
            <w:pPr>
              <w:pStyle w:val="TableText0"/>
              <w:jc w:val="center"/>
              <w:rPr>
                <w:b/>
                <w:lang w:val="en-US"/>
              </w:rPr>
            </w:pPr>
            <w:r w:rsidRPr="004B3355">
              <w:rPr>
                <w:b/>
                <w:lang w:val="en-US"/>
              </w:rPr>
              <w:t>Absolute difference</w:t>
            </w:r>
          </w:p>
        </w:tc>
        <w:tc>
          <w:tcPr>
            <w:tcW w:w="915" w:type="pct"/>
            <w:vAlign w:val="center"/>
          </w:tcPr>
          <w:p w:rsidR="00E13718" w:rsidRPr="004B3355" w:rsidRDefault="00E13718" w:rsidP="00BE64AA">
            <w:pPr>
              <w:pStyle w:val="TableText0"/>
              <w:jc w:val="center"/>
              <w:rPr>
                <w:b/>
                <w:lang w:val="en-US"/>
              </w:rPr>
            </w:pPr>
            <w:r w:rsidRPr="004B3355">
              <w:rPr>
                <w:b/>
                <w:lang w:val="en-US"/>
              </w:rPr>
              <w:t>HR (95% CI)</w:t>
            </w:r>
          </w:p>
        </w:tc>
      </w:tr>
      <w:tr w:rsidR="00E13718" w:rsidRPr="004B3355" w:rsidTr="00725692">
        <w:trPr>
          <w:gridBefore w:val="1"/>
        </w:trPr>
        <w:tc>
          <w:tcPr>
            <w:tcW w:w="5000" w:type="pct"/>
            <w:gridSpan w:val="5"/>
            <w:vAlign w:val="center"/>
          </w:tcPr>
          <w:p w:rsidR="00E13718" w:rsidRPr="004B3355" w:rsidRDefault="00E13718" w:rsidP="00BE64AA">
            <w:pPr>
              <w:pStyle w:val="TableText0"/>
              <w:rPr>
                <w:b/>
                <w:lang w:val="en-US"/>
              </w:rPr>
            </w:pPr>
            <w:r w:rsidRPr="004B3355">
              <w:rPr>
                <w:b/>
                <w:lang w:val="en-US"/>
              </w:rPr>
              <w:t>Progression-free survival (according to BICR)</w:t>
            </w:r>
          </w:p>
        </w:tc>
      </w:tr>
      <w:tr w:rsidR="00B0093E" w:rsidRPr="004B3355" w:rsidTr="00725692">
        <w:tc>
          <w:tcPr>
            <w:tcW w:w="1727" w:type="pct"/>
            <w:gridSpan w:val="2"/>
            <w:vAlign w:val="center"/>
          </w:tcPr>
          <w:p w:rsidR="00E13718" w:rsidRPr="004B3355" w:rsidRDefault="00E13718" w:rsidP="00BE64AA">
            <w:pPr>
              <w:pStyle w:val="TableText0"/>
              <w:jc w:val="center"/>
            </w:pPr>
            <w:r w:rsidRPr="004B3355">
              <w:t>Patients with event</w:t>
            </w:r>
          </w:p>
        </w:tc>
        <w:tc>
          <w:tcPr>
            <w:tcW w:w="940" w:type="pct"/>
            <w:vAlign w:val="center"/>
          </w:tcPr>
          <w:p w:rsidR="00E13718" w:rsidRPr="004B3355" w:rsidRDefault="00E13718" w:rsidP="00BE64AA">
            <w:pPr>
              <w:pStyle w:val="TableText0"/>
              <w:jc w:val="center"/>
            </w:pPr>
            <w:r w:rsidRPr="004B3355">
              <w:t>125/234 (53.4%)</w:t>
            </w:r>
          </w:p>
        </w:tc>
        <w:tc>
          <w:tcPr>
            <w:tcW w:w="863" w:type="pct"/>
            <w:vAlign w:val="center"/>
          </w:tcPr>
          <w:p w:rsidR="00E13718" w:rsidRPr="004B3355" w:rsidRDefault="00E13718" w:rsidP="00BE64AA">
            <w:pPr>
              <w:pStyle w:val="TableText0"/>
              <w:jc w:val="center"/>
            </w:pPr>
            <w:r w:rsidRPr="004B3355">
              <w:t>88/116 (75.9%)</w:t>
            </w:r>
          </w:p>
        </w:tc>
        <w:tc>
          <w:tcPr>
            <w:tcW w:w="555" w:type="pct"/>
            <w:vAlign w:val="center"/>
          </w:tcPr>
          <w:p w:rsidR="00E13718" w:rsidRPr="004B3355" w:rsidRDefault="00E13718" w:rsidP="00BE64AA">
            <w:pPr>
              <w:pStyle w:val="TableText0"/>
              <w:jc w:val="center"/>
            </w:pPr>
            <w:r w:rsidRPr="004B3355">
              <w:t>22.5%</w:t>
            </w:r>
          </w:p>
        </w:tc>
        <w:tc>
          <w:tcPr>
            <w:tcW w:w="915" w:type="pct"/>
            <w:vAlign w:val="center"/>
          </w:tcPr>
          <w:p w:rsidR="00E13718" w:rsidRPr="004B3355" w:rsidRDefault="00E13718" w:rsidP="00BE64AA">
            <w:pPr>
              <w:pStyle w:val="TableText0"/>
              <w:jc w:val="center"/>
            </w:pPr>
            <w:r w:rsidRPr="004B3355">
              <w:t>-</w:t>
            </w:r>
          </w:p>
        </w:tc>
      </w:tr>
      <w:tr w:rsidR="00B0093E" w:rsidRPr="004B3355" w:rsidTr="00725692">
        <w:tc>
          <w:tcPr>
            <w:tcW w:w="1727" w:type="pct"/>
            <w:gridSpan w:val="2"/>
            <w:vAlign w:val="center"/>
          </w:tcPr>
          <w:p w:rsidR="00E13718" w:rsidRPr="004B3355" w:rsidRDefault="00E13718" w:rsidP="00BE64AA">
            <w:pPr>
              <w:pStyle w:val="TableText0"/>
              <w:jc w:val="center"/>
            </w:pPr>
            <w:r>
              <w:t xml:space="preserve">Median PFS months </w:t>
            </w:r>
            <w:r w:rsidRPr="004B3355">
              <w:t>(95% CI)</w:t>
            </w:r>
          </w:p>
        </w:tc>
        <w:tc>
          <w:tcPr>
            <w:tcW w:w="940" w:type="pct"/>
            <w:vAlign w:val="center"/>
          </w:tcPr>
          <w:p w:rsidR="00E13718" w:rsidRPr="004B3355" w:rsidRDefault="00E13718" w:rsidP="00BE64AA">
            <w:pPr>
              <w:pStyle w:val="TableText0"/>
              <w:jc w:val="center"/>
            </w:pPr>
            <w:r w:rsidRPr="004B3355">
              <w:t>9.3 (7.2, 11.2)</w:t>
            </w:r>
          </w:p>
        </w:tc>
        <w:tc>
          <w:tcPr>
            <w:tcW w:w="863" w:type="pct"/>
            <w:vAlign w:val="center"/>
          </w:tcPr>
          <w:p w:rsidR="00E13718" w:rsidRPr="004B3355" w:rsidRDefault="00E13718" w:rsidP="00BE64AA">
            <w:pPr>
              <w:pStyle w:val="TableText0"/>
              <w:jc w:val="center"/>
            </w:pPr>
            <w:r w:rsidRPr="004B3355">
              <w:t>3.9 (3.7, 5.5)</w:t>
            </w:r>
          </w:p>
        </w:tc>
        <w:tc>
          <w:tcPr>
            <w:tcW w:w="555" w:type="pct"/>
            <w:vAlign w:val="center"/>
          </w:tcPr>
          <w:p w:rsidR="00E13718" w:rsidRPr="004B3355" w:rsidRDefault="00E13718" w:rsidP="00BE64AA">
            <w:pPr>
              <w:pStyle w:val="TableText0"/>
              <w:jc w:val="center"/>
            </w:pPr>
            <w:r w:rsidRPr="004B3355">
              <w:t>5.4 months</w:t>
            </w:r>
          </w:p>
        </w:tc>
        <w:tc>
          <w:tcPr>
            <w:tcW w:w="915" w:type="pct"/>
            <w:vAlign w:val="center"/>
          </w:tcPr>
          <w:p w:rsidR="00E13718" w:rsidRPr="004B3355" w:rsidRDefault="00E13718" w:rsidP="00BE64AA">
            <w:pPr>
              <w:pStyle w:val="TableText0"/>
              <w:jc w:val="center"/>
              <w:rPr>
                <w:b/>
              </w:rPr>
            </w:pPr>
            <w:r w:rsidRPr="004B3355">
              <w:rPr>
                <w:b/>
              </w:rPr>
              <w:t>0.45 (0.338, 0.607)</w:t>
            </w:r>
          </w:p>
        </w:tc>
      </w:tr>
      <w:tr w:rsidR="00B0093E" w:rsidRPr="004B3355" w:rsidTr="00725692">
        <w:tc>
          <w:tcPr>
            <w:tcW w:w="862" w:type="pct"/>
            <w:vMerge w:val="restart"/>
            <w:vAlign w:val="center"/>
          </w:tcPr>
          <w:p w:rsidR="00B114A8" w:rsidRPr="00B114A8" w:rsidRDefault="00B114A8" w:rsidP="00BE64AA">
            <w:pPr>
              <w:pStyle w:val="TableText0"/>
              <w:jc w:val="center"/>
              <w:rPr>
                <w:vertAlign w:val="superscript"/>
              </w:rPr>
            </w:pPr>
            <w:r w:rsidRPr="008B5B38">
              <w:rPr>
                <w:szCs w:val="20"/>
              </w:rPr>
              <w:t>PFS at</w:t>
            </w:r>
            <w:r>
              <w:rPr>
                <w:vertAlign w:val="superscript"/>
              </w:rPr>
              <w:t>^</w:t>
            </w:r>
            <w:r w:rsidRPr="005B6465">
              <w:t xml:space="preserve"> (95 % CI)</w:t>
            </w:r>
          </w:p>
        </w:tc>
        <w:tc>
          <w:tcPr>
            <w:tcW w:w="865" w:type="pct"/>
            <w:vAlign w:val="center"/>
          </w:tcPr>
          <w:p w:rsidR="00B114A8" w:rsidRPr="004B3355" w:rsidRDefault="00B114A8" w:rsidP="00BE64AA">
            <w:pPr>
              <w:pStyle w:val="TableText0"/>
              <w:jc w:val="center"/>
            </w:pPr>
            <w:r w:rsidRPr="005B6465">
              <w:t>6 months</w:t>
            </w:r>
          </w:p>
        </w:tc>
        <w:tc>
          <w:tcPr>
            <w:tcW w:w="940" w:type="pct"/>
          </w:tcPr>
          <w:p w:rsidR="00B114A8" w:rsidRPr="004B3355" w:rsidRDefault="00B114A8" w:rsidP="00BE64AA">
            <w:pPr>
              <w:pStyle w:val="TableText0"/>
              <w:jc w:val="center"/>
            </w:pPr>
            <w:r>
              <w:rPr>
                <w:szCs w:val="20"/>
              </w:rPr>
              <w:t xml:space="preserve">0.61 (0.54, 0.68) </w:t>
            </w:r>
          </w:p>
        </w:tc>
        <w:tc>
          <w:tcPr>
            <w:tcW w:w="863" w:type="pct"/>
          </w:tcPr>
          <w:p w:rsidR="00B114A8" w:rsidRPr="004B3355" w:rsidRDefault="00B114A8" w:rsidP="00BE64AA">
            <w:pPr>
              <w:pStyle w:val="TableText0"/>
              <w:jc w:val="center"/>
            </w:pPr>
            <w:r>
              <w:rPr>
                <w:szCs w:val="20"/>
              </w:rPr>
              <w:t xml:space="preserve">0.36 (0.26, 0.45) </w:t>
            </w:r>
          </w:p>
        </w:tc>
        <w:tc>
          <w:tcPr>
            <w:tcW w:w="555" w:type="pct"/>
            <w:vAlign w:val="center"/>
          </w:tcPr>
          <w:p w:rsidR="00B114A8" w:rsidRPr="00725692" w:rsidRDefault="00726CE3">
            <w:pPr>
              <w:pStyle w:val="TableText0"/>
              <w:jc w:val="center"/>
            </w:pPr>
            <w:r w:rsidRPr="00725692">
              <w:t>0.25</w:t>
            </w:r>
          </w:p>
        </w:tc>
        <w:tc>
          <w:tcPr>
            <w:tcW w:w="915" w:type="pct"/>
            <w:vAlign w:val="center"/>
          </w:tcPr>
          <w:p w:rsidR="00B114A8" w:rsidRPr="004B3355" w:rsidRDefault="00B114A8" w:rsidP="00BE64AA">
            <w:pPr>
              <w:pStyle w:val="TableText0"/>
              <w:jc w:val="center"/>
            </w:pPr>
            <w:r w:rsidRPr="004B3355">
              <w:t>-</w:t>
            </w:r>
          </w:p>
        </w:tc>
      </w:tr>
      <w:tr w:rsidR="00B0093E" w:rsidRPr="004B3355" w:rsidTr="00725692">
        <w:tc>
          <w:tcPr>
            <w:tcW w:w="862" w:type="pct"/>
            <w:vMerge/>
            <w:vAlign w:val="center"/>
          </w:tcPr>
          <w:p w:rsidR="00B114A8" w:rsidRPr="004B3355" w:rsidRDefault="00B114A8" w:rsidP="00BE64AA">
            <w:pPr>
              <w:pStyle w:val="TableText0"/>
              <w:jc w:val="center"/>
            </w:pPr>
          </w:p>
        </w:tc>
        <w:tc>
          <w:tcPr>
            <w:tcW w:w="865" w:type="pct"/>
            <w:vAlign w:val="center"/>
          </w:tcPr>
          <w:p w:rsidR="00B114A8" w:rsidRPr="004B3355" w:rsidRDefault="00B114A8" w:rsidP="00BE64AA">
            <w:pPr>
              <w:pStyle w:val="TableText0"/>
              <w:jc w:val="center"/>
            </w:pPr>
            <w:r w:rsidRPr="005B6465">
              <w:t>12 months</w:t>
            </w:r>
          </w:p>
        </w:tc>
        <w:tc>
          <w:tcPr>
            <w:tcW w:w="940" w:type="pct"/>
          </w:tcPr>
          <w:p w:rsidR="00B114A8" w:rsidRPr="004B3355" w:rsidRDefault="00B114A8" w:rsidP="00BE64AA">
            <w:pPr>
              <w:pStyle w:val="TableText0"/>
              <w:jc w:val="center"/>
            </w:pPr>
            <w:r>
              <w:rPr>
                <w:szCs w:val="20"/>
              </w:rPr>
              <w:t xml:space="preserve">0.41 (0.33, 0.48) </w:t>
            </w:r>
          </w:p>
        </w:tc>
        <w:tc>
          <w:tcPr>
            <w:tcW w:w="863" w:type="pct"/>
          </w:tcPr>
          <w:p w:rsidR="00B114A8" w:rsidRPr="004B3355" w:rsidRDefault="00B114A8" w:rsidP="00BE64AA">
            <w:pPr>
              <w:pStyle w:val="TableText0"/>
              <w:jc w:val="center"/>
            </w:pPr>
            <w:r>
              <w:rPr>
                <w:szCs w:val="20"/>
              </w:rPr>
              <w:t xml:space="preserve">0.14 (0.08, 0.22) </w:t>
            </w:r>
          </w:p>
        </w:tc>
        <w:tc>
          <w:tcPr>
            <w:tcW w:w="555" w:type="pct"/>
            <w:vAlign w:val="center"/>
          </w:tcPr>
          <w:p w:rsidR="00B114A8" w:rsidRPr="002B72D8" w:rsidRDefault="00726CE3" w:rsidP="00BE64AA">
            <w:pPr>
              <w:pStyle w:val="TableText0"/>
              <w:jc w:val="center"/>
            </w:pPr>
            <w:r w:rsidRPr="002B72D8">
              <w:t>0.</w:t>
            </w:r>
            <w:r w:rsidR="00B114A8" w:rsidRPr="002B72D8">
              <w:t>27</w:t>
            </w:r>
          </w:p>
        </w:tc>
        <w:tc>
          <w:tcPr>
            <w:tcW w:w="915" w:type="pct"/>
            <w:vAlign w:val="center"/>
          </w:tcPr>
          <w:p w:rsidR="00B114A8" w:rsidRPr="004B3355" w:rsidRDefault="00B114A8" w:rsidP="00BE64AA">
            <w:pPr>
              <w:pStyle w:val="TableText0"/>
              <w:jc w:val="center"/>
            </w:pPr>
            <w:r w:rsidRPr="004B3355">
              <w:t>-</w:t>
            </w:r>
          </w:p>
        </w:tc>
      </w:tr>
      <w:tr w:rsidR="00B0093E" w:rsidRPr="004B3355" w:rsidTr="00725692">
        <w:tc>
          <w:tcPr>
            <w:tcW w:w="862" w:type="pct"/>
            <w:vMerge/>
            <w:vAlign w:val="center"/>
          </w:tcPr>
          <w:p w:rsidR="00B114A8" w:rsidRPr="004B3355" w:rsidRDefault="00B114A8" w:rsidP="00BE64AA">
            <w:pPr>
              <w:pStyle w:val="TableText0"/>
              <w:jc w:val="center"/>
            </w:pPr>
          </w:p>
        </w:tc>
        <w:tc>
          <w:tcPr>
            <w:tcW w:w="865" w:type="pct"/>
            <w:vAlign w:val="center"/>
          </w:tcPr>
          <w:p w:rsidR="00B114A8" w:rsidRPr="004B3355" w:rsidRDefault="00B114A8" w:rsidP="00BE64AA">
            <w:pPr>
              <w:pStyle w:val="TableText0"/>
              <w:jc w:val="center"/>
            </w:pPr>
            <w:r w:rsidRPr="005B6465">
              <w:t>18 months</w:t>
            </w:r>
          </w:p>
        </w:tc>
        <w:tc>
          <w:tcPr>
            <w:tcW w:w="940" w:type="pct"/>
          </w:tcPr>
          <w:p w:rsidR="00B114A8" w:rsidRPr="004B3355" w:rsidRDefault="00B114A8" w:rsidP="00BE64AA">
            <w:pPr>
              <w:pStyle w:val="TableText0"/>
              <w:jc w:val="center"/>
            </w:pPr>
            <w:r>
              <w:rPr>
                <w:szCs w:val="20"/>
              </w:rPr>
              <w:t xml:space="preserve">0.30 (0.23, 0.38) </w:t>
            </w:r>
          </w:p>
        </w:tc>
        <w:tc>
          <w:tcPr>
            <w:tcW w:w="863" w:type="pct"/>
          </w:tcPr>
          <w:p w:rsidR="00B114A8" w:rsidRPr="004B3355" w:rsidRDefault="00B114A8" w:rsidP="00BE64AA">
            <w:pPr>
              <w:pStyle w:val="TableText0"/>
              <w:jc w:val="center"/>
            </w:pPr>
            <w:r>
              <w:rPr>
                <w:szCs w:val="20"/>
              </w:rPr>
              <w:t xml:space="preserve">0.12 (0.06, 0.21) </w:t>
            </w:r>
          </w:p>
        </w:tc>
        <w:tc>
          <w:tcPr>
            <w:tcW w:w="555" w:type="pct"/>
            <w:vAlign w:val="center"/>
          </w:tcPr>
          <w:p w:rsidR="00B114A8" w:rsidRPr="002B72D8" w:rsidRDefault="00726CE3">
            <w:pPr>
              <w:pStyle w:val="TableText0"/>
              <w:jc w:val="center"/>
            </w:pPr>
            <w:r w:rsidRPr="002B72D8">
              <w:t>0.</w:t>
            </w:r>
            <w:r w:rsidR="00B114A8" w:rsidRPr="002B72D8">
              <w:t>18</w:t>
            </w:r>
          </w:p>
        </w:tc>
        <w:tc>
          <w:tcPr>
            <w:tcW w:w="915" w:type="pct"/>
            <w:vAlign w:val="center"/>
          </w:tcPr>
          <w:p w:rsidR="00B114A8" w:rsidRPr="004B3355" w:rsidRDefault="00B114A8" w:rsidP="00BE64AA">
            <w:pPr>
              <w:pStyle w:val="TableText0"/>
              <w:jc w:val="center"/>
            </w:pPr>
            <w:r w:rsidRPr="004B3355">
              <w:t>-</w:t>
            </w:r>
          </w:p>
        </w:tc>
      </w:tr>
      <w:tr w:rsidR="00B0093E" w:rsidRPr="004B3355" w:rsidTr="00725692">
        <w:tc>
          <w:tcPr>
            <w:tcW w:w="862" w:type="pct"/>
            <w:vMerge/>
            <w:vAlign w:val="center"/>
          </w:tcPr>
          <w:p w:rsidR="00B114A8" w:rsidRPr="004B3355" w:rsidRDefault="00B114A8" w:rsidP="00BE64AA">
            <w:pPr>
              <w:pStyle w:val="TableText0"/>
              <w:jc w:val="center"/>
            </w:pPr>
          </w:p>
        </w:tc>
        <w:tc>
          <w:tcPr>
            <w:tcW w:w="865" w:type="pct"/>
            <w:vAlign w:val="center"/>
          </w:tcPr>
          <w:p w:rsidR="00B114A8" w:rsidRPr="004B3355" w:rsidRDefault="00B114A8" w:rsidP="00BE64AA">
            <w:pPr>
              <w:pStyle w:val="TableText0"/>
              <w:jc w:val="center"/>
            </w:pPr>
            <w:r w:rsidRPr="005B6465">
              <w:t>24 months</w:t>
            </w:r>
          </w:p>
        </w:tc>
        <w:tc>
          <w:tcPr>
            <w:tcW w:w="940" w:type="pct"/>
          </w:tcPr>
          <w:p w:rsidR="00B114A8" w:rsidRPr="004B3355" w:rsidRDefault="00B114A8" w:rsidP="00BE64AA">
            <w:pPr>
              <w:pStyle w:val="TableText0"/>
              <w:jc w:val="center"/>
            </w:pPr>
            <w:r>
              <w:rPr>
                <w:szCs w:val="20"/>
              </w:rPr>
              <w:t xml:space="preserve">0.27 (0.19, 0.35) </w:t>
            </w:r>
          </w:p>
        </w:tc>
        <w:tc>
          <w:tcPr>
            <w:tcW w:w="863" w:type="pct"/>
          </w:tcPr>
          <w:p w:rsidR="00B114A8" w:rsidRPr="004B3355" w:rsidRDefault="00B114A8" w:rsidP="00BE64AA">
            <w:pPr>
              <w:pStyle w:val="TableText0"/>
              <w:jc w:val="center"/>
            </w:pPr>
            <w:r>
              <w:rPr>
                <w:szCs w:val="20"/>
              </w:rPr>
              <w:t xml:space="preserve">0.12 (0.06, 0.21) </w:t>
            </w:r>
          </w:p>
        </w:tc>
        <w:tc>
          <w:tcPr>
            <w:tcW w:w="555" w:type="pct"/>
            <w:vAlign w:val="center"/>
          </w:tcPr>
          <w:p w:rsidR="00B114A8" w:rsidRPr="002B72D8" w:rsidRDefault="00726CE3">
            <w:pPr>
              <w:pStyle w:val="TableText0"/>
              <w:jc w:val="center"/>
            </w:pPr>
            <w:r w:rsidRPr="002B72D8">
              <w:t>0.</w:t>
            </w:r>
            <w:r w:rsidR="00B114A8" w:rsidRPr="002B72D8">
              <w:t>15</w:t>
            </w:r>
          </w:p>
        </w:tc>
        <w:tc>
          <w:tcPr>
            <w:tcW w:w="915" w:type="pct"/>
            <w:vAlign w:val="center"/>
          </w:tcPr>
          <w:p w:rsidR="00B114A8" w:rsidRPr="004B3355" w:rsidRDefault="00B114A8" w:rsidP="00BE64AA">
            <w:pPr>
              <w:pStyle w:val="TableText0"/>
              <w:jc w:val="center"/>
            </w:pPr>
            <w:r w:rsidRPr="004B3355">
              <w:t>-</w:t>
            </w:r>
          </w:p>
        </w:tc>
      </w:tr>
      <w:tr w:rsidR="00E13718" w:rsidRPr="004B3355" w:rsidTr="00725692">
        <w:trPr>
          <w:gridBefore w:val="1"/>
        </w:trPr>
        <w:tc>
          <w:tcPr>
            <w:tcW w:w="5000" w:type="pct"/>
            <w:gridSpan w:val="5"/>
            <w:vAlign w:val="center"/>
          </w:tcPr>
          <w:p w:rsidR="00E13718" w:rsidRPr="004B3355" w:rsidRDefault="00E13718" w:rsidP="00BE64AA">
            <w:pPr>
              <w:pStyle w:val="TableText0"/>
              <w:rPr>
                <w:b/>
                <w:lang w:val="en-US"/>
              </w:rPr>
            </w:pPr>
            <w:r w:rsidRPr="004B3355">
              <w:rPr>
                <w:b/>
                <w:lang w:val="en-US"/>
              </w:rPr>
              <w:t>Overall survival</w:t>
            </w:r>
          </w:p>
        </w:tc>
      </w:tr>
      <w:tr w:rsidR="00B0093E" w:rsidRPr="004B3355" w:rsidTr="00725692">
        <w:tc>
          <w:tcPr>
            <w:tcW w:w="1727" w:type="pct"/>
            <w:gridSpan w:val="2"/>
            <w:vAlign w:val="center"/>
          </w:tcPr>
          <w:p w:rsidR="00E13718" w:rsidRPr="004B3355" w:rsidRDefault="00E13718" w:rsidP="00BE64AA">
            <w:pPr>
              <w:pStyle w:val="TableText0"/>
              <w:jc w:val="center"/>
            </w:pPr>
            <w:r w:rsidRPr="004B3355">
              <w:t>Patients with event</w:t>
            </w:r>
          </w:p>
        </w:tc>
        <w:tc>
          <w:tcPr>
            <w:tcW w:w="940" w:type="pct"/>
            <w:vAlign w:val="center"/>
          </w:tcPr>
          <w:p w:rsidR="00E13718" w:rsidRPr="004B3355" w:rsidRDefault="00E13718" w:rsidP="00BE64AA">
            <w:pPr>
              <w:pStyle w:val="TableText0"/>
              <w:jc w:val="center"/>
            </w:pPr>
            <w:r w:rsidRPr="004B3355">
              <w:t>44/234 (18.8%)</w:t>
            </w:r>
          </w:p>
        </w:tc>
        <w:tc>
          <w:tcPr>
            <w:tcW w:w="863" w:type="pct"/>
            <w:vAlign w:val="center"/>
          </w:tcPr>
          <w:p w:rsidR="00E13718" w:rsidRPr="004B3355" w:rsidRDefault="00E13718" w:rsidP="00BE64AA">
            <w:pPr>
              <w:pStyle w:val="TableText0"/>
              <w:jc w:val="center"/>
            </w:pPr>
            <w:r w:rsidRPr="004B3355">
              <w:t>27/116 (23.3%)</w:t>
            </w:r>
          </w:p>
        </w:tc>
        <w:tc>
          <w:tcPr>
            <w:tcW w:w="555" w:type="pct"/>
            <w:vAlign w:val="center"/>
          </w:tcPr>
          <w:p w:rsidR="00E13718" w:rsidRPr="004B3355" w:rsidRDefault="00E13718" w:rsidP="00BE64AA">
            <w:pPr>
              <w:pStyle w:val="TableText0"/>
              <w:jc w:val="center"/>
            </w:pPr>
            <w:r w:rsidRPr="004B3355">
              <w:t>4.5%</w:t>
            </w:r>
          </w:p>
        </w:tc>
        <w:tc>
          <w:tcPr>
            <w:tcW w:w="915" w:type="pct"/>
            <w:vAlign w:val="center"/>
          </w:tcPr>
          <w:p w:rsidR="00E13718" w:rsidRPr="004B3355" w:rsidRDefault="00E13718" w:rsidP="00BE64AA">
            <w:pPr>
              <w:pStyle w:val="TableText0"/>
              <w:jc w:val="center"/>
            </w:pPr>
            <w:r w:rsidRPr="004B3355">
              <w:t>-</w:t>
            </w:r>
          </w:p>
        </w:tc>
      </w:tr>
      <w:tr w:rsidR="00B0093E" w:rsidRPr="004B3355" w:rsidTr="00725692">
        <w:tc>
          <w:tcPr>
            <w:tcW w:w="1727" w:type="pct"/>
            <w:gridSpan w:val="2"/>
            <w:vAlign w:val="center"/>
          </w:tcPr>
          <w:p w:rsidR="00B0093E" w:rsidRPr="004B3355" w:rsidRDefault="00B0093E" w:rsidP="00B0093E">
            <w:pPr>
              <w:pStyle w:val="TableText0"/>
              <w:jc w:val="center"/>
            </w:pPr>
            <w:r w:rsidRPr="004B3355">
              <w:t>Patients with event</w:t>
            </w:r>
            <w:r>
              <w:t xml:space="preserve"> (final DCO)</w:t>
            </w:r>
          </w:p>
        </w:tc>
        <w:tc>
          <w:tcPr>
            <w:tcW w:w="940" w:type="pct"/>
            <w:vAlign w:val="center"/>
          </w:tcPr>
          <w:p w:rsidR="00B0093E" w:rsidRPr="004B3355" w:rsidRDefault="00B0093E" w:rsidP="00B0093E">
            <w:pPr>
              <w:pStyle w:val="TableText0"/>
              <w:jc w:val="center"/>
            </w:pPr>
            <w:r>
              <w:t>160/234 (68.4%)</w:t>
            </w:r>
          </w:p>
        </w:tc>
        <w:tc>
          <w:tcPr>
            <w:tcW w:w="863" w:type="pct"/>
            <w:vAlign w:val="center"/>
          </w:tcPr>
          <w:p w:rsidR="00B0093E" w:rsidRPr="004B3355" w:rsidRDefault="00B0093E" w:rsidP="00B0093E">
            <w:pPr>
              <w:pStyle w:val="TableText0"/>
              <w:jc w:val="center"/>
            </w:pPr>
            <w:r>
              <w:t>78/116 (67.2%)</w:t>
            </w:r>
          </w:p>
        </w:tc>
        <w:tc>
          <w:tcPr>
            <w:tcW w:w="555" w:type="pct"/>
            <w:vAlign w:val="center"/>
          </w:tcPr>
          <w:p w:rsidR="00B0093E" w:rsidRPr="004B3355" w:rsidRDefault="00725692" w:rsidP="00B0093E">
            <w:pPr>
              <w:pStyle w:val="TableText0"/>
              <w:jc w:val="center"/>
            </w:pPr>
            <w:r>
              <w:t>-</w:t>
            </w:r>
            <w:r w:rsidR="00B0093E">
              <w:t>1.2%</w:t>
            </w:r>
          </w:p>
        </w:tc>
        <w:tc>
          <w:tcPr>
            <w:tcW w:w="915" w:type="pct"/>
            <w:vAlign w:val="center"/>
          </w:tcPr>
          <w:p w:rsidR="00B0093E" w:rsidRPr="004B3355" w:rsidRDefault="00B0093E" w:rsidP="00B0093E">
            <w:pPr>
              <w:pStyle w:val="TableText0"/>
              <w:jc w:val="center"/>
            </w:pPr>
          </w:p>
        </w:tc>
      </w:tr>
      <w:tr w:rsidR="00B0093E" w:rsidRPr="004B3355" w:rsidTr="00725692">
        <w:tc>
          <w:tcPr>
            <w:tcW w:w="1727" w:type="pct"/>
            <w:gridSpan w:val="2"/>
            <w:vAlign w:val="center"/>
          </w:tcPr>
          <w:p w:rsidR="00E13718" w:rsidRPr="004B3355" w:rsidRDefault="00E13718" w:rsidP="00BE64AA">
            <w:pPr>
              <w:pStyle w:val="TableText0"/>
              <w:jc w:val="center"/>
            </w:pPr>
            <w:r>
              <w:t xml:space="preserve">Median OS months </w:t>
            </w:r>
            <w:r w:rsidRPr="004B3355">
              <w:t>(95% CI)</w:t>
            </w:r>
          </w:p>
        </w:tc>
        <w:tc>
          <w:tcPr>
            <w:tcW w:w="940" w:type="pct"/>
            <w:vAlign w:val="center"/>
          </w:tcPr>
          <w:p w:rsidR="00E13718" w:rsidRPr="004B3355" w:rsidRDefault="00E13718" w:rsidP="00BE64AA">
            <w:pPr>
              <w:pStyle w:val="TableText0"/>
              <w:jc w:val="center"/>
            </w:pPr>
            <w:r w:rsidRPr="004B3355">
              <w:t>NR</w:t>
            </w:r>
          </w:p>
        </w:tc>
        <w:tc>
          <w:tcPr>
            <w:tcW w:w="863" w:type="pct"/>
            <w:vAlign w:val="center"/>
          </w:tcPr>
          <w:p w:rsidR="00E13718" w:rsidRPr="004B3355" w:rsidRDefault="00E13718" w:rsidP="00BE64AA">
            <w:pPr>
              <w:pStyle w:val="TableText0"/>
              <w:jc w:val="center"/>
            </w:pPr>
            <w:r w:rsidRPr="004B3355">
              <w:t>NR</w:t>
            </w:r>
          </w:p>
        </w:tc>
        <w:tc>
          <w:tcPr>
            <w:tcW w:w="555" w:type="pct"/>
            <w:vAlign w:val="center"/>
          </w:tcPr>
          <w:p w:rsidR="00E13718" w:rsidRPr="004B3355" w:rsidRDefault="00E13718" w:rsidP="00BE64AA">
            <w:pPr>
              <w:pStyle w:val="TableText0"/>
              <w:jc w:val="center"/>
            </w:pPr>
            <w:r w:rsidRPr="004B3355">
              <w:t>NA</w:t>
            </w:r>
          </w:p>
        </w:tc>
        <w:tc>
          <w:tcPr>
            <w:tcW w:w="915" w:type="pct"/>
            <w:vAlign w:val="center"/>
          </w:tcPr>
          <w:p w:rsidR="00E13718" w:rsidRPr="004B3355" w:rsidRDefault="00E13718" w:rsidP="00BE64AA">
            <w:pPr>
              <w:pStyle w:val="TableText0"/>
              <w:jc w:val="center"/>
            </w:pPr>
            <w:r w:rsidRPr="004B3355">
              <w:t>0.74 (0.452, 1.200)</w:t>
            </w:r>
          </w:p>
        </w:tc>
      </w:tr>
      <w:tr w:rsidR="00B0093E" w:rsidRPr="004B3355" w:rsidTr="00725692">
        <w:tc>
          <w:tcPr>
            <w:tcW w:w="1727" w:type="pct"/>
            <w:gridSpan w:val="2"/>
            <w:vAlign w:val="center"/>
          </w:tcPr>
          <w:p w:rsidR="00B0093E" w:rsidRDefault="00B0093E" w:rsidP="00B0093E">
            <w:pPr>
              <w:pStyle w:val="TableText0"/>
              <w:jc w:val="center"/>
            </w:pPr>
            <w:r>
              <w:t xml:space="preserve">Median OS months </w:t>
            </w:r>
            <w:r w:rsidRPr="004B3355">
              <w:t>(95% CI)</w:t>
            </w:r>
            <w:r>
              <w:t xml:space="preserve"> final DCO</w:t>
            </w:r>
            <w:r w:rsidR="008674B1">
              <w:t>*</w:t>
            </w:r>
          </w:p>
        </w:tc>
        <w:tc>
          <w:tcPr>
            <w:tcW w:w="940" w:type="pct"/>
            <w:vAlign w:val="center"/>
          </w:tcPr>
          <w:p w:rsidR="00B0093E" w:rsidRPr="004B3355" w:rsidRDefault="00B0093E" w:rsidP="00B0093E">
            <w:pPr>
              <w:pStyle w:val="TableText0"/>
              <w:jc w:val="center"/>
            </w:pPr>
            <w:r>
              <w:t>31.1 (27.8, 37.3)</w:t>
            </w:r>
          </w:p>
        </w:tc>
        <w:tc>
          <w:tcPr>
            <w:tcW w:w="863" w:type="pct"/>
            <w:vAlign w:val="center"/>
          </w:tcPr>
          <w:p w:rsidR="00B0093E" w:rsidRPr="004B3355" w:rsidRDefault="00B0093E" w:rsidP="00B0093E">
            <w:pPr>
              <w:pStyle w:val="TableText0"/>
              <w:jc w:val="center"/>
            </w:pPr>
            <w:r>
              <w:t>36.5 (27.9, 41.6)</w:t>
            </w:r>
          </w:p>
        </w:tc>
        <w:tc>
          <w:tcPr>
            <w:tcW w:w="555" w:type="pct"/>
            <w:vAlign w:val="center"/>
          </w:tcPr>
          <w:p w:rsidR="00B0093E" w:rsidRPr="004B3355" w:rsidRDefault="008674B1" w:rsidP="00B0093E">
            <w:pPr>
              <w:pStyle w:val="TableText0"/>
              <w:jc w:val="center"/>
            </w:pPr>
            <w:r>
              <w:t>-</w:t>
            </w:r>
            <w:r w:rsidR="00B0093E">
              <w:t>5.4 months</w:t>
            </w:r>
          </w:p>
        </w:tc>
        <w:tc>
          <w:tcPr>
            <w:tcW w:w="915" w:type="pct"/>
            <w:vAlign w:val="center"/>
          </w:tcPr>
          <w:p w:rsidR="00B0093E" w:rsidRPr="004B3355" w:rsidRDefault="00B0093E" w:rsidP="00B0093E">
            <w:pPr>
              <w:pStyle w:val="TableText0"/>
              <w:jc w:val="center"/>
            </w:pPr>
            <w:r>
              <w:t>1.10 (0.831, 1.459)</w:t>
            </w:r>
          </w:p>
        </w:tc>
      </w:tr>
      <w:tr w:rsidR="00B0093E" w:rsidRPr="004B3355" w:rsidTr="00725692">
        <w:tc>
          <w:tcPr>
            <w:tcW w:w="862" w:type="pct"/>
            <w:vMerge w:val="restart"/>
            <w:shd w:val="clear" w:color="auto" w:fill="auto"/>
            <w:vAlign w:val="center"/>
          </w:tcPr>
          <w:p w:rsidR="006C7BF5" w:rsidRDefault="006C7BF5" w:rsidP="00BE64AA">
            <w:pPr>
              <w:pStyle w:val="TableText0"/>
              <w:jc w:val="center"/>
              <w:rPr>
                <w:rFonts w:eastAsia="Times New Roman" w:cs="Calibri"/>
                <w:color w:val="000000"/>
                <w:szCs w:val="20"/>
              </w:rPr>
            </w:pPr>
            <w:r>
              <w:rPr>
                <w:rFonts w:eastAsia="Times New Roman" w:cs="Calibri"/>
                <w:color w:val="000000"/>
                <w:szCs w:val="20"/>
              </w:rPr>
              <w:t>OS at</w:t>
            </w:r>
            <w:r>
              <w:rPr>
                <w:vertAlign w:val="superscript"/>
              </w:rPr>
              <w:t>^</w:t>
            </w:r>
            <w:r>
              <w:rPr>
                <w:rFonts w:eastAsia="Times New Roman" w:cs="Calibri"/>
                <w:color w:val="000000"/>
                <w:szCs w:val="20"/>
              </w:rPr>
              <w:t xml:space="preserve"> </w:t>
            </w:r>
          </w:p>
          <w:p w:rsidR="006C7BF5" w:rsidRPr="00B114A8" w:rsidRDefault="006C7BF5" w:rsidP="00BE64AA">
            <w:pPr>
              <w:pStyle w:val="TableText0"/>
              <w:jc w:val="center"/>
              <w:rPr>
                <w:vertAlign w:val="superscript"/>
              </w:rPr>
            </w:pPr>
            <w:r>
              <w:rPr>
                <w:rFonts w:eastAsia="Times New Roman" w:cs="Calibri"/>
                <w:color w:val="000000"/>
                <w:szCs w:val="20"/>
              </w:rPr>
              <w:t>(95 % CI)</w:t>
            </w:r>
          </w:p>
        </w:tc>
        <w:tc>
          <w:tcPr>
            <w:tcW w:w="865" w:type="pct"/>
            <w:shd w:val="clear" w:color="auto" w:fill="auto"/>
            <w:vAlign w:val="center"/>
          </w:tcPr>
          <w:p w:rsidR="006C7BF5" w:rsidRPr="004B3355" w:rsidRDefault="006C7BF5" w:rsidP="00BE64AA">
            <w:pPr>
              <w:pStyle w:val="TableText0"/>
              <w:jc w:val="center"/>
            </w:pPr>
            <w:r>
              <w:rPr>
                <w:rFonts w:eastAsia="Times New Roman" w:cs="Calibri"/>
                <w:color w:val="000000"/>
                <w:szCs w:val="20"/>
              </w:rPr>
              <w:t>6 months</w:t>
            </w:r>
          </w:p>
        </w:tc>
        <w:tc>
          <w:tcPr>
            <w:tcW w:w="940" w:type="pct"/>
            <w:shd w:val="clear" w:color="auto" w:fill="auto"/>
            <w:vAlign w:val="center"/>
          </w:tcPr>
          <w:p w:rsidR="006C7BF5" w:rsidRPr="004B3355" w:rsidRDefault="006C7BF5" w:rsidP="00BE64AA">
            <w:pPr>
              <w:pStyle w:val="TableText0"/>
              <w:jc w:val="center"/>
            </w:pPr>
            <w:r>
              <w:rPr>
                <w:rFonts w:eastAsia="Times New Roman" w:cs="Calibri"/>
                <w:color w:val="000000"/>
                <w:szCs w:val="20"/>
              </w:rPr>
              <w:t>0.99 (0.96, 1.00)</w:t>
            </w:r>
          </w:p>
        </w:tc>
        <w:tc>
          <w:tcPr>
            <w:tcW w:w="863" w:type="pct"/>
            <w:shd w:val="clear" w:color="auto" w:fill="auto"/>
            <w:vAlign w:val="center"/>
          </w:tcPr>
          <w:p w:rsidR="006C7BF5" w:rsidRPr="004B3355" w:rsidRDefault="006C7BF5" w:rsidP="00BE64AA">
            <w:pPr>
              <w:pStyle w:val="TableText0"/>
              <w:jc w:val="center"/>
            </w:pPr>
            <w:r>
              <w:rPr>
                <w:rFonts w:eastAsia="Times New Roman" w:cs="Calibri"/>
                <w:color w:val="000000"/>
                <w:szCs w:val="20"/>
              </w:rPr>
              <w:t>0.96 (0.90, 0.99)</w:t>
            </w:r>
          </w:p>
        </w:tc>
        <w:tc>
          <w:tcPr>
            <w:tcW w:w="555" w:type="pct"/>
            <w:vAlign w:val="center"/>
          </w:tcPr>
          <w:p w:rsidR="006C7BF5" w:rsidRPr="002B72D8" w:rsidRDefault="00726CE3" w:rsidP="00BE64AA">
            <w:pPr>
              <w:pStyle w:val="TableText0"/>
              <w:jc w:val="center"/>
              <w:rPr>
                <w:vertAlign w:val="superscript"/>
              </w:rPr>
            </w:pPr>
            <w:r w:rsidRPr="002B72D8">
              <w:t>0.0</w:t>
            </w:r>
            <w:r w:rsidR="006C7BF5" w:rsidRPr="002B72D8">
              <w:t>3</w:t>
            </w:r>
          </w:p>
        </w:tc>
        <w:tc>
          <w:tcPr>
            <w:tcW w:w="915" w:type="pct"/>
            <w:vAlign w:val="center"/>
          </w:tcPr>
          <w:p w:rsidR="006C7BF5" w:rsidRPr="004B3355" w:rsidRDefault="006C7BF5" w:rsidP="00BE64AA">
            <w:pPr>
              <w:pStyle w:val="TableText0"/>
              <w:jc w:val="center"/>
            </w:pPr>
            <w:r w:rsidRPr="004B3355">
              <w:t>-</w:t>
            </w:r>
          </w:p>
        </w:tc>
      </w:tr>
      <w:tr w:rsidR="00B0093E" w:rsidRPr="004B3355" w:rsidTr="00725692">
        <w:tc>
          <w:tcPr>
            <w:tcW w:w="862" w:type="pct"/>
            <w:vMerge/>
            <w:shd w:val="clear" w:color="auto" w:fill="auto"/>
            <w:vAlign w:val="center"/>
          </w:tcPr>
          <w:p w:rsidR="006C7BF5" w:rsidRPr="004B3355" w:rsidRDefault="006C7BF5" w:rsidP="00BE64AA">
            <w:pPr>
              <w:pStyle w:val="TableText0"/>
              <w:jc w:val="center"/>
            </w:pPr>
          </w:p>
        </w:tc>
        <w:tc>
          <w:tcPr>
            <w:tcW w:w="865" w:type="pct"/>
            <w:shd w:val="clear" w:color="auto" w:fill="auto"/>
            <w:vAlign w:val="center"/>
          </w:tcPr>
          <w:p w:rsidR="006C7BF5" w:rsidRPr="004B3355" w:rsidRDefault="006C7BF5" w:rsidP="00BE64AA">
            <w:pPr>
              <w:pStyle w:val="TableText0"/>
              <w:jc w:val="center"/>
            </w:pPr>
            <w:r>
              <w:rPr>
                <w:rFonts w:eastAsia="Times New Roman" w:cs="Calibri"/>
                <w:color w:val="000000"/>
                <w:szCs w:val="20"/>
              </w:rPr>
              <w:t>12 months</w:t>
            </w:r>
          </w:p>
        </w:tc>
        <w:tc>
          <w:tcPr>
            <w:tcW w:w="940" w:type="pct"/>
            <w:shd w:val="clear" w:color="auto" w:fill="auto"/>
            <w:vAlign w:val="center"/>
          </w:tcPr>
          <w:p w:rsidR="006C7BF5" w:rsidRPr="004B3355" w:rsidRDefault="006C7BF5" w:rsidP="00BE64AA">
            <w:pPr>
              <w:pStyle w:val="TableText0"/>
              <w:jc w:val="center"/>
            </w:pPr>
            <w:r>
              <w:rPr>
                <w:rFonts w:eastAsia="Times New Roman" w:cs="Calibri"/>
                <w:color w:val="000000"/>
                <w:szCs w:val="20"/>
              </w:rPr>
              <w:t>0.93 (0.89, 0.96)</w:t>
            </w:r>
          </w:p>
        </w:tc>
        <w:tc>
          <w:tcPr>
            <w:tcW w:w="863" w:type="pct"/>
            <w:shd w:val="clear" w:color="auto" w:fill="auto"/>
            <w:vAlign w:val="center"/>
          </w:tcPr>
          <w:p w:rsidR="006C7BF5" w:rsidRPr="004B3355" w:rsidRDefault="006C7BF5" w:rsidP="00BE64AA">
            <w:pPr>
              <w:pStyle w:val="TableText0"/>
              <w:jc w:val="center"/>
            </w:pPr>
            <w:r>
              <w:rPr>
                <w:rFonts w:eastAsia="Times New Roman" w:cs="Calibri"/>
                <w:color w:val="000000"/>
                <w:szCs w:val="20"/>
              </w:rPr>
              <w:t>0.90 (0.82, 0.94)</w:t>
            </w:r>
          </w:p>
        </w:tc>
        <w:tc>
          <w:tcPr>
            <w:tcW w:w="555" w:type="pct"/>
            <w:vAlign w:val="center"/>
          </w:tcPr>
          <w:p w:rsidR="006C7BF5" w:rsidRPr="002B72D8" w:rsidRDefault="00726CE3">
            <w:pPr>
              <w:pStyle w:val="TableText0"/>
              <w:jc w:val="center"/>
            </w:pPr>
            <w:r w:rsidRPr="002B72D8">
              <w:t>0.0</w:t>
            </w:r>
            <w:r w:rsidR="006C7BF5" w:rsidRPr="002B72D8">
              <w:t>3</w:t>
            </w:r>
          </w:p>
        </w:tc>
        <w:tc>
          <w:tcPr>
            <w:tcW w:w="915" w:type="pct"/>
            <w:vAlign w:val="center"/>
          </w:tcPr>
          <w:p w:rsidR="006C7BF5" w:rsidRPr="004B3355" w:rsidRDefault="006C7BF5" w:rsidP="00BE64AA">
            <w:pPr>
              <w:pStyle w:val="TableText0"/>
              <w:jc w:val="center"/>
            </w:pPr>
            <w:r w:rsidRPr="004B3355">
              <w:t>-</w:t>
            </w:r>
          </w:p>
        </w:tc>
      </w:tr>
      <w:tr w:rsidR="00B0093E" w:rsidRPr="004B3355" w:rsidTr="00725692">
        <w:tc>
          <w:tcPr>
            <w:tcW w:w="862" w:type="pct"/>
            <w:vMerge/>
            <w:shd w:val="clear" w:color="auto" w:fill="auto"/>
            <w:vAlign w:val="center"/>
          </w:tcPr>
          <w:p w:rsidR="006C7BF5" w:rsidRPr="004B3355" w:rsidRDefault="006C7BF5" w:rsidP="00BE64AA">
            <w:pPr>
              <w:pStyle w:val="TableText0"/>
              <w:jc w:val="center"/>
            </w:pPr>
          </w:p>
        </w:tc>
        <w:tc>
          <w:tcPr>
            <w:tcW w:w="865" w:type="pct"/>
            <w:shd w:val="clear" w:color="auto" w:fill="auto"/>
            <w:vAlign w:val="center"/>
          </w:tcPr>
          <w:p w:rsidR="006C7BF5" w:rsidRPr="004B3355" w:rsidRDefault="006C7BF5" w:rsidP="00BE64AA">
            <w:pPr>
              <w:pStyle w:val="TableText0"/>
              <w:jc w:val="center"/>
            </w:pPr>
            <w:r>
              <w:rPr>
                <w:rFonts w:eastAsia="Times New Roman" w:cs="Calibri"/>
                <w:color w:val="000000"/>
                <w:szCs w:val="20"/>
              </w:rPr>
              <w:t>18 months</w:t>
            </w:r>
          </w:p>
        </w:tc>
        <w:tc>
          <w:tcPr>
            <w:tcW w:w="940" w:type="pct"/>
            <w:shd w:val="clear" w:color="auto" w:fill="auto"/>
            <w:vAlign w:val="center"/>
          </w:tcPr>
          <w:p w:rsidR="006C7BF5" w:rsidRPr="004B3355" w:rsidRDefault="006C7BF5" w:rsidP="00BE64AA">
            <w:pPr>
              <w:pStyle w:val="TableText0"/>
              <w:jc w:val="center"/>
            </w:pPr>
            <w:r>
              <w:rPr>
                <w:rFonts w:eastAsia="Times New Roman" w:cs="Calibri"/>
                <w:color w:val="000000"/>
                <w:szCs w:val="20"/>
              </w:rPr>
              <w:t>0.81 (0.74, 0.86)</w:t>
            </w:r>
          </w:p>
        </w:tc>
        <w:tc>
          <w:tcPr>
            <w:tcW w:w="863" w:type="pct"/>
            <w:shd w:val="clear" w:color="auto" w:fill="auto"/>
            <w:vAlign w:val="center"/>
          </w:tcPr>
          <w:p w:rsidR="006C7BF5" w:rsidRPr="004B3355" w:rsidRDefault="006C7BF5" w:rsidP="00BE64AA">
            <w:pPr>
              <w:pStyle w:val="TableText0"/>
              <w:jc w:val="center"/>
            </w:pPr>
            <w:r>
              <w:rPr>
                <w:rFonts w:eastAsia="Times New Roman" w:cs="Calibri"/>
                <w:color w:val="000000"/>
                <w:szCs w:val="20"/>
              </w:rPr>
              <w:t>0.75 (0.64, 0.83)</w:t>
            </w:r>
          </w:p>
        </w:tc>
        <w:tc>
          <w:tcPr>
            <w:tcW w:w="555" w:type="pct"/>
            <w:vAlign w:val="center"/>
          </w:tcPr>
          <w:p w:rsidR="006C7BF5" w:rsidRPr="002B72D8" w:rsidRDefault="00726CE3" w:rsidP="00BE64AA">
            <w:pPr>
              <w:pStyle w:val="TableText0"/>
              <w:jc w:val="center"/>
            </w:pPr>
            <w:r w:rsidRPr="002B72D8">
              <w:t>0.0</w:t>
            </w:r>
            <w:r w:rsidR="006C7BF5" w:rsidRPr="002B72D8">
              <w:t>6</w:t>
            </w:r>
          </w:p>
        </w:tc>
        <w:tc>
          <w:tcPr>
            <w:tcW w:w="915" w:type="pct"/>
            <w:vAlign w:val="center"/>
          </w:tcPr>
          <w:p w:rsidR="006C7BF5" w:rsidRPr="004B3355" w:rsidRDefault="006C7BF5" w:rsidP="00BE64AA">
            <w:pPr>
              <w:pStyle w:val="TableText0"/>
              <w:jc w:val="center"/>
            </w:pPr>
            <w:r w:rsidRPr="004B3355">
              <w:t>-</w:t>
            </w:r>
          </w:p>
        </w:tc>
      </w:tr>
      <w:tr w:rsidR="00B0093E" w:rsidRPr="004B3355" w:rsidTr="00725692">
        <w:tc>
          <w:tcPr>
            <w:tcW w:w="862" w:type="pct"/>
            <w:vMerge/>
            <w:shd w:val="clear" w:color="auto" w:fill="auto"/>
            <w:vAlign w:val="center"/>
          </w:tcPr>
          <w:p w:rsidR="006C7BF5" w:rsidRPr="004B3355" w:rsidRDefault="006C7BF5" w:rsidP="00BE64AA">
            <w:pPr>
              <w:pStyle w:val="TableText0"/>
              <w:jc w:val="center"/>
            </w:pPr>
          </w:p>
        </w:tc>
        <w:tc>
          <w:tcPr>
            <w:tcW w:w="865" w:type="pct"/>
            <w:shd w:val="clear" w:color="auto" w:fill="auto"/>
            <w:vAlign w:val="center"/>
          </w:tcPr>
          <w:p w:rsidR="006C7BF5" w:rsidRPr="004B3355" w:rsidRDefault="006C7BF5" w:rsidP="00BE64AA">
            <w:pPr>
              <w:pStyle w:val="TableText0"/>
              <w:jc w:val="center"/>
            </w:pPr>
            <w:r>
              <w:rPr>
                <w:rFonts w:eastAsia="Times New Roman" w:cs="Calibri"/>
                <w:color w:val="000000"/>
                <w:szCs w:val="20"/>
              </w:rPr>
              <w:t>24 months</w:t>
            </w:r>
          </w:p>
        </w:tc>
        <w:tc>
          <w:tcPr>
            <w:tcW w:w="940" w:type="pct"/>
            <w:shd w:val="clear" w:color="auto" w:fill="auto"/>
            <w:vAlign w:val="center"/>
          </w:tcPr>
          <w:p w:rsidR="006C7BF5" w:rsidRPr="004B3355" w:rsidRDefault="006C7BF5" w:rsidP="00BE64AA">
            <w:pPr>
              <w:pStyle w:val="TableText0"/>
              <w:jc w:val="center"/>
            </w:pPr>
            <w:r>
              <w:rPr>
                <w:rFonts w:eastAsia="Times New Roman" w:cs="Calibri"/>
                <w:color w:val="000000"/>
                <w:szCs w:val="20"/>
              </w:rPr>
              <w:t>0.71 (0.61, 0.78)</w:t>
            </w:r>
          </w:p>
        </w:tc>
        <w:tc>
          <w:tcPr>
            <w:tcW w:w="863" w:type="pct"/>
            <w:shd w:val="clear" w:color="auto" w:fill="auto"/>
            <w:vAlign w:val="center"/>
          </w:tcPr>
          <w:p w:rsidR="006C7BF5" w:rsidRPr="004B3355" w:rsidRDefault="006C7BF5" w:rsidP="00BE64AA">
            <w:pPr>
              <w:pStyle w:val="TableText0"/>
              <w:jc w:val="center"/>
            </w:pPr>
            <w:r>
              <w:rPr>
                <w:rFonts w:eastAsia="Times New Roman" w:cs="Calibri"/>
                <w:color w:val="000000"/>
                <w:szCs w:val="20"/>
              </w:rPr>
              <w:t>0.62 (0.48, 0.74)</w:t>
            </w:r>
          </w:p>
        </w:tc>
        <w:tc>
          <w:tcPr>
            <w:tcW w:w="555" w:type="pct"/>
            <w:vAlign w:val="center"/>
          </w:tcPr>
          <w:p w:rsidR="006C7BF5" w:rsidRPr="00725692" w:rsidRDefault="00726CE3">
            <w:pPr>
              <w:pStyle w:val="TableText0"/>
              <w:jc w:val="center"/>
            </w:pPr>
            <w:r w:rsidRPr="00725692">
              <w:t>0.0</w:t>
            </w:r>
            <w:r w:rsidR="006C7BF5" w:rsidRPr="00725692">
              <w:t>9</w:t>
            </w:r>
          </w:p>
        </w:tc>
        <w:tc>
          <w:tcPr>
            <w:tcW w:w="915" w:type="pct"/>
            <w:vAlign w:val="center"/>
          </w:tcPr>
          <w:p w:rsidR="006C7BF5" w:rsidRPr="004B3355" w:rsidRDefault="006C7BF5" w:rsidP="00BE64AA">
            <w:pPr>
              <w:pStyle w:val="TableText0"/>
              <w:jc w:val="center"/>
            </w:pPr>
            <w:r w:rsidRPr="004B3355">
              <w:t>-</w:t>
            </w:r>
          </w:p>
        </w:tc>
      </w:tr>
    </w:tbl>
    <w:p w:rsidR="00E13718" w:rsidRPr="004B3355" w:rsidRDefault="00E13718" w:rsidP="00BE64AA">
      <w:pPr>
        <w:pStyle w:val="TableFigureFooter"/>
      </w:pPr>
      <w:r w:rsidRPr="004B3355">
        <w:t>Source: Table 44 of the submission,</w:t>
      </w:r>
      <w:r>
        <w:t xml:space="preserve"> p</w:t>
      </w:r>
      <w:r w:rsidRPr="004B3355">
        <w:t>71 an</w:t>
      </w:r>
      <w:r>
        <w:t>d table 45 of the submission, p</w:t>
      </w:r>
      <w:r w:rsidRPr="004B3355">
        <w:t>74</w:t>
      </w:r>
    </w:p>
    <w:p w:rsidR="00E13718" w:rsidRPr="004B3355" w:rsidRDefault="00E13718" w:rsidP="00BE64AA">
      <w:pPr>
        <w:pStyle w:val="TableFigureFooter"/>
      </w:pPr>
      <w:r w:rsidRPr="004B3355">
        <w:t>BICR = blinded independent central review; CI = confidence interval; gBRCAm = germline BRCA</w:t>
      </w:r>
      <w:r w:rsidR="00A72D6D">
        <w:t>1/2</w:t>
      </w:r>
      <w:r w:rsidRPr="004B3355">
        <w:t xml:space="preserve"> </w:t>
      </w:r>
      <w:r w:rsidR="005502B9">
        <w:t>pathogenic and likely pathogenic gene variants</w:t>
      </w:r>
      <w:r w:rsidRPr="004B3355">
        <w:t>; HR = hazard ratio; INV = investigator; ITT = intent to treat;</w:t>
      </w:r>
      <w:r>
        <w:t xml:space="preserve"> NA= not applicable; NR= not reported;</w:t>
      </w:r>
      <w:r w:rsidRPr="007059FD">
        <w:t xml:space="preserve"> </w:t>
      </w:r>
      <w:r>
        <w:t>OS= overall survival; PFS= progression free survival</w:t>
      </w:r>
    </w:p>
    <w:p w:rsidR="00397867" w:rsidRDefault="00397867" w:rsidP="00BE64AA">
      <w:pPr>
        <w:pStyle w:val="TableFigureFooter"/>
        <w:keepNext/>
      </w:pPr>
      <w:r>
        <w:t xml:space="preserve">^ </w:t>
      </w:r>
      <w:r w:rsidR="007311FE">
        <w:t>Results</w:t>
      </w:r>
      <w:r>
        <w:t xml:space="preserve"> were presented in the submission as survival distribution function with e</w:t>
      </w:r>
      <w:r w:rsidRPr="0083723A">
        <w:t xml:space="preserve">stimates </w:t>
      </w:r>
      <w:r>
        <w:t xml:space="preserve">calculated </w:t>
      </w:r>
      <w:r w:rsidRPr="0083723A">
        <w:t>from product-limit</w:t>
      </w:r>
      <w:r>
        <w:t xml:space="preserve"> (Kaplan-Meier)</w:t>
      </w:r>
      <w:r w:rsidRPr="0083723A">
        <w:t xml:space="preserve"> method. Confidence intervals constructed using log-log transformation</w:t>
      </w:r>
    </w:p>
    <w:p w:rsidR="00101153" w:rsidRDefault="008674B1" w:rsidP="00BE64AA">
      <w:pPr>
        <w:pStyle w:val="TableFigureFooter"/>
      </w:pPr>
      <w:r>
        <w:t>* Unadjusted for subsequent use of PARP inhibitors in the placebo group</w:t>
      </w:r>
    </w:p>
    <w:p w:rsidR="00526B7B" w:rsidRDefault="00526B7B" w:rsidP="00BE64AA">
      <w:pPr>
        <w:pStyle w:val="TableFigureFooter"/>
      </w:pPr>
    </w:p>
    <w:p w:rsidR="00526B7B" w:rsidRPr="004B3355" w:rsidRDefault="00526B7B" w:rsidP="00BE64AA">
      <w:pPr>
        <w:pStyle w:val="TableFigureFooter"/>
      </w:pPr>
    </w:p>
    <w:p w:rsidR="00E13718" w:rsidRDefault="00E13718" w:rsidP="00BE64AA">
      <w:pPr>
        <w:pStyle w:val="TableFigureHeading"/>
      </w:pPr>
      <w:r>
        <w:lastRenderedPageBreak/>
        <w:t xml:space="preserve">Figure </w:t>
      </w:r>
      <w:r w:rsidR="00681899">
        <w:rPr>
          <w:noProof/>
        </w:rPr>
        <w:t>1</w:t>
      </w:r>
      <w:r>
        <w:t xml:space="preserve">: </w:t>
      </w:r>
      <w:bookmarkStart w:id="16" w:name="_Hlk51231643"/>
      <w:r w:rsidRPr="00E238C3">
        <w:t xml:space="preserve">Kaplan-Meier plot for PFS </w:t>
      </w:r>
      <w:bookmarkEnd w:id="16"/>
      <w:r w:rsidRPr="00E238C3">
        <w:t>per BICR assessment – primary analyses (NOVA, ITT non-gBRCAm cohort, DCO: 30/5/16)</w:t>
      </w:r>
    </w:p>
    <w:p w:rsidR="00E13718" w:rsidRDefault="00E13718" w:rsidP="00BE64AA">
      <w:pPr>
        <w:pStyle w:val="TableText0"/>
        <w:jc w:val="center"/>
      </w:pPr>
      <w:r>
        <w:rPr>
          <w:noProof/>
        </w:rPr>
        <w:drawing>
          <wp:inline distT="0" distB="0" distL="0" distR="0" wp14:anchorId="417CEAC5" wp14:editId="70475A5C">
            <wp:extent cx="4247899" cy="2234339"/>
            <wp:effectExtent l="0" t="0" r="635" b="0"/>
            <wp:docPr id="3" name="Picture 3" title="Figure 1: Kaplan-Meier plot for PFS per BICR assessment – primary analyses (NOVA, ITT non-gBRCAm cohort, DCO: 3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47899" cy="2234339"/>
                    </a:xfrm>
                    <a:prstGeom prst="rect">
                      <a:avLst/>
                    </a:prstGeom>
                    <a:noFill/>
                  </pic:spPr>
                </pic:pic>
              </a:graphicData>
            </a:graphic>
          </wp:inline>
        </w:drawing>
      </w:r>
    </w:p>
    <w:p w:rsidR="00E13718" w:rsidRDefault="00E13718" w:rsidP="00BE64AA">
      <w:pPr>
        <w:pStyle w:val="TableFigureFooter"/>
      </w:pPr>
      <w:r>
        <w:t>Source: Figure 9 of the submission, p72</w:t>
      </w:r>
    </w:p>
    <w:p w:rsidR="00E13718" w:rsidRDefault="00E13718" w:rsidP="00BE64AA">
      <w:pPr>
        <w:pStyle w:val="TableFigureFooter"/>
      </w:pPr>
      <w:r>
        <w:t>BICR = blinded independent central review; ITT= intention to treat; PFS= progression free survival; DCO= data cut-off</w:t>
      </w:r>
    </w:p>
    <w:p w:rsidR="00E13718" w:rsidRDefault="00E13718" w:rsidP="00BE64AA"/>
    <w:p w:rsidR="00E13718" w:rsidRDefault="00E13718" w:rsidP="00BE64AA">
      <w:pPr>
        <w:pStyle w:val="TableFigureHeading"/>
      </w:pPr>
      <w:r>
        <w:t xml:space="preserve">Figure </w:t>
      </w:r>
      <w:r w:rsidR="00681899">
        <w:rPr>
          <w:noProof/>
        </w:rPr>
        <w:t>2</w:t>
      </w:r>
      <w:r>
        <w:t xml:space="preserve">: </w:t>
      </w:r>
      <w:r w:rsidRPr="00AB322A">
        <w:t>Kaplan-Meier plot for OS (NOVA, ITT non-gBRCAm cohort, DCO: 30/5/16)</w:t>
      </w:r>
    </w:p>
    <w:p w:rsidR="00E13718" w:rsidRDefault="00E13718" w:rsidP="00BE64AA">
      <w:pPr>
        <w:pStyle w:val="TableFigureFooter"/>
        <w:jc w:val="center"/>
      </w:pPr>
      <w:r>
        <w:rPr>
          <w:noProof/>
        </w:rPr>
        <w:drawing>
          <wp:inline distT="0" distB="0" distL="0" distR="0" wp14:anchorId="7C62709B" wp14:editId="6786EDCE">
            <wp:extent cx="4105462" cy="2155143"/>
            <wp:effectExtent l="0" t="0" r="0" b="0"/>
            <wp:docPr id="4" name="Picture 4" title="Figure 2: Kaplan-Meier plot for OS (NOVA, ITT non-gBRCAm cohort, DCO: 30/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19593" cy="2162561"/>
                    </a:xfrm>
                    <a:prstGeom prst="rect">
                      <a:avLst/>
                    </a:prstGeom>
                    <a:noFill/>
                  </pic:spPr>
                </pic:pic>
              </a:graphicData>
            </a:graphic>
          </wp:inline>
        </w:drawing>
      </w:r>
    </w:p>
    <w:p w:rsidR="00E13718" w:rsidRDefault="00E13718" w:rsidP="00BE64AA">
      <w:pPr>
        <w:pStyle w:val="TableFigureFooter"/>
      </w:pPr>
      <w:r>
        <w:t>Source: Figure 12 of the submission, p74</w:t>
      </w:r>
    </w:p>
    <w:p w:rsidR="00E13718" w:rsidRDefault="00E13718" w:rsidP="00BE64AA">
      <w:pPr>
        <w:pStyle w:val="TableFigureFooter"/>
      </w:pPr>
      <w:r>
        <w:t>ITT= intention to treat; OS= overall survival; DCO= data cut-off</w:t>
      </w:r>
    </w:p>
    <w:p w:rsidR="00E13718" w:rsidRPr="000B1719" w:rsidRDefault="00E13718" w:rsidP="00BE64AA">
      <w:pPr>
        <w:pStyle w:val="TableFigureFooter"/>
      </w:pPr>
    </w:p>
    <w:p w:rsidR="00E13718" w:rsidRPr="00121AE8" w:rsidRDefault="00E13718" w:rsidP="00BE64AA">
      <w:pPr>
        <w:pStyle w:val="3-BodyText"/>
        <w:ind w:left="709"/>
      </w:pPr>
      <w:r>
        <w:t>Regarding the secondary outcomes, there</w:t>
      </w:r>
      <w:r w:rsidRPr="00121AE8">
        <w:t xml:space="preserve"> was an improvement in </w:t>
      </w:r>
      <w:r>
        <w:t xml:space="preserve">time to first subsequent treatment (TFST: </w:t>
      </w:r>
      <w:r w:rsidRPr="00121AE8">
        <w:t>4.6 months</w:t>
      </w:r>
      <w:r>
        <w:t>, HR= 0.55 (0.41, 0.72)</w:t>
      </w:r>
      <w:r w:rsidRPr="00121AE8">
        <w:t>) and second PFS (3 months</w:t>
      </w:r>
      <w:r>
        <w:t>, HR = 0.69 (0.49, 0.96)</w:t>
      </w:r>
      <w:r w:rsidRPr="00121AE8">
        <w:t>) in the niraparib arm c</w:t>
      </w:r>
      <w:r>
        <w:t xml:space="preserve">ompared to the placebo arm. </w:t>
      </w:r>
    </w:p>
    <w:p w:rsidR="00E13718" w:rsidRDefault="00E13718" w:rsidP="00BE64AA">
      <w:pPr>
        <w:pStyle w:val="3-BodyText"/>
        <w:ind w:left="709"/>
      </w:pPr>
      <w:r w:rsidRPr="00F07D01">
        <w:t>Throughout the maintenance treatment period (cycles 2, 4 and 6) and at post-progression, no significant differences were observed in the</w:t>
      </w:r>
      <w:r>
        <w:t xml:space="preserve"> quality of life assessment using the </w:t>
      </w:r>
      <w:r w:rsidRPr="00522399">
        <w:t xml:space="preserve">Functional Assessment of Cancer Therapy-Ovarian Cancer (FACT-O) Symptom Index </w:t>
      </w:r>
      <w:r>
        <w:t>(FOSI) score</w:t>
      </w:r>
      <w:r w:rsidRPr="00F07D01">
        <w:t xml:space="preserve"> LS mean changes from baseline</w:t>
      </w:r>
      <w:r>
        <w:t xml:space="preserve"> as well as the EQ-5D-5L. </w:t>
      </w:r>
    </w:p>
    <w:p w:rsidR="00E13718" w:rsidRPr="00480C5C" w:rsidRDefault="00E13718" w:rsidP="00BE64AA">
      <w:pPr>
        <w:pStyle w:val="3-BodyText"/>
        <w:ind w:left="709"/>
        <w:rPr>
          <w:b/>
        </w:rPr>
      </w:pPr>
      <w:r w:rsidRPr="003C7112">
        <w:rPr>
          <w:b/>
        </w:rPr>
        <w:t>Regarding the BRCAm cohort</w:t>
      </w:r>
      <w:r>
        <w:rPr>
          <w:b/>
        </w:rPr>
        <w:t xml:space="preserve">, </w:t>
      </w:r>
      <w:r w:rsidRPr="003C7112">
        <w:t>the clinical efficacy of niraparib</w:t>
      </w:r>
      <w:r>
        <w:t xml:space="preserve"> was</w:t>
      </w:r>
      <w:r w:rsidRPr="003C7112">
        <w:t xml:space="preserve"> based on a one-step indirect comparison between niraparib (NOVA trial) and olaparib (SOLO-2 trial)</w:t>
      </w:r>
      <w:r>
        <w:t xml:space="preserve"> at the time of first DCO (May 2016 and September 2016, respectively)</w:t>
      </w:r>
      <w:r w:rsidRPr="003C7112">
        <w:t>.</w:t>
      </w:r>
      <w:r>
        <w:t xml:space="preserve"> </w:t>
      </w:r>
      <w:r w:rsidR="00F67C38">
        <w:t>In both trials t</w:t>
      </w:r>
      <w:r w:rsidRPr="00897B40">
        <w:t xml:space="preserve">here was a statistically significant PFS benefit in favour of </w:t>
      </w:r>
      <w:r w:rsidR="00F67C38">
        <w:t>the active arms</w:t>
      </w:r>
      <w:r w:rsidRPr="00897B40">
        <w:t xml:space="preserve"> (compared to </w:t>
      </w:r>
      <w:r>
        <w:lastRenderedPageBreak/>
        <w:t xml:space="preserve">their </w:t>
      </w:r>
      <w:r w:rsidRPr="00897B40">
        <w:t>placebo)</w:t>
      </w:r>
      <w:r>
        <w:t>, with a similar m</w:t>
      </w:r>
      <w:r w:rsidRPr="00897B40">
        <w:t>edian PFS in the placebo arm</w:t>
      </w:r>
      <w:r w:rsidR="00F67C38">
        <w:t>s</w:t>
      </w:r>
      <w:r w:rsidRPr="00897B40">
        <w:t xml:space="preserve"> in both the NOVA trial and SOLO-2 trial (5.5 months). </w:t>
      </w:r>
      <w:r w:rsidR="005206AD">
        <w:t>N</w:t>
      </w:r>
      <w:r w:rsidRPr="00897B40">
        <w:t xml:space="preserve">o statistically significant difference </w:t>
      </w:r>
      <w:r>
        <w:t xml:space="preserve">in PFS </w:t>
      </w:r>
      <w:r w:rsidRPr="00897B40">
        <w:t xml:space="preserve">was observed </w:t>
      </w:r>
      <w:r>
        <w:t xml:space="preserve">in the </w:t>
      </w:r>
      <w:r w:rsidRPr="00897B40">
        <w:t xml:space="preserve">indirect comparison between niraparib </w:t>
      </w:r>
      <w:r>
        <w:t>versus olaparib</w:t>
      </w:r>
      <w:r w:rsidR="00E12FF4">
        <w:t>, but non-inferiority was not established given the upper limit of the CI was 1.86</w:t>
      </w:r>
      <w:r>
        <w:t xml:space="preserve"> (</w:t>
      </w:r>
      <w:r w:rsidR="00681899">
        <w:t xml:space="preserve">Table </w:t>
      </w:r>
      <w:r w:rsidR="00681899">
        <w:rPr>
          <w:noProof/>
        </w:rPr>
        <w:t>5</w:t>
      </w:r>
      <w:r>
        <w:t>).</w:t>
      </w:r>
    </w:p>
    <w:p w:rsidR="009C58ED" w:rsidRPr="002B72D8" w:rsidRDefault="00A12407" w:rsidP="00BE64AA">
      <w:pPr>
        <w:pStyle w:val="3-BodyText"/>
        <w:ind w:left="709"/>
        <w:rPr>
          <w:b/>
        </w:rPr>
      </w:pPr>
      <w:r>
        <w:t>In both trials t</w:t>
      </w:r>
      <w:r w:rsidR="00E13718">
        <w:t>he median OS was not reached at the time of first DCO. Indirect comparison of the OS data at the first DCO in both trials revealed no statistically significant difference between niraparib and olaparib</w:t>
      </w:r>
      <w:r w:rsidR="00D038AA">
        <w:t>, but non-inferio</w:t>
      </w:r>
      <w:r w:rsidR="00E12FF4">
        <w:t>r</w:t>
      </w:r>
      <w:r w:rsidR="00D038AA">
        <w:t>i</w:t>
      </w:r>
      <w:r w:rsidR="00E12FF4">
        <w:t xml:space="preserve">ty was not established given the upper limit of the CI was 3.22 (Table 5) </w:t>
      </w:r>
      <w:r w:rsidR="00E13718">
        <w:t xml:space="preserve">. </w:t>
      </w:r>
    </w:p>
    <w:p w:rsidR="00AA5AC3" w:rsidRDefault="009C58ED" w:rsidP="00032C5B">
      <w:pPr>
        <w:pStyle w:val="3-BodyText"/>
        <w:ind w:left="709"/>
      </w:pPr>
      <w:r>
        <w:t>The pre-PBAC response noted that comparison of baseline characteristics of the trials indicated that the NOVA trial population was of worse prognosis compared to SOLO</w:t>
      </w:r>
      <w:r w:rsidR="00B54B84">
        <w:noBreakHyphen/>
      </w:r>
      <w:r>
        <w:t xml:space="preserve">2, </w:t>
      </w:r>
      <w:r w:rsidR="0047525B">
        <w:t>in terms of</w:t>
      </w:r>
      <w:r>
        <w:t xml:space="preserve"> </w:t>
      </w:r>
      <w:r w:rsidR="00DE5BBC">
        <w:t xml:space="preserve">poorer </w:t>
      </w:r>
      <w:r>
        <w:t xml:space="preserve">performance status and greater exposure to chemotherapy. </w:t>
      </w:r>
    </w:p>
    <w:p w:rsidR="00E13718" w:rsidRPr="00480C5C" w:rsidRDefault="00E13718" w:rsidP="00BE64AA">
      <w:pPr>
        <w:pStyle w:val="3-BodyText"/>
        <w:ind w:left="709"/>
        <w:rPr>
          <w:b/>
        </w:rPr>
      </w:pPr>
      <w:r>
        <w:t>The updated OS results of SOLO-2 (final DCO, February 2020, after a median of 65 months of follow-up) showed borderline significant O</w:t>
      </w:r>
      <w:r w:rsidRPr="00751513">
        <w:t xml:space="preserve">S benefit with the use of olaparib </w:t>
      </w:r>
      <w:r>
        <w:t>compared to</w:t>
      </w:r>
      <w:r w:rsidRPr="00751513">
        <w:t xml:space="preserve"> placebo (HR= 0.74</w:t>
      </w:r>
      <w:r w:rsidR="00097AB5">
        <w:t xml:space="preserve">, 95%CI: </w:t>
      </w:r>
      <w:r w:rsidRPr="00751513">
        <w:t xml:space="preserve">0.54, 1.00). After adjusting for the </w:t>
      </w:r>
      <w:r>
        <w:t>treatment switching from the placebo arm to a subsequent PARPi</w:t>
      </w:r>
      <w:r w:rsidRPr="00751513">
        <w:t xml:space="preserve"> (38%) using </w:t>
      </w:r>
      <w:r>
        <w:t xml:space="preserve">a </w:t>
      </w:r>
      <w:r w:rsidRPr="00751513">
        <w:t xml:space="preserve">Rank Preserving Structure Failure Time Model (RPSFT), there was </w:t>
      </w:r>
      <w:r>
        <w:t xml:space="preserve">a </w:t>
      </w:r>
      <w:r w:rsidRPr="00751513">
        <w:t>reduction in the median survival in the SOLO-2 placebo arm from 38.8 months to 35.4 months resulting in a</w:t>
      </w:r>
      <w:r>
        <w:t>n</w:t>
      </w:r>
      <w:r w:rsidRPr="00751513">
        <w:t xml:space="preserve"> </w:t>
      </w:r>
      <w:r>
        <w:t>OS hazard ratio</w:t>
      </w:r>
      <w:r w:rsidRPr="00751513">
        <w:t xml:space="preserve"> of 0.56 (95%CI: 0.35, 0.97)</w:t>
      </w:r>
      <w:r>
        <w:t>.</w:t>
      </w:r>
      <w:r w:rsidR="00FD1774">
        <w:t xml:space="preserve"> </w:t>
      </w:r>
      <w:r w:rsidR="00097AB5">
        <w:t>The PBAC noted that, i</w:t>
      </w:r>
      <w:r w:rsidR="00FD1774">
        <w:t>n contrast, the final DCO of NOVA did not demonstrate a statistically significant difference for the unadjusted OS HR (0.93</w:t>
      </w:r>
      <w:r w:rsidR="00097AB5">
        <w:t>,</w:t>
      </w:r>
      <w:r w:rsidR="00FD1774">
        <w:t xml:space="preserve"> </w:t>
      </w:r>
      <w:r w:rsidR="00097AB5">
        <w:t xml:space="preserve">95%CI: 0.633, 1.355) and after adjusting for subsequent treatment with PARPi </w:t>
      </w:r>
      <w:r w:rsidR="00A609D2">
        <w:t xml:space="preserve">(46%) </w:t>
      </w:r>
      <w:r w:rsidR="00097AB5">
        <w:t xml:space="preserve">the </w:t>
      </w:r>
      <w:r w:rsidR="00E12FF4">
        <w:t xml:space="preserve">estimate of the HR for </w:t>
      </w:r>
      <w:r w:rsidR="00097AB5">
        <w:t>OS was 0.66</w:t>
      </w:r>
      <w:r w:rsidR="008827D9">
        <w:t xml:space="preserve"> </w:t>
      </w:r>
      <w:r w:rsidR="00E12FF4">
        <w:t>(</w:t>
      </w:r>
      <w:r w:rsidR="00097AB5">
        <w:t>95%CI: 0.44, 0.99). The PBAC noted that the adjusted OS HR and the methodology applied (inverse probability of censoring weighted methodology)</w:t>
      </w:r>
      <w:r w:rsidR="00A609D2">
        <w:t xml:space="preserve"> had not been</w:t>
      </w:r>
      <w:r w:rsidR="00097AB5">
        <w:t xml:space="preserve"> independently </w:t>
      </w:r>
      <w:r w:rsidR="00DE5BBC">
        <w:t>evaluated</w:t>
      </w:r>
      <w:r w:rsidR="00097AB5">
        <w:t xml:space="preserve"> as it was provided with the pre-PBAC response.</w:t>
      </w:r>
    </w:p>
    <w:p w:rsidR="00E13718" w:rsidRPr="008F6150" w:rsidRDefault="00E13718" w:rsidP="00BE64AA">
      <w:pPr>
        <w:pStyle w:val="3-BodyText"/>
        <w:numPr>
          <w:ilvl w:val="0"/>
          <w:numId w:val="0"/>
        </w:numPr>
        <w:ind w:left="720"/>
        <w:rPr>
          <w:b/>
        </w:rPr>
      </w:pPr>
    </w:p>
    <w:p w:rsidR="006F718E" w:rsidRDefault="006F718E">
      <w:pPr>
        <w:spacing w:after="160" w:line="259" w:lineRule="auto"/>
        <w:jc w:val="left"/>
        <w:rPr>
          <w:rFonts w:ascii="Arial Narrow" w:eastAsiaTheme="majorEastAsia" w:hAnsi="Arial Narrow" w:cstheme="majorBidi"/>
          <w:b/>
          <w:bCs/>
          <w:sz w:val="20"/>
        </w:rPr>
      </w:pPr>
      <w:bookmarkStart w:id="17" w:name="_Ref57742456"/>
      <w:r>
        <w:br w:type="page"/>
      </w:r>
    </w:p>
    <w:p w:rsidR="00E13718" w:rsidRDefault="00E13718" w:rsidP="00BE64AA">
      <w:pPr>
        <w:pStyle w:val="TableFigureHeading"/>
      </w:pPr>
      <w:r>
        <w:lastRenderedPageBreak/>
        <w:t xml:space="preserve">Table </w:t>
      </w:r>
      <w:r w:rsidR="00681899">
        <w:rPr>
          <w:noProof/>
        </w:rPr>
        <w:t>5</w:t>
      </w:r>
      <w:bookmarkEnd w:id="17"/>
      <w:r>
        <w:t xml:space="preserve">: </w:t>
      </w:r>
      <w:r w:rsidRPr="002D7C45">
        <w:t>Results of PFS and OS in the NOVA and SOLO-2 trials with indirect comparison among patients with gBRCAm</w:t>
      </w:r>
    </w:p>
    <w:tbl>
      <w:tblPr>
        <w:tblStyle w:val="TableGrid"/>
        <w:tblW w:w="0" w:type="auto"/>
        <w:tblLook w:val="04A0" w:firstRow="1" w:lastRow="0" w:firstColumn="1" w:lastColumn="0" w:noHBand="0" w:noVBand="1"/>
        <w:tblCaption w:val="Table 5: Results of PFS and OS in the NOVA and SOLO-2 trials with indirect comparison among patients with gBRCAm"/>
      </w:tblPr>
      <w:tblGrid>
        <w:gridCol w:w="2689"/>
        <w:gridCol w:w="1701"/>
        <w:gridCol w:w="1559"/>
        <w:gridCol w:w="1134"/>
        <w:gridCol w:w="1934"/>
      </w:tblGrid>
      <w:tr w:rsidR="00E13718" w:rsidRPr="002D7C45" w:rsidTr="00C64862">
        <w:trPr>
          <w:tblHeader/>
        </w:trPr>
        <w:tc>
          <w:tcPr>
            <w:tcW w:w="2689" w:type="dxa"/>
            <w:vMerge w:val="restart"/>
            <w:vAlign w:val="center"/>
          </w:tcPr>
          <w:p w:rsidR="00E13718" w:rsidRPr="002D7C45" w:rsidRDefault="00E13718" w:rsidP="00BE64AA">
            <w:pPr>
              <w:pStyle w:val="In-tableHeading"/>
              <w:jc w:val="center"/>
            </w:pPr>
          </w:p>
        </w:tc>
        <w:tc>
          <w:tcPr>
            <w:tcW w:w="1701" w:type="dxa"/>
            <w:vAlign w:val="center"/>
          </w:tcPr>
          <w:p w:rsidR="00E13718" w:rsidRPr="002D7C45" w:rsidRDefault="00E13718" w:rsidP="00BE64AA">
            <w:pPr>
              <w:pStyle w:val="In-tableHeading"/>
              <w:jc w:val="center"/>
            </w:pPr>
            <w:r w:rsidRPr="002D7C45">
              <w:t>NOVA trial</w:t>
            </w:r>
          </w:p>
          <w:p w:rsidR="00E13718" w:rsidRPr="002D7C45" w:rsidRDefault="00E13718" w:rsidP="00BE64AA">
            <w:pPr>
              <w:pStyle w:val="In-tableHeading"/>
              <w:jc w:val="center"/>
            </w:pPr>
            <w:r w:rsidRPr="002D7C45">
              <w:t>(ITT, N= 203)</w:t>
            </w:r>
          </w:p>
        </w:tc>
        <w:tc>
          <w:tcPr>
            <w:tcW w:w="1559" w:type="dxa"/>
            <w:vAlign w:val="center"/>
          </w:tcPr>
          <w:p w:rsidR="00E13718" w:rsidRPr="002D7C45" w:rsidRDefault="00E13718" w:rsidP="00BE64AA">
            <w:pPr>
              <w:pStyle w:val="In-tableHeading"/>
              <w:jc w:val="center"/>
            </w:pPr>
            <w:r w:rsidRPr="002D7C45">
              <w:t>SOLO-2 trial</w:t>
            </w:r>
          </w:p>
          <w:p w:rsidR="00E13718" w:rsidRPr="002D7C45" w:rsidRDefault="00E13718" w:rsidP="00BE64AA">
            <w:pPr>
              <w:pStyle w:val="In-tableHeading"/>
              <w:jc w:val="center"/>
            </w:pPr>
            <w:r w:rsidRPr="002D7C45">
              <w:t>(ITT, N= 295</w:t>
            </w:r>
          </w:p>
        </w:tc>
        <w:tc>
          <w:tcPr>
            <w:tcW w:w="1134" w:type="dxa"/>
            <w:vMerge w:val="restart"/>
            <w:vAlign w:val="center"/>
          </w:tcPr>
          <w:p w:rsidR="00E13718" w:rsidRPr="002D7C45" w:rsidRDefault="00E13718" w:rsidP="00BE64AA">
            <w:pPr>
              <w:pStyle w:val="In-tableHeading"/>
              <w:jc w:val="center"/>
            </w:pPr>
            <w:r w:rsidRPr="002D7C45">
              <w:t>Absolute difference</w:t>
            </w:r>
          </w:p>
        </w:tc>
        <w:tc>
          <w:tcPr>
            <w:tcW w:w="1934" w:type="dxa"/>
            <w:vMerge w:val="restart"/>
            <w:vAlign w:val="center"/>
          </w:tcPr>
          <w:p w:rsidR="00E13718" w:rsidRPr="002D7C45" w:rsidRDefault="00E13718" w:rsidP="00BE64AA">
            <w:pPr>
              <w:pStyle w:val="In-tableHeading"/>
              <w:jc w:val="center"/>
              <w:rPr>
                <w:bCs/>
                <w:lang w:val="en-AU"/>
              </w:rPr>
            </w:pPr>
            <w:r w:rsidRPr="002D7C45">
              <w:rPr>
                <w:bCs/>
                <w:lang w:val="en-AU"/>
              </w:rPr>
              <w:t>ITC – NIRA vs OLA:</w:t>
            </w:r>
          </w:p>
          <w:p w:rsidR="00E13718" w:rsidRPr="002D7C45" w:rsidRDefault="00E13718" w:rsidP="00BE64AA">
            <w:pPr>
              <w:pStyle w:val="In-tableHeading"/>
              <w:jc w:val="center"/>
            </w:pPr>
            <w:r w:rsidRPr="002D7C45">
              <w:rPr>
                <w:lang w:val="en-AU"/>
              </w:rPr>
              <w:t>HR (95% CI)</w:t>
            </w:r>
          </w:p>
        </w:tc>
      </w:tr>
      <w:tr w:rsidR="00E13718" w:rsidRPr="002D7C45" w:rsidTr="00C64862">
        <w:trPr>
          <w:tblHeader/>
        </w:trPr>
        <w:tc>
          <w:tcPr>
            <w:tcW w:w="2689" w:type="dxa"/>
            <w:vMerge/>
            <w:vAlign w:val="center"/>
          </w:tcPr>
          <w:p w:rsidR="00E13718" w:rsidRPr="002D7C45" w:rsidRDefault="00E13718" w:rsidP="00BE64AA">
            <w:pPr>
              <w:pStyle w:val="In-tableHeading"/>
              <w:jc w:val="center"/>
            </w:pPr>
          </w:p>
        </w:tc>
        <w:tc>
          <w:tcPr>
            <w:tcW w:w="1701" w:type="dxa"/>
            <w:vAlign w:val="center"/>
          </w:tcPr>
          <w:p w:rsidR="00E13718" w:rsidRPr="002D7C45" w:rsidRDefault="00E13718" w:rsidP="00BE64AA">
            <w:pPr>
              <w:pStyle w:val="In-tableHeading"/>
              <w:jc w:val="center"/>
            </w:pPr>
            <w:r w:rsidRPr="002D7C45">
              <w:t>Niraparib</w:t>
            </w:r>
          </w:p>
          <w:p w:rsidR="00E13718" w:rsidRPr="002D7C45" w:rsidRDefault="00E13718" w:rsidP="00BE64AA">
            <w:pPr>
              <w:pStyle w:val="In-tableHeading"/>
              <w:jc w:val="center"/>
            </w:pPr>
            <w:r w:rsidRPr="002D7C45">
              <w:t>138/203 (68%)</w:t>
            </w:r>
          </w:p>
        </w:tc>
        <w:tc>
          <w:tcPr>
            <w:tcW w:w="1559" w:type="dxa"/>
            <w:vAlign w:val="center"/>
          </w:tcPr>
          <w:p w:rsidR="00E13718" w:rsidRPr="002D7C45" w:rsidRDefault="00E13718" w:rsidP="00BE64AA">
            <w:pPr>
              <w:pStyle w:val="In-tableHeading"/>
              <w:jc w:val="center"/>
            </w:pPr>
            <w:r w:rsidRPr="002D7C45">
              <w:t>Olaparib</w:t>
            </w:r>
          </w:p>
          <w:p w:rsidR="00E13718" w:rsidRPr="002D7C45" w:rsidRDefault="00E13718" w:rsidP="00BE64AA">
            <w:pPr>
              <w:pStyle w:val="In-tableHeading"/>
              <w:jc w:val="center"/>
            </w:pPr>
            <w:r w:rsidRPr="002D7C45">
              <w:t>196/295 (66.4%)</w:t>
            </w:r>
          </w:p>
        </w:tc>
        <w:tc>
          <w:tcPr>
            <w:tcW w:w="1134" w:type="dxa"/>
            <w:vMerge/>
            <w:vAlign w:val="center"/>
          </w:tcPr>
          <w:p w:rsidR="00E13718" w:rsidRPr="002D7C45" w:rsidRDefault="00E13718" w:rsidP="00BE64AA">
            <w:pPr>
              <w:pStyle w:val="In-tableHeading"/>
              <w:jc w:val="center"/>
            </w:pPr>
          </w:p>
        </w:tc>
        <w:tc>
          <w:tcPr>
            <w:tcW w:w="1934" w:type="dxa"/>
            <w:vMerge/>
            <w:vAlign w:val="center"/>
          </w:tcPr>
          <w:p w:rsidR="00E13718" w:rsidRPr="002D7C45" w:rsidRDefault="00E13718" w:rsidP="00BE64AA">
            <w:pPr>
              <w:pStyle w:val="In-tableHeading"/>
              <w:jc w:val="center"/>
            </w:pPr>
          </w:p>
        </w:tc>
      </w:tr>
      <w:tr w:rsidR="00E13718" w:rsidRPr="002D7C45" w:rsidTr="002B25A8">
        <w:tc>
          <w:tcPr>
            <w:tcW w:w="9017" w:type="dxa"/>
            <w:gridSpan w:val="5"/>
            <w:vAlign w:val="center"/>
          </w:tcPr>
          <w:p w:rsidR="00E13718" w:rsidRPr="0037736A" w:rsidRDefault="00E13718" w:rsidP="002B72D8">
            <w:pPr>
              <w:pStyle w:val="TableText0"/>
              <w:rPr>
                <w:b/>
              </w:rPr>
            </w:pPr>
            <w:r w:rsidRPr="0037736A">
              <w:rPr>
                <w:b/>
              </w:rPr>
              <w:t>Progression-free survival (according to BICR)</w:t>
            </w:r>
          </w:p>
        </w:tc>
      </w:tr>
      <w:tr w:rsidR="00E13718" w:rsidRPr="002D7C45" w:rsidTr="002B72D8">
        <w:tc>
          <w:tcPr>
            <w:tcW w:w="2689" w:type="dxa"/>
            <w:vAlign w:val="center"/>
          </w:tcPr>
          <w:p w:rsidR="00E13718" w:rsidRPr="002D7C45" w:rsidRDefault="00E13718" w:rsidP="002B72D8">
            <w:pPr>
              <w:pStyle w:val="TableText0"/>
            </w:pPr>
            <w:r>
              <w:t>DCO, median follow-up months</w:t>
            </w:r>
          </w:p>
        </w:tc>
        <w:tc>
          <w:tcPr>
            <w:tcW w:w="1701" w:type="dxa"/>
            <w:vAlign w:val="center"/>
          </w:tcPr>
          <w:p w:rsidR="00E13718" w:rsidRPr="002D7C45" w:rsidRDefault="00E13718" w:rsidP="00BE64AA">
            <w:pPr>
              <w:pStyle w:val="TableText0"/>
              <w:jc w:val="center"/>
            </w:pPr>
            <w:r>
              <w:t>30/5/16; 16.</w:t>
            </w:r>
            <w:r w:rsidRPr="00A130A2">
              <w:t>4</w:t>
            </w:r>
            <w:r>
              <w:t>*</w:t>
            </w:r>
          </w:p>
        </w:tc>
        <w:tc>
          <w:tcPr>
            <w:tcW w:w="1559" w:type="dxa"/>
            <w:vAlign w:val="center"/>
          </w:tcPr>
          <w:p w:rsidR="00E13718" w:rsidRPr="002D7C45" w:rsidRDefault="00E13718" w:rsidP="00BE64AA">
            <w:pPr>
              <w:pStyle w:val="TableText0"/>
              <w:jc w:val="center"/>
            </w:pPr>
            <w:r w:rsidRPr="00A130A2">
              <w:t>19/9/16; 22</w:t>
            </w:r>
          </w:p>
        </w:tc>
        <w:tc>
          <w:tcPr>
            <w:tcW w:w="1134" w:type="dxa"/>
            <w:vAlign w:val="center"/>
          </w:tcPr>
          <w:p w:rsidR="00E13718" w:rsidRDefault="00E13718" w:rsidP="00BE64AA">
            <w:pPr>
              <w:pStyle w:val="TableText0"/>
              <w:jc w:val="center"/>
            </w:pPr>
            <w:r>
              <w:t>-</w:t>
            </w:r>
          </w:p>
        </w:tc>
        <w:tc>
          <w:tcPr>
            <w:tcW w:w="1934" w:type="dxa"/>
            <w:vAlign w:val="center"/>
          </w:tcPr>
          <w:p w:rsidR="00E13718" w:rsidRDefault="00E13718" w:rsidP="00BE64AA">
            <w:pPr>
              <w:pStyle w:val="TableText0"/>
              <w:jc w:val="center"/>
            </w:pPr>
            <w:r>
              <w:t>-</w:t>
            </w:r>
          </w:p>
        </w:tc>
      </w:tr>
      <w:tr w:rsidR="00E13718" w:rsidRPr="002D7C45" w:rsidTr="002B72D8">
        <w:tc>
          <w:tcPr>
            <w:tcW w:w="2689" w:type="dxa"/>
            <w:vAlign w:val="center"/>
          </w:tcPr>
          <w:p w:rsidR="00E13718" w:rsidRPr="002D7C45" w:rsidRDefault="00E13718" w:rsidP="002B72D8">
            <w:pPr>
              <w:pStyle w:val="TableText0"/>
            </w:pPr>
            <w:r w:rsidRPr="002D7C45">
              <w:t>Patients with event</w:t>
            </w:r>
          </w:p>
        </w:tc>
        <w:tc>
          <w:tcPr>
            <w:tcW w:w="1701" w:type="dxa"/>
            <w:vAlign w:val="center"/>
          </w:tcPr>
          <w:p w:rsidR="00E13718" w:rsidRPr="002D7C45" w:rsidRDefault="00E13718" w:rsidP="00BE64AA">
            <w:pPr>
              <w:pStyle w:val="TableText0"/>
              <w:jc w:val="center"/>
            </w:pPr>
            <w:r w:rsidRPr="002D7C45">
              <w:t>59 (42.8%)</w:t>
            </w:r>
          </w:p>
        </w:tc>
        <w:tc>
          <w:tcPr>
            <w:tcW w:w="1559" w:type="dxa"/>
            <w:vAlign w:val="center"/>
          </w:tcPr>
          <w:p w:rsidR="00E13718" w:rsidRPr="002D7C45" w:rsidRDefault="00E13718" w:rsidP="00BE64AA">
            <w:pPr>
              <w:pStyle w:val="TableText0"/>
              <w:jc w:val="center"/>
            </w:pPr>
            <w:r w:rsidRPr="002D7C45">
              <w:t>81 (41.3%)</w:t>
            </w:r>
          </w:p>
        </w:tc>
        <w:tc>
          <w:tcPr>
            <w:tcW w:w="1134" w:type="dxa"/>
            <w:vAlign w:val="center"/>
          </w:tcPr>
          <w:p w:rsidR="00E13718" w:rsidRPr="002D7C45" w:rsidRDefault="00E13718" w:rsidP="00BE64AA">
            <w:pPr>
              <w:pStyle w:val="TableText0"/>
              <w:jc w:val="center"/>
            </w:pPr>
            <w:r>
              <w:t>1.5%</w:t>
            </w:r>
          </w:p>
        </w:tc>
        <w:tc>
          <w:tcPr>
            <w:tcW w:w="1934" w:type="dxa"/>
            <w:vAlign w:val="center"/>
          </w:tcPr>
          <w:p w:rsidR="00E13718" w:rsidRPr="002D7C45" w:rsidRDefault="00E13718" w:rsidP="00BE64AA">
            <w:pPr>
              <w:pStyle w:val="TableText0"/>
              <w:jc w:val="center"/>
            </w:pPr>
            <w:r>
              <w:t>-</w:t>
            </w:r>
          </w:p>
        </w:tc>
      </w:tr>
      <w:tr w:rsidR="00E13718" w:rsidRPr="002D7C45" w:rsidTr="002B72D8">
        <w:tc>
          <w:tcPr>
            <w:tcW w:w="2689" w:type="dxa"/>
            <w:vAlign w:val="center"/>
          </w:tcPr>
          <w:p w:rsidR="00E13718" w:rsidRPr="002D7C45" w:rsidRDefault="00E13718" w:rsidP="002B72D8">
            <w:pPr>
              <w:pStyle w:val="TableText0"/>
            </w:pPr>
            <w:r>
              <w:t xml:space="preserve">Median PFS months </w:t>
            </w:r>
            <w:r w:rsidRPr="002D7C45">
              <w:t>(95% CI)</w:t>
            </w:r>
          </w:p>
        </w:tc>
        <w:tc>
          <w:tcPr>
            <w:tcW w:w="1701" w:type="dxa"/>
            <w:vAlign w:val="center"/>
          </w:tcPr>
          <w:p w:rsidR="00E13718" w:rsidRPr="002D7C45" w:rsidRDefault="00E13718" w:rsidP="00BE64AA">
            <w:pPr>
              <w:pStyle w:val="TableText0"/>
              <w:jc w:val="center"/>
            </w:pPr>
            <w:r w:rsidRPr="002D7C45">
              <w:t>21.0 (12.9, NE)</w:t>
            </w:r>
          </w:p>
        </w:tc>
        <w:tc>
          <w:tcPr>
            <w:tcW w:w="1559" w:type="dxa"/>
            <w:vAlign w:val="center"/>
          </w:tcPr>
          <w:p w:rsidR="00E13718" w:rsidRPr="002D7C45" w:rsidRDefault="00E13718" w:rsidP="00BE64AA">
            <w:pPr>
              <w:pStyle w:val="TableText0"/>
              <w:jc w:val="center"/>
            </w:pPr>
            <w:r w:rsidRPr="002D7C45">
              <w:t>30.2 (19.8, NE)</w:t>
            </w:r>
          </w:p>
        </w:tc>
        <w:tc>
          <w:tcPr>
            <w:tcW w:w="1134" w:type="dxa"/>
            <w:vAlign w:val="center"/>
          </w:tcPr>
          <w:p w:rsidR="00E13718" w:rsidRPr="002D7C45" w:rsidRDefault="00E13718" w:rsidP="00BE64AA">
            <w:pPr>
              <w:pStyle w:val="TableText0"/>
              <w:jc w:val="center"/>
            </w:pPr>
            <w:r>
              <w:t>9.2 months</w:t>
            </w:r>
          </w:p>
        </w:tc>
        <w:tc>
          <w:tcPr>
            <w:tcW w:w="1934" w:type="dxa"/>
            <w:vAlign w:val="center"/>
          </w:tcPr>
          <w:p w:rsidR="00E13718" w:rsidRPr="002D7C45" w:rsidRDefault="00E13718" w:rsidP="00BE64AA">
            <w:pPr>
              <w:pStyle w:val="TableText0"/>
              <w:jc w:val="center"/>
            </w:pPr>
            <w:r>
              <w:t>-</w:t>
            </w:r>
          </w:p>
        </w:tc>
      </w:tr>
      <w:tr w:rsidR="00E13718" w:rsidRPr="002D7C45" w:rsidTr="002B72D8">
        <w:tc>
          <w:tcPr>
            <w:tcW w:w="2689" w:type="dxa"/>
            <w:vAlign w:val="center"/>
          </w:tcPr>
          <w:p w:rsidR="00E13718" w:rsidRPr="002D7C45" w:rsidRDefault="00E13718" w:rsidP="002B72D8">
            <w:pPr>
              <w:pStyle w:val="TableText0"/>
            </w:pPr>
            <w:r w:rsidRPr="002D7C45">
              <w:t>HR (95%CI) compared to placebo</w:t>
            </w:r>
          </w:p>
        </w:tc>
        <w:tc>
          <w:tcPr>
            <w:tcW w:w="1701" w:type="dxa"/>
            <w:vAlign w:val="center"/>
          </w:tcPr>
          <w:p w:rsidR="00E13718" w:rsidRPr="002D7C45" w:rsidRDefault="00E13718" w:rsidP="00BE64AA">
            <w:pPr>
              <w:pStyle w:val="TableText0"/>
              <w:jc w:val="center"/>
            </w:pPr>
            <w:r w:rsidRPr="00013125">
              <w:rPr>
                <w:b/>
              </w:rPr>
              <w:t>0.27 (0.173, 0.410)</w:t>
            </w:r>
          </w:p>
        </w:tc>
        <w:tc>
          <w:tcPr>
            <w:tcW w:w="1559" w:type="dxa"/>
            <w:vAlign w:val="center"/>
          </w:tcPr>
          <w:p w:rsidR="00E13718" w:rsidRPr="002D7C45" w:rsidRDefault="00E13718" w:rsidP="00BE64AA">
            <w:pPr>
              <w:pStyle w:val="TableText0"/>
              <w:jc w:val="center"/>
            </w:pPr>
            <w:r w:rsidRPr="00013125">
              <w:rPr>
                <w:b/>
              </w:rPr>
              <w:t>0.25 (0.18, 0.35)</w:t>
            </w:r>
          </w:p>
        </w:tc>
        <w:tc>
          <w:tcPr>
            <w:tcW w:w="1134" w:type="dxa"/>
            <w:vAlign w:val="center"/>
          </w:tcPr>
          <w:p w:rsidR="00E13718" w:rsidRPr="002D7C45" w:rsidRDefault="00E13718" w:rsidP="00BE64AA">
            <w:pPr>
              <w:pStyle w:val="TableText0"/>
              <w:jc w:val="center"/>
            </w:pPr>
            <w:r>
              <w:t>-</w:t>
            </w:r>
          </w:p>
        </w:tc>
        <w:tc>
          <w:tcPr>
            <w:tcW w:w="1934" w:type="dxa"/>
            <w:vAlign w:val="center"/>
          </w:tcPr>
          <w:p w:rsidR="00E13718" w:rsidRPr="002D7C45" w:rsidRDefault="00E13718" w:rsidP="00BE64AA">
            <w:pPr>
              <w:pStyle w:val="TableText0"/>
              <w:jc w:val="center"/>
            </w:pPr>
            <w:r w:rsidRPr="002D7C45">
              <w:t>1.080 (0.626, 1.862)</w:t>
            </w:r>
          </w:p>
        </w:tc>
      </w:tr>
      <w:tr w:rsidR="00E13718" w:rsidRPr="002D7C45" w:rsidTr="002B25A8">
        <w:tc>
          <w:tcPr>
            <w:tcW w:w="9017" w:type="dxa"/>
            <w:gridSpan w:val="5"/>
            <w:vAlign w:val="center"/>
          </w:tcPr>
          <w:p w:rsidR="00E13718" w:rsidRPr="002D7C45" w:rsidRDefault="00E13718" w:rsidP="002B72D8">
            <w:pPr>
              <w:pStyle w:val="TableText0"/>
              <w:rPr>
                <w:b/>
              </w:rPr>
            </w:pPr>
            <w:r w:rsidRPr="002D7C45">
              <w:rPr>
                <w:b/>
              </w:rPr>
              <w:t>Overall survival</w:t>
            </w:r>
          </w:p>
        </w:tc>
      </w:tr>
      <w:tr w:rsidR="00E13718" w:rsidRPr="002D7C45" w:rsidTr="002B72D8">
        <w:tc>
          <w:tcPr>
            <w:tcW w:w="2689" w:type="dxa"/>
            <w:vAlign w:val="center"/>
          </w:tcPr>
          <w:p w:rsidR="00E13718" w:rsidRPr="002D7C45" w:rsidRDefault="00E13718" w:rsidP="002B72D8">
            <w:pPr>
              <w:pStyle w:val="TableText0"/>
            </w:pPr>
            <w:r w:rsidRPr="002D7C45">
              <w:t>Patients with event</w:t>
            </w:r>
          </w:p>
        </w:tc>
        <w:tc>
          <w:tcPr>
            <w:tcW w:w="1701" w:type="dxa"/>
            <w:vAlign w:val="center"/>
          </w:tcPr>
          <w:p w:rsidR="00E13718" w:rsidRPr="002D7C45" w:rsidRDefault="00E13718" w:rsidP="00BE64AA">
            <w:pPr>
              <w:pStyle w:val="TableText0"/>
              <w:jc w:val="center"/>
            </w:pPr>
            <w:r w:rsidRPr="00A130A2">
              <w:t>16 (11.6</w:t>
            </w:r>
            <w:r>
              <w:t>%</w:t>
            </w:r>
            <w:r w:rsidRPr="00A130A2">
              <w:t>)</w:t>
            </w:r>
          </w:p>
        </w:tc>
        <w:tc>
          <w:tcPr>
            <w:tcW w:w="1559" w:type="dxa"/>
            <w:vAlign w:val="center"/>
          </w:tcPr>
          <w:p w:rsidR="00E13718" w:rsidRPr="002D7C45" w:rsidRDefault="00E13718" w:rsidP="00BE64AA">
            <w:pPr>
              <w:pStyle w:val="TableText0"/>
              <w:jc w:val="center"/>
            </w:pPr>
            <w:r w:rsidRPr="00A130A2">
              <w:t>45 (23.0</w:t>
            </w:r>
            <w:r>
              <w:t>%</w:t>
            </w:r>
            <w:r w:rsidRPr="00A130A2">
              <w:t>)</w:t>
            </w:r>
          </w:p>
        </w:tc>
        <w:tc>
          <w:tcPr>
            <w:tcW w:w="1134" w:type="dxa"/>
            <w:vAlign w:val="center"/>
          </w:tcPr>
          <w:p w:rsidR="00E13718" w:rsidRPr="002D7C45" w:rsidRDefault="00E13718" w:rsidP="00BE64AA">
            <w:pPr>
              <w:pStyle w:val="TableText0"/>
              <w:jc w:val="center"/>
            </w:pPr>
            <w:r>
              <w:t>11.4%</w:t>
            </w:r>
          </w:p>
        </w:tc>
        <w:tc>
          <w:tcPr>
            <w:tcW w:w="1934" w:type="dxa"/>
            <w:vAlign w:val="center"/>
          </w:tcPr>
          <w:p w:rsidR="00E13718" w:rsidRPr="002D7C45" w:rsidRDefault="00E13718" w:rsidP="00BE64AA">
            <w:pPr>
              <w:pStyle w:val="TableText0"/>
              <w:jc w:val="center"/>
            </w:pPr>
            <w:r>
              <w:t>-</w:t>
            </w:r>
          </w:p>
        </w:tc>
      </w:tr>
      <w:tr w:rsidR="00E13718" w:rsidRPr="002D7C45" w:rsidTr="002B72D8">
        <w:tc>
          <w:tcPr>
            <w:tcW w:w="2689" w:type="dxa"/>
            <w:vAlign w:val="center"/>
          </w:tcPr>
          <w:p w:rsidR="00E13718" w:rsidRPr="002D7C45" w:rsidRDefault="00E13718" w:rsidP="002B72D8">
            <w:pPr>
              <w:pStyle w:val="TableText0"/>
            </w:pPr>
            <w:r>
              <w:t xml:space="preserve">Median OS months </w:t>
            </w:r>
            <w:r w:rsidRPr="002D7C45">
              <w:t>(95% CI)</w:t>
            </w:r>
          </w:p>
        </w:tc>
        <w:tc>
          <w:tcPr>
            <w:tcW w:w="1701" w:type="dxa"/>
            <w:vAlign w:val="center"/>
          </w:tcPr>
          <w:p w:rsidR="00E13718" w:rsidRPr="002D7C45" w:rsidRDefault="00E13718" w:rsidP="00BE64AA">
            <w:pPr>
              <w:pStyle w:val="TableText0"/>
              <w:jc w:val="center"/>
            </w:pPr>
            <w:r w:rsidRPr="007E7129">
              <w:t>NR</w:t>
            </w:r>
          </w:p>
        </w:tc>
        <w:tc>
          <w:tcPr>
            <w:tcW w:w="1559" w:type="dxa"/>
            <w:vAlign w:val="center"/>
          </w:tcPr>
          <w:p w:rsidR="00E13718" w:rsidRPr="002D7C45" w:rsidRDefault="00E13718" w:rsidP="00BE64AA">
            <w:pPr>
              <w:pStyle w:val="TableText0"/>
              <w:jc w:val="center"/>
            </w:pPr>
            <w:r w:rsidRPr="007E7129">
              <w:t>NR</w:t>
            </w:r>
          </w:p>
        </w:tc>
        <w:tc>
          <w:tcPr>
            <w:tcW w:w="1134" w:type="dxa"/>
            <w:vAlign w:val="center"/>
          </w:tcPr>
          <w:p w:rsidR="00E13718" w:rsidRPr="002D7C45" w:rsidRDefault="00E13718" w:rsidP="00BE64AA">
            <w:pPr>
              <w:pStyle w:val="TableText0"/>
              <w:jc w:val="center"/>
            </w:pPr>
            <w:r>
              <w:t>NA</w:t>
            </w:r>
          </w:p>
        </w:tc>
        <w:tc>
          <w:tcPr>
            <w:tcW w:w="1934" w:type="dxa"/>
            <w:vAlign w:val="center"/>
          </w:tcPr>
          <w:p w:rsidR="00E13718" w:rsidRPr="002D7C45" w:rsidRDefault="00E13718" w:rsidP="00BE64AA">
            <w:pPr>
              <w:pStyle w:val="TableText0"/>
              <w:jc w:val="center"/>
            </w:pPr>
            <w:r>
              <w:t>-</w:t>
            </w:r>
          </w:p>
        </w:tc>
      </w:tr>
      <w:tr w:rsidR="00E13718" w:rsidRPr="002D7C45" w:rsidTr="002B72D8">
        <w:tc>
          <w:tcPr>
            <w:tcW w:w="2689" w:type="dxa"/>
            <w:vAlign w:val="center"/>
          </w:tcPr>
          <w:p w:rsidR="00E13718" w:rsidRPr="002D7C45" w:rsidRDefault="00E13718" w:rsidP="002B72D8">
            <w:pPr>
              <w:pStyle w:val="TableText0"/>
            </w:pPr>
            <w:r w:rsidRPr="002D7C45">
              <w:t>HR (95%CI) compared to placebo</w:t>
            </w:r>
          </w:p>
        </w:tc>
        <w:tc>
          <w:tcPr>
            <w:tcW w:w="1701" w:type="dxa"/>
            <w:vAlign w:val="center"/>
          </w:tcPr>
          <w:p w:rsidR="00E13718" w:rsidRPr="002D7C45" w:rsidRDefault="00E13718" w:rsidP="00BE64AA">
            <w:pPr>
              <w:pStyle w:val="TableText0"/>
              <w:jc w:val="center"/>
            </w:pPr>
            <w:r w:rsidRPr="007E7129">
              <w:t>0.91 (0.360, 2.282)</w:t>
            </w:r>
          </w:p>
        </w:tc>
        <w:tc>
          <w:tcPr>
            <w:tcW w:w="1559" w:type="dxa"/>
            <w:vAlign w:val="center"/>
          </w:tcPr>
          <w:p w:rsidR="00E13718" w:rsidRPr="002D7C45" w:rsidRDefault="00E13718" w:rsidP="00BE64AA">
            <w:pPr>
              <w:pStyle w:val="TableText0"/>
              <w:jc w:val="center"/>
            </w:pPr>
            <w:r>
              <w:rPr>
                <w:rFonts w:eastAsia="Times New Roman" w:cs="Calibri"/>
                <w:color w:val="000000"/>
                <w:szCs w:val="20"/>
              </w:rPr>
              <w:t>0.80 (0.50, 1.31)</w:t>
            </w:r>
          </w:p>
        </w:tc>
        <w:tc>
          <w:tcPr>
            <w:tcW w:w="1134" w:type="dxa"/>
            <w:vAlign w:val="center"/>
          </w:tcPr>
          <w:p w:rsidR="00E13718" w:rsidRPr="002D7C45" w:rsidRDefault="00E13718" w:rsidP="00BE64AA">
            <w:pPr>
              <w:pStyle w:val="TableText0"/>
              <w:jc w:val="center"/>
            </w:pPr>
            <w:r>
              <w:t>-</w:t>
            </w:r>
          </w:p>
        </w:tc>
        <w:tc>
          <w:tcPr>
            <w:tcW w:w="1934" w:type="dxa"/>
            <w:vAlign w:val="center"/>
          </w:tcPr>
          <w:p w:rsidR="00E13718" w:rsidRPr="00C524A0" w:rsidRDefault="00E13718" w:rsidP="00BE64AA">
            <w:pPr>
              <w:pStyle w:val="TableText0"/>
              <w:jc w:val="center"/>
            </w:pPr>
            <w:r w:rsidRPr="00862904">
              <w:rPr>
                <w:rFonts w:eastAsia="Times New Roman" w:cs="Calibri"/>
                <w:color w:val="000000"/>
                <w:szCs w:val="20"/>
              </w:rPr>
              <w:t>1.</w:t>
            </w:r>
            <w:r w:rsidR="000B1968">
              <w:rPr>
                <w:rFonts w:eastAsia="Times New Roman" w:cs="Calibri"/>
                <w:color w:val="000000"/>
                <w:szCs w:val="20"/>
              </w:rPr>
              <w:t>1</w:t>
            </w:r>
            <w:r w:rsidRPr="00862904">
              <w:rPr>
                <w:rFonts w:eastAsia="Times New Roman" w:cs="Calibri"/>
                <w:color w:val="000000"/>
                <w:szCs w:val="20"/>
              </w:rPr>
              <w:t>375 (0.401, 3.223)**</w:t>
            </w:r>
          </w:p>
        </w:tc>
      </w:tr>
      <w:tr w:rsidR="00380FF7" w:rsidRPr="002D7C45" w:rsidTr="002B72D8">
        <w:tc>
          <w:tcPr>
            <w:tcW w:w="2689" w:type="dxa"/>
            <w:vAlign w:val="center"/>
          </w:tcPr>
          <w:p w:rsidR="00380FF7" w:rsidRPr="002D7C45" w:rsidRDefault="00BF7D12" w:rsidP="002B72D8">
            <w:pPr>
              <w:pStyle w:val="TableText0"/>
            </w:pPr>
            <w:r w:rsidRPr="002D7C45">
              <w:t>HR (95%CI)</w:t>
            </w:r>
            <w:r>
              <w:t xml:space="preserve"> final DCO</w:t>
            </w:r>
          </w:p>
        </w:tc>
        <w:tc>
          <w:tcPr>
            <w:tcW w:w="1701" w:type="dxa"/>
            <w:vAlign w:val="center"/>
          </w:tcPr>
          <w:p w:rsidR="00380FF7" w:rsidRPr="007E7129" w:rsidRDefault="00BF7D12" w:rsidP="00BE64AA">
            <w:pPr>
              <w:pStyle w:val="TableText0"/>
              <w:jc w:val="center"/>
            </w:pPr>
            <w:r>
              <w:t>0.93 (0.633, 1.355)</w:t>
            </w:r>
          </w:p>
        </w:tc>
        <w:tc>
          <w:tcPr>
            <w:tcW w:w="1559" w:type="dxa"/>
            <w:vAlign w:val="center"/>
          </w:tcPr>
          <w:p w:rsidR="00380FF7" w:rsidRDefault="0010035A">
            <w:pPr>
              <w:pStyle w:val="TableText0"/>
              <w:jc w:val="center"/>
              <w:rPr>
                <w:rFonts w:eastAsia="Times New Roman" w:cs="Calibri"/>
                <w:color w:val="000000"/>
                <w:szCs w:val="20"/>
              </w:rPr>
            </w:pPr>
            <w:r>
              <w:t>0</w:t>
            </w:r>
            <w:r w:rsidRPr="00751513">
              <w:t>.74</w:t>
            </w:r>
            <w:r>
              <w:t xml:space="preserve"> (</w:t>
            </w:r>
            <w:r w:rsidRPr="00751513">
              <w:t>0.54, 1.00</w:t>
            </w:r>
            <w:r>
              <w:t>)</w:t>
            </w:r>
          </w:p>
        </w:tc>
        <w:tc>
          <w:tcPr>
            <w:tcW w:w="1134" w:type="dxa"/>
            <w:vAlign w:val="center"/>
          </w:tcPr>
          <w:p w:rsidR="00380FF7" w:rsidRDefault="00380FF7" w:rsidP="00BE64AA">
            <w:pPr>
              <w:pStyle w:val="TableText0"/>
              <w:jc w:val="center"/>
            </w:pPr>
          </w:p>
        </w:tc>
        <w:tc>
          <w:tcPr>
            <w:tcW w:w="1934" w:type="dxa"/>
            <w:vAlign w:val="center"/>
          </w:tcPr>
          <w:p w:rsidR="00380FF7" w:rsidRPr="00862904" w:rsidRDefault="00380FF7" w:rsidP="00BE64AA">
            <w:pPr>
              <w:pStyle w:val="TableText0"/>
              <w:jc w:val="center"/>
              <w:rPr>
                <w:rFonts w:eastAsia="Times New Roman" w:cs="Calibri"/>
                <w:color w:val="000000"/>
                <w:szCs w:val="20"/>
              </w:rPr>
            </w:pPr>
          </w:p>
        </w:tc>
      </w:tr>
    </w:tbl>
    <w:p w:rsidR="00E13718" w:rsidRPr="002D7C45" w:rsidRDefault="00E13718" w:rsidP="00BE64AA">
      <w:pPr>
        <w:pStyle w:val="TableFigureFooter"/>
      </w:pPr>
      <w:r w:rsidRPr="002D7C45">
        <w:t>Source: Table 48,</w:t>
      </w:r>
      <w:r>
        <w:t xml:space="preserve"> p</w:t>
      </w:r>
      <w:r w:rsidRPr="002D7C45">
        <w:t>77 and Table 49,</w:t>
      </w:r>
      <w:r>
        <w:t xml:space="preserve"> p</w:t>
      </w:r>
      <w:r w:rsidRPr="002D7C45">
        <w:t xml:space="preserve">79 of the submission </w:t>
      </w:r>
    </w:p>
    <w:p w:rsidR="00E13718" w:rsidRPr="002D7C45" w:rsidRDefault="00E13718" w:rsidP="00BE64AA">
      <w:pPr>
        <w:pStyle w:val="TableFigureFooter"/>
      </w:pPr>
      <w:r w:rsidRPr="002D7C45">
        <w:t>BICR = blinded independent central review; CI = confidence interval; DCO = data cut off; FAS = full analysis set; gBRCAm = germline BRCA</w:t>
      </w:r>
      <w:r w:rsidR="00A72D6D">
        <w:t>1/2</w:t>
      </w:r>
      <w:r w:rsidRPr="002D7C45">
        <w:t xml:space="preserve"> </w:t>
      </w:r>
      <w:r w:rsidR="005502B9">
        <w:t>pathogenic and likely pathogenic gene variants</w:t>
      </w:r>
      <w:r w:rsidRPr="002D7C45">
        <w:t>; HR = hazard ratio; ITT = intent to treat; ITC = indirect treatment comparison</w:t>
      </w:r>
      <w:r>
        <w:t xml:space="preserve">, NA= not </w:t>
      </w:r>
      <w:r w:rsidR="00AD1492">
        <w:t>applicable</w:t>
      </w:r>
      <w:r>
        <w:t>; NR= not reported; OS= overall survival; PFS= progression free survival</w:t>
      </w:r>
    </w:p>
    <w:p w:rsidR="00E13718" w:rsidRDefault="00E13718" w:rsidP="00BE64AA">
      <w:pPr>
        <w:pStyle w:val="TableFigureFooter"/>
      </w:pPr>
      <w:r>
        <w:t xml:space="preserve">*Overall median duration of follow up is 15.7 months if calculated as the </w:t>
      </w:r>
      <w:r w:rsidRPr="00B820EF">
        <w:t>date of randomi</w:t>
      </w:r>
      <w:r>
        <w:t>s</w:t>
      </w:r>
      <w:r w:rsidRPr="00B820EF">
        <w:t>ation to date of death, or last contact date for patients still alive</w:t>
      </w:r>
      <w:r>
        <w:t xml:space="preserve"> (NOVA CSR, p276, Table 14.1.1.2)</w:t>
      </w:r>
    </w:p>
    <w:p w:rsidR="00802A05" w:rsidRDefault="00E13718" w:rsidP="00BE64AA">
      <w:pPr>
        <w:pStyle w:val="TableFigureFooter"/>
        <w:rPr>
          <w:vertAlign w:val="superscript"/>
        </w:rPr>
      </w:pPr>
      <w:r w:rsidRPr="00603289">
        <w:t>**Calculated during the evaluation using the same statistical method (Bucher et al., 1979), on R software.</w:t>
      </w:r>
      <w:r w:rsidR="00802A05">
        <w:rPr>
          <w:vertAlign w:val="superscript"/>
        </w:rPr>
        <w:t>a</w:t>
      </w:r>
    </w:p>
    <w:p w:rsidR="00E13718" w:rsidRPr="00603289" w:rsidRDefault="00802A05" w:rsidP="00BE64AA">
      <w:pPr>
        <w:pStyle w:val="TableFigureFooter"/>
      </w:pPr>
      <w:r>
        <w:rPr>
          <w:vertAlign w:val="superscript"/>
        </w:rPr>
        <w:t xml:space="preserve">a </w:t>
      </w:r>
      <w:r>
        <w:t>Note that the results (denoted by **) are derived from post-hoc analyses conducted during the evaluation specifically for the purposes of informing the PBAC consideration. Interpretation of the results and their application should therefore be limited to seeking to understand the basis for the PBAC outcome and should not be used for any other purpose</w:t>
      </w:r>
    </w:p>
    <w:p w:rsidR="00E13718" w:rsidRDefault="00E13718" w:rsidP="00BE64AA">
      <w:pPr>
        <w:pStyle w:val="TableFigureFooter"/>
      </w:pPr>
    </w:p>
    <w:p w:rsidR="00E13718" w:rsidRDefault="00E13718" w:rsidP="00BE64AA">
      <w:pPr>
        <w:pStyle w:val="TableFigureHeading"/>
      </w:pPr>
      <w:r>
        <w:lastRenderedPageBreak/>
        <w:t xml:space="preserve">Figure </w:t>
      </w:r>
      <w:r w:rsidR="00681899">
        <w:rPr>
          <w:noProof/>
        </w:rPr>
        <w:t>3</w:t>
      </w:r>
      <w:r>
        <w:t>: PFS based on BCIR assessment in (A) NOVA trial and (B) SOLO-2 trial in gBRCAm patient population</w:t>
      </w:r>
    </w:p>
    <w:p w:rsidR="00E13718" w:rsidRDefault="00E13718" w:rsidP="00BE64AA">
      <w:pPr>
        <w:pStyle w:val="TableFigureFooter"/>
        <w:jc w:val="left"/>
      </w:pPr>
      <w:r>
        <w:rPr>
          <w:noProof/>
        </w:rPr>
        <w:drawing>
          <wp:inline distT="0" distB="0" distL="0" distR="0" wp14:anchorId="3E5DEFA6" wp14:editId="34BF77CA">
            <wp:extent cx="4448139" cy="5035812"/>
            <wp:effectExtent l="0" t="0" r="0" b="0"/>
            <wp:docPr id="5" name="Picture 5" title="Figure 3: PFS based on BCIR assessment in (A) NOVA trial and (B) SOLO-2 trial in gBRCAm patient popul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67399" cy="5057616"/>
                    </a:xfrm>
                    <a:prstGeom prst="rect">
                      <a:avLst/>
                    </a:prstGeom>
                    <a:noFill/>
                  </pic:spPr>
                </pic:pic>
              </a:graphicData>
            </a:graphic>
          </wp:inline>
        </w:drawing>
      </w:r>
    </w:p>
    <w:p w:rsidR="00E13718" w:rsidRDefault="00E13718" w:rsidP="00BE64AA">
      <w:pPr>
        <w:pStyle w:val="TableFigureFooter"/>
      </w:pPr>
      <w:r>
        <w:t>Source: Figure 14 and Figure 15 of the submission, p78</w:t>
      </w:r>
    </w:p>
    <w:p w:rsidR="00E13718" w:rsidRPr="00897B40" w:rsidRDefault="00E13718" w:rsidP="00BE64AA">
      <w:pPr>
        <w:pStyle w:val="TableFigureFooter"/>
      </w:pPr>
      <w:r w:rsidRPr="002D7C45">
        <w:t>BICR = blinded independent</w:t>
      </w:r>
      <w:r>
        <w:t xml:space="preserve"> central review</w:t>
      </w:r>
      <w:r w:rsidRPr="002D7C45">
        <w:t>; gBRCAm = germline BRCA</w:t>
      </w:r>
      <w:r w:rsidR="00A72D6D">
        <w:t>1/2</w:t>
      </w:r>
      <w:r w:rsidRPr="002D7C45">
        <w:t xml:space="preserve"> </w:t>
      </w:r>
      <w:r w:rsidR="005502B9">
        <w:t>pathogenic and likely pathogenic gene variants</w:t>
      </w:r>
      <w:r>
        <w:t>, PFS= progression free survival</w:t>
      </w:r>
    </w:p>
    <w:p w:rsidR="00E13718" w:rsidRPr="00480C5C" w:rsidRDefault="00E13718" w:rsidP="00BE64AA">
      <w:pPr>
        <w:pStyle w:val="3-BodyText"/>
        <w:ind w:left="709"/>
      </w:pPr>
      <w:r w:rsidRPr="00D11CE3">
        <w:t xml:space="preserve">Regarding the secondary </w:t>
      </w:r>
      <w:r>
        <w:t xml:space="preserve">outcomes: an improvement in TFST, PFS2 and time to second subsequent treatment (TSST) was observed in both the NOVA and SOLO-2 trials. Overall the magnitude of benefit from niraparib and olaparib was similar. No statistically significant difference was observed from the indirect comparison for the secondary outcomes. </w:t>
      </w:r>
    </w:p>
    <w:p w:rsidR="00E13718" w:rsidRPr="00ED0DBA" w:rsidRDefault="00E13718" w:rsidP="00BE64AA">
      <w:pPr>
        <w:pStyle w:val="3-BodyText"/>
        <w:ind w:left="709"/>
        <w:rPr>
          <w:i/>
        </w:rPr>
      </w:pPr>
      <w:r w:rsidRPr="00480C5C">
        <w:t>Regarding the quality of life assessment, no</w:t>
      </w:r>
      <w:r>
        <w:t xml:space="preserve"> significant difference was observed in mean changes from baseline in FOSI score (NOVA trial) or </w:t>
      </w:r>
      <w:r w:rsidRPr="00522399">
        <w:t xml:space="preserve">Trial Outcome Index </w:t>
      </w:r>
      <w:r>
        <w:t xml:space="preserve">(TOI) score (SOLO-2 trial) for niraparib and olaparib versus placebo, respectively. </w:t>
      </w:r>
      <w:r w:rsidRPr="00603289">
        <w:t>Of note, in the NOVA trial, patients had a relatively high baseline score for quality of life assessment, and thus the effect of niraparib on patients with low baseline quality of life score (or performance status) remains unknown.</w:t>
      </w:r>
      <w:r>
        <w:rPr>
          <w:i/>
        </w:rPr>
        <w:t xml:space="preserve"> </w:t>
      </w:r>
    </w:p>
    <w:p w:rsidR="007B7A21" w:rsidRDefault="00E13718" w:rsidP="00BE64AA">
      <w:pPr>
        <w:pStyle w:val="3-BodyText"/>
        <w:ind w:left="709"/>
      </w:pPr>
      <w:r w:rsidRPr="00603289">
        <w:lastRenderedPageBreak/>
        <w:t>The submission claimed that the indirect comparison between niraparib and olaparib had confirmed non-inferiority in terms of PFS. This claim was based on a suggested non-inferiority margin (HR= 1.125 (95%CI: 0.58, 2.18)) driven from the indirect comparison of the effect of different PARPi on PFS among patients with gBRCAm versus sBRCAm</w:t>
      </w:r>
      <w:r w:rsidR="00A53091">
        <w:t xml:space="preserve"> (para 6.12 </w:t>
      </w:r>
      <w:r w:rsidR="0054311F">
        <w:t>o</w:t>
      </w:r>
      <w:r w:rsidR="00A53091">
        <w:t>laparib</w:t>
      </w:r>
      <w:r w:rsidR="0054311F">
        <w:t xml:space="preserve"> </w:t>
      </w:r>
      <w:r w:rsidR="00CD604D" w:rsidRPr="00E62035">
        <w:rPr>
          <w:iCs/>
        </w:rPr>
        <w:t xml:space="preserve">Public Summary Document </w:t>
      </w:r>
      <w:r w:rsidR="00CD604D">
        <w:rPr>
          <w:iCs/>
        </w:rPr>
        <w:t>(</w:t>
      </w:r>
      <w:r w:rsidR="0054311F">
        <w:t>PSD</w:t>
      </w:r>
      <w:r w:rsidR="00CD604D">
        <w:t>)</w:t>
      </w:r>
      <w:r w:rsidR="0054311F">
        <w:t>,</w:t>
      </w:r>
      <w:r w:rsidR="00A53091">
        <w:t xml:space="preserve"> March 2020</w:t>
      </w:r>
      <w:r w:rsidR="0054311F">
        <w:t xml:space="preserve"> PBAC meeting</w:t>
      </w:r>
      <w:r w:rsidR="00A53091">
        <w:t>)</w:t>
      </w:r>
      <w:r w:rsidRPr="00603289">
        <w:t xml:space="preserve">. However, the </w:t>
      </w:r>
      <w:r w:rsidR="00663A2F">
        <w:t>PBAC considered that the</w:t>
      </w:r>
      <w:r w:rsidR="003C2322">
        <w:t xml:space="preserve"> basis of the proposed non-inferiority margin was problematic and the value proposed </w:t>
      </w:r>
      <w:r w:rsidR="00DF65C0">
        <w:t xml:space="preserve">(1.72) </w:t>
      </w:r>
      <w:r w:rsidR="003C2322">
        <w:t xml:space="preserve">appeared to be </w:t>
      </w:r>
      <w:r w:rsidR="00DF65C0">
        <w:t xml:space="preserve">unreasonably </w:t>
      </w:r>
      <w:r w:rsidR="003C2322">
        <w:t xml:space="preserve">high. </w:t>
      </w:r>
      <w:r w:rsidR="00663A2F">
        <w:t xml:space="preserve"> </w:t>
      </w:r>
    </w:p>
    <w:p w:rsidR="007B7A21" w:rsidRDefault="007B7A21" w:rsidP="00BE64AA">
      <w:pPr>
        <w:pStyle w:val="3-BodyText"/>
        <w:ind w:left="709"/>
      </w:pPr>
      <w:r w:rsidRPr="006302D7">
        <w:t>The ESC also noted the 9</w:t>
      </w:r>
      <w:r w:rsidR="00734380" w:rsidRPr="006302D7">
        <w:t>.2</w:t>
      </w:r>
      <w:r w:rsidRPr="006302D7">
        <w:t xml:space="preserve"> month absolute difference in median PFS between the olaparib arm of the SOLO-1 trial and the niraparib arm of the NOVA trial</w:t>
      </w:r>
      <w:r w:rsidR="00734380" w:rsidRPr="006302D7">
        <w:t>, while median PFS in the placebo groups was similar</w:t>
      </w:r>
      <w:r w:rsidR="00932D47" w:rsidRPr="006302D7">
        <w:t xml:space="preserve"> (5.5 months in both trials)</w:t>
      </w:r>
      <w:r w:rsidRPr="006302D7">
        <w:t xml:space="preserve">. Noting that this was a naïve comparison, the ESC considered that this was suggestive of a </w:t>
      </w:r>
      <w:r w:rsidR="006553AD" w:rsidRPr="006302D7">
        <w:t xml:space="preserve">possible </w:t>
      </w:r>
      <w:r w:rsidRPr="006302D7">
        <w:t>difference in PFS between treatments in favour of olaparib, and cast further doubt on the claim of non-inferiority for niraparib.</w:t>
      </w:r>
      <w:r w:rsidR="00BA41A9">
        <w:t xml:space="preserve"> The pre-PBAC response argued that the HR was the appropriate basis for consideration of non-inferiority, </w:t>
      </w:r>
      <w:r w:rsidR="00CF2FD7">
        <w:t xml:space="preserve">that </w:t>
      </w:r>
      <w:r w:rsidR="00BA41A9">
        <w:t>PFS at a given timepoint may be affected by the schedule of assessments for PFS</w:t>
      </w:r>
      <w:r w:rsidR="00CF2FD7">
        <w:t xml:space="preserve"> and that the point estimates of PFS lacked robustness, with few patients in either trial at risk at the time of median PFS. </w:t>
      </w:r>
    </w:p>
    <w:p w:rsidR="00E35350" w:rsidRPr="00603289" w:rsidRDefault="00FD45A6" w:rsidP="00BE64AA">
      <w:pPr>
        <w:pStyle w:val="3-BodyText"/>
        <w:ind w:left="709"/>
      </w:pPr>
      <w:bookmarkStart w:id="18" w:name="_Ref64619472"/>
      <w:r w:rsidRPr="00603289">
        <w:t>Exploratory s</w:t>
      </w:r>
      <w:r w:rsidR="00F060AD" w:rsidRPr="00603289">
        <w:t xml:space="preserve">ubgroup analyses for the HRD positive, HRD negative and sBRCAm subgroups </w:t>
      </w:r>
      <w:r w:rsidR="00FE72B6">
        <w:t>wer</w:t>
      </w:r>
      <w:r w:rsidR="00F060AD" w:rsidRPr="00603289">
        <w:t xml:space="preserve">e presented in </w:t>
      </w:r>
      <w:r w:rsidR="00FE72B6">
        <w:t>the submission</w:t>
      </w:r>
      <w:r w:rsidR="00E35350" w:rsidRPr="00603289">
        <w:t xml:space="preserve">. </w:t>
      </w:r>
      <w:r w:rsidR="00FE72B6">
        <w:t xml:space="preserve">The </w:t>
      </w:r>
      <w:r w:rsidR="00E35350" w:rsidRPr="00603289">
        <w:t>HR for PFS for subgroups (with nominal 95% CIs, not adjusted for multiplicity) were:</w:t>
      </w:r>
      <w:bookmarkEnd w:id="18"/>
    </w:p>
    <w:p w:rsidR="00E35350" w:rsidRPr="00603289" w:rsidRDefault="00E35350" w:rsidP="00A84F44">
      <w:pPr>
        <w:pStyle w:val="3-BodyText"/>
        <w:numPr>
          <w:ilvl w:val="1"/>
          <w:numId w:val="10"/>
        </w:numPr>
      </w:pPr>
      <w:r w:rsidRPr="00603289">
        <w:t>gBRCAm: 0.27 (0.17, 0.41)</w:t>
      </w:r>
    </w:p>
    <w:p w:rsidR="00E35350" w:rsidRPr="00603289" w:rsidRDefault="00E35350" w:rsidP="00A84F44">
      <w:pPr>
        <w:pStyle w:val="3-BodyText"/>
        <w:numPr>
          <w:ilvl w:val="1"/>
          <w:numId w:val="10"/>
        </w:numPr>
      </w:pPr>
      <w:r w:rsidRPr="00603289">
        <w:t>sBRCAm: 0.27 (0.08, 0.90)</w:t>
      </w:r>
    </w:p>
    <w:p w:rsidR="00E35350" w:rsidRPr="00603289" w:rsidRDefault="00E35350" w:rsidP="00A84F44">
      <w:pPr>
        <w:pStyle w:val="3-BodyText"/>
        <w:numPr>
          <w:ilvl w:val="1"/>
          <w:numId w:val="10"/>
        </w:numPr>
      </w:pPr>
      <w:r w:rsidRPr="00603289">
        <w:t>HRD-pos, BRCAwt: 0.38 (0.23, 0.63)</w:t>
      </w:r>
    </w:p>
    <w:p w:rsidR="00F060AD" w:rsidRDefault="00E35350" w:rsidP="00A84F44">
      <w:pPr>
        <w:pStyle w:val="3-BodyText"/>
        <w:numPr>
          <w:ilvl w:val="1"/>
          <w:numId w:val="10"/>
        </w:numPr>
      </w:pPr>
      <w:r w:rsidRPr="00603289">
        <w:t>HRD-neg: 0.58 (0.36, 0.92)</w:t>
      </w:r>
    </w:p>
    <w:p w:rsidR="00F30CA5" w:rsidRPr="006302D7" w:rsidRDefault="00F30CA5" w:rsidP="00BE64AA">
      <w:pPr>
        <w:pStyle w:val="3-BodyText"/>
        <w:ind w:left="709"/>
      </w:pPr>
      <w:bookmarkStart w:id="19" w:name="_Ref64619474"/>
      <w:r w:rsidRPr="006302D7">
        <w:t>The clinical claim for the non-BRCAm group was based on patients in the NOVA trial without gBRCAm, which included patients (~13%) who had a somatic BRCA1/2 pathogenic or likely pathogenic variant (sBRCAm). As patients with germline or somatic BRCAm had a better response to treatment than patients in the non-gBRCAm cohort, inclusion of sBRCAm patients in this group is likely to overestimate the clinical benefit for the true non-BRCAm group.</w:t>
      </w:r>
      <w:r w:rsidR="008E7D00" w:rsidRPr="006302D7">
        <w:t xml:space="preserve"> In the PSCR t</w:t>
      </w:r>
      <w:r w:rsidR="008E7D00" w:rsidRPr="006302D7">
        <w:rPr>
          <w:color w:val="000000"/>
          <w:lang w:val="en-GB"/>
        </w:rPr>
        <w:t xml:space="preserve">he Sponsor maintained that the PFS results for the non-gBRCAm cohort in NOVA are applicable to the non-BRCAm population and </w:t>
      </w:r>
      <w:r w:rsidR="00FE72B6" w:rsidRPr="006302D7">
        <w:rPr>
          <w:color w:val="000000"/>
          <w:lang w:val="en-GB"/>
        </w:rPr>
        <w:t xml:space="preserve">argued that with limited representation (13%) in the non-gBRCAm cohort, patients with sBRCAm would be unlikely to influence the results substantively in favour of niraparib. </w:t>
      </w:r>
      <w:r w:rsidR="00D221EA" w:rsidRPr="006302D7">
        <w:t xml:space="preserve">The PSCR stated that </w:t>
      </w:r>
      <w:r w:rsidR="007311FE" w:rsidRPr="006302D7">
        <w:t>results</w:t>
      </w:r>
      <w:r w:rsidR="00D221EA" w:rsidRPr="006302D7">
        <w:rPr>
          <w:color w:val="000000"/>
          <w:lang w:val="en-GB"/>
        </w:rPr>
        <w:t xml:space="preserve"> for PFS in the HRD positive subgroup of the non-gBRCAm cohort indicated no difference to the HR when including or excluding sBRCAm patients (HR = 0.38 with or without sBRCAm patients). However the ESC noted that their inclusion may still influence the HR for the overall non-BRCAm population, and though the magnitude of impact may be small, the HR for the true non-BRCA population remains unknown.</w:t>
      </w:r>
      <w:bookmarkEnd w:id="19"/>
    </w:p>
    <w:p w:rsidR="00E4485C" w:rsidRPr="006302D7" w:rsidRDefault="00E4485C" w:rsidP="00BE64AA">
      <w:pPr>
        <w:pStyle w:val="3-BodyText"/>
        <w:ind w:left="709"/>
      </w:pPr>
      <w:r w:rsidRPr="006302D7">
        <w:lastRenderedPageBreak/>
        <w:t>The submission noted that the evidence for the dosing regimen proposed in the submission was based on:</w:t>
      </w:r>
    </w:p>
    <w:p w:rsidR="00332DAF" w:rsidRPr="006302D7" w:rsidRDefault="00332DAF" w:rsidP="00BE64AA">
      <w:pPr>
        <w:pStyle w:val="ListParagraph"/>
      </w:pPr>
      <w:r w:rsidRPr="006302D7">
        <w:t>Post hoc analysis from the NOVA trial which showed that patients with body weight &lt;77kg or baseline platelet count &lt;150,000/µl had higher risk to develop grade 3 or 4 thrombocytopenia compared to patients with body weight &gt;77kg or baseline platelet count &gt;150,000/µl (97/280 (35%) versus 10/85 (12%) respectively) and were more likely to require early dose modification, with only 17% of patients remaining on 300 mg by Month 4; and</w:t>
      </w:r>
    </w:p>
    <w:p w:rsidR="00332DAF" w:rsidRPr="006302D7" w:rsidRDefault="00332DAF" w:rsidP="00BE64AA">
      <w:pPr>
        <w:pStyle w:val="ListParagraph"/>
      </w:pPr>
      <w:r w:rsidRPr="006302D7">
        <w:t xml:space="preserve">A phase III, multicentre, randomised trial of niraparib versus placebo in the first-line HGSOC setting (PRIMA trial), which included a protocol amendment adopting individualised dosing based on the previously mentioned post-hoc analysis. </w:t>
      </w:r>
    </w:p>
    <w:p w:rsidR="00A05785" w:rsidRPr="006302D7" w:rsidRDefault="00A26F82" w:rsidP="00BE64AA">
      <w:pPr>
        <w:pStyle w:val="3-BodyText"/>
        <w:ind w:left="709"/>
      </w:pPr>
      <w:r w:rsidRPr="006302D7">
        <w:t xml:space="preserve">In support of the efficacy of the ISD </w:t>
      </w:r>
      <w:r w:rsidR="00E4485C" w:rsidRPr="006302D7">
        <w:t xml:space="preserve">for </w:t>
      </w:r>
      <w:r w:rsidRPr="006302D7">
        <w:t>niraparib used in the economic and financial models, t</w:t>
      </w:r>
      <w:r w:rsidR="00A05785" w:rsidRPr="006302D7">
        <w:t xml:space="preserve">he PSCR </w:t>
      </w:r>
      <w:r w:rsidRPr="006302D7">
        <w:t>stated</w:t>
      </w:r>
      <w:r w:rsidR="00A05785" w:rsidRPr="006302D7">
        <w:t xml:space="preserve"> that results </w:t>
      </w:r>
      <w:r w:rsidR="00D123D2" w:rsidRPr="006302D7">
        <w:t xml:space="preserve">in the NORA trial </w:t>
      </w:r>
      <w:r w:rsidR="00A05785" w:rsidRPr="006302D7">
        <w:t>were comparable to those observed in the NOVA trial (BICR PFS HR=0.22 (95% CI: 0.12, 0.39) for gBRCAm patients and HR=0.40 (95% CI: 0.26, 0.61) for non-gBRCAm).</w:t>
      </w:r>
      <w:r w:rsidR="00BB49FA" w:rsidRPr="006302D7">
        <w:t xml:space="preserve"> </w:t>
      </w:r>
    </w:p>
    <w:p w:rsidR="00E13718" w:rsidRPr="00C9624D" w:rsidRDefault="00E13718" w:rsidP="00BE64AA">
      <w:pPr>
        <w:pStyle w:val="4-SubsectionHeading"/>
      </w:pPr>
      <w:bookmarkStart w:id="20" w:name="_Toc22897642"/>
      <w:bookmarkStart w:id="21" w:name="_Toc61962143"/>
      <w:r w:rsidRPr="00C9624D">
        <w:t>Comparative harms</w:t>
      </w:r>
      <w:bookmarkEnd w:id="20"/>
      <w:bookmarkEnd w:id="21"/>
    </w:p>
    <w:p w:rsidR="00E13718" w:rsidRDefault="00E13718" w:rsidP="00BE64AA">
      <w:pPr>
        <w:pStyle w:val="3-BodyText"/>
        <w:ind w:left="709"/>
      </w:pPr>
      <w:r>
        <w:t xml:space="preserve">A summary of the adverse events in each of the NOVA and SOLO-2 trials is presented in the below table. </w:t>
      </w:r>
    </w:p>
    <w:p w:rsidR="00E13718" w:rsidRDefault="00E13718" w:rsidP="00BE64AA">
      <w:pPr>
        <w:pStyle w:val="TableFigureHeading"/>
        <w:keepLines/>
      </w:pPr>
      <w:r>
        <w:lastRenderedPageBreak/>
        <w:t xml:space="preserve">Table </w:t>
      </w:r>
      <w:r w:rsidR="00681899">
        <w:rPr>
          <w:noProof/>
        </w:rPr>
        <w:t>6</w:t>
      </w:r>
      <w:r>
        <w:t>: Summary and comparisons of adverse events in NOVA and SOLO-2 trials</w:t>
      </w:r>
    </w:p>
    <w:tbl>
      <w:tblPr>
        <w:tblStyle w:val="TableGrid"/>
        <w:tblW w:w="5000" w:type="pct"/>
        <w:tblLook w:val="04A0" w:firstRow="1" w:lastRow="0" w:firstColumn="1" w:lastColumn="0" w:noHBand="0" w:noVBand="1"/>
        <w:tblCaption w:val="Table 6: Summary and comparisons of adverse events in NOVA and SOLO-2 trials"/>
      </w:tblPr>
      <w:tblGrid>
        <w:gridCol w:w="2972"/>
        <w:gridCol w:w="992"/>
        <w:gridCol w:w="994"/>
        <w:gridCol w:w="1071"/>
        <w:gridCol w:w="1042"/>
        <w:gridCol w:w="970"/>
        <w:gridCol w:w="65"/>
        <w:gridCol w:w="911"/>
      </w:tblGrid>
      <w:tr w:rsidR="00E13718" w:rsidRPr="00A0281F" w:rsidTr="002B25A8">
        <w:trPr>
          <w:tblHeader/>
        </w:trPr>
        <w:tc>
          <w:tcPr>
            <w:tcW w:w="1648" w:type="pct"/>
            <w:vMerge w:val="restart"/>
            <w:shd w:val="clear" w:color="auto" w:fill="auto"/>
            <w:vAlign w:val="center"/>
          </w:tcPr>
          <w:p w:rsidR="00E13718" w:rsidRPr="00A0281F" w:rsidRDefault="00E13718" w:rsidP="00BE64AA">
            <w:pPr>
              <w:pStyle w:val="In-tableHeading"/>
              <w:keepLines/>
            </w:pPr>
          </w:p>
        </w:tc>
        <w:tc>
          <w:tcPr>
            <w:tcW w:w="2273" w:type="pct"/>
            <w:gridSpan w:val="4"/>
            <w:shd w:val="clear" w:color="auto" w:fill="auto"/>
            <w:vAlign w:val="center"/>
          </w:tcPr>
          <w:p w:rsidR="00E13718" w:rsidRPr="00A0281F" w:rsidRDefault="00E13718" w:rsidP="00BE64AA">
            <w:pPr>
              <w:pStyle w:val="In-tableHeading"/>
              <w:keepLines/>
              <w:jc w:val="center"/>
            </w:pPr>
            <w:r w:rsidRPr="00A0281F">
              <w:t xml:space="preserve">NOVA (SAF) </w:t>
            </w:r>
          </w:p>
          <w:p w:rsidR="00E13718" w:rsidRPr="00A0281F" w:rsidRDefault="00E13718" w:rsidP="00BE64AA">
            <w:pPr>
              <w:pStyle w:val="In-tableHeading"/>
              <w:keepLines/>
              <w:jc w:val="center"/>
            </w:pPr>
            <w:r w:rsidRPr="00A0281F">
              <w:t>DCO: 30/5/16</w:t>
            </w:r>
          </w:p>
        </w:tc>
        <w:tc>
          <w:tcPr>
            <w:tcW w:w="1079" w:type="pct"/>
            <w:gridSpan w:val="3"/>
            <w:shd w:val="clear" w:color="auto" w:fill="auto"/>
            <w:vAlign w:val="center"/>
          </w:tcPr>
          <w:p w:rsidR="00E13718" w:rsidRPr="00A0281F" w:rsidRDefault="00E13718" w:rsidP="00BE64AA">
            <w:pPr>
              <w:pStyle w:val="In-tableHeading"/>
              <w:keepLines/>
              <w:jc w:val="center"/>
            </w:pPr>
            <w:r w:rsidRPr="00A0281F">
              <w:t>SOLO-2 (SAF)</w:t>
            </w:r>
          </w:p>
          <w:p w:rsidR="00E13718" w:rsidRPr="00A0281F" w:rsidRDefault="00E13718" w:rsidP="00BE64AA">
            <w:pPr>
              <w:pStyle w:val="In-tableHeading"/>
              <w:keepLines/>
              <w:jc w:val="center"/>
            </w:pPr>
            <w:r w:rsidRPr="00A0281F">
              <w:t>DCO: 19/9/16</w:t>
            </w:r>
          </w:p>
        </w:tc>
      </w:tr>
      <w:tr w:rsidR="00E13718" w:rsidRPr="00A0281F" w:rsidTr="002B25A8">
        <w:trPr>
          <w:tblHeader/>
        </w:trPr>
        <w:tc>
          <w:tcPr>
            <w:tcW w:w="1648" w:type="pct"/>
            <w:vMerge/>
            <w:shd w:val="clear" w:color="auto" w:fill="auto"/>
            <w:vAlign w:val="center"/>
          </w:tcPr>
          <w:p w:rsidR="00E13718" w:rsidRPr="00A0281F" w:rsidRDefault="00E13718" w:rsidP="00BE64AA">
            <w:pPr>
              <w:pStyle w:val="In-tableHeading"/>
              <w:keepLines/>
            </w:pPr>
          </w:p>
        </w:tc>
        <w:tc>
          <w:tcPr>
            <w:tcW w:w="1101" w:type="pct"/>
            <w:gridSpan w:val="2"/>
            <w:tcBorders>
              <w:right w:val="single" w:sz="18" w:space="0" w:color="auto"/>
            </w:tcBorders>
            <w:shd w:val="clear" w:color="auto" w:fill="auto"/>
            <w:vAlign w:val="center"/>
          </w:tcPr>
          <w:p w:rsidR="00E13718" w:rsidRPr="00A0281F" w:rsidRDefault="00E13718" w:rsidP="00BE64AA">
            <w:pPr>
              <w:pStyle w:val="In-tableHeading"/>
              <w:keepLines/>
              <w:jc w:val="center"/>
            </w:pPr>
            <w:r w:rsidRPr="00A0281F">
              <w:t>Non-gBRCAm</w:t>
            </w:r>
          </w:p>
        </w:tc>
        <w:tc>
          <w:tcPr>
            <w:tcW w:w="1172" w:type="pct"/>
            <w:gridSpan w:val="2"/>
            <w:tcBorders>
              <w:left w:val="single" w:sz="18" w:space="0" w:color="auto"/>
            </w:tcBorders>
            <w:shd w:val="clear" w:color="auto" w:fill="auto"/>
            <w:vAlign w:val="center"/>
          </w:tcPr>
          <w:p w:rsidR="00E13718" w:rsidRPr="00A0281F" w:rsidRDefault="00E13718" w:rsidP="00BE64AA">
            <w:pPr>
              <w:pStyle w:val="In-tableHeading"/>
              <w:keepLines/>
              <w:jc w:val="center"/>
            </w:pPr>
            <w:r w:rsidRPr="00A0281F">
              <w:t>gBRCAm</w:t>
            </w:r>
          </w:p>
        </w:tc>
        <w:tc>
          <w:tcPr>
            <w:tcW w:w="1079" w:type="pct"/>
            <w:gridSpan w:val="3"/>
            <w:shd w:val="clear" w:color="auto" w:fill="auto"/>
            <w:vAlign w:val="center"/>
          </w:tcPr>
          <w:p w:rsidR="00E13718" w:rsidRPr="00A0281F" w:rsidRDefault="00E13718" w:rsidP="00BE64AA">
            <w:pPr>
              <w:pStyle w:val="In-tableHeading"/>
              <w:keepLines/>
              <w:jc w:val="center"/>
            </w:pPr>
            <w:r w:rsidRPr="00A0281F">
              <w:t>gBRCAm</w:t>
            </w:r>
          </w:p>
        </w:tc>
      </w:tr>
      <w:tr w:rsidR="00E13718" w:rsidRPr="00A0281F" w:rsidTr="002B25A8">
        <w:trPr>
          <w:tblHeader/>
        </w:trPr>
        <w:tc>
          <w:tcPr>
            <w:tcW w:w="1648" w:type="pct"/>
            <w:vMerge/>
            <w:shd w:val="clear" w:color="auto" w:fill="auto"/>
            <w:vAlign w:val="center"/>
          </w:tcPr>
          <w:p w:rsidR="00E13718" w:rsidRPr="00A0281F" w:rsidRDefault="00E13718" w:rsidP="00BE64AA">
            <w:pPr>
              <w:pStyle w:val="In-tableHeading"/>
              <w:keepLines/>
            </w:pPr>
          </w:p>
        </w:tc>
        <w:tc>
          <w:tcPr>
            <w:tcW w:w="550" w:type="pct"/>
            <w:shd w:val="clear" w:color="auto" w:fill="auto"/>
            <w:vAlign w:val="center"/>
          </w:tcPr>
          <w:p w:rsidR="00E13718" w:rsidRPr="00A0281F" w:rsidRDefault="00E13718" w:rsidP="00BE64AA">
            <w:pPr>
              <w:pStyle w:val="In-tableHeading"/>
              <w:keepLines/>
              <w:jc w:val="center"/>
            </w:pPr>
            <w:r w:rsidRPr="00A0281F">
              <w:t>Niraparib</w:t>
            </w:r>
          </w:p>
        </w:tc>
        <w:tc>
          <w:tcPr>
            <w:tcW w:w="551" w:type="pct"/>
            <w:tcBorders>
              <w:right w:val="single" w:sz="18" w:space="0" w:color="auto"/>
            </w:tcBorders>
            <w:shd w:val="clear" w:color="auto" w:fill="auto"/>
            <w:vAlign w:val="center"/>
          </w:tcPr>
          <w:p w:rsidR="00E13718" w:rsidRPr="00A0281F" w:rsidRDefault="00E13718" w:rsidP="00BE64AA">
            <w:pPr>
              <w:pStyle w:val="In-tableHeading"/>
              <w:keepLines/>
              <w:jc w:val="center"/>
            </w:pPr>
            <w:r w:rsidRPr="00A0281F">
              <w:t>Placebo</w:t>
            </w:r>
          </w:p>
        </w:tc>
        <w:tc>
          <w:tcPr>
            <w:tcW w:w="594" w:type="pct"/>
            <w:tcBorders>
              <w:left w:val="single" w:sz="18" w:space="0" w:color="auto"/>
            </w:tcBorders>
            <w:shd w:val="clear" w:color="auto" w:fill="auto"/>
            <w:vAlign w:val="center"/>
          </w:tcPr>
          <w:p w:rsidR="00E13718" w:rsidRPr="00A0281F" w:rsidRDefault="00E13718" w:rsidP="00BE64AA">
            <w:pPr>
              <w:pStyle w:val="In-tableHeading"/>
              <w:keepLines/>
              <w:jc w:val="center"/>
            </w:pPr>
            <w:r w:rsidRPr="00A0281F">
              <w:t>Niraparib</w:t>
            </w:r>
          </w:p>
        </w:tc>
        <w:tc>
          <w:tcPr>
            <w:tcW w:w="578" w:type="pct"/>
            <w:shd w:val="clear" w:color="auto" w:fill="auto"/>
            <w:vAlign w:val="center"/>
          </w:tcPr>
          <w:p w:rsidR="00E13718" w:rsidRPr="00A0281F" w:rsidRDefault="00E13718" w:rsidP="00BE64AA">
            <w:pPr>
              <w:pStyle w:val="In-tableHeading"/>
              <w:keepLines/>
              <w:jc w:val="center"/>
            </w:pPr>
            <w:r w:rsidRPr="00A0281F">
              <w:t>Placebo</w:t>
            </w:r>
          </w:p>
        </w:tc>
        <w:tc>
          <w:tcPr>
            <w:tcW w:w="574" w:type="pct"/>
            <w:gridSpan w:val="2"/>
            <w:shd w:val="clear" w:color="auto" w:fill="auto"/>
            <w:vAlign w:val="center"/>
          </w:tcPr>
          <w:p w:rsidR="00E13718" w:rsidRPr="00A0281F" w:rsidRDefault="00E13718" w:rsidP="00BE64AA">
            <w:pPr>
              <w:pStyle w:val="In-tableHeading"/>
              <w:keepLines/>
              <w:jc w:val="center"/>
            </w:pPr>
            <w:r w:rsidRPr="00A0281F">
              <w:t>Olaparib</w:t>
            </w:r>
          </w:p>
        </w:tc>
        <w:tc>
          <w:tcPr>
            <w:tcW w:w="505" w:type="pct"/>
            <w:shd w:val="clear" w:color="auto" w:fill="auto"/>
            <w:vAlign w:val="center"/>
          </w:tcPr>
          <w:p w:rsidR="00E13718" w:rsidRPr="00A0281F" w:rsidRDefault="00E13718" w:rsidP="00BE64AA">
            <w:pPr>
              <w:pStyle w:val="In-tableHeading"/>
              <w:keepLines/>
              <w:jc w:val="center"/>
            </w:pPr>
            <w:r w:rsidRPr="00A0281F">
              <w:t>Placebo</w:t>
            </w:r>
          </w:p>
        </w:tc>
      </w:tr>
      <w:tr w:rsidR="00E13718" w:rsidRPr="00A0281F" w:rsidTr="002B25A8">
        <w:trPr>
          <w:tblHeader/>
        </w:trPr>
        <w:tc>
          <w:tcPr>
            <w:tcW w:w="1648" w:type="pct"/>
            <w:vMerge/>
            <w:shd w:val="clear" w:color="auto" w:fill="auto"/>
            <w:vAlign w:val="center"/>
          </w:tcPr>
          <w:p w:rsidR="00E13718" w:rsidRPr="00A0281F" w:rsidRDefault="00E13718" w:rsidP="00BE64AA">
            <w:pPr>
              <w:pStyle w:val="In-tableHeading"/>
              <w:keepLines/>
            </w:pPr>
          </w:p>
        </w:tc>
        <w:tc>
          <w:tcPr>
            <w:tcW w:w="550" w:type="pct"/>
            <w:shd w:val="clear" w:color="auto" w:fill="auto"/>
            <w:vAlign w:val="center"/>
          </w:tcPr>
          <w:p w:rsidR="00E13718" w:rsidRPr="00A0281F" w:rsidRDefault="00E13718" w:rsidP="00BE64AA">
            <w:pPr>
              <w:pStyle w:val="In-tableHeading"/>
              <w:keepLines/>
              <w:jc w:val="center"/>
            </w:pPr>
            <w:r w:rsidRPr="00A0281F">
              <w:rPr>
                <w:szCs w:val="20"/>
              </w:rPr>
              <w:t>N=231</w:t>
            </w:r>
          </w:p>
        </w:tc>
        <w:tc>
          <w:tcPr>
            <w:tcW w:w="551" w:type="pct"/>
            <w:tcBorders>
              <w:right w:val="single" w:sz="18" w:space="0" w:color="auto"/>
            </w:tcBorders>
            <w:shd w:val="clear" w:color="auto" w:fill="auto"/>
            <w:vAlign w:val="center"/>
          </w:tcPr>
          <w:p w:rsidR="00E13718" w:rsidRPr="00A0281F" w:rsidRDefault="00E13718" w:rsidP="00BE64AA">
            <w:pPr>
              <w:pStyle w:val="In-tableHeading"/>
              <w:keepLines/>
              <w:jc w:val="center"/>
            </w:pPr>
            <w:r w:rsidRPr="00A0281F">
              <w:rPr>
                <w:szCs w:val="20"/>
              </w:rPr>
              <w:t>N=114</w:t>
            </w:r>
          </w:p>
        </w:tc>
        <w:tc>
          <w:tcPr>
            <w:tcW w:w="594" w:type="pct"/>
            <w:tcBorders>
              <w:left w:val="single" w:sz="18" w:space="0" w:color="auto"/>
            </w:tcBorders>
            <w:shd w:val="clear" w:color="auto" w:fill="auto"/>
            <w:vAlign w:val="center"/>
          </w:tcPr>
          <w:p w:rsidR="00E13718" w:rsidRPr="00A0281F" w:rsidRDefault="00E13718" w:rsidP="00BE64AA">
            <w:pPr>
              <w:pStyle w:val="In-tableHeading"/>
              <w:keepLines/>
              <w:jc w:val="center"/>
            </w:pPr>
            <w:r w:rsidRPr="00A0281F">
              <w:rPr>
                <w:szCs w:val="20"/>
              </w:rPr>
              <w:t>N=136</w:t>
            </w:r>
          </w:p>
        </w:tc>
        <w:tc>
          <w:tcPr>
            <w:tcW w:w="578" w:type="pct"/>
            <w:shd w:val="clear" w:color="auto" w:fill="auto"/>
            <w:vAlign w:val="center"/>
          </w:tcPr>
          <w:p w:rsidR="00E13718" w:rsidRPr="00A0281F" w:rsidRDefault="00E13718" w:rsidP="00BE64AA">
            <w:pPr>
              <w:pStyle w:val="In-tableHeading"/>
              <w:keepLines/>
              <w:jc w:val="center"/>
            </w:pPr>
            <w:r w:rsidRPr="00A0281F">
              <w:rPr>
                <w:szCs w:val="20"/>
              </w:rPr>
              <w:t>N=65</w:t>
            </w:r>
          </w:p>
        </w:tc>
        <w:tc>
          <w:tcPr>
            <w:tcW w:w="574" w:type="pct"/>
            <w:gridSpan w:val="2"/>
            <w:shd w:val="clear" w:color="auto" w:fill="auto"/>
            <w:vAlign w:val="center"/>
          </w:tcPr>
          <w:p w:rsidR="00E13718" w:rsidRPr="00A0281F" w:rsidRDefault="00E13718" w:rsidP="00BE64AA">
            <w:pPr>
              <w:pStyle w:val="In-tableHeading"/>
              <w:keepLines/>
              <w:jc w:val="center"/>
            </w:pPr>
            <w:r w:rsidRPr="00A0281F">
              <w:rPr>
                <w:szCs w:val="20"/>
              </w:rPr>
              <w:t>N=195</w:t>
            </w:r>
          </w:p>
        </w:tc>
        <w:tc>
          <w:tcPr>
            <w:tcW w:w="505" w:type="pct"/>
            <w:shd w:val="clear" w:color="auto" w:fill="auto"/>
            <w:vAlign w:val="center"/>
          </w:tcPr>
          <w:p w:rsidR="00E13718" w:rsidRPr="00A0281F" w:rsidRDefault="00E13718" w:rsidP="00BE64AA">
            <w:pPr>
              <w:pStyle w:val="In-tableHeading"/>
              <w:keepLines/>
              <w:jc w:val="center"/>
            </w:pPr>
            <w:r w:rsidRPr="00A0281F">
              <w:rPr>
                <w:szCs w:val="20"/>
              </w:rPr>
              <w:t>N=99</w:t>
            </w:r>
          </w:p>
        </w:tc>
      </w:tr>
      <w:tr w:rsidR="00A53091" w:rsidRPr="00A0281F" w:rsidTr="002B25A8">
        <w:tc>
          <w:tcPr>
            <w:tcW w:w="1648" w:type="pct"/>
            <w:shd w:val="clear" w:color="auto" w:fill="auto"/>
            <w:vAlign w:val="center"/>
          </w:tcPr>
          <w:p w:rsidR="00A53091" w:rsidRPr="00A0281F" w:rsidRDefault="00A53091" w:rsidP="00A53091">
            <w:pPr>
              <w:pStyle w:val="TableText0"/>
              <w:keepLines/>
              <w:rPr>
                <w:b/>
                <w:szCs w:val="20"/>
              </w:rPr>
            </w:pPr>
            <w:r w:rsidRPr="00A0281F">
              <w:t>DCO, median follow-up months</w:t>
            </w:r>
          </w:p>
        </w:tc>
        <w:tc>
          <w:tcPr>
            <w:tcW w:w="1101" w:type="pct"/>
            <w:gridSpan w:val="2"/>
            <w:tcBorders>
              <w:right w:val="single" w:sz="18" w:space="0" w:color="auto"/>
            </w:tcBorders>
            <w:shd w:val="clear" w:color="auto" w:fill="auto"/>
            <w:vAlign w:val="center"/>
          </w:tcPr>
          <w:p w:rsidR="00A53091" w:rsidRPr="00A0281F" w:rsidRDefault="00A53091" w:rsidP="00A53091">
            <w:pPr>
              <w:pStyle w:val="TableText0"/>
              <w:keepLines/>
              <w:jc w:val="center"/>
              <w:rPr>
                <w:szCs w:val="20"/>
              </w:rPr>
            </w:pPr>
            <w:r w:rsidRPr="00A0281F">
              <w:t>30/5/16; 15.7</w:t>
            </w:r>
            <w:r>
              <w:t>*</w:t>
            </w:r>
          </w:p>
        </w:tc>
        <w:tc>
          <w:tcPr>
            <w:tcW w:w="1172" w:type="pct"/>
            <w:gridSpan w:val="2"/>
            <w:tcBorders>
              <w:left w:val="single" w:sz="18" w:space="0" w:color="auto"/>
            </w:tcBorders>
            <w:shd w:val="clear" w:color="auto" w:fill="auto"/>
            <w:vAlign w:val="center"/>
          </w:tcPr>
          <w:p w:rsidR="00A53091" w:rsidRPr="00A0281F" w:rsidRDefault="00A53091" w:rsidP="00A53091">
            <w:pPr>
              <w:pStyle w:val="TableText0"/>
              <w:keepLines/>
              <w:jc w:val="center"/>
              <w:rPr>
                <w:szCs w:val="20"/>
              </w:rPr>
            </w:pPr>
            <w:r w:rsidRPr="00A0281F">
              <w:t>30/5/16; 16.4</w:t>
            </w:r>
            <w:r>
              <w:t>^</w:t>
            </w:r>
          </w:p>
        </w:tc>
        <w:tc>
          <w:tcPr>
            <w:tcW w:w="1079" w:type="pct"/>
            <w:gridSpan w:val="3"/>
            <w:shd w:val="clear" w:color="auto" w:fill="auto"/>
            <w:vAlign w:val="center"/>
          </w:tcPr>
          <w:p w:rsidR="00A53091" w:rsidRPr="00A0281F" w:rsidRDefault="00A53091" w:rsidP="00A53091">
            <w:pPr>
              <w:pStyle w:val="TableText0"/>
              <w:keepLines/>
              <w:jc w:val="center"/>
              <w:rPr>
                <w:szCs w:val="20"/>
              </w:rPr>
            </w:pPr>
            <w:r w:rsidRPr="00A0281F">
              <w:t>19/9/16; 22</w:t>
            </w:r>
            <w:r>
              <w:t>***</w:t>
            </w:r>
          </w:p>
        </w:tc>
      </w:tr>
      <w:tr w:rsidR="00E13718" w:rsidRPr="00A0281F" w:rsidTr="002B25A8">
        <w:tc>
          <w:tcPr>
            <w:tcW w:w="1648" w:type="pct"/>
            <w:shd w:val="clear" w:color="auto" w:fill="auto"/>
            <w:vAlign w:val="center"/>
          </w:tcPr>
          <w:p w:rsidR="00E13718" w:rsidRPr="00A0281F" w:rsidRDefault="00E13718" w:rsidP="00BE64AA">
            <w:pPr>
              <w:pStyle w:val="TableText0"/>
              <w:keepLines/>
              <w:rPr>
                <w:b/>
              </w:rPr>
            </w:pPr>
            <w:r w:rsidRPr="00A0281F">
              <w:rPr>
                <w:b/>
                <w:szCs w:val="20"/>
              </w:rPr>
              <w:t>Any TEAE</w:t>
            </w:r>
          </w:p>
        </w:tc>
        <w:tc>
          <w:tcPr>
            <w:tcW w:w="550" w:type="pct"/>
            <w:shd w:val="clear" w:color="auto" w:fill="auto"/>
            <w:vAlign w:val="center"/>
          </w:tcPr>
          <w:p w:rsidR="00E13718" w:rsidRPr="00A0281F" w:rsidRDefault="00E13718" w:rsidP="00BE64AA">
            <w:pPr>
              <w:pStyle w:val="TableText0"/>
              <w:keepLines/>
              <w:jc w:val="center"/>
            </w:pPr>
            <w:r w:rsidRPr="00A0281F">
              <w:rPr>
                <w:szCs w:val="20"/>
              </w:rPr>
              <w:t>231 (100.0)</w:t>
            </w:r>
          </w:p>
        </w:tc>
        <w:tc>
          <w:tcPr>
            <w:tcW w:w="551" w:type="pct"/>
            <w:tcBorders>
              <w:right w:val="single" w:sz="18" w:space="0" w:color="auto"/>
            </w:tcBorders>
            <w:shd w:val="clear" w:color="auto" w:fill="auto"/>
            <w:vAlign w:val="center"/>
          </w:tcPr>
          <w:p w:rsidR="00E13718" w:rsidRPr="00A0281F" w:rsidRDefault="00E13718" w:rsidP="00BE64AA">
            <w:pPr>
              <w:pStyle w:val="TableText0"/>
              <w:keepLines/>
              <w:jc w:val="center"/>
            </w:pPr>
            <w:r w:rsidRPr="00A0281F">
              <w:rPr>
                <w:szCs w:val="20"/>
              </w:rPr>
              <w:t>110 (96.5)</w:t>
            </w:r>
          </w:p>
        </w:tc>
        <w:tc>
          <w:tcPr>
            <w:tcW w:w="594" w:type="pct"/>
            <w:tcBorders>
              <w:left w:val="single" w:sz="18" w:space="0" w:color="auto"/>
            </w:tcBorders>
            <w:shd w:val="clear" w:color="auto" w:fill="auto"/>
            <w:vAlign w:val="center"/>
          </w:tcPr>
          <w:p w:rsidR="00E13718" w:rsidRPr="00A0281F" w:rsidRDefault="00E13718" w:rsidP="00BE64AA">
            <w:pPr>
              <w:pStyle w:val="TableText0"/>
              <w:keepLines/>
              <w:jc w:val="center"/>
            </w:pPr>
            <w:r w:rsidRPr="00A0281F">
              <w:rPr>
                <w:szCs w:val="20"/>
              </w:rPr>
              <w:t>136 (100.0)</w:t>
            </w:r>
          </w:p>
        </w:tc>
        <w:tc>
          <w:tcPr>
            <w:tcW w:w="578" w:type="pct"/>
            <w:shd w:val="clear" w:color="auto" w:fill="auto"/>
            <w:vAlign w:val="center"/>
          </w:tcPr>
          <w:p w:rsidR="00E13718" w:rsidRPr="00A0281F" w:rsidRDefault="00E13718" w:rsidP="00BE64AA">
            <w:pPr>
              <w:pStyle w:val="TableText0"/>
              <w:keepLines/>
              <w:jc w:val="center"/>
            </w:pPr>
            <w:r w:rsidRPr="00A0281F">
              <w:rPr>
                <w:szCs w:val="20"/>
              </w:rPr>
              <w:t>61 (93.8)</w:t>
            </w:r>
          </w:p>
        </w:tc>
        <w:tc>
          <w:tcPr>
            <w:tcW w:w="574" w:type="pct"/>
            <w:gridSpan w:val="2"/>
            <w:shd w:val="clear" w:color="auto" w:fill="auto"/>
            <w:vAlign w:val="center"/>
          </w:tcPr>
          <w:p w:rsidR="00E13718" w:rsidRPr="00A0281F" w:rsidRDefault="00E13718" w:rsidP="00BE64AA">
            <w:pPr>
              <w:pStyle w:val="TableText0"/>
              <w:keepLines/>
              <w:jc w:val="center"/>
            </w:pPr>
            <w:r w:rsidRPr="00A0281F">
              <w:rPr>
                <w:szCs w:val="20"/>
              </w:rPr>
              <w:t>192</w:t>
            </w:r>
            <w:r w:rsidRPr="00A0281F">
              <w:rPr>
                <w:szCs w:val="20"/>
                <w:vertAlign w:val="superscript"/>
              </w:rPr>
              <w:t>#</w:t>
            </w:r>
            <w:r w:rsidRPr="00A0281F">
              <w:rPr>
                <w:szCs w:val="20"/>
              </w:rPr>
              <w:t xml:space="preserve"> (98.5)</w:t>
            </w:r>
          </w:p>
        </w:tc>
        <w:tc>
          <w:tcPr>
            <w:tcW w:w="505" w:type="pct"/>
            <w:shd w:val="clear" w:color="auto" w:fill="auto"/>
            <w:vAlign w:val="center"/>
          </w:tcPr>
          <w:p w:rsidR="00E13718" w:rsidRPr="00A0281F" w:rsidRDefault="00E13718" w:rsidP="00BE64AA">
            <w:pPr>
              <w:pStyle w:val="TableText0"/>
              <w:keepLines/>
              <w:jc w:val="center"/>
            </w:pPr>
            <w:r w:rsidRPr="00A0281F">
              <w:rPr>
                <w:szCs w:val="20"/>
              </w:rPr>
              <w:t>94 (94.9)</w:t>
            </w:r>
          </w:p>
        </w:tc>
      </w:tr>
      <w:tr w:rsidR="00E13718" w:rsidRPr="00A0281F" w:rsidTr="002B25A8">
        <w:tc>
          <w:tcPr>
            <w:tcW w:w="1648" w:type="pct"/>
            <w:shd w:val="clear" w:color="auto" w:fill="auto"/>
            <w:vAlign w:val="center"/>
          </w:tcPr>
          <w:p w:rsidR="00E13718" w:rsidRPr="00A0281F" w:rsidRDefault="00E13718" w:rsidP="00BE64AA">
            <w:pPr>
              <w:pStyle w:val="TableText0"/>
              <w:keepLines/>
              <w:rPr>
                <w:szCs w:val="20"/>
              </w:rPr>
            </w:pPr>
            <w:r w:rsidRPr="00A0281F">
              <w:rPr>
                <w:szCs w:val="20"/>
              </w:rPr>
              <w:t>Risk difference (95%CI)**</w:t>
            </w:r>
          </w:p>
        </w:tc>
        <w:tc>
          <w:tcPr>
            <w:tcW w:w="1101" w:type="pct"/>
            <w:gridSpan w:val="2"/>
            <w:tcBorders>
              <w:right w:val="single" w:sz="18" w:space="0" w:color="auto"/>
            </w:tcBorders>
            <w:shd w:val="clear" w:color="auto" w:fill="auto"/>
            <w:vAlign w:val="center"/>
          </w:tcPr>
          <w:p w:rsidR="00E13718" w:rsidRPr="00A0281F" w:rsidRDefault="00E13718" w:rsidP="00BE64AA">
            <w:pPr>
              <w:pStyle w:val="TableText0"/>
              <w:keepLines/>
              <w:jc w:val="center"/>
              <w:rPr>
                <w:szCs w:val="20"/>
              </w:rPr>
            </w:pPr>
            <w:r w:rsidRPr="00A0281F">
              <w:rPr>
                <w:szCs w:val="20"/>
              </w:rPr>
              <w:t>3.50% (-0.09%, 7.09% )</w:t>
            </w:r>
          </w:p>
        </w:tc>
        <w:tc>
          <w:tcPr>
            <w:tcW w:w="1172" w:type="pct"/>
            <w:gridSpan w:val="2"/>
            <w:tcBorders>
              <w:left w:val="single" w:sz="18" w:space="0" w:color="auto"/>
            </w:tcBorders>
            <w:shd w:val="clear" w:color="auto" w:fill="auto"/>
            <w:vAlign w:val="center"/>
          </w:tcPr>
          <w:p w:rsidR="00E13718" w:rsidRPr="00A0281F" w:rsidRDefault="00E13718" w:rsidP="00BE64AA">
            <w:pPr>
              <w:pStyle w:val="TableText0"/>
              <w:keepLines/>
              <w:jc w:val="center"/>
              <w:rPr>
                <w:b/>
                <w:szCs w:val="20"/>
              </w:rPr>
            </w:pPr>
            <w:r w:rsidRPr="00A0281F">
              <w:rPr>
                <w:b/>
                <w:szCs w:val="20"/>
              </w:rPr>
              <w:t>6.20% (0.31%, 12.00%)</w:t>
            </w:r>
          </w:p>
        </w:tc>
        <w:tc>
          <w:tcPr>
            <w:tcW w:w="1079" w:type="pct"/>
            <w:gridSpan w:val="3"/>
            <w:shd w:val="clear" w:color="auto" w:fill="auto"/>
            <w:vAlign w:val="center"/>
          </w:tcPr>
          <w:p w:rsidR="00E13718" w:rsidRPr="00A0281F" w:rsidRDefault="00E13718" w:rsidP="00BE64AA">
            <w:pPr>
              <w:pStyle w:val="TableText0"/>
              <w:keepLines/>
              <w:jc w:val="center"/>
              <w:rPr>
                <w:szCs w:val="20"/>
              </w:rPr>
            </w:pPr>
            <w:r w:rsidRPr="00A0281F">
              <w:rPr>
                <w:szCs w:val="20"/>
              </w:rPr>
              <w:t>3.51% (-1.14%, 8.16%)</w:t>
            </w:r>
          </w:p>
        </w:tc>
      </w:tr>
      <w:tr w:rsidR="00E13718" w:rsidRPr="00A0281F" w:rsidTr="002B25A8">
        <w:tc>
          <w:tcPr>
            <w:tcW w:w="1648" w:type="pct"/>
            <w:shd w:val="clear" w:color="auto" w:fill="auto"/>
            <w:vAlign w:val="center"/>
          </w:tcPr>
          <w:p w:rsidR="00E13718" w:rsidRPr="00A0281F" w:rsidRDefault="00E13718" w:rsidP="00BE64AA">
            <w:pPr>
              <w:pStyle w:val="TableText0"/>
              <w:keepLines/>
              <w:rPr>
                <w:szCs w:val="20"/>
              </w:rPr>
            </w:pPr>
            <w:r w:rsidRPr="00A0281F">
              <w:rPr>
                <w:szCs w:val="20"/>
              </w:rPr>
              <w:t>Relative risk (95%CI)**</w:t>
            </w:r>
          </w:p>
        </w:tc>
        <w:tc>
          <w:tcPr>
            <w:tcW w:w="1101" w:type="pct"/>
            <w:gridSpan w:val="2"/>
            <w:tcBorders>
              <w:right w:val="single" w:sz="18" w:space="0" w:color="auto"/>
            </w:tcBorders>
            <w:shd w:val="clear" w:color="auto" w:fill="auto"/>
            <w:vAlign w:val="center"/>
          </w:tcPr>
          <w:p w:rsidR="00E13718" w:rsidRPr="00A0281F" w:rsidRDefault="00E13718" w:rsidP="00BE64AA">
            <w:pPr>
              <w:pStyle w:val="TableText0"/>
              <w:keepLines/>
              <w:jc w:val="center"/>
              <w:rPr>
                <w:szCs w:val="20"/>
              </w:rPr>
            </w:pPr>
            <w:r w:rsidRPr="00A0281F">
              <w:rPr>
                <w:szCs w:val="20"/>
              </w:rPr>
              <w:t>1.04 (0.99, 1.07)</w:t>
            </w:r>
          </w:p>
        </w:tc>
        <w:tc>
          <w:tcPr>
            <w:tcW w:w="1172" w:type="pct"/>
            <w:gridSpan w:val="2"/>
            <w:tcBorders>
              <w:left w:val="single" w:sz="18" w:space="0" w:color="auto"/>
            </w:tcBorders>
            <w:shd w:val="clear" w:color="auto" w:fill="auto"/>
            <w:vAlign w:val="center"/>
          </w:tcPr>
          <w:p w:rsidR="00E13718" w:rsidRPr="00A0281F" w:rsidRDefault="00E13718" w:rsidP="00BE64AA">
            <w:pPr>
              <w:pStyle w:val="TableText0"/>
              <w:keepLines/>
              <w:jc w:val="center"/>
              <w:rPr>
                <w:b/>
                <w:szCs w:val="20"/>
              </w:rPr>
            </w:pPr>
            <w:r w:rsidRPr="00A0281F">
              <w:rPr>
                <w:b/>
                <w:szCs w:val="20"/>
              </w:rPr>
              <w:t>1.07 (1.00, 1.13)</w:t>
            </w:r>
          </w:p>
        </w:tc>
        <w:tc>
          <w:tcPr>
            <w:tcW w:w="1079" w:type="pct"/>
            <w:gridSpan w:val="3"/>
            <w:shd w:val="clear" w:color="auto" w:fill="auto"/>
            <w:vAlign w:val="center"/>
          </w:tcPr>
          <w:p w:rsidR="00E13718" w:rsidRPr="00A0281F" w:rsidRDefault="00E13718" w:rsidP="00BE64AA">
            <w:pPr>
              <w:pStyle w:val="TableText0"/>
              <w:keepLines/>
              <w:jc w:val="center"/>
              <w:rPr>
                <w:szCs w:val="20"/>
              </w:rPr>
            </w:pPr>
            <w:r w:rsidRPr="00A0281F">
              <w:rPr>
                <w:szCs w:val="20"/>
              </w:rPr>
              <w:t>1.04 (0.99, 1.09)</w:t>
            </w:r>
          </w:p>
        </w:tc>
      </w:tr>
      <w:tr w:rsidR="00E13718" w:rsidRPr="00A0281F" w:rsidTr="002B25A8">
        <w:tc>
          <w:tcPr>
            <w:tcW w:w="1648" w:type="pct"/>
            <w:shd w:val="clear" w:color="auto" w:fill="auto"/>
            <w:vAlign w:val="center"/>
          </w:tcPr>
          <w:p w:rsidR="00E13718" w:rsidRPr="00A0281F" w:rsidRDefault="00E13718" w:rsidP="00BE64AA">
            <w:pPr>
              <w:pStyle w:val="TableText0"/>
              <w:keepLines/>
              <w:rPr>
                <w:szCs w:val="20"/>
              </w:rPr>
            </w:pPr>
            <w:r w:rsidRPr="00A0281F">
              <w:rPr>
                <w:szCs w:val="20"/>
              </w:rPr>
              <w:t>Niraparib versus olaparib risk difference (95%CI)**</w:t>
            </w:r>
          </w:p>
        </w:tc>
        <w:tc>
          <w:tcPr>
            <w:tcW w:w="1101" w:type="pct"/>
            <w:gridSpan w:val="2"/>
            <w:tcBorders>
              <w:right w:val="single" w:sz="18" w:space="0" w:color="auto"/>
            </w:tcBorders>
            <w:shd w:val="clear" w:color="auto" w:fill="auto"/>
            <w:vAlign w:val="center"/>
          </w:tcPr>
          <w:p w:rsidR="00E13718" w:rsidRPr="00A0281F" w:rsidRDefault="00E13718" w:rsidP="00BE64AA">
            <w:pPr>
              <w:pStyle w:val="TableText0"/>
              <w:keepLines/>
              <w:jc w:val="center"/>
              <w:rPr>
                <w:szCs w:val="20"/>
              </w:rPr>
            </w:pPr>
            <w:r w:rsidRPr="00A0281F">
              <w:rPr>
                <w:szCs w:val="20"/>
              </w:rPr>
              <w:t>-----</w:t>
            </w:r>
          </w:p>
        </w:tc>
        <w:tc>
          <w:tcPr>
            <w:tcW w:w="2251" w:type="pct"/>
            <w:gridSpan w:val="5"/>
            <w:tcBorders>
              <w:left w:val="single" w:sz="18" w:space="0" w:color="auto"/>
            </w:tcBorders>
            <w:shd w:val="clear" w:color="auto" w:fill="auto"/>
            <w:vAlign w:val="center"/>
          </w:tcPr>
          <w:p w:rsidR="00E13718" w:rsidRPr="00A0281F" w:rsidRDefault="00E13718" w:rsidP="00BE64AA">
            <w:pPr>
              <w:pStyle w:val="TableText0"/>
              <w:keepLines/>
              <w:jc w:val="center"/>
              <w:rPr>
                <w:szCs w:val="20"/>
              </w:rPr>
            </w:pPr>
            <w:r w:rsidRPr="00A0281F">
              <w:rPr>
                <w:szCs w:val="20"/>
              </w:rPr>
              <w:t>1.54% (-0.19%, 3.27%)</w:t>
            </w:r>
          </w:p>
        </w:tc>
      </w:tr>
      <w:tr w:rsidR="00E13718" w:rsidRPr="00A0281F" w:rsidTr="002B25A8">
        <w:tc>
          <w:tcPr>
            <w:tcW w:w="1648" w:type="pct"/>
            <w:shd w:val="clear" w:color="auto" w:fill="auto"/>
            <w:vAlign w:val="center"/>
          </w:tcPr>
          <w:p w:rsidR="00E13718" w:rsidRPr="00A0281F" w:rsidRDefault="00E13718" w:rsidP="00BE64AA">
            <w:pPr>
              <w:pStyle w:val="TableText0"/>
              <w:keepLines/>
              <w:rPr>
                <w:szCs w:val="20"/>
              </w:rPr>
            </w:pPr>
            <w:r w:rsidRPr="00A0281F">
              <w:rPr>
                <w:szCs w:val="20"/>
              </w:rPr>
              <w:t>Niraparib versus olaparib relative risk (95%CI)**</w:t>
            </w:r>
          </w:p>
        </w:tc>
        <w:tc>
          <w:tcPr>
            <w:tcW w:w="1101" w:type="pct"/>
            <w:gridSpan w:val="2"/>
            <w:tcBorders>
              <w:right w:val="single" w:sz="18" w:space="0" w:color="auto"/>
            </w:tcBorders>
            <w:shd w:val="clear" w:color="auto" w:fill="auto"/>
            <w:vAlign w:val="center"/>
          </w:tcPr>
          <w:p w:rsidR="00E13718" w:rsidRPr="00A0281F" w:rsidRDefault="00E13718" w:rsidP="00BE64AA">
            <w:pPr>
              <w:pStyle w:val="TableText0"/>
              <w:keepLines/>
              <w:jc w:val="center"/>
              <w:rPr>
                <w:szCs w:val="20"/>
              </w:rPr>
            </w:pPr>
            <w:r w:rsidRPr="00A0281F">
              <w:rPr>
                <w:szCs w:val="20"/>
              </w:rPr>
              <w:t>-----</w:t>
            </w:r>
          </w:p>
        </w:tc>
        <w:tc>
          <w:tcPr>
            <w:tcW w:w="2251" w:type="pct"/>
            <w:gridSpan w:val="5"/>
            <w:tcBorders>
              <w:left w:val="single" w:sz="18" w:space="0" w:color="auto"/>
            </w:tcBorders>
            <w:shd w:val="clear" w:color="auto" w:fill="auto"/>
            <w:vAlign w:val="center"/>
          </w:tcPr>
          <w:p w:rsidR="00E13718" w:rsidRPr="00A0281F" w:rsidRDefault="00E13718" w:rsidP="00BE64AA">
            <w:pPr>
              <w:pStyle w:val="TableText0"/>
              <w:keepLines/>
              <w:jc w:val="center"/>
              <w:rPr>
                <w:szCs w:val="20"/>
              </w:rPr>
            </w:pPr>
            <w:r w:rsidRPr="00A0281F">
              <w:rPr>
                <w:szCs w:val="20"/>
              </w:rPr>
              <w:t>1.02 (0.99, 1.03)</w:t>
            </w:r>
          </w:p>
        </w:tc>
      </w:tr>
      <w:tr w:rsidR="00E13718" w:rsidRPr="00A0281F" w:rsidTr="002B25A8">
        <w:tc>
          <w:tcPr>
            <w:tcW w:w="1648" w:type="pct"/>
            <w:shd w:val="clear" w:color="auto" w:fill="auto"/>
            <w:vAlign w:val="center"/>
          </w:tcPr>
          <w:p w:rsidR="00E13718" w:rsidRPr="00A0281F" w:rsidRDefault="00E13718" w:rsidP="00BE64AA">
            <w:pPr>
              <w:pStyle w:val="TableText0"/>
              <w:keepLines/>
              <w:rPr>
                <w:b/>
              </w:rPr>
            </w:pPr>
            <w:r w:rsidRPr="00A0281F">
              <w:rPr>
                <w:b/>
                <w:szCs w:val="20"/>
              </w:rPr>
              <w:t>Grade 3-4 TEAE</w:t>
            </w:r>
          </w:p>
        </w:tc>
        <w:tc>
          <w:tcPr>
            <w:tcW w:w="550" w:type="pct"/>
            <w:shd w:val="clear" w:color="auto" w:fill="auto"/>
            <w:vAlign w:val="center"/>
          </w:tcPr>
          <w:p w:rsidR="00E13718" w:rsidRPr="00A0281F" w:rsidRDefault="00E13718" w:rsidP="00BE64AA">
            <w:pPr>
              <w:pStyle w:val="TableText0"/>
              <w:keepLines/>
              <w:jc w:val="center"/>
            </w:pPr>
            <w:r w:rsidRPr="00A0281F">
              <w:rPr>
                <w:szCs w:val="20"/>
              </w:rPr>
              <w:t>164 (71.0)</w:t>
            </w:r>
          </w:p>
        </w:tc>
        <w:tc>
          <w:tcPr>
            <w:tcW w:w="551" w:type="pct"/>
            <w:tcBorders>
              <w:right w:val="single" w:sz="18" w:space="0" w:color="auto"/>
            </w:tcBorders>
            <w:shd w:val="clear" w:color="auto" w:fill="auto"/>
            <w:vAlign w:val="center"/>
          </w:tcPr>
          <w:p w:rsidR="00E13718" w:rsidRPr="00A0281F" w:rsidRDefault="00E13718" w:rsidP="00BE64AA">
            <w:pPr>
              <w:pStyle w:val="TableText0"/>
              <w:keepLines/>
              <w:jc w:val="center"/>
            </w:pPr>
            <w:r w:rsidRPr="00A0281F">
              <w:rPr>
                <w:szCs w:val="20"/>
              </w:rPr>
              <w:t>27 (23.7)</w:t>
            </w:r>
          </w:p>
        </w:tc>
        <w:tc>
          <w:tcPr>
            <w:tcW w:w="594" w:type="pct"/>
            <w:tcBorders>
              <w:left w:val="single" w:sz="18" w:space="0" w:color="auto"/>
            </w:tcBorders>
            <w:shd w:val="clear" w:color="auto" w:fill="auto"/>
            <w:vAlign w:val="center"/>
          </w:tcPr>
          <w:p w:rsidR="00E13718" w:rsidRPr="00A0281F" w:rsidRDefault="00E13718" w:rsidP="00BE64AA">
            <w:pPr>
              <w:pStyle w:val="TableText0"/>
              <w:keepLines/>
              <w:jc w:val="center"/>
            </w:pPr>
            <w:r w:rsidRPr="00A0281F">
              <w:rPr>
                <w:szCs w:val="20"/>
              </w:rPr>
              <w:t>108 (79.4)</w:t>
            </w:r>
          </w:p>
        </w:tc>
        <w:tc>
          <w:tcPr>
            <w:tcW w:w="578" w:type="pct"/>
            <w:shd w:val="clear" w:color="auto" w:fill="auto"/>
            <w:vAlign w:val="center"/>
          </w:tcPr>
          <w:p w:rsidR="00E13718" w:rsidRPr="00A0281F" w:rsidRDefault="00E13718" w:rsidP="00BE64AA">
            <w:pPr>
              <w:pStyle w:val="TableText0"/>
              <w:keepLines/>
              <w:jc w:val="center"/>
            </w:pPr>
            <w:r w:rsidRPr="00A0281F">
              <w:rPr>
                <w:szCs w:val="20"/>
              </w:rPr>
              <w:t>14 (21.5)</w:t>
            </w:r>
          </w:p>
        </w:tc>
        <w:tc>
          <w:tcPr>
            <w:tcW w:w="574" w:type="pct"/>
            <w:gridSpan w:val="2"/>
            <w:shd w:val="clear" w:color="auto" w:fill="auto"/>
            <w:vAlign w:val="center"/>
          </w:tcPr>
          <w:p w:rsidR="00E13718" w:rsidRPr="00A0281F" w:rsidRDefault="00E13718" w:rsidP="00BE64AA">
            <w:pPr>
              <w:pStyle w:val="TableText0"/>
              <w:keepLines/>
              <w:jc w:val="center"/>
            </w:pPr>
            <w:r w:rsidRPr="00A0281F">
              <w:rPr>
                <w:szCs w:val="20"/>
              </w:rPr>
              <w:t>72 (36.9)</w:t>
            </w:r>
          </w:p>
        </w:tc>
        <w:tc>
          <w:tcPr>
            <w:tcW w:w="505" w:type="pct"/>
            <w:shd w:val="clear" w:color="auto" w:fill="auto"/>
            <w:vAlign w:val="center"/>
          </w:tcPr>
          <w:p w:rsidR="00E13718" w:rsidRPr="00A0281F" w:rsidRDefault="00E13718" w:rsidP="00BE64AA">
            <w:pPr>
              <w:pStyle w:val="TableText0"/>
              <w:keepLines/>
              <w:jc w:val="center"/>
            </w:pPr>
            <w:r w:rsidRPr="00A0281F">
              <w:rPr>
                <w:szCs w:val="20"/>
              </w:rPr>
              <w:t>18 (18.2)</w:t>
            </w:r>
          </w:p>
        </w:tc>
      </w:tr>
      <w:tr w:rsidR="00E13718" w:rsidRPr="00A0281F" w:rsidTr="002B25A8">
        <w:tc>
          <w:tcPr>
            <w:tcW w:w="1648" w:type="pct"/>
            <w:shd w:val="clear" w:color="auto" w:fill="auto"/>
            <w:vAlign w:val="center"/>
          </w:tcPr>
          <w:p w:rsidR="00E13718" w:rsidRPr="00A0281F" w:rsidRDefault="00E13718" w:rsidP="00BE64AA">
            <w:pPr>
              <w:pStyle w:val="TableText0"/>
              <w:keepLines/>
              <w:rPr>
                <w:szCs w:val="20"/>
              </w:rPr>
            </w:pPr>
            <w:r w:rsidRPr="00A0281F">
              <w:rPr>
                <w:szCs w:val="20"/>
              </w:rPr>
              <w:t>Risk difference (95%CI)*</w:t>
            </w:r>
          </w:p>
        </w:tc>
        <w:tc>
          <w:tcPr>
            <w:tcW w:w="1101" w:type="pct"/>
            <w:gridSpan w:val="2"/>
            <w:tcBorders>
              <w:right w:val="single" w:sz="18" w:space="0" w:color="auto"/>
            </w:tcBorders>
            <w:shd w:val="clear" w:color="auto" w:fill="auto"/>
            <w:vAlign w:val="center"/>
          </w:tcPr>
          <w:p w:rsidR="00E13718" w:rsidRPr="00A0281F" w:rsidRDefault="00E13718" w:rsidP="00BE64AA">
            <w:pPr>
              <w:pStyle w:val="TableText0"/>
              <w:keepLines/>
              <w:jc w:val="center"/>
              <w:rPr>
                <w:b/>
                <w:szCs w:val="20"/>
              </w:rPr>
            </w:pPr>
            <w:r w:rsidRPr="00A0281F">
              <w:rPr>
                <w:b/>
                <w:szCs w:val="20"/>
              </w:rPr>
              <w:t>47.3% (38%, 57%)</w:t>
            </w:r>
          </w:p>
        </w:tc>
        <w:tc>
          <w:tcPr>
            <w:tcW w:w="1172" w:type="pct"/>
            <w:gridSpan w:val="2"/>
            <w:tcBorders>
              <w:left w:val="single" w:sz="18" w:space="0" w:color="auto"/>
            </w:tcBorders>
            <w:shd w:val="clear" w:color="auto" w:fill="auto"/>
            <w:vAlign w:val="center"/>
          </w:tcPr>
          <w:p w:rsidR="00E13718" w:rsidRPr="00A0281F" w:rsidRDefault="00E13718" w:rsidP="00BE64AA">
            <w:pPr>
              <w:pStyle w:val="TableText0"/>
              <w:keepLines/>
              <w:jc w:val="center"/>
              <w:rPr>
                <w:b/>
                <w:szCs w:val="20"/>
              </w:rPr>
            </w:pPr>
            <w:r w:rsidRPr="00A0281F">
              <w:rPr>
                <w:b/>
                <w:szCs w:val="20"/>
              </w:rPr>
              <w:t>57.9% (45.8%, 70.0%)</w:t>
            </w:r>
          </w:p>
        </w:tc>
        <w:tc>
          <w:tcPr>
            <w:tcW w:w="1079" w:type="pct"/>
            <w:gridSpan w:val="3"/>
            <w:shd w:val="clear" w:color="auto" w:fill="auto"/>
            <w:vAlign w:val="center"/>
          </w:tcPr>
          <w:p w:rsidR="00E13718" w:rsidRPr="00A0281F" w:rsidRDefault="00E13718" w:rsidP="00BE64AA">
            <w:pPr>
              <w:pStyle w:val="TableText0"/>
              <w:keepLines/>
              <w:jc w:val="center"/>
              <w:rPr>
                <w:b/>
                <w:szCs w:val="20"/>
              </w:rPr>
            </w:pPr>
            <w:r w:rsidRPr="00A0281F">
              <w:rPr>
                <w:b/>
                <w:szCs w:val="20"/>
              </w:rPr>
              <w:t>18.7% (8.56%, 28.9%)</w:t>
            </w:r>
          </w:p>
        </w:tc>
      </w:tr>
      <w:tr w:rsidR="00E13718" w:rsidRPr="00A0281F" w:rsidTr="002B25A8">
        <w:tc>
          <w:tcPr>
            <w:tcW w:w="1648" w:type="pct"/>
            <w:shd w:val="clear" w:color="auto" w:fill="auto"/>
            <w:vAlign w:val="center"/>
          </w:tcPr>
          <w:p w:rsidR="00E13718" w:rsidRPr="00A0281F" w:rsidRDefault="00E13718" w:rsidP="00BE64AA">
            <w:pPr>
              <w:pStyle w:val="TableText0"/>
              <w:keepLines/>
              <w:rPr>
                <w:szCs w:val="20"/>
              </w:rPr>
            </w:pPr>
            <w:r w:rsidRPr="00A0281F">
              <w:rPr>
                <w:szCs w:val="20"/>
              </w:rPr>
              <w:t>Relative risk (95%CI) **</w:t>
            </w:r>
          </w:p>
        </w:tc>
        <w:tc>
          <w:tcPr>
            <w:tcW w:w="1101" w:type="pct"/>
            <w:gridSpan w:val="2"/>
            <w:tcBorders>
              <w:right w:val="single" w:sz="18" w:space="0" w:color="auto"/>
            </w:tcBorders>
            <w:shd w:val="clear" w:color="auto" w:fill="auto"/>
            <w:vAlign w:val="center"/>
          </w:tcPr>
          <w:p w:rsidR="00E13718" w:rsidRPr="00A0281F" w:rsidRDefault="00E13718" w:rsidP="00BE64AA">
            <w:pPr>
              <w:pStyle w:val="TableText0"/>
              <w:keepLines/>
              <w:jc w:val="center"/>
              <w:rPr>
                <w:b/>
                <w:szCs w:val="20"/>
              </w:rPr>
            </w:pPr>
            <w:r w:rsidRPr="00A0281F">
              <w:rPr>
                <w:b/>
                <w:szCs w:val="20"/>
              </w:rPr>
              <w:t>3.0 (2.13, 4.21)</w:t>
            </w:r>
          </w:p>
        </w:tc>
        <w:tc>
          <w:tcPr>
            <w:tcW w:w="1172" w:type="pct"/>
            <w:gridSpan w:val="2"/>
            <w:tcBorders>
              <w:left w:val="single" w:sz="18" w:space="0" w:color="auto"/>
            </w:tcBorders>
            <w:shd w:val="clear" w:color="auto" w:fill="auto"/>
            <w:vAlign w:val="center"/>
          </w:tcPr>
          <w:p w:rsidR="00E13718" w:rsidRPr="00A0281F" w:rsidRDefault="00E13718" w:rsidP="00BE64AA">
            <w:pPr>
              <w:pStyle w:val="TableText0"/>
              <w:keepLines/>
              <w:jc w:val="center"/>
              <w:rPr>
                <w:b/>
                <w:szCs w:val="20"/>
              </w:rPr>
            </w:pPr>
            <w:r w:rsidRPr="00A0281F">
              <w:rPr>
                <w:b/>
                <w:szCs w:val="20"/>
              </w:rPr>
              <w:t>3.69 (2.30, 5.91)</w:t>
            </w:r>
          </w:p>
        </w:tc>
        <w:tc>
          <w:tcPr>
            <w:tcW w:w="1079" w:type="pct"/>
            <w:gridSpan w:val="3"/>
            <w:shd w:val="clear" w:color="auto" w:fill="auto"/>
            <w:vAlign w:val="center"/>
          </w:tcPr>
          <w:p w:rsidR="00E13718" w:rsidRPr="00A0281F" w:rsidRDefault="00E13718" w:rsidP="00BE64AA">
            <w:pPr>
              <w:pStyle w:val="TableText0"/>
              <w:keepLines/>
              <w:jc w:val="center"/>
              <w:rPr>
                <w:b/>
                <w:szCs w:val="20"/>
              </w:rPr>
            </w:pPr>
            <w:r w:rsidRPr="00A0281F">
              <w:rPr>
                <w:b/>
                <w:szCs w:val="20"/>
              </w:rPr>
              <w:t>2.03 (1.29, 3.21)</w:t>
            </w:r>
          </w:p>
        </w:tc>
      </w:tr>
      <w:tr w:rsidR="00E13718" w:rsidRPr="00A0281F" w:rsidTr="002B25A8">
        <w:tc>
          <w:tcPr>
            <w:tcW w:w="1648" w:type="pct"/>
            <w:shd w:val="clear" w:color="auto" w:fill="auto"/>
            <w:vAlign w:val="center"/>
          </w:tcPr>
          <w:p w:rsidR="00E13718" w:rsidRPr="00A0281F" w:rsidRDefault="00E13718" w:rsidP="00BE64AA">
            <w:pPr>
              <w:pStyle w:val="TableText0"/>
              <w:keepLines/>
              <w:rPr>
                <w:szCs w:val="20"/>
              </w:rPr>
            </w:pPr>
            <w:r w:rsidRPr="00A0281F">
              <w:rPr>
                <w:szCs w:val="20"/>
              </w:rPr>
              <w:t>Niraparib versus olaparib risk difference (95%CI)**</w:t>
            </w:r>
          </w:p>
        </w:tc>
        <w:tc>
          <w:tcPr>
            <w:tcW w:w="1101" w:type="pct"/>
            <w:gridSpan w:val="2"/>
            <w:tcBorders>
              <w:right w:val="single" w:sz="18" w:space="0" w:color="auto"/>
            </w:tcBorders>
            <w:shd w:val="clear" w:color="auto" w:fill="auto"/>
            <w:vAlign w:val="center"/>
          </w:tcPr>
          <w:p w:rsidR="00E13718" w:rsidRPr="00A0281F" w:rsidRDefault="00E13718" w:rsidP="00BE64AA">
            <w:pPr>
              <w:pStyle w:val="TableText0"/>
              <w:keepLines/>
              <w:jc w:val="center"/>
              <w:rPr>
                <w:szCs w:val="20"/>
              </w:rPr>
            </w:pPr>
            <w:r w:rsidRPr="00A0281F">
              <w:rPr>
                <w:szCs w:val="20"/>
              </w:rPr>
              <w:t>-----</w:t>
            </w:r>
          </w:p>
        </w:tc>
        <w:tc>
          <w:tcPr>
            <w:tcW w:w="2251" w:type="pct"/>
            <w:gridSpan w:val="5"/>
            <w:tcBorders>
              <w:left w:val="single" w:sz="18" w:space="0" w:color="auto"/>
            </w:tcBorders>
            <w:shd w:val="clear" w:color="auto" w:fill="auto"/>
            <w:vAlign w:val="center"/>
          </w:tcPr>
          <w:p w:rsidR="00E13718" w:rsidRPr="00A0281F" w:rsidRDefault="00E13718" w:rsidP="00BE64AA">
            <w:pPr>
              <w:pStyle w:val="TableText0"/>
              <w:keepLines/>
              <w:jc w:val="center"/>
              <w:rPr>
                <w:b/>
                <w:szCs w:val="20"/>
              </w:rPr>
            </w:pPr>
            <w:r w:rsidRPr="00A0281F">
              <w:rPr>
                <w:b/>
                <w:szCs w:val="20"/>
              </w:rPr>
              <w:t>42.5% (32.9%, 52.1%)</w:t>
            </w:r>
          </w:p>
        </w:tc>
      </w:tr>
      <w:tr w:rsidR="00E13718" w:rsidRPr="00A0281F" w:rsidTr="002B25A8">
        <w:tc>
          <w:tcPr>
            <w:tcW w:w="1648" w:type="pct"/>
            <w:shd w:val="clear" w:color="auto" w:fill="auto"/>
            <w:vAlign w:val="center"/>
          </w:tcPr>
          <w:p w:rsidR="00E13718" w:rsidRPr="00A0281F" w:rsidRDefault="00E13718" w:rsidP="00BE64AA">
            <w:pPr>
              <w:pStyle w:val="TableText0"/>
              <w:keepLines/>
              <w:rPr>
                <w:szCs w:val="20"/>
              </w:rPr>
            </w:pPr>
            <w:r w:rsidRPr="00A0281F">
              <w:rPr>
                <w:szCs w:val="20"/>
              </w:rPr>
              <w:t>Niraparib versus olaparib relative risk (95%CI) **</w:t>
            </w:r>
          </w:p>
        </w:tc>
        <w:tc>
          <w:tcPr>
            <w:tcW w:w="1101" w:type="pct"/>
            <w:gridSpan w:val="2"/>
            <w:tcBorders>
              <w:right w:val="single" w:sz="18" w:space="0" w:color="auto"/>
            </w:tcBorders>
            <w:shd w:val="clear" w:color="auto" w:fill="auto"/>
            <w:vAlign w:val="center"/>
          </w:tcPr>
          <w:p w:rsidR="00E13718" w:rsidRPr="00A0281F" w:rsidRDefault="00E13718" w:rsidP="00BE64AA">
            <w:pPr>
              <w:pStyle w:val="TableText0"/>
              <w:keepLines/>
              <w:jc w:val="center"/>
              <w:rPr>
                <w:b/>
                <w:szCs w:val="20"/>
              </w:rPr>
            </w:pPr>
            <w:r w:rsidRPr="00A0281F">
              <w:rPr>
                <w:szCs w:val="20"/>
              </w:rPr>
              <w:t>-----</w:t>
            </w:r>
          </w:p>
        </w:tc>
        <w:tc>
          <w:tcPr>
            <w:tcW w:w="2251" w:type="pct"/>
            <w:gridSpan w:val="5"/>
            <w:tcBorders>
              <w:left w:val="single" w:sz="18" w:space="0" w:color="auto"/>
            </w:tcBorders>
            <w:shd w:val="clear" w:color="auto" w:fill="auto"/>
            <w:vAlign w:val="center"/>
          </w:tcPr>
          <w:p w:rsidR="00E13718" w:rsidRPr="00A0281F" w:rsidRDefault="00E13718" w:rsidP="00BE64AA">
            <w:pPr>
              <w:pStyle w:val="TableText0"/>
              <w:keepLines/>
              <w:jc w:val="center"/>
              <w:rPr>
                <w:b/>
                <w:szCs w:val="20"/>
              </w:rPr>
            </w:pPr>
            <w:r w:rsidRPr="00A0281F">
              <w:rPr>
                <w:b/>
                <w:szCs w:val="20"/>
              </w:rPr>
              <w:t>2.15 (1.76, 2.63)</w:t>
            </w:r>
          </w:p>
        </w:tc>
      </w:tr>
      <w:tr w:rsidR="00E13718" w:rsidRPr="00A0281F" w:rsidTr="002B25A8">
        <w:tc>
          <w:tcPr>
            <w:tcW w:w="1648" w:type="pct"/>
            <w:shd w:val="clear" w:color="auto" w:fill="auto"/>
            <w:vAlign w:val="center"/>
          </w:tcPr>
          <w:p w:rsidR="00E13718" w:rsidRPr="00A0281F" w:rsidRDefault="00E13718" w:rsidP="00BE64AA">
            <w:pPr>
              <w:pStyle w:val="TableText0"/>
              <w:keepLines/>
              <w:rPr>
                <w:b/>
              </w:rPr>
            </w:pPr>
            <w:r w:rsidRPr="00A0281F">
              <w:rPr>
                <w:b/>
                <w:szCs w:val="20"/>
              </w:rPr>
              <w:t>SAEs</w:t>
            </w:r>
          </w:p>
        </w:tc>
        <w:tc>
          <w:tcPr>
            <w:tcW w:w="550" w:type="pct"/>
            <w:shd w:val="clear" w:color="auto" w:fill="auto"/>
            <w:vAlign w:val="center"/>
          </w:tcPr>
          <w:p w:rsidR="00E13718" w:rsidRPr="00A0281F" w:rsidRDefault="00E13718" w:rsidP="00BE64AA">
            <w:pPr>
              <w:pStyle w:val="TableText0"/>
              <w:keepLines/>
              <w:jc w:val="center"/>
            </w:pPr>
            <w:r w:rsidRPr="00A0281F">
              <w:rPr>
                <w:szCs w:val="20"/>
              </w:rPr>
              <w:t>68 (29.4)</w:t>
            </w:r>
          </w:p>
        </w:tc>
        <w:tc>
          <w:tcPr>
            <w:tcW w:w="551" w:type="pct"/>
            <w:tcBorders>
              <w:right w:val="single" w:sz="18" w:space="0" w:color="auto"/>
            </w:tcBorders>
            <w:shd w:val="clear" w:color="auto" w:fill="auto"/>
            <w:vAlign w:val="center"/>
          </w:tcPr>
          <w:p w:rsidR="00E13718" w:rsidRPr="00A0281F" w:rsidRDefault="00E13718" w:rsidP="00BE64AA">
            <w:pPr>
              <w:pStyle w:val="TableText0"/>
              <w:keepLines/>
              <w:jc w:val="center"/>
            </w:pPr>
            <w:r w:rsidRPr="00A0281F">
              <w:rPr>
                <w:szCs w:val="20"/>
              </w:rPr>
              <w:t>20 (17.5)</w:t>
            </w:r>
          </w:p>
        </w:tc>
        <w:tc>
          <w:tcPr>
            <w:tcW w:w="594" w:type="pct"/>
            <w:tcBorders>
              <w:left w:val="single" w:sz="18" w:space="0" w:color="auto"/>
            </w:tcBorders>
            <w:shd w:val="clear" w:color="auto" w:fill="auto"/>
            <w:vAlign w:val="center"/>
          </w:tcPr>
          <w:p w:rsidR="00E13718" w:rsidRPr="00A0281F" w:rsidRDefault="00E13718" w:rsidP="00BE64AA">
            <w:pPr>
              <w:pStyle w:val="TableText0"/>
              <w:keepLines/>
              <w:jc w:val="center"/>
            </w:pPr>
            <w:r w:rsidRPr="00A0281F">
              <w:rPr>
                <w:szCs w:val="20"/>
              </w:rPr>
              <w:t>42 (30.9)</w:t>
            </w:r>
          </w:p>
        </w:tc>
        <w:tc>
          <w:tcPr>
            <w:tcW w:w="578" w:type="pct"/>
            <w:shd w:val="clear" w:color="auto" w:fill="auto"/>
            <w:vAlign w:val="center"/>
          </w:tcPr>
          <w:p w:rsidR="00E13718" w:rsidRPr="00A0281F" w:rsidRDefault="00E13718" w:rsidP="00BE64AA">
            <w:pPr>
              <w:pStyle w:val="TableText0"/>
              <w:keepLines/>
              <w:jc w:val="center"/>
            </w:pPr>
            <w:r w:rsidRPr="00A0281F">
              <w:rPr>
                <w:szCs w:val="20"/>
              </w:rPr>
              <w:t>7 (10.8)</w:t>
            </w:r>
          </w:p>
        </w:tc>
        <w:tc>
          <w:tcPr>
            <w:tcW w:w="574" w:type="pct"/>
            <w:gridSpan w:val="2"/>
            <w:shd w:val="clear" w:color="auto" w:fill="auto"/>
            <w:vAlign w:val="center"/>
          </w:tcPr>
          <w:p w:rsidR="00E13718" w:rsidRPr="00A0281F" w:rsidRDefault="00E13718" w:rsidP="00BE64AA">
            <w:pPr>
              <w:pStyle w:val="TableText0"/>
              <w:keepLines/>
              <w:jc w:val="center"/>
            </w:pPr>
            <w:r w:rsidRPr="00A0281F">
              <w:rPr>
                <w:szCs w:val="20"/>
              </w:rPr>
              <w:t>35 (17.9)</w:t>
            </w:r>
          </w:p>
        </w:tc>
        <w:tc>
          <w:tcPr>
            <w:tcW w:w="505" w:type="pct"/>
            <w:shd w:val="clear" w:color="auto" w:fill="auto"/>
            <w:vAlign w:val="center"/>
          </w:tcPr>
          <w:p w:rsidR="00E13718" w:rsidRPr="00A0281F" w:rsidRDefault="00E13718" w:rsidP="00BE64AA">
            <w:pPr>
              <w:pStyle w:val="TableText0"/>
              <w:keepLines/>
              <w:jc w:val="center"/>
            </w:pPr>
            <w:r w:rsidRPr="00A0281F">
              <w:rPr>
                <w:szCs w:val="20"/>
              </w:rPr>
              <w:t>8 (8.1)</w:t>
            </w:r>
          </w:p>
        </w:tc>
      </w:tr>
      <w:tr w:rsidR="00E13718" w:rsidRPr="00A0281F" w:rsidTr="002B25A8">
        <w:tc>
          <w:tcPr>
            <w:tcW w:w="1648" w:type="pct"/>
            <w:shd w:val="clear" w:color="auto" w:fill="auto"/>
            <w:vAlign w:val="center"/>
          </w:tcPr>
          <w:p w:rsidR="00E13718" w:rsidRPr="00A0281F" w:rsidRDefault="00E13718" w:rsidP="00BE64AA">
            <w:pPr>
              <w:pStyle w:val="TableText0"/>
              <w:keepLines/>
              <w:rPr>
                <w:szCs w:val="20"/>
              </w:rPr>
            </w:pPr>
            <w:r w:rsidRPr="00A0281F">
              <w:rPr>
                <w:szCs w:val="20"/>
              </w:rPr>
              <w:t>Risk difference (95%CI)**</w:t>
            </w:r>
          </w:p>
        </w:tc>
        <w:tc>
          <w:tcPr>
            <w:tcW w:w="1101" w:type="pct"/>
            <w:gridSpan w:val="2"/>
            <w:tcBorders>
              <w:right w:val="single" w:sz="18" w:space="0" w:color="auto"/>
            </w:tcBorders>
            <w:shd w:val="clear" w:color="auto" w:fill="auto"/>
            <w:vAlign w:val="center"/>
          </w:tcPr>
          <w:p w:rsidR="00E13718" w:rsidRPr="00A0281F" w:rsidRDefault="00E13718" w:rsidP="00BE64AA">
            <w:pPr>
              <w:pStyle w:val="TableText0"/>
              <w:keepLines/>
              <w:jc w:val="center"/>
              <w:rPr>
                <w:b/>
                <w:szCs w:val="20"/>
              </w:rPr>
            </w:pPr>
            <w:r w:rsidRPr="00A0281F">
              <w:rPr>
                <w:b/>
                <w:szCs w:val="20"/>
              </w:rPr>
              <w:t>11.9% (2.78%, 21.02%)</w:t>
            </w:r>
          </w:p>
        </w:tc>
        <w:tc>
          <w:tcPr>
            <w:tcW w:w="1172" w:type="pct"/>
            <w:gridSpan w:val="2"/>
            <w:tcBorders>
              <w:left w:val="single" w:sz="18" w:space="0" w:color="auto"/>
            </w:tcBorders>
            <w:shd w:val="clear" w:color="auto" w:fill="auto"/>
            <w:vAlign w:val="center"/>
          </w:tcPr>
          <w:p w:rsidR="00E13718" w:rsidRPr="00A0281F" w:rsidRDefault="00E13718" w:rsidP="00BE64AA">
            <w:pPr>
              <w:pStyle w:val="TableText0"/>
              <w:keepLines/>
              <w:jc w:val="center"/>
              <w:rPr>
                <w:b/>
                <w:szCs w:val="20"/>
              </w:rPr>
            </w:pPr>
            <w:r w:rsidRPr="00A0281F">
              <w:rPr>
                <w:b/>
                <w:szCs w:val="20"/>
              </w:rPr>
              <w:t>20.1% (9.29%, 30.93%)</w:t>
            </w:r>
          </w:p>
        </w:tc>
        <w:tc>
          <w:tcPr>
            <w:tcW w:w="1079" w:type="pct"/>
            <w:gridSpan w:val="3"/>
            <w:shd w:val="clear" w:color="auto" w:fill="auto"/>
            <w:vAlign w:val="center"/>
          </w:tcPr>
          <w:p w:rsidR="00E13718" w:rsidRPr="00A0281F" w:rsidRDefault="00E13718" w:rsidP="00BE64AA">
            <w:pPr>
              <w:pStyle w:val="TableText0"/>
              <w:keepLines/>
              <w:jc w:val="center"/>
              <w:rPr>
                <w:b/>
                <w:szCs w:val="20"/>
              </w:rPr>
            </w:pPr>
            <w:r w:rsidRPr="00A0281F">
              <w:rPr>
                <w:b/>
                <w:szCs w:val="20"/>
              </w:rPr>
              <w:t>9.87% (2.26%, 17.5%)</w:t>
            </w:r>
          </w:p>
        </w:tc>
      </w:tr>
      <w:tr w:rsidR="00E13718" w:rsidRPr="00A0281F" w:rsidTr="002B25A8">
        <w:tc>
          <w:tcPr>
            <w:tcW w:w="1648" w:type="pct"/>
            <w:shd w:val="clear" w:color="auto" w:fill="auto"/>
            <w:vAlign w:val="center"/>
          </w:tcPr>
          <w:p w:rsidR="00E13718" w:rsidRPr="00A0281F" w:rsidRDefault="00E13718" w:rsidP="00BE64AA">
            <w:pPr>
              <w:pStyle w:val="TableText0"/>
              <w:keepLines/>
              <w:rPr>
                <w:szCs w:val="20"/>
              </w:rPr>
            </w:pPr>
            <w:r w:rsidRPr="00A0281F">
              <w:rPr>
                <w:szCs w:val="20"/>
              </w:rPr>
              <w:t>Relative risk (95%CI) **</w:t>
            </w:r>
          </w:p>
        </w:tc>
        <w:tc>
          <w:tcPr>
            <w:tcW w:w="1101" w:type="pct"/>
            <w:gridSpan w:val="2"/>
            <w:tcBorders>
              <w:right w:val="single" w:sz="18" w:space="0" w:color="auto"/>
            </w:tcBorders>
            <w:shd w:val="clear" w:color="auto" w:fill="auto"/>
            <w:vAlign w:val="center"/>
          </w:tcPr>
          <w:p w:rsidR="00E13718" w:rsidRPr="00A0281F" w:rsidRDefault="00E13718" w:rsidP="00BE64AA">
            <w:pPr>
              <w:pStyle w:val="TableText0"/>
              <w:keepLines/>
              <w:jc w:val="center"/>
              <w:rPr>
                <w:b/>
                <w:szCs w:val="20"/>
              </w:rPr>
            </w:pPr>
            <w:r w:rsidRPr="00A0281F">
              <w:rPr>
                <w:b/>
                <w:szCs w:val="20"/>
              </w:rPr>
              <w:t>1.68 (1.08, 2.62)</w:t>
            </w:r>
          </w:p>
        </w:tc>
        <w:tc>
          <w:tcPr>
            <w:tcW w:w="1172" w:type="pct"/>
            <w:gridSpan w:val="2"/>
            <w:tcBorders>
              <w:left w:val="single" w:sz="18" w:space="0" w:color="auto"/>
            </w:tcBorders>
            <w:shd w:val="clear" w:color="auto" w:fill="auto"/>
            <w:vAlign w:val="center"/>
          </w:tcPr>
          <w:p w:rsidR="00E13718" w:rsidRPr="00A0281F" w:rsidRDefault="00E13718" w:rsidP="00BE64AA">
            <w:pPr>
              <w:pStyle w:val="TableText0"/>
              <w:keepLines/>
              <w:jc w:val="center"/>
              <w:rPr>
                <w:b/>
                <w:szCs w:val="20"/>
              </w:rPr>
            </w:pPr>
            <w:r w:rsidRPr="00A0281F">
              <w:rPr>
                <w:b/>
                <w:szCs w:val="20"/>
              </w:rPr>
              <w:t>2.87 (1.36, 6.03)</w:t>
            </w:r>
          </w:p>
        </w:tc>
        <w:tc>
          <w:tcPr>
            <w:tcW w:w="1079" w:type="pct"/>
            <w:gridSpan w:val="3"/>
            <w:shd w:val="clear" w:color="auto" w:fill="auto"/>
            <w:vAlign w:val="center"/>
          </w:tcPr>
          <w:p w:rsidR="00E13718" w:rsidRPr="00A0281F" w:rsidRDefault="00E13718" w:rsidP="00BE64AA">
            <w:pPr>
              <w:pStyle w:val="TableText0"/>
              <w:keepLines/>
              <w:jc w:val="center"/>
              <w:rPr>
                <w:b/>
                <w:szCs w:val="20"/>
              </w:rPr>
            </w:pPr>
            <w:r w:rsidRPr="00A0281F">
              <w:rPr>
                <w:b/>
                <w:szCs w:val="20"/>
              </w:rPr>
              <w:t>2.22 (1.07, 4.61)</w:t>
            </w:r>
          </w:p>
        </w:tc>
      </w:tr>
      <w:tr w:rsidR="00E13718" w:rsidRPr="00A0281F" w:rsidTr="002B25A8">
        <w:tc>
          <w:tcPr>
            <w:tcW w:w="1648" w:type="pct"/>
            <w:shd w:val="clear" w:color="auto" w:fill="auto"/>
            <w:vAlign w:val="center"/>
          </w:tcPr>
          <w:p w:rsidR="00E13718" w:rsidRPr="00A0281F" w:rsidRDefault="00E13718" w:rsidP="00BE64AA">
            <w:pPr>
              <w:pStyle w:val="TableText0"/>
              <w:keepLines/>
              <w:rPr>
                <w:szCs w:val="20"/>
              </w:rPr>
            </w:pPr>
            <w:r w:rsidRPr="00A0281F">
              <w:rPr>
                <w:szCs w:val="20"/>
              </w:rPr>
              <w:t>Niraparib versus olaparib risk difference (95%CI)**</w:t>
            </w:r>
          </w:p>
        </w:tc>
        <w:tc>
          <w:tcPr>
            <w:tcW w:w="1101" w:type="pct"/>
            <w:gridSpan w:val="2"/>
            <w:tcBorders>
              <w:right w:val="single" w:sz="18" w:space="0" w:color="auto"/>
            </w:tcBorders>
            <w:shd w:val="clear" w:color="auto" w:fill="auto"/>
            <w:vAlign w:val="center"/>
          </w:tcPr>
          <w:p w:rsidR="00E13718" w:rsidRPr="00A0281F" w:rsidRDefault="00E13718" w:rsidP="00BE64AA">
            <w:pPr>
              <w:pStyle w:val="TableText0"/>
              <w:keepLines/>
              <w:jc w:val="center"/>
              <w:rPr>
                <w:szCs w:val="20"/>
              </w:rPr>
            </w:pPr>
            <w:r w:rsidRPr="00A0281F">
              <w:rPr>
                <w:szCs w:val="20"/>
              </w:rPr>
              <w:t>-----</w:t>
            </w:r>
          </w:p>
        </w:tc>
        <w:tc>
          <w:tcPr>
            <w:tcW w:w="2251" w:type="pct"/>
            <w:gridSpan w:val="5"/>
            <w:tcBorders>
              <w:left w:val="single" w:sz="18" w:space="0" w:color="auto"/>
            </w:tcBorders>
            <w:shd w:val="clear" w:color="auto" w:fill="auto"/>
            <w:vAlign w:val="center"/>
          </w:tcPr>
          <w:p w:rsidR="00E13718" w:rsidRPr="00A0281F" w:rsidRDefault="00E13718" w:rsidP="00BE64AA">
            <w:pPr>
              <w:pStyle w:val="TableText0"/>
              <w:keepLines/>
              <w:jc w:val="center"/>
              <w:rPr>
                <w:b/>
                <w:szCs w:val="20"/>
              </w:rPr>
            </w:pPr>
            <w:r w:rsidRPr="00A0281F">
              <w:rPr>
                <w:b/>
                <w:szCs w:val="20"/>
              </w:rPr>
              <w:t>12.9% (3.5%, 22.4%)</w:t>
            </w:r>
          </w:p>
        </w:tc>
      </w:tr>
      <w:tr w:rsidR="00E13718" w:rsidRPr="00A0281F" w:rsidTr="002B25A8">
        <w:tc>
          <w:tcPr>
            <w:tcW w:w="1648" w:type="pct"/>
            <w:shd w:val="clear" w:color="auto" w:fill="auto"/>
            <w:vAlign w:val="center"/>
          </w:tcPr>
          <w:p w:rsidR="00E13718" w:rsidRPr="00A0281F" w:rsidRDefault="00E13718" w:rsidP="00BE64AA">
            <w:pPr>
              <w:pStyle w:val="TableText0"/>
              <w:keepLines/>
              <w:rPr>
                <w:szCs w:val="20"/>
              </w:rPr>
            </w:pPr>
            <w:r w:rsidRPr="00A0281F">
              <w:rPr>
                <w:szCs w:val="20"/>
              </w:rPr>
              <w:t>Niraparib versus olaparib relative risk (95%CI)**</w:t>
            </w:r>
          </w:p>
        </w:tc>
        <w:tc>
          <w:tcPr>
            <w:tcW w:w="1101" w:type="pct"/>
            <w:gridSpan w:val="2"/>
            <w:tcBorders>
              <w:right w:val="single" w:sz="18" w:space="0" w:color="auto"/>
            </w:tcBorders>
            <w:shd w:val="clear" w:color="auto" w:fill="auto"/>
            <w:vAlign w:val="center"/>
          </w:tcPr>
          <w:p w:rsidR="00E13718" w:rsidRPr="00A0281F" w:rsidRDefault="00E13718" w:rsidP="00BE64AA">
            <w:pPr>
              <w:pStyle w:val="TableText0"/>
              <w:keepLines/>
              <w:jc w:val="center"/>
              <w:rPr>
                <w:b/>
                <w:szCs w:val="20"/>
              </w:rPr>
            </w:pPr>
            <w:r w:rsidRPr="00A0281F">
              <w:rPr>
                <w:szCs w:val="20"/>
              </w:rPr>
              <w:t>-----</w:t>
            </w:r>
          </w:p>
        </w:tc>
        <w:tc>
          <w:tcPr>
            <w:tcW w:w="2251" w:type="pct"/>
            <w:gridSpan w:val="5"/>
            <w:tcBorders>
              <w:left w:val="single" w:sz="18" w:space="0" w:color="auto"/>
            </w:tcBorders>
            <w:shd w:val="clear" w:color="auto" w:fill="auto"/>
            <w:vAlign w:val="center"/>
          </w:tcPr>
          <w:p w:rsidR="00E13718" w:rsidRPr="00A0281F" w:rsidRDefault="00E13718" w:rsidP="00BE64AA">
            <w:pPr>
              <w:pStyle w:val="TableText0"/>
              <w:keepLines/>
              <w:jc w:val="center"/>
              <w:rPr>
                <w:b/>
                <w:szCs w:val="20"/>
              </w:rPr>
            </w:pPr>
            <w:r w:rsidRPr="00A0281F">
              <w:rPr>
                <w:b/>
                <w:szCs w:val="20"/>
              </w:rPr>
              <w:t>1.72 (1.16, 2.55)</w:t>
            </w:r>
          </w:p>
        </w:tc>
      </w:tr>
      <w:tr w:rsidR="00E13718" w:rsidRPr="00A0281F" w:rsidTr="002B25A8">
        <w:tc>
          <w:tcPr>
            <w:tcW w:w="1648" w:type="pct"/>
            <w:shd w:val="clear" w:color="auto" w:fill="auto"/>
            <w:vAlign w:val="center"/>
          </w:tcPr>
          <w:p w:rsidR="00E13718" w:rsidRPr="00A0281F" w:rsidRDefault="00E13718" w:rsidP="00BE64AA">
            <w:pPr>
              <w:pStyle w:val="TableText0"/>
              <w:keepLines/>
              <w:rPr>
                <w:b/>
              </w:rPr>
            </w:pPr>
            <w:r w:rsidRPr="00A0281F">
              <w:rPr>
                <w:b/>
                <w:szCs w:val="20"/>
              </w:rPr>
              <w:t>TEAEs leading to discontinuation</w:t>
            </w:r>
          </w:p>
        </w:tc>
        <w:tc>
          <w:tcPr>
            <w:tcW w:w="550" w:type="pct"/>
            <w:shd w:val="clear" w:color="auto" w:fill="auto"/>
            <w:vAlign w:val="center"/>
          </w:tcPr>
          <w:p w:rsidR="00E13718" w:rsidRPr="00A0281F" w:rsidRDefault="00E13718" w:rsidP="00BE64AA">
            <w:pPr>
              <w:pStyle w:val="TableText0"/>
              <w:keepLines/>
              <w:jc w:val="center"/>
            </w:pPr>
            <w:r w:rsidRPr="00A0281F">
              <w:rPr>
                <w:szCs w:val="20"/>
              </w:rPr>
              <w:t>36 (15.6)</w:t>
            </w:r>
          </w:p>
        </w:tc>
        <w:tc>
          <w:tcPr>
            <w:tcW w:w="551" w:type="pct"/>
            <w:tcBorders>
              <w:right w:val="single" w:sz="18" w:space="0" w:color="auto"/>
            </w:tcBorders>
            <w:shd w:val="clear" w:color="auto" w:fill="auto"/>
            <w:vAlign w:val="center"/>
          </w:tcPr>
          <w:p w:rsidR="00E13718" w:rsidRPr="00A0281F" w:rsidRDefault="00E13718" w:rsidP="00BE64AA">
            <w:pPr>
              <w:pStyle w:val="TableText0"/>
              <w:keepLines/>
              <w:jc w:val="center"/>
            </w:pPr>
            <w:r w:rsidRPr="00A0281F">
              <w:rPr>
                <w:szCs w:val="20"/>
              </w:rPr>
              <w:t>3 (2.6)</w:t>
            </w:r>
          </w:p>
        </w:tc>
        <w:tc>
          <w:tcPr>
            <w:tcW w:w="594" w:type="pct"/>
            <w:tcBorders>
              <w:left w:val="single" w:sz="18" w:space="0" w:color="auto"/>
            </w:tcBorders>
            <w:shd w:val="clear" w:color="auto" w:fill="auto"/>
            <w:vAlign w:val="center"/>
          </w:tcPr>
          <w:p w:rsidR="00E13718" w:rsidRPr="00A0281F" w:rsidRDefault="00E13718" w:rsidP="00BE64AA">
            <w:pPr>
              <w:pStyle w:val="TableText0"/>
              <w:keepLines/>
              <w:jc w:val="center"/>
            </w:pPr>
            <w:r w:rsidRPr="00A0281F">
              <w:rPr>
                <w:szCs w:val="20"/>
              </w:rPr>
              <w:t>18 (13.2)</w:t>
            </w:r>
          </w:p>
        </w:tc>
        <w:tc>
          <w:tcPr>
            <w:tcW w:w="578" w:type="pct"/>
            <w:shd w:val="clear" w:color="auto" w:fill="auto"/>
            <w:vAlign w:val="center"/>
          </w:tcPr>
          <w:p w:rsidR="00E13718" w:rsidRPr="00A0281F" w:rsidRDefault="00E13718" w:rsidP="00BE64AA">
            <w:pPr>
              <w:pStyle w:val="TableText0"/>
              <w:keepLines/>
              <w:jc w:val="center"/>
            </w:pPr>
            <w:r w:rsidRPr="00A0281F">
              <w:rPr>
                <w:szCs w:val="20"/>
              </w:rPr>
              <w:t>1 (1.5)</w:t>
            </w:r>
          </w:p>
        </w:tc>
        <w:tc>
          <w:tcPr>
            <w:tcW w:w="574" w:type="pct"/>
            <w:gridSpan w:val="2"/>
            <w:shd w:val="clear" w:color="auto" w:fill="auto"/>
            <w:vAlign w:val="center"/>
          </w:tcPr>
          <w:p w:rsidR="00E13718" w:rsidRPr="00A0281F" w:rsidRDefault="00E13718" w:rsidP="00BE64AA">
            <w:pPr>
              <w:pStyle w:val="TableText0"/>
              <w:keepLines/>
              <w:jc w:val="center"/>
            </w:pPr>
            <w:r w:rsidRPr="00A0281F">
              <w:rPr>
                <w:szCs w:val="20"/>
              </w:rPr>
              <w:t>21 (10.8)</w:t>
            </w:r>
          </w:p>
        </w:tc>
        <w:tc>
          <w:tcPr>
            <w:tcW w:w="505" w:type="pct"/>
            <w:shd w:val="clear" w:color="auto" w:fill="auto"/>
            <w:vAlign w:val="center"/>
          </w:tcPr>
          <w:p w:rsidR="00E13718" w:rsidRPr="00A0281F" w:rsidRDefault="00E13718" w:rsidP="00BE64AA">
            <w:pPr>
              <w:pStyle w:val="TableText0"/>
              <w:keepLines/>
              <w:jc w:val="center"/>
            </w:pPr>
            <w:r w:rsidRPr="00A0281F">
              <w:rPr>
                <w:szCs w:val="20"/>
              </w:rPr>
              <w:t>2 (2.0)</w:t>
            </w:r>
          </w:p>
        </w:tc>
      </w:tr>
      <w:tr w:rsidR="00E13718" w:rsidRPr="00A0281F" w:rsidTr="002B25A8">
        <w:tc>
          <w:tcPr>
            <w:tcW w:w="1648" w:type="pct"/>
            <w:shd w:val="clear" w:color="auto" w:fill="auto"/>
            <w:vAlign w:val="center"/>
          </w:tcPr>
          <w:p w:rsidR="00E13718" w:rsidRPr="00A0281F" w:rsidRDefault="00E13718" w:rsidP="00BE64AA">
            <w:pPr>
              <w:pStyle w:val="TableText0"/>
              <w:keepLines/>
            </w:pPr>
            <w:r w:rsidRPr="00A0281F">
              <w:rPr>
                <w:szCs w:val="20"/>
              </w:rPr>
              <w:t>Risk difference (95%CI)**</w:t>
            </w:r>
          </w:p>
        </w:tc>
        <w:tc>
          <w:tcPr>
            <w:tcW w:w="1101" w:type="pct"/>
            <w:gridSpan w:val="2"/>
            <w:tcBorders>
              <w:right w:val="single" w:sz="18" w:space="0" w:color="auto"/>
            </w:tcBorders>
            <w:shd w:val="clear" w:color="auto" w:fill="auto"/>
            <w:vAlign w:val="center"/>
          </w:tcPr>
          <w:p w:rsidR="00E13718" w:rsidRPr="00A0281F" w:rsidRDefault="00E13718" w:rsidP="00BE64AA">
            <w:pPr>
              <w:pStyle w:val="TableText0"/>
              <w:keepLines/>
              <w:jc w:val="center"/>
              <w:rPr>
                <w:b/>
              </w:rPr>
            </w:pPr>
            <w:r w:rsidRPr="00A0281F">
              <w:rPr>
                <w:b/>
              </w:rPr>
              <w:t>13.0% (7.43%, 18.58%)</w:t>
            </w:r>
          </w:p>
        </w:tc>
        <w:tc>
          <w:tcPr>
            <w:tcW w:w="1172" w:type="pct"/>
            <w:gridSpan w:val="2"/>
            <w:tcBorders>
              <w:left w:val="single" w:sz="18" w:space="0" w:color="auto"/>
            </w:tcBorders>
            <w:shd w:val="clear" w:color="auto" w:fill="auto"/>
            <w:vAlign w:val="center"/>
          </w:tcPr>
          <w:p w:rsidR="00E13718" w:rsidRPr="00A0281F" w:rsidRDefault="00E13718" w:rsidP="00BE64AA">
            <w:pPr>
              <w:pStyle w:val="TableText0"/>
              <w:keepLines/>
              <w:jc w:val="center"/>
              <w:rPr>
                <w:b/>
              </w:rPr>
            </w:pPr>
            <w:r w:rsidRPr="00A0281F">
              <w:rPr>
                <w:b/>
              </w:rPr>
              <w:t>11.7% (5.26%, 18.13%)</w:t>
            </w:r>
          </w:p>
        </w:tc>
        <w:tc>
          <w:tcPr>
            <w:tcW w:w="1079" w:type="pct"/>
            <w:gridSpan w:val="3"/>
            <w:shd w:val="clear" w:color="auto" w:fill="auto"/>
            <w:vAlign w:val="center"/>
          </w:tcPr>
          <w:p w:rsidR="00E13718" w:rsidRPr="00A0281F" w:rsidRDefault="00E13718" w:rsidP="00BE64AA">
            <w:pPr>
              <w:pStyle w:val="TableText0"/>
              <w:keepLines/>
              <w:jc w:val="center"/>
              <w:rPr>
                <w:b/>
              </w:rPr>
            </w:pPr>
            <w:r w:rsidRPr="00A0281F">
              <w:rPr>
                <w:b/>
              </w:rPr>
              <w:t>8.75% (3.59%, 13.9%)</w:t>
            </w:r>
          </w:p>
        </w:tc>
      </w:tr>
      <w:tr w:rsidR="00E13718" w:rsidRPr="00A0281F" w:rsidTr="002B25A8">
        <w:tc>
          <w:tcPr>
            <w:tcW w:w="1648" w:type="pct"/>
            <w:shd w:val="clear" w:color="auto" w:fill="auto"/>
            <w:vAlign w:val="center"/>
          </w:tcPr>
          <w:p w:rsidR="00E13718" w:rsidRPr="00A0281F" w:rsidRDefault="00E13718" w:rsidP="00BE64AA">
            <w:pPr>
              <w:pStyle w:val="TableText0"/>
              <w:keepLines/>
              <w:rPr>
                <w:szCs w:val="20"/>
              </w:rPr>
            </w:pPr>
            <w:r w:rsidRPr="00A0281F">
              <w:rPr>
                <w:szCs w:val="20"/>
              </w:rPr>
              <w:t>Relative risk (95%CI)**</w:t>
            </w:r>
          </w:p>
        </w:tc>
        <w:tc>
          <w:tcPr>
            <w:tcW w:w="1101" w:type="pct"/>
            <w:gridSpan w:val="2"/>
            <w:tcBorders>
              <w:right w:val="single" w:sz="18" w:space="0" w:color="auto"/>
            </w:tcBorders>
            <w:shd w:val="clear" w:color="auto" w:fill="auto"/>
            <w:vAlign w:val="center"/>
          </w:tcPr>
          <w:p w:rsidR="00E13718" w:rsidRPr="00A0281F" w:rsidRDefault="00E13718" w:rsidP="00BE64AA">
            <w:pPr>
              <w:pStyle w:val="TableText0"/>
              <w:keepLines/>
              <w:jc w:val="center"/>
              <w:rPr>
                <w:b/>
              </w:rPr>
            </w:pPr>
            <w:r w:rsidRPr="00A0281F">
              <w:rPr>
                <w:b/>
              </w:rPr>
              <w:t>5.92 (1.86, 18.82)</w:t>
            </w:r>
          </w:p>
        </w:tc>
        <w:tc>
          <w:tcPr>
            <w:tcW w:w="1172" w:type="pct"/>
            <w:gridSpan w:val="2"/>
            <w:tcBorders>
              <w:left w:val="single" w:sz="18" w:space="0" w:color="auto"/>
            </w:tcBorders>
            <w:shd w:val="clear" w:color="auto" w:fill="auto"/>
            <w:vAlign w:val="center"/>
          </w:tcPr>
          <w:p w:rsidR="00E13718" w:rsidRPr="00A0281F" w:rsidRDefault="00E13718" w:rsidP="00BE64AA">
            <w:pPr>
              <w:pStyle w:val="TableText0"/>
              <w:keepLines/>
              <w:jc w:val="center"/>
              <w:rPr>
                <w:b/>
              </w:rPr>
            </w:pPr>
            <w:r w:rsidRPr="00A0281F">
              <w:rPr>
                <w:b/>
              </w:rPr>
              <w:t>8.60 (1.17, 63.1)</w:t>
            </w:r>
          </w:p>
        </w:tc>
        <w:tc>
          <w:tcPr>
            <w:tcW w:w="1079" w:type="pct"/>
            <w:gridSpan w:val="3"/>
            <w:shd w:val="clear" w:color="auto" w:fill="auto"/>
            <w:vAlign w:val="center"/>
          </w:tcPr>
          <w:p w:rsidR="00E13718" w:rsidRPr="00A0281F" w:rsidRDefault="00E13718" w:rsidP="00BE64AA">
            <w:pPr>
              <w:pStyle w:val="TableText0"/>
              <w:keepLines/>
              <w:jc w:val="center"/>
              <w:rPr>
                <w:b/>
              </w:rPr>
            </w:pPr>
            <w:r w:rsidRPr="00A0281F">
              <w:rPr>
                <w:b/>
              </w:rPr>
              <w:t>5.33 (1.28, 22.3)</w:t>
            </w:r>
          </w:p>
        </w:tc>
      </w:tr>
      <w:tr w:rsidR="00E13718" w:rsidRPr="00A0281F" w:rsidTr="002B25A8">
        <w:tc>
          <w:tcPr>
            <w:tcW w:w="1648" w:type="pct"/>
            <w:shd w:val="clear" w:color="auto" w:fill="auto"/>
            <w:vAlign w:val="center"/>
          </w:tcPr>
          <w:p w:rsidR="00E13718" w:rsidRPr="00A0281F" w:rsidRDefault="00E13718" w:rsidP="00BE64AA">
            <w:pPr>
              <w:pStyle w:val="TableText0"/>
              <w:keepLines/>
              <w:rPr>
                <w:szCs w:val="20"/>
              </w:rPr>
            </w:pPr>
            <w:r w:rsidRPr="00A0281F">
              <w:rPr>
                <w:szCs w:val="20"/>
              </w:rPr>
              <w:t>Niraparib versus olaparib risk difference (95%CI)**</w:t>
            </w:r>
          </w:p>
        </w:tc>
        <w:tc>
          <w:tcPr>
            <w:tcW w:w="1101" w:type="pct"/>
            <w:gridSpan w:val="2"/>
            <w:tcBorders>
              <w:right w:val="single" w:sz="18" w:space="0" w:color="auto"/>
            </w:tcBorders>
            <w:shd w:val="clear" w:color="auto" w:fill="auto"/>
            <w:vAlign w:val="center"/>
          </w:tcPr>
          <w:p w:rsidR="00E13718" w:rsidRPr="00A0281F" w:rsidRDefault="00E13718" w:rsidP="00BE64AA">
            <w:pPr>
              <w:pStyle w:val="TableText0"/>
              <w:keepLines/>
              <w:jc w:val="center"/>
              <w:rPr>
                <w:szCs w:val="20"/>
              </w:rPr>
            </w:pPr>
            <w:r w:rsidRPr="00A0281F">
              <w:rPr>
                <w:szCs w:val="20"/>
              </w:rPr>
              <w:t>-----</w:t>
            </w:r>
          </w:p>
        </w:tc>
        <w:tc>
          <w:tcPr>
            <w:tcW w:w="2251" w:type="pct"/>
            <w:gridSpan w:val="5"/>
            <w:tcBorders>
              <w:left w:val="single" w:sz="18" w:space="0" w:color="auto"/>
            </w:tcBorders>
            <w:shd w:val="clear" w:color="auto" w:fill="auto"/>
            <w:vAlign w:val="center"/>
          </w:tcPr>
          <w:p w:rsidR="00E13718" w:rsidRPr="00A0281F" w:rsidRDefault="00E13718" w:rsidP="00BE64AA">
            <w:pPr>
              <w:pStyle w:val="TableText0"/>
              <w:keepLines/>
              <w:jc w:val="center"/>
            </w:pPr>
            <w:r w:rsidRPr="00A0281F">
              <w:t>2.47% (-4.70%, 9.63%)</w:t>
            </w:r>
          </w:p>
        </w:tc>
      </w:tr>
      <w:tr w:rsidR="00E13718" w:rsidRPr="00A0281F" w:rsidTr="002B25A8">
        <w:tc>
          <w:tcPr>
            <w:tcW w:w="1648" w:type="pct"/>
            <w:shd w:val="clear" w:color="auto" w:fill="auto"/>
            <w:vAlign w:val="center"/>
          </w:tcPr>
          <w:p w:rsidR="00E13718" w:rsidRPr="00A0281F" w:rsidRDefault="00E13718" w:rsidP="00BE64AA">
            <w:pPr>
              <w:pStyle w:val="TableText0"/>
              <w:keepLines/>
              <w:rPr>
                <w:szCs w:val="20"/>
              </w:rPr>
            </w:pPr>
            <w:r w:rsidRPr="00A0281F">
              <w:rPr>
                <w:szCs w:val="20"/>
              </w:rPr>
              <w:t>Niraparib versus olaparib relative risk (95%CI)**</w:t>
            </w:r>
          </w:p>
        </w:tc>
        <w:tc>
          <w:tcPr>
            <w:tcW w:w="1101" w:type="pct"/>
            <w:gridSpan w:val="2"/>
            <w:tcBorders>
              <w:right w:val="single" w:sz="18" w:space="0" w:color="auto"/>
            </w:tcBorders>
            <w:shd w:val="clear" w:color="auto" w:fill="auto"/>
            <w:vAlign w:val="center"/>
          </w:tcPr>
          <w:p w:rsidR="00E13718" w:rsidRPr="00A0281F" w:rsidRDefault="00E13718" w:rsidP="00BE64AA">
            <w:pPr>
              <w:pStyle w:val="TableText0"/>
              <w:keepLines/>
              <w:jc w:val="center"/>
              <w:rPr>
                <w:b/>
              </w:rPr>
            </w:pPr>
            <w:r w:rsidRPr="00A0281F">
              <w:rPr>
                <w:szCs w:val="20"/>
              </w:rPr>
              <w:t>-----</w:t>
            </w:r>
          </w:p>
        </w:tc>
        <w:tc>
          <w:tcPr>
            <w:tcW w:w="2251" w:type="pct"/>
            <w:gridSpan w:val="5"/>
            <w:tcBorders>
              <w:left w:val="single" w:sz="18" w:space="0" w:color="auto"/>
            </w:tcBorders>
            <w:shd w:val="clear" w:color="auto" w:fill="auto"/>
            <w:vAlign w:val="center"/>
          </w:tcPr>
          <w:p w:rsidR="00E13718" w:rsidRPr="00A0281F" w:rsidRDefault="00E13718" w:rsidP="00BE64AA">
            <w:pPr>
              <w:pStyle w:val="TableText0"/>
              <w:keepLines/>
              <w:jc w:val="center"/>
            </w:pPr>
            <w:r w:rsidRPr="00A0281F">
              <w:t>1.23 (0.68, 2.22)</w:t>
            </w:r>
          </w:p>
        </w:tc>
      </w:tr>
      <w:tr w:rsidR="00E13718" w:rsidRPr="00A0281F" w:rsidTr="002B25A8">
        <w:tc>
          <w:tcPr>
            <w:tcW w:w="1648" w:type="pct"/>
            <w:shd w:val="clear" w:color="auto" w:fill="auto"/>
            <w:vAlign w:val="center"/>
          </w:tcPr>
          <w:p w:rsidR="00E13718" w:rsidRPr="00A0281F" w:rsidRDefault="00E13718" w:rsidP="00BE64AA">
            <w:pPr>
              <w:pStyle w:val="TableText0"/>
              <w:keepLines/>
              <w:rPr>
                <w:b/>
                <w:szCs w:val="20"/>
              </w:rPr>
            </w:pPr>
            <w:r w:rsidRPr="00A0281F">
              <w:rPr>
                <w:b/>
                <w:szCs w:val="20"/>
              </w:rPr>
              <w:t>TEAEs leading to death (on-treatment)</w:t>
            </w:r>
          </w:p>
        </w:tc>
        <w:tc>
          <w:tcPr>
            <w:tcW w:w="550" w:type="pct"/>
            <w:shd w:val="clear" w:color="auto" w:fill="auto"/>
            <w:vAlign w:val="center"/>
          </w:tcPr>
          <w:p w:rsidR="00E13718" w:rsidRPr="00A0281F" w:rsidRDefault="00E13718" w:rsidP="00BE64AA">
            <w:pPr>
              <w:pStyle w:val="TableText0"/>
              <w:keepLines/>
              <w:jc w:val="center"/>
              <w:rPr>
                <w:szCs w:val="20"/>
              </w:rPr>
            </w:pPr>
            <w:r w:rsidRPr="00A0281F">
              <w:rPr>
                <w:szCs w:val="20"/>
              </w:rPr>
              <w:t>0</w:t>
            </w:r>
          </w:p>
        </w:tc>
        <w:tc>
          <w:tcPr>
            <w:tcW w:w="551" w:type="pct"/>
            <w:tcBorders>
              <w:right w:val="single" w:sz="18" w:space="0" w:color="auto"/>
            </w:tcBorders>
            <w:shd w:val="clear" w:color="auto" w:fill="auto"/>
            <w:vAlign w:val="center"/>
          </w:tcPr>
          <w:p w:rsidR="00E13718" w:rsidRPr="00A0281F" w:rsidRDefault="00E13718" w:rsidP="00BE64AA">
            <w:pPr>
              <w:pStyle w:val="TableText0"/>
              <w:keepLines/>
              <w:jc w:val="center"/>
              <w:rPr>
                <w:szCs w:val="20"/>
              </w:rPr>
            </w:pPr>
            <w:r w:rsidRPr="00A0281F">
              <w:rPr>
                <w:szCs w:val="20"/>
              </w:rPr>
              <w:t>0</w:t>
            </w:r>
          </w:p>
        </w:tc>
        <w:tc>
          <w:tcPr>
            <w:tcW w:w="594" w:type="pct"/>
            <w:tcBorders>
              <w:left w:val="single" w:sz="18" w:space="0" w:color="auto"/>
            </w:tcBorders>
            <w:shd w:val="clear" w:color="auto" w:fill="auto"/>
            <w:vAlign w:val="center"/>
          </w:tcPr>
          <w:p w:rsidR="00E13718" w:rsidRPr="00A0281F" w:rsidRDefault="00E13718" w:rsidP="00BE64AA">
            <w:pPr>
              <w:pStyle w:val="TableText0"/>
              <w:keepLines/>
              <w:jc w:val="center"/>
            </w:pPr>
            <w:r w:rsidRPr="00A0281F">
              <w:rPr>
                <w:szCs w:val="20"/>
              </w:rPr>
              <w:t>0</w:t>
            </w:r>
          </w:p>
        </w:tc>
        <w:tc>
          <w:tcPr>
            <w:tcW w:w="578" w:type="pct"/>
            <w:shd w:val="clear" w:color="auto" w:fill="auto"/>
            <w:vAlign w:val="center"/>
          </w:tcPr>
          <w:p w:rsidR="00E13718" w:rsidRPr="00A0281F" w:rsidRDefault="00E13718" w:rsidP="00BE64AA">
            <w:pPr>
              <w:pStyle w:val="TableText0"/>
              <w:keepLines/>
              <w:jc w:val="center"/>
            </w:pPr>
            <w:r w:rsidRPr="00A0281F">
              <w:rPr>
                <w:szCs w:val="20"/>
              </w:rPr>
              <w:t>0</w:t>
            </w:r>
          </w:p>
        </w:tc>
        <w:tc>
          <w:tcPr>
            <w:tcW w:w="538" w:type="pct"/>
            <w:shd w:val="clear" w:color="auto" w:fill="auto"/>
            <w:vAlign w:val="center"/>
          </w:tcPr>
          <w:p w:rsidR="00E13718" w:rsidRPr="00A0281F" w:rsidRDefault="00E13718" w:rsidP="00BE64AA">
            <w:pPr>
              <w:pStyle w:val="TableText0"/>
              <w:keepLines/>
              <w:jc w:val="center"/>
            </w:pPr>
            <w:r w:rsidRPr="00A0281F">
              <w:rPr>
                <w:szCs w:val="20"/>
              </w:rPr>
              <w:t>0</w:t>
            </w:r>
          </w:p>
        </w:tc>
        <w:tc>
          <w:tcPr>
            <w:tcW w:w="541" w:type="pct"/>
            <w:gridSpan w:val="2"/>
            <w:shd w:val="clear" w:color="auto" w:fill="auto"/>
            <w:vAlign w:val="center"/>
          </w:tcPr>
          <w:p w:rsidR="00E13718" w:rsidRPr="00A0281F" w:rsidRDefault="00E13718" w:rsidP="00BE64AA">
            <w:pPr>
              <w:pStyle w:val="TableText0"/>
              <w:keepLines/>
              <w:jc w:val="center"/>
            </w:pPr>
            <w:r w:rsidRPr="00A0281F">
              <w:rPr>
                <w:szCs w:val="20"/>
              </w:rPr>
              <w:t>0</w:t>
            </w:r>
          </w:p>
        </w:tc>
      </w:tr>
    </w:tbl>
    <w:p w:rsidR="00E13718" w:rsidRPr="00AC291A" w:rsidRDefault="00E13718" w:rsidP="00BE64AA">
      <w:pPr>
        <w:pStyle w:val="TableFigureFooter"/>
        <w:keepNext/>
        <w:keepLines/>
      </w:pPr>
      <w:r>
        <w:t xml:space="preserve">Source: </w:t>
      </w:r>
      <w:r w:rsidRPr="00AC291A">
        <w:t>Table 53 of the submission,</w:t>
      </w:r>
      <w:r>
        <w:t xml:space="preserve"> p</w:t>
      </w:r>
      <w:r w:rsidRPr="00AC291A">
        <w:t>84</w:t>
      </w:r>
    </w:p>
    <w:p w:rsidR="00E13718" w:rsidRPr="00AC291A" w:rsidRDefault="00E13718" w:rsidP="00BE64AA">
      <w:pPr>
        <w:pStyle w:val="TableFigureFooter"/>
        <w:keepNext/>
        <w:keepLines/>
      </w:pPr>
      <w:r w:rsidRPr="00AC291A">
        <w:t>DCO = data cut-off; gBRCAm = germline BRCA</w:t>
      </w:r>
      <w:r w:rsidR="00A72D6D">
        <w:t>1/2</w:t>
      </w:r>
      <w:r w:rsidRPr="00AC291A">
        <w:t xml:space="preserve"> </w:t>
      </w:r>
      <w:r w:rsidR="005502B9">
        <w:t>pathogenic and likely pathogenic gene variants</w:t>
      </w:r>
      <w:r w:rsidRPr="00AC291A">
        <w:t xml:space="preserve">; NIRA = niraparib; PBO = placebo; SAF = safety population; TEAE = treatment emergent adverse event, SAEs= serious adverse events. </w:t>
      </w:r>
    </w:p>
    <w:p w:rsidR="00E13718" w:rsidRPr="00AC291A" w:rsidRDefault="00E13718" w:rsidP="00BE64AA">
      <w:pPr>
        <w:pStyle w:val="TableFigureFooter"/>
        <w:keepNext/>
        <w:keepLines/>
      </w:pPr>
      <w:r w:rsidRPr="00AC291A">
        <w:t>#192 TEAEs as per FDA olaparib assessment Table 37 and EMA olaparib assessment Table 42. Pujade-Lauraine 2017 reports 191 TEAEs</w:t>
      </w:r>
    </w:p>
    <w:p w:rsidR="00A53091" w:rsidRDefault="00A53091" w:rsidP="00A53091">
      <w:pPr>
        <w:pStyle w:val="TableFigureFooter"/>
        <w:keepNext/>
        <w:keepLines/>
      </w:pPr>
      <w:r>
        <w:t xml:space="preserve">*Calculated as the </w:t>
      </w:r>
      <w:r w:rsidRPr="00B820EF">
        <w:t>date of randomi</w:t>
      </w:r>
      <w:r>
        <w:t>s</w:t>
      </w:r>
      <w:r w:rsidRPr="00B820EF">
        <w:t>ation to date of death, or last contact date for patients still alive</w:t>
      </w:r>
      <w:r>
        <w:t xml:space="preserve"> (NOVA CSR, p277, Table 14.1.1.2)</w:t>
      </w:r>
    </w:p>
    <w:p w:rsidR="00A53091" w:rsidRDefault="00A53091" w:rsidP="00A53091">
      <w:pPr>
        <w:pStyle w:val="TableFigureFooter"/>
        <w:keepNext/>
        <w:keepLines/>
      </w:pPr>
      <w:r>
        <w:t>^ Kaplan Meier estimate of potential follow-up (reverse Kaplan-Meier), treating death as censors, and censored observations as events (NOVA CSR, p276, Table 14.1.1.2</w:t>
      </w:r>
    </w:p>
    <w:p w:rsidR="00A53091" w:rsidRDefault="00A53091" w:rsidP="00A53091">
      <w:pPr>
        <w:pStyle w:val="TableFigureFooter"/>
        <w:keepNext/>
        <w:keepLines/>
      </w:pPr>
      <w:r>
        <w:t>*** Median follow-up for progression free survival (Pujade-Lauraine 2017, p 1278)</w:t>
      </w:r>
    </w:p>
    <w:p w:rsidR="00A53091" w:rsidRPr="00AC291A" w:rsidRDefault="00A53091" w:rsidP="00A53091">
      <w:pPr>
        <w:pStyle w:val="TableFigureFooter"/>
        <w:keepNext/>
        <w:keepLines/>
      </w:pPr>
      <w:r>
        <w:t>*</w:t>
      </w:r>
      <w:r w:rsidRPr="00AC291A">
        <w:t>*Calculated during the evaluation using R software.</w:t>
      </w:r>
      <w:r w:rsidR="00D31200">
        <w:rPr>
          <w:vertAlign w:val="superscript"/>
        </w:rPr>
        <w:t>##</w:t>
      </w:r>
      <w:r w:rsidRPr="00AC291A">
        <w:t xml:space="preserve"> </w:t>
      </w:r>
    </w:p>
    <w:p w:rsidR="00E13718" w:rsidRDefault="00D31200" w:rsidP="00BE64AA">
      <w:pPr>
        <w:pStyle w:val="TableFigureFooter"/>
      </w:pPr>
      <w:r w:rsidRPr="00614C0A">
        <w:rPr>
          <w:vertAlign w:val="superscript"/>
        </w:rPr>
        <w:t xml:space="preserve">## </w:t>
      </w:r>
      <w:r w:rsidRPr="00D31200">
        <w:t>Note that the results denoted by (**) presented in Table 6 are derived from post-hoc analyses conducted during the evaluation specifically for the purposes of informing the PBAC consideration. These analyses were not part of the pre-specified statistical plan for NOVA and SOLO-2 trials. Interpretation of the results and their application should therefore be limited to seeking to understand the basis for the PBAC outcome and should not be used for any other purpose</w:t>
      </w:r>
    </w:p>
    <w:p w:rsidR="00E13718" w:rsidRDefault="00E13718" w:rsidP="00BE64AA">
      <w:pPr>
        <w:pStyle w:val="3-BodyText"/>
        <w:ind w:left="709"/>
      </w:pPr>
      <w:r w:rsidRPr="00E4092D">
        <w:t xml:space="preserve">Overall, no on-treatment deaths were reported in either trial. Almost all patients in the intervention and placebo arms experienced at least one treatment-emergent </w:t>
      </w:r>
      <w:r w:rsidRPr="00E4092D">
        <w:lastRenderedPageBreak/>
        <w:t xml:space="preserve">adverse event (TEAE). In both trials, </w:t>
      </w:r>
      <w:r w:rsidR="00010A75">
        <w:t xml:space="preserve">there were more </w:t>
      </w:r>
      <w:r w:rsidRPr="00E4092D">
        <w:t>TEAEs leading to treatment discontinuation in the intervention arm compared to placebo</w:t>
      </w:r>
      <w:r>
        <w:t>.</w:t>
      </w:r>
    </w:p>
    <w:p w:rsidR="00E13718" w:rsidRDefault="00E13718" w:rsidP="00BE64AA">
      <w:pPr>
        <w:pStyle w:val="3-BodyText"/>
        <w:ind w:left="709"/>
      </w:pPr>
      <w:bookmarkStart w:id="22" w:name="_GoBack"/>
      <w:bookmarkEnd w:id="22"/>
      <w:r w:rsidRPr="00E9332D">
        <w:rPr>
          <w:b/>
        </w:rPr>
        <w:t>In the non-gBRCAm cohort</w:t>
      </w:r>
      <w:r>
        <w:t xml:space="preserve">, compared to placebo, niraparib was associated with an increased risk of grade 3-4 TEAEs (71% versus 23.7%), increased risk of serious adverse events (SAEs) (29.4% versus 17.5%) and increased risk of treatment discontinuation due to TEAEs (15.6% versus 2.6%).  </w:t>
      </w:r>
    </w:p>
    <w:p w:rsidR="007926E8" w:rsidRDefault="00E13718" w:rsidP="00BE64AA">
      <w:pPr>
        <w:pStyle w:val="3-BodyText"/>
        <w:ind w:left="709"/>
      </w:pPr>
      <w:r w:rsidRPr="007C6DAC">
        <w:rPr>
          <w:b/>
        </w:rPr>
        <w:t>In the gBRCAm cohort</w:t>
      </w:r>
      <w:r>
        <w:t xml:space="preserve">, compared to olaparib (from SOLO-2 trial), niraparib was associated with an increased risk of grade 3-4 TEAEs (79.4% versus 36.9%), increased risk of SAEs (30.9% versus 17.9%), and comparable rates of treatment discontinuation due to TEAEs (13.2% </w:t>
      </w:r>
      <w:r w:rsidR="00527D8F">
        <w:t xml:space="preserve">versus </w:t>
      </w:r>
      <w:r>
        <w:t xml:space="preserve">10.8%). </w:t>
      </w:r>
      <w:r w:rsidRPr="00A0281F">
        <w:t xml:space="preserve">These higher rates were observed despite the shorter median treatment duration </w:t>
      </w:r>
      <w:r w:rsidR="005F3A80">
        <w:t>for</w:t>
      </w:r>
      <w:r w:rsidRPr="00A0281F">
        <w:t xml:space="preserve"> niraparib (12 months) compared to olaparib (19.4 months).</w:t>
      </w:r>
      <w:r w:rsidR="00527D8F">
        <w:t xml:space="preserve"> </w:t>
      </w:r>
    </w:p>
    <w:p w:rsidR="006F763E" w:rsidRPr="006302D7" w:rsidRDefault="00527D8F" w:rsidP="00BE64AA">
      <w:pPr>
        <w:pStyle w:val="3-BodyText"/>
        <w:ind w:left="709"/>
      </w:pPr>
      <w:r w:rsidRPr="006302D7">
        <w:t xml:space="preserve">The PSCR </w:t>
      </w:r>
      <w:r w:rsidR="006F763E" w:rsidRPr="006302D7">
        <w:t xml:space="preserve">disagreed with the interpretation </w:t>
      </w:r>
      <w:r w:rsidR="007311FE" w:rsidRPr="006302D7">
        <w:t>of</w:t>
      </w:r>
      <w:r w:rsidR="006F763E" w:rsidRPr="006302D7">
        <w:t xml:space="preserve"> safety data in the commentary</w:t>
      </w:r>
      <w:r w:rsidR="007539D0" w:rsidRPr="006302D7">
        <w:t>, arguing</w:t>
      </w:r>
      <w:r w:rsidR="006F763E" w:rsidRPr="006302D7">
        <w:t>:</w:t>
      </w:r>
    </w:p>
    <w:p w:rsidR="006F763E" w:rsidRPr="006302D7" w:rsidRDefault="006F763E" w:rsidP="00A84F44">
      <w:pPr>
        <w:pStyle w:val="3-BodyText"/>
        <w:numPr>
          <w:ilvl w:val="1"/>
          <w:numId w:val="10"/>
        </w:numPr>
      </w:pPr>
      <w:r w:rsidRPr="006302D7">
        <w:t>circumstances are likely to differ in practice with proactive management of niraparib dosing upon treatment commencement</w:t>
      </w:r>
      <w:r w:rsidR="007539D0" w:rsidRPr="006302D7">
        <w:t>;</w:t>
      </w:r>
    </w:p>
    <w:p w:rsidR="007539D0" w:rsidRPr="006302D7" w:rsidRDefault="006F763E" w:rsidP="00A84F44">
      <w:pPr>
        <w:pStyle w:val="3-BodyText"/>
        <w:numPr>
          <w:ilvl w:val="1"/>
          <w:numId w:val="10"/>
        </w:numPr>
      </w:pPr>
      <w:r w:rsidRPr="006302D7">
        <w:rPr>
          <w:lang w:val="en-GB"/>
        </w:rPr>
        <w:t>comparing safety in the gBRCAm cohort was</w:t>
      </w:r>
      <w:r w:rsidR="007539D0" w:rsidRPr="006302D7">
        <w:rPr>
          <w:lang w:val="en-GB"/>
        </w:rPr>
        <w:t xml:space="preserve"> a</w:t>
      </w:r>
      <w:r w:rsidRPr="006302D7">
        <w:rPr>
          <w:lang w:val="en-GB"/>
        </w:rPr>
        <w:t xml:space="preserve"> </w:t>
      </w:r>
      <w:r w:rsidR="007539D0" w:rsidRPr="006302D7">
        <w:rPr>
          <w:lang w:val="en-GB"/>
        </w:rPr>
        <w:t xml:space="preserve">selective interpretation of the evidence </w:t>
      </w:r>
      <w:r w:rsidR="0002046C" w:rsidRPr="006302D7">
        <w:rPr>
          <w:lang w:val="en-GB"/>
        </w:rPr>
        <w:t xml:space="preserve">and </w:t>
      </w:r>
      <w:r w:rsidR="007539D0" w:rsidRPr="006302D7">
        <w:rPr>
          <w:lang w:val="en-GB"/>
        </w:rPr>
        <w:t>was</w:t>
      </w:r>
      <w:r w:rsidRPr="006302D7">
        <w:rPr>
          <w:lang w:val="en-GB"/>
        </w:rPr>
        <w:t xml:space="preserve"> inappropriate when no differences in </w:t>
      </w:r>
      <w:r w:rsidR="007926E8" w:rsidRPr="006302D7">
        <w:rPr>
          <w:lang w:val="en-GB"/>
        </w:rPr>
        <w:t xml:space="preserve">the </w:t>
      </w:r>
      <w:r w:rsidRPr="006302D7">
        <w:rPr>
          <w:lang w:val="en-GB"/>
        </w:rPr>
        <w:t>safety profile for niraparib were observed across the non-gBRCAm and gBRCAm populations and NOVA</w:t>
      </w:r>
      <w:r w:rsidR="007539D0" w:rsidRPr="006302D7">
        <w:rPr>
          <w:lang w:val="en-GB"/>
        </w:rPr>
        <w:t xml:space="preserve"> was </w:t>
      </w:r>
      <w:r w:rsidRPr="006302D7">
        <w:rPr>
          <w:lang w:val="en-GB"/>
        </w:rPr>
        <w:t>not powered for safety outcomes</w:t>
      </w:r>
      <w:r w:rsidR="007539D0" w:rsidRPr="006302D7">
        <w:rPr>
          <w:lang w:val="en-GB"/>
        </w:rPr>
        <w:t xml:space="preserve"> in these subgroups; </w:t>
      </w:r>
    </w:p>
    <w:p w:rsidR="00451151" w:rsidRPr="0072399E" w:rsidRDefault="007539D0" w:rsidP="00A84F44">
      <w:pPr>
        <w:pStyle w:val="3-BodyText"/>
        <w:numPr>
          <w:ilvl w:val="1"/>
          <w:numId w:val="10"/>
        </w:numPr>
      </w:pPr>
      <w:r w:rsidRPr="006302D7">
        <w:rPr>
          <w:lang w:val="en-GB"/>
        </w:rPr>
        <w:t>the indirect comparison for safety was inappropriate considering the significant differences in placebo event rates across the trials (Grade 3/4 TEAEs, SAEs), indicating an inconsistent baseline liability for toxicity in the NOVA and SOLO-2 trial populations</w:t>
      </w:r>
      <w:r w:rsidR="00EC6AD3">
        <w:rPr>
          <w:lang w:val="en-GB"/>
        </w:rPr>
        <w:t>; and</w:t>
      </w:r>
    </w:p>
    <w:p w:rsidR="00E13718" w:rsidRPr="006302D7" w:rsidRDefault="00451151" w:rsidP="00A84F44">
      <w:pPr>
        <w:pStyle w:val="3-BodyText"/>
        <w:numPr>
          <w:ilvl w:val="1"/>
          <w:numId w:val="10"/>
        </w:numPr>
      </w:pPr>
      <w:r>
        <w:rPr>
          <w:lang w:val="en-GB"/>
        </w:rPr>
        <w:t xml:space="preserve">The pre-PBAC response further </w:t>
      </w:r>
      <w:r w:rsidR="0072399E">
        <w:rPr>
          <w:lang w:val="en-GB"/>
        </w:rPr>
        <w:t>argued</w:t>
      </w:r>
      <w:r>
        <w:rPr>
          <w:lang w:val="en-GB"/>
        </w:rPr>
        <w:t xml:space="preserve"> that </w:t>
      </w:r>
      <w:r w:rsidR="00EC6AD3" w:rsidRPr="009828C5">
        <w:t>the conclusion of inferior safety on the basis of grade 3/4 events disregard</w:t>
      </w:r>
      <w:r w:rsidR="00EC6AD3">
        <w:t>s</w:t>
      </w:r>
      <w:r w:rsidR="00EC6AD3" w:rsidRPr="009828C5">
        <w:t xml:space="preserve"> clinically significant </w:t>
      </w:r>
      <w:r w:rsidR="00EC6AD3">
        <w:t>AEs</w:t>
      </w:r>
      <w:r w:rsidR="00EC6AD3" w:rsidRPr="009828C5">
        <w:t xml:space="preserve">, </w:t>
      </w:r>
      <w:r w:rsidR="00D9137D">
        <w:t xml:space="preserve">(such as </w:t>
      </w:r>
      <w:r w:rsidR="00EC6AD3" w:rsidRPr="009828C5">
        <w:t>SAE</w:t>
      </w:r>
      <w:r w:rsidR="00D9137D">
        <w:t>s</w:t>
      </w:r>
      <w:r w:rsidR="00EC6AD3" w:rsidRPr="009828C5">
        <w:t xml:space="preserve"> and treatment discontinuation</w:t>
      </w:r>
      <w:r w:rsidR="00D9137D">
        <w:t>s)</w:t>
      </w:r>
      <w:r w:rsidR="00EC6AD3">
        <w:t xml:space="preserve"> which were comparable in the intervention arms of NOVA </w:t>
      </w:r>
      <w:r w:rsidR="00A204AE">
        <w:t xml:space="preserve">gBRCAm </w:t>
      </w:r>
      <w:r w:rsidR="00EC6AD3">
        <w:t>(</w:t>
      </w:r>
      <w:r w:rsidR="00A204AE">
        <w:t>13.2</w:t>
      </w:r>
      <w:r w:rsidR="00EC6AD3">
        <w:t>%) and SOLO-2 (</w:t>
      </w:r>
      <w:r w:rsidR="00A204AE">
        <w:t>10.8</w:t>
      </w:r>
      <w:r w:rsidR="00EC6AD3">
        <w:t>%).</w:t>
      </w:r>
      <w:r w:rsidR="007539D0" w:rsidRPr="006302D7">
        <w:rPr>
          <w:lang w:val="en-GB"/>
        </w:rPr>
        <w:t xml:space="preserve"> </w:t>
      </w:r>
    </w:p>
    <w:p w:rsidR="007539D0" w:rsidRPr="00862904" w:rsidRDefault="007539D0" w:rsidP="00BE64AA">
      <w:pPr>
        <w:pStyle w:val="3-BodyText"/>
        <w:ind w:left="709"/>
        <w:rPr>
          <w:i/>
        </w:rPr>
      </w:pPr>
      <w:r w:rsidRPr="006302D7">
        <w:rPr>
          <w:lang w:val="en-GB"/>
        </w:rPr>
        <w:t xml:space="preserve">The ESC noted that in the NOVA trial </w:t>
      </w:r>
      <w:r w:rsidRPr="006302D7">
        <w:t xml:space="preserve">randomisation was conducted separately for each cohort, </w:t>
      </w:r>
      <w:r w:rsidR="00867655" w:rsidRPr="006302D7">
        <w:t>therefore</w:t>
      </w:r>
      <w:r w:rsidRPr="006302D7">
        <w:t xml:space="preserve"> considering the safety of the gBRCAm cohort separately </w:t>
      </w:r>
      <w:r w:rsidR="00EA106D" w:rsidRPr="006302D7">
        <w:t xml:space="preserve">(as for efficacy) </w:t>
      </w:r>
      <w:r w:rsidRPr="006302D7">
        <w:t xml:space="preserve">was </w:t>
      </w:r>
      <w:r w:rsidR="00867655" w:rsidRPr="006302D7">
        <w:t xml:space="preserve">likely to be </w:t>
      </w:r>
      <w:r w:rsidRPr="006302D7">
        <w:t>appropriate</w:t>
      </w:r>
      <w:r w:rsidR="00EA106D" w:rsidRPr="006302D7">
        <w:t xml:space="preserve">, though noting the </w:t>
      </w:r>
      <w:r w:rsidR="007926E8" w:rsidRPr="006302D7">
        <w:t>limitations of the reduced</w:t>
      </w:r>
      <w:r w:rsidR="00EA106D" w:rsidRPr="006302D7">
        <w:t xml:space="preserve"> sample size</w:t>
      </w:r>
      <w:r w:rsidRPr="006302D7">
        <w:t>.</w:t>
      </w:r>
      <w:r w:rsidR="0002046C" w:rsidRPr="00862904">
        <w:rPr>
          <w:i/>
        </w:rPr>
        <w:t xml:space="preserve"> </w:t>
      </w:r>
      <w:r w:rsidR="0072399E" w:rsidRPr="0072399E">
        <w:t>The pre-PBAC response argued that there was no evidence to indicate that the safety profile for niraparib would differ in the BRCAm population.</w:t>
      </w:r>
    </w:p>
    <w:p w:rsidR="00E13718" w:rsidRPr="006302D7" w:rsidRDefault="00E13718" w:rsidP="00BE64AA">
      <w:pPr>
        <w:pStyle w:val="3-BodyText"/>
        <w:ind w:left="709"/>
      </w:pPr>
      <w:r>
        <w:t xml:space="preserve">The submission claimed that with the </w:t>
      </w:r>
      <w:r w:rsidR="004A12E6">
        <w:t xml:space="preserve">use </w:t>
      </w:r>
      <w:r>
        <w:t xml:space="preserve">of </w:t>
      </w:r>
      <w:r w:rsidR="004A12E6">
        <w:t>the ISD</w:t>
      </w:r>
      <w:r>
        <w:t xml:space="preserve">, there would be a reduction in risk of grade 3-4 TEAEs. </w:t>
      </w:r>
      <w:r w:rsidRPr="006302D7">
        <w:t>Th</w:t>
      </w:r>
      <w:r w:rsidR="004A12E6" w:rsidRPr="006302D7">
        <w:t>e</w:t>
      </w:r>
      <w:r w:rsidRPr="006302D7">
        <w:t xml:space="preserve"> </w:t>
      </w:r>
      <w:r w:rsidR="004A12E6" w:rsidRPr="006302D7">
        <w:t xml:space="preserve">ESC </w:t>
      </w:r>
      <w:r w:rsidR="004E42BD">
        <w:t>considered</w:t>
      </w:r>
      <w:r w:rsidR="004A12E6" w:rsidRPr="006302D7">
        <w:t xml:space="preserve"> that</w:t>
      </w:r>
      <w:r w:rsidR="004A12E6">
        <w:t xml:space="preserve"> this </w:t>
      </w:r>
      <w:r w:rsidRPr="00A0281F">
        <w:t xml:space="preserve">claim </w:t>
      </w:r>
      <w:r w:rsidR="004A12E6">
        <w:t>wa</w:t>
      </w:r>
      <w:r w:rsidRPr="00A0281F">
        <w:t>s not supported by trial evidence</w:t>
      </w:r>
      <w:r w:rsidR="00A26F82">
        <w:t xml:space="preserve"> presented in the submission</w:t>
      </w:r>
      <w:r w:rsidRPr="00DF65C0">
        <w:t>.</w:t>
      </w:r>
      <w:r w:rsidR="00A26F82" w:rsidRPr="00DF65C0">
        <w:t xml:space="preserve"> The PSCR provided safety outcomes from the NORA trial</w:t>
      </w:r>
      <w:r w:rsidRPr="00DF65C0">
        <w:t xml:space="preserve"> </w:t>
      </w:r>
      <w:r w:rsidR="00A26F82" w:rsidRPr="00DF65C0">
        <w:t xml:space="preserve">which the sponsor claimed indicated an improvement in the safety profile of niraparib with the incorporation of the ISD, particularly with regards to grade ≥3 haematological toxicities (thrombocytopenia: 9.6% anaemia: 13.9%), SAEs (16.3%) </w:t>
      </w:r>
      <w:r w:rsidR="00A26F82" w:rsidRPr="00DF65C0">
        <w:lastRenderedPageBreak/>
        <w:t xml:space="preserve">and the limited extent of treatment </w:t>
      </w:r>
      <w:r w:rsidR="00A26F82" w:rsidRPr="006302D7">
        <w:t xml:space="preserve">discontinuations (4.2%). </w:t>
      </w:r>
      <w:r w:rsidR="00422287" w:rsidRPr="006302D7">
        <w:t>The ESC noted that this trial was only published as an abstract and this data had not been evaluated.</w:t>
      </w:r>
      <w:r w:rsidR="00A26F82" w:rsidRPr="006302D7">
        <w:t xml:space="preserve"> </w:t>
      </w:r>
    </w:p>
    <w:p w:rsidR="00E13718" w:rsidRPr="00A0281F" w:rsidRDefault="00E13718" w:rsidP="00BE64AA">
      <w:pPr>
        <w:pStyle w:val="3-BodyText"/>
        <w:ind w:left="709"/>
      </w:pPr>
      <w:r>
        <w:t xml:space="preserve">The submission presented updated safety data from the SOLO-2 trial after 65 months of follow up. </w:t>
      </w:r>
      <w:r w:rsidR="008E317A">
        <w:t>R</w:t>
      </w:r>
      <w:r w:rsidRPr="00A0281F">
        <w:t xml:space="preserve">ates of grade 3-4 TEAEs </w:t>
      </w:r>
      <w:r w:rsidR="008E317A">
        <w:t>from NOVA versus S</w:t>
      </w:r>
      <w:r w:rsidR="00B54B84">
        <w:t>OLO</w:t>
      </w:r>
      <w:r w:rsidR="00B54B84">
        <w:noBreakHyphen/>
      </w:r>
      <w:r w:rsidR="008E317A">
        <w:t xml:space="preserve">2 were </w:t>
      </w:r>
      <w:r w:rsidRPr="00A0281F">
        <w:t xml:space="preserve">(79.4% versus 46.2%), </w:t>
      </w:r>
      <w:r w:rsidR="008E317A">
        <w:t xml:space="preserve">with </w:t>
      </w:r>
      <w:r w:rsidRPr="00A0281F">
        <w:t>higher dose interruption</w:t>
      </w:r>
      <w:r w:rsidR="008E317A">
        <w:t>s</w:t>
      </w:r>
      <w:r w:rsidRPr="00A0281F">
        <w:t xml:space="preserve"> (83.1% versus 49.7%) and higher dose reductions due to TEAEs (81.6% versus 27.7%)</w:t>
      </w:r>
      <w:r w:rsidR="00B54B84">
        <w:t>.</w:t>
      </w:r>
      <w:r w:rsidRPr="00A0281F">
        <w:t xml:space="preserve"> </w:t>
      </w:r>
    </w:p>
    <w:p w:rsidR="00E13718" w:rsidRPr="00A0281F" w:rsidRDefault="00E13718" w:rsidP="00BE64AA">
      <w:pPr>
        <w:pStyle w:val="3-BodyText"/>
        <w:ind w:left="709"/>
      </w:pPr>
      <w:r w:rsidRPr="00A0281F">
        <w:t>The rate of acute myeloid leukaemia (AML) or myelodysplastic syndrome (MDS) was not increased in the niraparib treatment arm (compared to placebo in the NOVA trial (1.4% versus 1.1 % respectively)); however, long-term follow-up is recommended taking into consideration the increased rate of AML/MDS observed with olaparib in the SOLO-2 trial (8.2%).</w:t>
      </w:r>
    </w:p>
    <w:p w:rsidR="00E13718" w:rsidRPr="00C9624D" w:rsidRDefault="00E13718" w:rsidP="00BE64AA">
      <w:pPr>
        <w:pStyle w:val="4-SubsectionHeading"/>
      </w:pPr>
      <w:bookmarkStart w:id="23" w:name="_Toc22897643"/>
      <w:bookmarkStart w:id="24" w:name="_Toc61962144"/>
      <w:r w:rsidRPr="00C9624D">
        <w:t>Benefits/harms</w:t>
      </w:r>
      <w:bookmarkEnd w:id="23"/>
      <w:bookmarkEnd w:id="24"/>
    </w:p>
    <w:p w:rsidR="00E13718" w:rsidRDefault="00E13718" w:rsidP="00BE64AA">
      <w:pPr>
        <w:pStyle w:val="3-BodyText"/>
        <w:ind w:left="709"/>
      </w:pPr>
      <w:r w:rsidRPr="001912FD">
        <w:rPr>
          <w:b/>
        </w:rPr>
        <w:t>For the non-gBRCAm patient population</w:t>
      </w:r>
      <w:r>
        <w:t xml:space="preserve">, a summary of the benefits and harms of niraparib versus SMM (no active treatment) is presented in </w:t>
      </w:r>
      <w:r w:rsidR="00681899">
        <w:t xml:space="preserve">Table </w:t>
      </w:r>
      <w:r w:rsidR="00681899">
        <w:rPr>
          <w:noProof/>
        </w:rPr>
        <w:t>7</w:t>
      </w:r>
      <w:r w:rsidR="009935C8">
        <w:t>.</w:t>
      </w:r>
    </w:p>
    <w:p w:rsidR="00E13718" w:rsidRDefault="00E13718" w:rsidP="00BE64AA">
      <w:pPr>
        <w:pStyle w:val="TableFigureHeading"/>
        <w:keepLines/>
      </w:pPr>
      <w:bookmarkStart w:id="25" w:name="_Ref57810532"/>
      <w:r>
        <w:lastRenderedPageBreak/>
        <w:t xml:space="preserve">Table </w:t>
      </w:r>
      <w:r w:rsidR="00681899">
        <w:rPr>
          <w:noProof/>
        </w:rPr>
        <w:t>7</w:t>
      </w:r>
      <w:bookmarkEnd w:id="25"/>
      <w:r>
        <w:t>: Summary of comparative benefits and harms for niraparib versus placebo in the non-gBRCAm patient population</w:t>
      </w:r>
    </w:p>
    <w:tbl>
      <w:tblPr>
        <w:tblStyle w:val="TableGrid"/>
        <w:tblW w:w="4938" w:type="pct"/>
        <w:tblInd w:w="28" w:type="dxa"/>
        <w:tblLayout w:type="fixed"/>
        <w:tblCellMar>
          <w:left w:w="28" w:type="dxa"/>
          <w:right w:w="28" w:type="dxa"/>
        </w:tblCellMar>
        <w:tblLook w:val="04A0" w:firstRow="1" w:lastRow="0" w:firstColumn="1" w:lastColumn="0" w:noHBand="0" w:noVBand="1"/>
        <w:tblCaption w:val="Table 7: Summary of comparative benefits and harms for niraparib versus placebo in the non-gBRCAm patient population"/>
      </w:tblPr>
      <w:tblGrid>
        <w:gridCol w:w="1670"/>
        <w:gridCol w:w="850"/>
        <w:gridCol w:w="144"/>
        <w:gridCol w:w="851"/>
        <w:gridCol w:w="563"/>
        <w:gridCol w:w="855"/>
        <w:gridCol w:w="703"/>
        <w:gridCol w:w="290"/>
        <w:gridCol w:w="994"/>
        <w:gridCol w:w="420"/>
        <w:gridCol w:w="1565"/>
      </w:tblGrid>
      <w:tr w:rsidR="00E13718" w:rsidRPr="00A0281F" w:rsidTr="00C64862">
        <w:trPr>
          <w:trHeight w:val="20"/>
          <w:tblHeader/>
        </w:trPr>
        <w:tc>
          <w:tcPr>
            <w:tcW w:w="5000" w:type="pct"/>
            <w:gridSpan w:val="11"/>
            <w:shd w:val="clear" w:color="auto" w:fill="auto"/>
            <w:vAlign w:val="center"/>
          </w:tcPr>
          <w:p w:rsidR="00E13718" w:rsidRPr="00A0281F" w:rsidRDefault="00E13718" w:rsidP="00BE64AA">
            <w:pPr>
              <w:pStyle w:val="In-tableHeading"/>
              <w:keepLines/>
            </w:pPr>
            <w:r w:rsidRPr="00A0281F">
              <w:t>Benefits</w:t>
            </w:r>
          </w:p>
        </w:tc>
      </w:tr>
      <w:tr w:rsidR="00E13718" w:rsidRPr="00A0281F" w:rsidTr="002B25A8">
        <w:trPr>
          <w:trHeight w:val="20"/>
        </w:trPr>
        <w:tc>
          <w:tcPr>
            <w:tcW w:w="5000" w:type="pct"/>
            <w:gridSpan w:val="11"/>
            <w:shd w:val="clear" w:color="auto" w:fill="auto"/>
            <w:vAlign w:val="center"/>
          </w:tcPr>
          <w:p w:rsidR="00E13718" w:rsidRPr="00A0281F" w:rsidRDefault="00E13718" w:rsidP="00BE64AA">
            <w:pPr>
              <w:pStyle w:val="In-tableHeading"/>
            </w:pPr>
            <w:r w:rsidRPr="00A0281F">
              <w:t>Progression-free survival (PFS) (DCO May 2016) according to BICR</w:t>
            </w:r>
          </w:p>
        </w:tc>
      </w:tr>
      <w:tr w:rsidR="00E13718" w:rsidRPr="00A0281F" w:rsidTr="00337C9A">
        <w:trPr>
          <w:trHeight w:val="20"/>
        </w:trPr>
        <w:tc>
          <w:tcPr>
            <w:tcW w:w="1414" w:type="pct"/>
            <w:gridSpan w:val="2"/>
            <w:tcBorders>
              <w:bottom w:val="single" w:sz="4" w:space="0" w:color="auto"/>
            </w:tcBorders>
            <w:shd w:val="clear" w:color="auto" w:fill="auto"/>
            <w:vAlign w:val="center"/>
          </w:tcPr>
          <w:p w:rsidR="00E13718" w:rsidRPr="00A0281F" w:rsidRDefault="00E13718" w:rsidP="00BE64AA">
            <w:pPr>
              <w:pStyle w:val="In-tableHeading"/>
              <w:jc w:val="center"/>
            </w:pPr>
            <w:r w:rsidRPr="00A0281F">
              <w:t>Event</w:t>
            </w:r>
          </w:p>
        </w:tc>
        <w:tc>
          <w:tcPr>
            <w:tcW w:w="875" w:type="pct"/>
            <w:gridSpan w:val="3"/>
            <w:tcBorders>
              <w:bottom w:val="single" w:sz="4" w:space="0" w:color="auto"/>
            </w:tcBorders>
            <w:shd w:val="clear" w:color="auto" w:fill="auto"/>
            <w:vAlign w:val="center"/>
          </w:tcPr>
          <w:p w:rsidR="00E13718" w:rsidRPr="00A0281F" w:rsidRDefault="00E13718" w:rsidP="00BE64AA">
            <w:pPr>
              <w:pStyle w:val="In-tableHeading"/>
              <w:jc w:val="center"/>
            </w:pPr>
            <w:r w:rsidRPr="00A0281F">
              <w:t>Niraparib</w:t>
            </w:r>
          </w:p>
        </w:tc>
        <w:tc>
          <w:tcPr>
            <w:tcW w:w="875" w:type="pct"/>
            <w:gridSpan w:val="2"/>
            <w:tcBorders>
              <w:bottom w:val="single" w:sz="4" w:space="0" w:color="auto"/>
            </w:tcBorders>
            <w:shd w:val="clear" w:color="auto" w:fill="auto"/>
            <w:vAlign w:val="center"/>
          </w:tcPr>
          <w:p w:rsidR="00E13718" w:rsidRPr="00A0281F" w:rsidRDefault="00E13718" w:rsidP="00BE64AA">
            <w:pPr>
              <w:pStyle w:val="In-tableHeading"/>
              <w:jc w:val="center"/>
            </w:pPr>
            <w:r w:rsidRPr="00A0281F">
              <w:t>Placebo</w:t>
            </w:r>
          </w:p>
        </w:tc>
        <w:tc>
          <w:tcPr>
            <w:tcW w:w="957" w:type="pct"/>
            <w:gridSpan w:val="3"/>
            <w:tcBorders>
              <w:bottom w:val="single" w:sz="4" w:space="0" w:color="auto"/>
            </w:tcBorders>
            <w:shd w:val="clear" w:color="auto" w:fill="auto"/>
            <w:vAlign w:val="center"/>
          </w:tcPr>
          <w:p w:rsidR="00E13718" w:rsidRPr="00A0281F" w:rsidRDefault="00E13718" w:rsidP="00BE64AA">
            <w:pPr>
              <w:pStyle w:val="In-tableHeading"/>
              <w:jc w:val="center"/>
              <w:rPr>
                <w:rFonts w:asciiTheme="minorHAnsi" w:hAnsiTheme="minorHAnsi"/>
              </w:rPr>
            </w:pPr>
            <w:r w:rsidRPr="00A0281F">
              <w:t>Absolute Difference</w:t>
            </w:r>
          </w:p>
        </w:tc>
        <w:tc>
          <w:tcPr>
            <w:tcW w:w="879" w:type="pct"/>
            <w:tcBorders>
              <w:bottom w:val="single" w:sz="4" w:space="0" w:color="auto"/>
            </w:tcBorders>
            <w:shd w:val="clear" w:color="auto" w:fill="auto"/>
            <w:vAlign w:val="center"/>
          </w:tcPr>
          <w:p w:rsidR="00E13718" w:rsidRPr="00A0281F" w:rsidRDefault="00E13718" w:rsidP="00BE64AA">
            <w:pPr>
              <w:pStyle w:val="In-tableHeading"/>
              <w:jc w:val="center"/>
            </w:pPr>
            <w:r w:rsidRPr="00A0281F">
              <w:t>HR (95% CI)</w:t>
            </w:r>
          </w:p>
        </w:tc>
      </w:tr>
      <w:tr w:rsidR="00E13718" w:rsidRPr="00A0281F" w:rsidTr="00337C9A">
        <w:trPr>
          <w:trHeight w:val="20"/>
        </w:trPr>
        <w:tc>
          <w:tcPr>
            <w:tcW w:w="1414" w:type="pct"/>
            <w:gridSpan w:val="2"/>
            <w:tcBorders>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Progressed or died, n (%)</w:t>
            </w:r>
          </w:p>
        </w:tc>
        <w:tc>
          <w:tcPr>
            <w:tcW w:w="875" w:type="pct"/>
            <w:gridSpan w:val="3"/>
            <w:tcBorders>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125/234 (53.4%)</w:t>
            </w:r>
          </w:p>
        </w:tc>
        <w:tc>
          <w:tcPr>
            <w:tcW w:w="875" w:type="pct"/>
            <w:gridSpan w:val="2"/>
            <w:tcBorders>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88/116 (75.9%)</w:t>
            </w:r>
          </w:p>
        </w:tc>
        <w:tc>
          <w:tcPr>
            <w:tcW w:w="957" w:type="pct"/>
            <w:gridSpan w:val="3"/>
            <w:tcBorders>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22.5%</w:t>
            </w:r>
          </w:p>
        </w:tc>
        <w:tc>
          <w:tcPr>
            <w:tcW w:w="879" w:type="pct"/>
            <w:tcBorders>
              <w:left w:val="single" w:sz="4" w:space="0" w:color="auto"/>
              <w:bottom w:val="nil"/>
            </w:tcBorders>
            <w:shd w:val="clear" w:color="auto" w:fill="auto"/>
            <w:vAlign w:val="center"/>
          </w:tcPr>
          <w:p w:rsidR="00E13718" w:rsidRPr="00A0281F" w:rsidRDefault="00E13718" w:rsidP="00BE64AA">
            <w:pPr>
              <w:pStyle w:val="TableText0"/>
              <w:jc w:val="center"/>
            </w:pPr>
          </w:p>
        </w:tc>
      </w:tr>
      <w:tr w:rsidR="00E13718" w:rsidRPr="00A0281F" w:rsidTr="00337C9A">
        <w:trPr>
          <w:trHeight w:val="20"/>
        </w:trPr>
        <w:tc>
          <w:tcPr>
            <w:tcW w:w="1414" w:type="pct"/>
            <w:gridSpan w:val="2"/>
            <w:tcBorders>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Median PFS (95% CI), months</w:t>
            </w:r>
          </w:p>
        </w:tc>
        <w:tc>
          <w:tcPr>
            <w:tcW w:w="8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rPr>
                <w:rFonts w:cs="Times New Roman"/>
              </w:rPr>
            </w:pPr>
            <w:r w:rsidRPr="00A0281F">
              <w:t>9.3 (7.2, 11.2)</w:t>
            </w:r>
          </w:p>
        </w:tc>
        <w:tc>
          <w:tcPr>
            <w:tcW w:w="8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rPr>
                <w:rFonts w:cs="Times New Roman"/>
              </w:rPr>
            </w:pPr>
            <w:r w:rsidRPr="00A0281F">
              <w:t>3.9 (3.7, 5.5)</w:t>
            </w:r>
          </w:p>
        </w:tc>
        <w:tc>
          <w:tcPr>
            <w:tcW w:w="957" w:type="pct"/>
            <w:gridSpan w:val="3"/>
            <w:tcBorders>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5.4 months</w:t>
            </w:r>
          </w:p>
        </w:tc>
        <w:tc>
          <w:tcPr>
            <w:tcW w:w="879" w:type="pct"/>
            <w:tcBorders>
              <w:top w:val="nil"/>
              <w:left w:val="single" w:sz="4" w:space="0" w:color="auto"/>
              <w:bottom w:val="nil"/>
            </w:tcBorders>
            <w:shd w:val="clear" w:color="auto" w:fill="auto"/>
            <w:vAlign w:val="center"/>
          </w:tcPr>
          <w:p w:rsidR="00E13718" w:rsidRPr="00A0281F" w:rsidRDefault="00E13718" w:rsidP="00BE64AA">
            <w:pPr>
              <w:pStyle w:val="TableText0"/>
              <w:jc w:val="center"/>
            </w:pPr>
            <w:r w:rsidRPr="00A0281F">
              <w:t>0.45 (0.338, 0.607)</w:t>
            </w:r>
          </w:p>
        </w:tc>
      </w:tr>
      <w:tr w:rsidR="00E13718" w:rsidRPr="00A0281F" w:rsidTr="00337C9A">
        <w:trPr>
          <w:trHeight w:val="20"/>
        </w:trPr>
        <w:tc>
          <w:tcPr>
            <w:tcW w:w="1414" w:type="pct"/>
            <w:gridSpan w:val="2"/>
            <w:tcBorders>
              <w:top w:val="single" w:sz="4" w:space="0" w:color="auto"/>
              <w:bottom w:val="single" w:sz="4" w:space="0" w:color="auto"/>
              <w:right w:val="single" w:sz="4" w:space="0" w:color="auto"/>
            </w:tcBorders>
            <w:shd w:val="clear" w:color="auto" w:fill="auto"/>
            <w:vAlign w:val="center"/>
          </w:tcPr>
          <w:p w:rsidR="00E13718" w:rsidRPr="00A0281F" w:rsidRDefault="00E473FE" w:rsidP="00BE64AA">
            <w:pPr>
              <w:pStyle w:val="TableText0"/>
              <w:jc w:val="center"/>
              <w:rPr>
                <w:vertAlign w:val="superscript"/>
              </w:rPr>
            </w:pPr>
            <w:r w:rsidRPr="00A0281F">
              <w:t>PFS at 12 months</w:t>
            </w:r>
            <w:r w:rsidR="0083723A" w:rsidRPr="00A0281F">
              <w:rPr>
                <w:vertAlign w:val="superscript"/>
              </w:rPr>
              <w:t>^</w:t>
            </w:r>
          </w:p>
          <w:p w:rsidR="00E13718" w:rsidRPr="00A0281F" w:rsidRDefault="00E13718" w:rsidP="00BE64AA">
            <w:pPr>
              <w:pStyle w:val="TableText0"/>
              <w:jc w:val="center"/>
            </w:pPr>
            <w:r w:rsidRPr="00A0281F">
              <w:t xml:space="preserve"> (95 % CI) </w:t>
            </w:r>
          </w:p>
        </w:tc>
        <w:tc>
          <w:tcPr>
            <w:tcW w:w="8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0.41 (0.33, 0.48)</w:t>
            </w:r>
          </w:p>
        </w:tc>
        <w:tc>
          <w:tcPr>
            <w:tcW w:w="8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0.14 (0.08, 0.22)</w:t>
            </w:r>
          </w:p>
        </w:tc>
        <w:tc>
          <w:tcPr>
            <w:tcW w:w="9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27%*</w:t>
            </w:r>
          </w:p>
        </w:tc>
        <w:tc>
          <w:tcPr>
            <w:tcW w:w="879" w:type="pct"/>
            <w:tcBorders>
              <w:top w:val="nil"/>
              <w:left w:val="single" w:sz="4" w:space="0" w:color="auto"/>
              <w:bottom w:val="nil"/>
            </w:tcBorders>
            <w:shd w:val="clear" w:color="auto" w:fill="auto"/>
            <w:vAlign w:val="center"/>
          </w:tcPr>
          <w:p w:rsidR="00E13718" w:rsidRPr="00A0281F" w:rsidRDefault="00E13718" w:rsidP="00BE64AA">
            <w:pPr>
              <w:pStyle w:val="TableText0"/>
              <w:jc w:val="center"/>
            </w:pPr>
          </w:p>
        </w:tc>
      </w:tr>
      <w:tr w:rsidR="00E13718" w:rsidRPr="00A0281F" w:rsidTr="00337C9A">
        <w:trPr>
          <w:trHeight w:val="20"/>
        </w:trPr>
        <w:tc>
          <w:tcPr>
            <w:tcW w:w="1414" w:type="pct"/>
            <w:gridSpan w:val="2"/>
            <w:tcBorders>
              <w:top w:val="single" w:sz="4" w:space="0" w:color="auto"/>
              <w:bottom w:val="single" w:sz="4" w:space="0" w:color="auto"/>
              <w:right w:val="single" w:sz="4" w:space="0" w:color="auto"/>
            </w:tcBorders>
            <w:shd w:val="clear" w:color="auto" w:fill="auto"/>
            <w:vAlign w:val="center"/>
          </w:tcPr>
          <w:p w:rsidR="00E13718" w:rsidRPr="00A0281F" w:rsidRDefault="008B5B38" w:rsidP="00BE64AA">
            <w:pPr>
              <w:pStyle w:val="TableText0"/>
              <w:jc w:val="center"/>
            </w:pPr>
            <w:r w:rsidRPr="00A0281F">
              <w:t>PFS at 24 months</w:t>
            </w:r>
            <w:r w:rsidR="0083723A" w:rsidRPr="00A0281F">
              <w:rPr>
                <w:vertAlign w:val="superscript"/>
              </w:rPr>
              <w:t>^</w:t>
            </w:r>
            <w:r w:rsidR="00E13718" w:rsidRPr="00A0281F">
              <w:t xml:space="preserve"> </w:t>
            </w:r>
          </w:p>
          <w:p w:rsidR="00E13718" w:rsidRPr="00A0281F" w:rsidRDefault="00E13718" w:rsidP="00BE64AA">
            <w:pPr>
              <w:pStyle w:val="TableText0"/>
              <w:jc w:val="center"/>
            </w:pPr>
            <w:r w:rsidRPr="00A0281F">
              <w:t xml:space="preserve">(95 % CI) </w:t>
            </w:r>
          </w:p>
        </w:tc>
        <w:tc>
          <w:tcPr>
            <w:tcW w:w="8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0.27 (0.19, 0.35)</w:t>
            </w:r>
          </w:p>
        </w:tc>
        <w:tc>
          <w:tcPr>
            <w:tcW w:w="8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0.12 (0.06, 0.21)</w:t>
            </w:r>
          </w:p>
        </w:tc>
        <w:tc>
          <w:tcPr>
            <w:tcW w:w="9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rPr>
                <w:rFonts w:cs="Times New Roman"/>
              </w:rPr>
            </w:pPr>
            <w:r w:rsidRPr="00A0281F">
              <w:t>15%*</w:t>
            </w:r>
          </w:p>
        </w:tc>
        <w:tc>
          <w:tcPr>
            <w:tcW w:w="879" w:type="pct"/>
            <w:tcBorders>
              <w:top w:val="nil"/>
              <w:left w:val="single" w:sz="4" w:space="0" w:color="auto"/>
              <w:bottom w:val="single" w:sz="4" w:space="0" w:color="auto"/>
            </w:tcBorders>
            <w:shd w:val="clear" w:color="auto" w:fill="auto"/>
            <w:vAlign w:val="center"/>
          </w:tcPr>
          <w:p w:rsidR="00E13718" w:rsidRPr="00A0281F" w:rsidRDefault="00E13718" w:rsidP="00BE64AA">
            <w:pPr>
              <w:pStyle w:val="TableText0"/>
              <w:jc w:val="center"/>
            </w:pPr>
          </w:p>
        </w:tc>
      </w:tr>
      <w:tr w:rsidR="00E13718" w:rsidRPr="00A0281F" w:rsidTr="002B25A8">
        <w:trPr>
          <w:trHeight w:val="20"/>
        </w:trPr>
        <w:tc>
          <w:tcPr>
            <w:tcW w:w="5000" w:type="pct"/>
            <w:gridSpan w:val="11"/>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rPr>
                <w:b/>
              </w:rPr>
            </w:pPr>
            <w:r w:rsidRPr="00A0281F">
              <w:rPr>
                <w:b/>
              </w:rPr>
              <w:t>Overall  survival (OS) (DCO May 2016)</w:t>
            </w:r>
          </w:p>
        </w:tc>
      </w:tr>
      <w:tr w:rsidR="00E13718" w:rsidRPr="00A0281F" w:rsidTr="00337C9A">
        <w:trPr>
          <w:trHeight w:val="20"/>
        </w:trPr>
        <w:tc>
          <w:tcPr>
            <w:tcW w:w="14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Deaths, n/N (%)</w:t>
            </w:r>
          </w:p>
        </w:tc>
        <w:tc>
          <w:tcPr>
            <w:tcW w:w="8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44/234 (18.8%)</w:t>
            </w:r>
          </w:p>
        </w:tc>
        <w:tc>
          <w:tcPr>
            <w:tcW w:w="8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27/116 (23.3%)</w:t>
            </w:r>
          </w:p>
        </w:tc>
        <w:tc>
          <w:tcPr>
            <w:tcW w:w="9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4.5%</w:t>
            </w:r>
          </w:p>
        </w:tc>
        <w:tc>
          <w:tcPr>
            <w:tcW w:w="879" w:type="pct"/>
            <w:tcBorders>
              <w:top w:val="single" w:sz="4" w:space="0" w:color="auto"/>
              <w:left w:val="single" w:sz="4" w:space="0" w:color="auto"/>
              <w:bottom w:val="nil"/>
              <w:right w:val="single" w:sz="4" w:space="0" w:color="auto"/>
            </w:tcBorders>
            <w:shd w:val="clear" w:color="auto" w:fill="auto"/>
            <w:vAlign w:val="center"/>
          </w:tcPr>
          <w:p w:rsidR="00E13718" w:rsidRPr="00A0281F" w:rsidRDefault="00E13718" w:rsidP="00BE64AA">
            <w:pPr>
              <w:pStyle w:val="TableText0"/>
              <w:jc w:val="center"/>
            </w:pPr>
          </w:p>
        </w:tc>
      </w:tr>
      <w:tr w:rsidR="00E13718" w:rsidRPr="00A0281F" w:rsidTr="00337C9A">
        <w:trPr>
          <w:trHeight w:val="20"/>
        </w:trPr>
        <w:tc>
          <w:tcPr>
            <w:tcW w:w="14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Median OS (95% CI) months</w:t>
            </w:r>
          </w:p>
        </w:tc>
        <w:tc>
          <w:tcPr>
            <w:tcW w:w="8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rPr>
                <w:rFonts w:cs="Times New Roman"/>
              </w:rPr>
            </w:pPr>
            <w:r w:rsidRPr="00A0281F">
              <w:rPr>
                <w:rFonts w:eastAsia="Times New Roman" w:cs="Calibri"/>
                <w:color w:val="000000"/>
                <w:szCs w:val="20"/>
              </w:rPr>
              <w:t>NR</w:t>
            </w:r>
          </w:p>
        </w:tc>
        <w:tc>
          <w:tcPr>
            <w:tcW w:w="8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rPr>
                <w:rFonts w:cs="Times New Roman"/>
              </w:rPr>
            </w:pPr>
            <w:r w:rsidRPr="00A0281F">
              <w:rPr>
                <w:rFonts w:eastAsia="Times New Roman" w:cs="Calibri"/>
                <w:color w:val="000000"/>
                <w:szCs w:val="20"/>
              </w:rPr>
              <w:t>NR</w:t>
            </w:r>
          </w:p>
        </w:tc>
        <w:tc>
          <w:tcPr>
            <w:tcW w:w="9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NA</w:t>
            </w:r>
          </w:p>
        </w:tc>
        <w:tc>
          <w:tcPr>
            <w:tcW w:w="879" w:type="pct"/>
            <w:tcBorders>
              <w:top w:val="nil"/>
              <w:left w:val="single" w:sz="4" w:space="0" w:color="auto"/>
              <w:bottom w:val="nil"/>
              <w:right w:val="single" w:sz="4" w:space="0" w:color="auto"/>
            </w:tcBorders>
            <w:shd w:val="clear" w:color="auto" w:fill="auto"/>
            <w:vAlign w:val="center"/>
          </w:tcPr>
          <w:p w:rsidR="00E13718" w:rsidRPr="00A0281F" w:rsidRDefault="00E13718" w:rsidP="00BE64AA">
            <w:pPr>
              <w:pStyle w:val="TableText0"/>
              <w:jc w:val="center"/>
              <w:rPr>
                <w:vertAlign w:val="superscript"/>
              </w:rPr>
            </w:pPr>
            <w:r w:rsidRPr="00A0281F">
              <w:rPr>
                <w:rFonts w:eastAsia="Times New Roman" w:cs="Calibri"/>
                <w:color w:val="000000"/>
                <w:szCs w:val="20"/>
              </w:rPr>
              <w:t>0.74 (0.452, 1.200)</w:t>
            </w:r>
          </w:p>
        </w:tc>
      </w:tr>
      <w:tr w:rsidR="00E13718" w:rsidRPr="00A0281F" w:rsidTr="00337C9A">
        <w:trPr>
          <w:trHeight w:val="20"/>
        </w:trPr>
        <w:tc>
          <w:tcPr>
            <w:tcW w:w="1414"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8B5B38" w:rsidP="00BE64AA">
            <w:pPr>
              <w:pStyle w:val="TableText0"/>
              <w:jc w:val="center"/>
            </w:pPr>
            <w:r w:rsidRPr="00A0281F">
              <w:t>OS at 12 months</w:t>
            </w:r>
            <w:r w:rsidR="0083723A" w:rsidRPr="00A0281F">
              <w:rPr>
                <w:vertAlign w:val="superscript"/>
              </w:rPr>
              <w:t>^</w:t>
            </w:r>
            <w:r w:rsidR="00E13718" w:rsidRPr="00A0281F">
              <w:t xml:space="preserve"> </w:t>
            </w:r>
          </w:p>
          <w:p w:rsidR="00E13718" w:rsidRPr="00A0281F" w:rsidRDefault="00E13718" w:rsidP="00BE64AA">
            <w:pPr>
              <w:pStyle w:val="TableText0"/>
              <w:jc w:val="center"/>
            </w:pPr>
            <w:r w:rsidRPr="00A0281F">
              <w:t xml:space="preserve">(95 % CI) </w:t>
            </w:r>
          </w:p>
        </w:tc>
        <w:tc>
          <w:tcPr>
            <w:tcW w:w="87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rPr>
                <w:rFonts w:eastAsia="Times New Roman" w:cs="Calibri"/>
                <w:color w:val="000000"/>
                <w:szCs w:val="20"/>
              </w:rPr>
              <w:t>0.93 (0.89, 0.96)</w:t>
            </w:r>
          </w:p>
        </w:tc>
        <w:tc>
          <w:tcPr>
            <w:tcW w:w="875"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rPr>
                <w:rFonts w:eastAsia="Times New Roman" w:cs="Calibri"/>
                <w:color w:val="000000"/>
                <w:szCs w:val="20"/>
              </w:rPr>
              <w:t>0.90 (0.82, 0.94)</w:t>
            </w:r>
          </w:p>
        </w:tc>
        <w:tc>
          <w:tcPr>
            <w:tcW w:w="957" w:type="pct"/>
            <w:gridSpan w:val="3"/>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3%</w:t>
            </w:r>
            <w:r w:rsidRPr="00A0281F">
              <w:rPr>
                <w:vertAlign w:val="superscript"/>
              </w:rPr>
              <w:t>#</w:t>
            </w:r>
          </w:p>
        </w:tc>
        <w:tc>
          <w:tcPr>
            <w:tcW w:w="879" w:type="pct"/>
            <w:tcBorders>
              <w:top w:val="nil"/>
              <w:left w:val="single" w:sz="4" w:space="0" w:color="auto"/>
              <w:bottom w:val="nil"/>
              <w:right w:val="single" w:sz="4" w:space="0" w:color="auto"/>
            </w:tcBorders>
            <w:shd w:val="clear" w:color="auto" w:fill="auto"/>
            <w:vAlign w:val="center"/>
          </w:tcPr>
          <w:p w:rsidR="00E13718" w:rsidRPr="00A0281F" w:rsidRDefault="00E13718" w:rsidP="00BE64AA">
            <w:pPr>
              <w:pStyle w:val="TableText0"/>
              <w:jc w:val="center"/>
            </w:pPr>
          </w:p>
        </w:tc>
      </w:tr>
      <w:tr w:rsidR="00E13718" w:rsidRPr="00A0281F" w:rsidTr="00337C9A">
        <w:trPr>
          <w:trHeight w:val="20"/>
        </w:trPr>
        <w:tc>
          <w:tcPr>
            <w:tcW w:w="1414" w:type="pct"/>
            <w:gridSpan w:val="2"/>
            <w:tcBorders>
              <w:top w:val="single" w:sz="4" w:space="0" w:color="auto"/>
              <w:left w:val="single" w:sz="4" w:space="0" w:color="auto"/>
              <w:bottom w:val="single" w:sz="18" w:space="0" w:color="auto"/>
              <w:right w:val="single" w:sz="4" w:space="0" w:color="auto"/>
            </w:tcBorders>
            <w:shd w:val="clear" w:color="auto" w:fill="auto"/>
            <w:vAlign w:val="center"/>
          </w:tcPr>
          <w:p w:rsidR="00E13718" w:rsidRPr="00A0281F" w:rsidRDefault="008B5B38" w:rsidP="00BE64AA">
            <w:pPr>
              <w:pStyle w:val="TableText0"/>
              <w:jc w:val="center"/>
            </w:pPr>
            <w:r w:rsidRPr="00A0281F">
              <w:t>OS at 24 months</w:t>
            </w:r>
            <w:r w:rsidR="0083723A" w:rsidRPr="00A0281F">
              <w:rPr>
                <w:vertAlign w:val="superscript"/>
              </w:rPr>
              <w:t>^</w:t>
            </w:r>
            <w:r w:rsidR="00E13718" w:rsidRPr="00A0281F">
              <w:t xml:space="preserve"> </w:t>
            </w:r>
          </w:p>
          <w:p w:rsidR="00E13718" w:rsidRPr="00A0281F" w:rsidRDefault="00E13718" w:rsidP="00BE64AA">
            <w:pPr>
              <w:pStyle w:val="TableText0"/>
              <w:jc w:val="center"/>
            </w:pPr>
            <w:r w:rsidRPr="00A0281F">
              <w:t xml:space="preserve">(95 % CI) </w:t>
            </w:r>
          </w:p>
        </w:tc>
        <w:tc>
          <w:tcPr>
            <w:tcW w:w="875" w:type="pct"/>
            <w:gridSpan w:val="3"/>
            <w:tcBorders>
              <w:top w:val="single" w:sz="4" w:space="0" w:color="auto"/>
              <w:left w:val="single" w:sz="4" w:space="0" w:color="auto"/>
              <w:bottom w:val="single" w:sz="18" w:space="0" w:color="auto"/>
              <w:right w:val="single" w:sz="4" w:space="0" w:color="auto"/>
            </w:tcBorders>
            <w:shd w:val="clear" w:color="auto" w:fill="auto"/>
            <w:vAlign w:val="center"/>
          </w:tcPr>
          <w:p w:rsidR="00E13718" w:rsidRPr="00A0281F" w:rsidRDefault="00E13718" w:rsidP="00BE64AA">
            <w:pPr>
              <w:pStyle w:val="TableText0"/>
              <w:jc w:val="center"/>
            </w:pPr>
            <w:r w:rsidRPr="00A0281F">
              <w:rPr>
                <w:rFonts w:eastAsia="Times New Roman" w:cs="Calibri"/>
                <w:color w:val="000000"/>
                <w:szCs w:val="20"/>
              </w:rPr>
              <w:t>0.71 (0.61, 0.78)</w:t>
            </w:r>
          </w:p>
        </w:tc>
        <w:tc>
          <w:tcPr>
            <w:tcW w:w="875" w:type="pct"/>
            <w:gridSpan w:val="2"/>
            <w:tcBorders>
              <w:top w:val="single" w:sz="4" w:space="0" w:color="auto"/>
              <w:left w:val="single" w:sz="4" w:space="0" w:color="auto"/>
              <w:bottom w:val="single" w:sz="18" w:space="0" w:color="auto"/>
              <w:right w:val="single" w:sz="4" w:space="0" w:color="auto"/>
            </w:tcBorders>
            <w:shd w:val="clear" w:color="auto" w:fill="auto"/>
            <w:vAlign w:val="center"/>
          </w:tcPr>
          <w:p w:rsidR="00E13718" w:rsidRPr="00A0281F" w:rsidRDefault="00E13718" w:rsidP="00BE64AA">
            <w:pPr>
              <w:pStyle w:val="TableText0"/>
              <w:jc w:val="center"/>
            </w:pPr>
            <w:r w:rsidRPr="00A0281F">
              <w:rPr>
                <w:rFonts w:eastAsia="Times New Roman" w:cs="Calibri"/>
                <w:color w:val="000000"/>
                <w:szCs w:val="20"/>
              </w:rPr>
              <w:t>0.62 (0.48, 0.74)</w:t>
            </w:r>
          </w:p>
        </w:tc>
        <w:tc>
          <w:tcPr>
            <w:tcW w:w="957" w:type="pct"/>
            <w:gridSpan w:val="3"/>
            <w:tcBorders>
              <w:top w:val="single" w:sz="4" w:space="0" w:color="auto"/>
              <w:left w:val="single" w:sz="4" w:space="0" w:color="auto"/>
              <w:bottom w:val="single" w:sz="18" w:space="0" w:color="auto"/>
              <w:right w:val="single" w:sz="4" w:space="0" w:color="auto"/>
            </w:tcBorders>
            <w:shd w:val="clear" w:color="auto" w:fill="auto"/>
            <w:vAlign w:val="center"/>
          </w:tcPr>
          <w:p w:rsidR="00E13718" w:rsidRPr="00A0281F" w:rsidRDefault="00E13718" w:rsidP="00BE64AA">
            <w:pPr>
              <w:pStyle w:val="TableText0"/>
              <w:jc w:val="center"/>
            </w:pPr>
            <w:r w:rsidRPr="00A0281F">
              <w:t>9%</w:t>
            </w:r>
            <w:r w:rsidRPr="00A0281F">
              <w:rPr>
                <w:vertAlign w:val="superscript"/>
              </w:rPr>
              <w:t>#</w:t>
            </w:r>
          </w:p>
        </w:tc>
        <w:tc>
          <w:tcPr>
            <w:tcW w:w="879" w:type="pct"/>
            <w:tcBorders>
              <w:top w:val="nil"/>
              <w:left w:val="single" w:sz="4" w:space="0" w:color="auto"/>
              <w:bottom w:val="single" w:sz="18" w:space="0" w:color="auto"/>
              <w:right w:val="single" w:sz="4" w:space="0" w:color="auto"/>
            </w:tcBorders>
            <w:shd w:val="clear" w:color="auto" w:fill="auto"/>
            <w:vAlign w:val="center"/>
          </w:tcPr>
          <w:p w:rsidR="00E13718" w:rsidRPr="00A0281F" w:rsidRDefault="00E13718" w:rsidP="00BE64AA">
            <w:pPr>
              <w:pStyle w:val="TableText0"/>
              <w:jc w:val="center"/>
            </w:pPr>
          </w:p>
        </w:tc>
      </w:tr>
      <w:tr w:rsidR="00E13718" w:rsidRPr="00A0281F" w:rsidTr="002B25A8">
        <w:trPr>
          <w:trHeight w:val="20"/>
        </w:trPr>
        <w:tc>
          <w:tcPr>
            <w:tcW w:w="5000" w:type="pct"/>
            <w:gridSpan w:val="11"/>
            <w:tcBorders>
              <w:top w:val="single" w:sz="18" w:space="0" w:color="auto"/>
              <w:left w:val="single" w:sz="4" w:space="0" w:color="auto"/>
              <w:right w:val="single" w:sz="4" w:space="0" w:color="auto"/>
            </w:tcBorders>
            <w:shd w:val="clear" w:color="auto" w:fill="auto"/>
            <w:vAlign w:val="center"/>
          </w:tcPr>
          <w:p w:rsidR="00E13718" w:rsidRPr="00A0281F" w:rsidRDefault="00E13718" w:rsidP="00BE64AA">
            <w:pPr>
              <w:pStyle w:val="In-tableHeading"/>
            </w:pPr>
            <w:r w:rsidRPr="00A0281F">
              <w:t>Harms</w:t>
            </w:r>
          </w:p>
        </w:tc>
      </w:tr>
      <w:tr w:rsidR="00E13718" w:rsidRPr="00A0281F" w:rsidTr="002B25A8">
        <w:trPr>
          <w:trHeight w:val="20"/>
        </w:trPr>
        <w:tc>
          <w:tcPr>
            <w:tcW w:w="937" w:type="pct"/>
            <w:vMerge w:val="restart"/>
            <w:tcBorders>
              <w:left w:val="single" w:sz="4" w:space="0" w:color="auto"/>
              <w:right w:val="single" w:sz="4" w:space="0" w:color="auto"/>
            </w:tcBorders>
            <w:shd w:val="clear" w:color="auto" w:fill="auto"/>
            <w:vAlign w:val="center"/>
          </w:tcPr>
          <w:p w:rsidR="00E13718" w:rsidRPr="00A0281F" w:rsidRDefault="00E13718" w:rsidP="00BE64AA">
            <w:pPr>
              <w:pStyle w:val="TableText0"/>
              <w:jc w:val="center"/>
            </w:pPr>
          </w:p>
        </w:tc>
        <w:tc>
          <w:tcPr>
            <w:tcW w:w="558" w:type="pct"/>
            <w:gridSpan w:val="2"/>
            <w:vMerge w:val="restart"/>
            <w:tcBorders>
              <w:left w:val="single" w:sz="4" w:space="0" w:color="auto"/>
              <w:right w:val="single" w:sz="4" w:space="0" w:color="auto"/>
            </w:tcBorders>
            <w:shd w:val="clear" w:color="auto" w:fill="auto"/>
            <w:vAlign w:val="center"/>
          </w:tcPr>
          <w:p w:rsidR="00E13718" w:rsidRPr="00A0281F" w:rsidRDefault="00E13718" w:rsidP="00BE64AA">
            <w:pPr>
              <w:pStyle w:val="TableText0"/>
              <w:jc w:val="center"/>
              <w:rPr>
                <w:b/>
              </w:rPr>
            </w:pPr>
            <w:r w:rsidRPr="00A0281F">
              <w:rPr>
                <w:b/>
              </w:rPr>
              <w:t>Niraparib</w:t>
            </w:r>
          </w:p>
          <w:p w:rsidR="00E13718" w:rsidRPr="00A0281F" w:rsidRDefault="00E13718" w:rsidP="00BE64AA">
            <w:pPr>
              <w:pStyle w:val="TableText0"/>
              <w:jc w:val="center"/>
              <w:rPr>
                <w:b/>
              </w:rPr>
            </w:pPr>
            <w:r w:rsidRPr="00A0281F">
              <w:rPr>
                <w:b/>
              </w:rPr>
              <w:t>n/N</w:t>
            </w:r>
          </w:p>
        </w:tc>
        <w:tc>
          <w:tcPr>
            <w:tcW w:w="478" w:type="pct"/>
            <w:vMerge w:val="restart"/>
            <w:tcBorders>
              <w:top w:val="single" w:sz="4" w:space="0" w:color="auto"/>
              <w:left w:val="single" w:sz="4" w:space="0" w:color="auto"/>
              <w:right w:val="single" w:sz="4" w:space="0" w:color="auto"/>
            </w:tcBorders>
            <w:shd w:val="clear" w:color="auto" w:fill="auto"/>
            <w:vAlign w:val="center"/>
          </w:tcPr>
          <w:p w:rsidR="00E13718" w:rsidRPr="00A0281F" w:rsidRDefault="00E13718" w:rsidP="00BE64AA">
            <w:pPr>
              <w:pStyle w:val="In-tableHeading"/>
              <w:jc w:val="center"/>
              <w:rPr>
                <w:lang w:eastAsia="zh-CN" w:bidi="en-US"/>
              </w:rPr>
            </w:pPr>
            <w:r w:rsidRPr="00A0281F">
              <w:rPr>
                <w:lang w:eastAsia="zh-CN" w:bidi="en-US"/>
              </w:rPr>
              <w:t>Placebo</w:t>
            </w:r>
          </w:p>
          <w:p w:rsidR="00E13718" w:rsidRPr="00A0281F" w:rsidRDefault="00E13718" w:rsidP="00BE64AA">
            <w:pPr>
              <w:pStyle w:val="In-tableHeading"/>
              <w:jc w:val="center"/>
              <w:rPr>
                <w:lang w:eastAsia="zh-CN" w:bidi="en-US"/>
              </w:rPr>
            </w:pPr>
            <w:r w:rsidRPr="00A0281F">
              <w:rPr>
                <w:lang w:eastAsia="zh-CN" w:bidi="en-US"/>
              </w:rPr>
              <w:t>n/N</w:t>
            </w:r>
          </w:p>
        </w:tc>
        <w:tc>
          <w:tcPr>
            <w:tcW w:w="796" w:type="pct"/>
            <w:gridSpan w:val="2"/>
            <w:vMerge w:val="restart"/>
            <w:tcBorders>
              <w:top w:val="single" w:sz="4" w:space="0" w:color="auto"/>
              <w:left w:val="single" w:sz="4" w:space="0" w:color="auto"/>
              <w:right w:val="single" w:sz="4" w:space="0" w:color="auto"/>
            </w:tcBorders>
            <w:shd w:val="clear" w:color="auto" w:fill="auto"/>
            <w:vAlign w:val="center"/>
          </w:tcPr>
          <w:p w:rsidR="00E13718" w:rsidRPr="00A0281F" w:rsidRDefault="00E13718" w:rsidP="00BE64AA">
            <w:pPr>
              <w:pStyle w:val="In-tableHeading"/>
              <w:jc w:val="center"/>
              <w:rPr>
                <w:color w:val="000000"/>
                <w:szCs w:val="18"/>
              </w:rPr>
            </w:pPr>
            <w:r w:rsidRPr="00A0281F">
              <w:rPr>
                <w:color w:val="000000"/>
                <w:szCs w:val="18"/>
              </w:rPr>
              <w:t>Relative risk</w:t>
            </w:r>
          </w:p>
          <w:p w:rsidR="00E13718" w:rsidRPr="00A0281F" w:rsidRDefault="00E13718" w:rsidP="00BE64AA">
            <w:pPr>
              <w:pStyle w:val="In-tableHeading"/>
              <w:jc w:val="center"/>
              <w:rPr>
                <w:vertAlign w:val="superscript"/>
                <w:lang w:eastAsia="zh-CN" w:bidi="en-US"/>
              </w:rPr>
            </w:pPr>
            <w:r w:rsidRPr="00A0281F">
              <w:rPr>
                <w:color w:val="000000"/>
                <w:szCs w:val="18"/>
              </w:rPr>
              <w:t>(95% CI)</w:t>
            </w:r>
            <w:r w:rsidRPr="00A0281F">
              <w:rPr>
                <w:color w:val="000000"/>
                <w:szCs w:val="18"/>
                <w:vertAlign w:val="superscript"/>
              </w:rPr>
              <w:t>$</w:t>
            </w:r>
          </w:p>
        </w:tc>
        <w:tc>
          <w:tcPr>
            <w:tcW w:w="1116" w:type="pct"/>
            <w:gridSpan w:val="3"/>
            <w:tcBorders>
              <w:left w:val="single" w:sz="4" w:space="0" w:color="auto"/>
              <w:right w:val="single" w:sz="4" w:space="0" w:color="auto"/>
            </w:tcBorders>
            <w:shd w:val="clear" w:color="auto" w:fill="auto"/>
            <w:vAlign w:val="center"/>
          </w:tcPr>
          <w:p w:rsidR="00E13718" w:rsidRPr="00A0281F" w:rsidRDefault="00E13718" w:rsidP="00BE64AA">
            <w:pPr>
              <w:pStyle w:val="In-tableHeading"/>
              <w:jc w:val="center"/>
            </w:pPr>
            <w:r w:rsidRPr="00A0281F">
              <w:rPr>
                <w:color w:val="000000"/>
                <w:szCs w:val="18"/>
              </w:rPr>
              <w:t>Event rate/100 patients</w:t>
            </w:r>
          </w:p>
        </w:tc>
        <w:tc>
          <w:tcPr>
            <w:tcW w:w="1116" w:type="pct"/>
            <w:gridSpan w:val="2"/>
            <w:vMerge w:val="restart"/>
            <w:tcBorders>
              <w:top w:val="single" w:sz="4" w:space="0" w:color="auto"/>
              <w:left w:val="single" w:sz="4" w:space="0" w:color="auto"/>
              <w:right w:val="single" w:sz="4" w:space="0" w:color="auto"/>
            </w:tcBorders>
            <w:shd w:val="clear" w:color="auto" w:fill="auto"/>
            <w:vAlign w:val="center"/>
          </w:tcPr>
          <w:p w:rsidR="00E13718" w:rsidRPr="00A0281F" w:rsidRDefault="00E13718" w:rsidP="00BE64AA">
            <w:pPr>
              <w:pStyle w:val="In-tableHeading"/>
              <w:jc w:val="center"/>
            </w:pPr>
            <w:r w:rsidRPr="00A0281F">
              <w:t>Risk difference</w:t>
            </w:r>
          </w:p>
          <w:p w:rsidR="00E13718" w:rsidRPr="00A0281F" w:rsidRDefault="00E13718" w:rsidP="00BE64AA">
            <w:pPr>
              <w:pStyle w:val="In-tableHeading"/>
              <w:jc w:val="center"/>
              <w:rPr>
                <w:vertAlign w:val="superscript"/>
              </w:rPr>
            </w:pPr>
            <w:r w:rsidRPr="00A0281F">
              <w:t>(95% CI)</w:t>
            </w:r>
            <w:r w:rsidRPr="00A0281F">
              <w:rPr>
                <w:vertAlign w:val="superscript"/>
              </w:rPr>
              <w:t>$</w:t>
            </w:r>
          </w:p>
        </w:tc>
      </w:tr>
      <w:tr w:rsidR="00E13718" w:rsidRPr="00A0281F" w:rsidTr="002B25A8">
        <w:trPr>
          <w:trHeight w:val="20"/>
        </w:trPr>
        <w:tc>
          <w:tcPr>
            <w:tcW w:w="937" w:type="pct"/>
            <w:vMerge/>
            <w:tcBorders>
              <w:left w:val="single" w:sz="4" w:space="0" w:color="auto"/>
              <w:right w:val="single" w:sz="4" w:space="0" w:color="auto"/>
            </w:tcBorders>
            <w:shd w:val="clear" w:color="auto" w:fill="auto"/>
            <w:vAlign w:val="center"/>
          </w:tcPr>
          <w:p w:rsidR="00E13718" w:rsidRPr="00A0281F" w:rsidRDefault="00E13718" w:rsidP="00BE64AA">
            <w:pPr>
              <w:pStyle w:val="TableText0"/>
              <w:jc w:val="center"/>
            </w:pPr>
          </w:p>
        </w:tc>
        <w:tc>
          <w:tcPr>
            <w:tcW w:w="558" w:type="pct"/>
            <w:gridSpan w:val="2"/>
            <w:vMerge/>
            <w:tcBorders>
              <w:left w:val="single" w:sz="4" w:space="0" w:color="auto"/>
              <w:right w:val="single" w:sz="4" w:space="0" w:color="auto"/>
            </w:tcBorders>
            <w:shd w:val="clear" w:color="auto" w:fill="auto"/>
            <w:vAlign w:val="center"/>
          </w:tcPr>
          <w:p w:rsidR="00E13718" w:rsidRPr="00A0281F" w:rsidRDefault="00E13718" w:rsidP="00BE64AA">
            <w:pPr>
              <w:pStyle w:val="TableText0"/>
              <w:jc w:val="center"/>
            </w:pPr>
          </w:p>
        </w:tc>
        <w:tc>
          <w:tcPr>
            <w:tcW w:w="478" w:type="pct"/>
            <w:vMerge/>
            <w:tcBorders>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rPr>
                <w:lang w:eastAsia="zh-CN" w:bidi="en-US"/>
              </w:rPr>
            </w:pPr>
          </w:p>
        </w:tc>
        <w:tc>
          <w:tcPr>
            <w:tcW w:w="796" w:type="pct"/>
            <w:gridSpan w:val="2"/>
            <w:vMerge/>
            <w:tcBorders>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rPr>
                <w:lang w:eastAsia="zh-CN" w:bidi="en-US"/>
              </w:rPr>
            </w:pPr>
          </w:p>
        </w:tc>
        <w:tc>
          <w:tcPr>
            <w:tcW w:w="558" w:type="pct"/>
            <w:gridSpan w:val="2"/>
            <w:tcBorders>
              <w:left w:val="single" w:sz="4" w:space="0" w:color="auto"/>
              <w:right w:val="single" w:sz="4" w:space="0" w:color="auto"/>
            </w:tcBorders>
            <w:shd w:val="clear" w:color="auto" w:fill="auto"/>
            <w:vAlign w:val="center"/>
          </w:tcPr>
          <w:p w:rsidR="00E13718" w:rsidRPr="00A0281F" w:rsidRDefault="00E13718" w:rsidP="00BE64AA">
            <w:pPr>
              <w:pStyle w:val="In-tableHeading"/>
              <w:jc w:val="center"/>
            </w:pPr>
            <w:r w:rsidRPr="00A0281F">
              <w:t>Niraparib</w:t>
            </w:r>
          </w:p>
        </w:tc>
        <w:tc>
          <w:tcPr>
            <w:tcW w:w="558" w:type="pct"/>
            <w:tcBorders>
              <w:left w:val="single" w:sz="4" w:space="0" w:color="auto"/>
              <w:right w:val="single" w:sz="4" w:space="0" w:color="auto"/>
            </w:tcBorders>
            <w:shd w:val="clear" w:color="auto" w:fill="auto"/>
            <w:vAlign w:val="center"/>
          </w:tcPr>
          <w:p w:rsidR="00E13718" w:rsidRPr="00A0281F" w:rsidRDefault="00E13718" w:rsidP="00BE64AA">
            <w:pPr>
              <w:pStyle w:val="In-tableHeading"/>
              <w:jc w:val="center"/>
            </w:pPr>
            <w:r w:rsidRPr="00A0281F">
              <w:t>Placebo</w:t>
            </w:r>
          </w:p>
        </w:tc>
        <w:tc>
          <w:tcPr>
            <w:tcW w:w="1116" w:type="pct"/>
            <w:gridSpan w:val="2"/>
            <w:vMerge/>
            <w:tcBorders>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p>
        </w:tc>
      </w:tr>
      <w:tr w:rsidR="00E13718" w:rsidRPr="00A0281F" w:rsidTr="002B25A8">
        <w:trPr>
          <w:trHeight w:val="20"/>
        </w:trPr>
        <w:tc>
          <w:tcPr>
            <w:tcW w:w="937" w:type="pct"/>
            <w:tcBorders>
              <w:left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TEAEs of grade 3-4</w:t>
            </w:r>
          </w:p>
        </w:tc>
        <w:tc>
          <w:tcPr>
            <w:tcW w:w="558" w:type="pct"/>
            <w:gridSpan w:val="2"/>
            <w:tcBorders>
              <w:left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rPr>
                <w:szCs w:val="20"/>
              </w:rPr>
              <w:t>164/231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rPr>
                <w:lang w:eastAsia="zh-CN" w:bidi="en-US"/>
              </w:rPr>
            </w:pPr>
            <w:r w:rsidRPr="00A0281F">
              <w:rPr>
                <w:szCs w:val="20"/>
              </w:rPr>
              <w:t>27/114</w:t>
            </w:r>
          </w:p>
        </w:tc>
        <w:tc>
          <w:tcPr>
            <w:tcW w:w="7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rPr>
                <w:lang w:eastAsia="zh-CN" w:bidi="en-US"/>
              </w:rPr>
            </w:pPr>
            <w:r w:rsidRPr="00A0281F">
              <w:rPr>
                <w:szCs w:val="20"/>
              </w:rPr>
              <w:t>3.0 (2.13, 4.21)</w:t>
            </w:r>
          </w:p>
        </w:tc>
        <w:tc>
          <w:tcPr>
            <w:tcW w:w="558" w:type="pct"/>
            <w:gridSpan w:val="2"/>
            <w:tcBorders>
              <w:left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71</w:t>
            </w:r>
          </w:p>
        </w:tc>
        <w:tc>
          <w:tcPr>
            <w:tcW w:w="558" w:type="pct"/>
            <w:tcBorders>
              <w:left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23.7</w:t>
            </w:r>
          </w:p>
        </w:tc>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rPr>
                <w:szCs w:val="20"/>
              </w:rPr>
            </w:pPr>
            <w:r w:rsidRPr="00A0281F">
              <w:rPr>
                <w:szCs w:val="20"/>
              </w:rPr>
              <w:t>47% (38%, 57%)</w:t>
            </w:r>
          </w:p>
        </w:tc>
      </w:tr>
      <w:tr w:rsidR="00E13718" w:rsidRPr="00A0281F" w:rsidTr="002B25A8">
        <w:trPr>
          <w:trHeight w:val="20"/>
        </w:trPr>
        <w:tc>
          <w:tcPr>
            <w:tcW w:w="937" w:type="pct"/>
            <w:tcBorders>
              <w:left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Serious TEAEs</w:t>
            </w:r>
          </w:p>
        </w:tc>
        <w:tc>
          <w:tcPr>
            <w:tcW w:w="558" w:type="pct"/>
            <w:gridSpan w:val="2"/>
            <w:tcBorders>
              <w:left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rPr>
                <w:szCs w:val="20"/>
              </w:rPr>
              <w:t>68/231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rPr>
                <w:lang w:eastAsia="zh-CN" w:bidi="en-US"/>
              </w:rPr>
            </w:pPr>
            <w:r w:rsidRPr="00A0281F">
              <w:rPr>
                <w:szCs w:val="20"/>
              </w:rPr>
              <w:t>20/114</w:t>
            </w:r>
          </w:p>
        </w:tc>
        <w:tc>
          <w:tcPr>
            <w:tcW w:w="7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rPr>
                <w:lang w:eastAsia="zh-CN" w:bidi="en-US"/>
              </w:rPr>
            </w:pPr>
            <w:r w:rsidRPr="00A0281F">
              <w:rPr>
                <w:szCs w:val="20"/>
              </w:rPr>
              <w:t>1.68 (1.08, 2.62)</w:t>
            </w:r>
          </w:p>
        </w:tc>
        <w:tc>
          <w:tcPr>
            <w:tcW w:w="558" w:type="pct"/>
            <w:gridSpan w:val="2"/>
            <w:tcBorders>
              <w:left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29.4</w:t>
            </w:r>
          </w:p>
        </w:tc>
        <w:tc>
          <w:tcPr>
            <w:tcW w:w="558" w:type="pct"/>
            <w:tcBorders>
              <w:left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17.5</w:t>
            </w:r>
          </w:p>
        </w:tc>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rPr>
                <w:szCs w:val="20"/>
              </w:rPr>
            </w:pPr>
            <w:r w:rsidRPr="00A0281F">
              <w:rPr>
                <w:szCs w:val="20"/>
              </w:rPr>
              <w:t>11.9% (2.78%, 21.02%)</w:t>
            </w:r>
          </w:p>
        </w:tc>
      </w:tr>
      <w:tr w:rsidR="00E13718" w:rsidRPr="00A0281F" w:rsidTr="002B25A8">
        <w:trPr>
          <w:trHeight w:val="20"/>
        </w:trPr>
        <w:tc>
          <w:tcPr>
            <w:tcW w:w="937" w:type="pct"/>
            <w:tcBorders>
              <w:left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TEAEs leading to discontinuation of study drug</w:t>
            </w:r>
          </w:p>
        </w:tc>
        <w:tc>
          <w:tcPr>
            <w:tcW w:w="558" w:type="pct"/>
            <w:gridSpan w:val="2"/>
            <w:tcBorders>
              <w:left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rPr>
                <w:szCs w:val="20"/>
              </w:rPr>
              <w:t>36/231</w:t>
            </w:r>
          </w:p>
        </w:tc>
        <w:tc>
          <w:tcPr>
            <w:tcW w:w="478" w:type="pct"/>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rPr>
                <w:lang w:eastAsia="zh-CN" w:bidi="en-US"/>
              </w:rPr>
            </w:pPr>
            <w:r w:rsidRPr="00A0281F">
              <w:rPr>
                <w:szCs w:val="20"/>
              </w:rPr>
              <w:t>3/114</w:t>
            </w:r>
          </w:p>
        </w:tc>
        <w:tc>
          <w:tcPr>
            <w:tcW w:w="79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rPr>
                <w:lang w:eastAsia="zh-CN" w:bidi="en-US"/>
              </w:rPr>
            </w:pPr>
            <w:r w:rsidRPr="00A0281F">
              <w:t>5.92 (1.86, 18.82)</w:t>
            </w:r>
          </w:p>
        </w:tc>
        <w:tc>
          <w:tcPr>
            <w:tcW w:w="558" w:type="pct"/>
            <w:gridSpan w:val="2"/>
            <w:tcBorders>
              <w:left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15.6</w:t>
            </w:r>
          </w:p>
        </w:tc>
        <w:tc>
          <w:tcPr>
            <w:tcW w:w="558" w:type="pct"/>
            <w:tcBorders>
              <w:left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2.6</w:t>
            </w:r>
          </w:p>
        </w:tc>
        <w:tc>
          <w:tcPr>
            <w:tcW w:w="111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E13718" w:rsidRPr="00A0281F" w:rsidRDefault="00E13718" w:rsidP="00BE64AA">
            <w:pPr>
              <w:pStyle w:val="TableText0"/>
              <w:jc w:val="center"/>
            </w:pPr>
            <w:r w:rsidRPr="00A0281F">
              <w:t>13.0% (7.43%, 18.58%)</w:t>
            </w:r>
          </w:p>
        </w:tc>
      </w:tr>
    </w:tbl>
    <w:p w:rsidR="00E13718" w:rsidRPr="00997F87" w:rsidRDefault="00E13718" w:rsidP="00BE64AA">
      <w:pPr>
        <w:pStyle w:val="TableFigureFooter"/>
        <w:keepNext/>
      </w:pPr>
      <w:r w:rsidRPr="00997F87">
        <w:t>Source: Table 44 of the submission,</w:t>
      </w:r>
      <w:r>
        <w:t xml:space="preserve"> p</w:t>
      </w:r>
      <w:r w:rsidRPr="00997F87">
        <w:t>71</w:t>
      </w:r>
      <w:r>
        <w:t>,</w:t>
      </w:r>
      <w:r w:rsidRPr="00997F87">
        <w:t xml:space="preserve"> table 45 of the submission,</w:t>
      </w:r>
      <w:r>
        <w:t xml:space="preserve"> p</w:t>
      </w:r>
      <w:r w:rsidRPr="00997F87">
        <w:t>74</w:t>
      </w:r>
      <w:r>
        <w:t>, and table 53 of the submission, p84</w:t>
      </w:r>
    </w:p>
    <w:p w:rsidR="00E13718" w:rsidRPr="00997F87" w:rsidRDefault="00E13718" w:rsidP="00BE64AA">
      <w:pPr>
        <w:pStyle w:val="TableFigureFooter"/>
        <w:keepNext/>
      </w:pPr>
      <w:r w:rsidRPr="00997F87">
        <w:t>BICR = blinded independent central review; CI = confidence interval;</w:t>
      </w:r>
      <w:r w:rsidRPr="00E36591">
        <w:t xml:space="preserve"> </w:t>
      </w:r>
      <w:r w:rsidRPr="00AC291A">
        <w:t>DCO = data cut-off</w:t>
      </w:r>
      <w:r w:rsidR="00635CB3">
        <w:t>;</w:t>
      </w:r>
      <w:r w:rsidRPr="00997F87">
        <w:t xml:space="preserve"> gBRCAm = germline BRCA</w:t>
      </w:r>
      <w:r w:rsidR="00A72D6D">
        <w:t>1/2</w:t>
      </w:r>
      <w:r w:rsidRPr="00997F87">
        <w:t xml:space="preserve"> </w:t>
      </w:r>
      <w:r w:rsidR="005502B9">
        <w:t>pathogenic and likely pathogenic gene variants</w:t>
      </w:r>
      <w:r w:rsidRPr="00997F87">
        <w:t>; HR = hazard ratio;</w:t>
      </w:r>
      <w:r>
        <w:t xml:space="preserve"> TEAEs =treatment related adverse events</w:t>
      </w:r>
    </w:p>
    <w:p w:rsidR="0083723A" w:rsidRDefault="0083723A" w:rsidP="00BE64AA">
      <w:pPr>
        <w:pStyle w:val="TableFigureFooter"/>
        <w:keepNext/>
      </w:pPr>
      <w:r>
        <w:t>^</w:t>
      </w:r>
      <w:r w:rsidR="0051561E">
        <w:t xml:space="preserve"> </w:t>
      </w:r>
      <w:r w:rsidR="007311FE">
        <w:t>Results</w:t>
      </w:r>
      <w:r w:rsidR="0051561E">
        <w:t xml:space="preserve"> were presented in the submission as survival distribution function with e</w:t>
      </w:r>
      <w:r w:rsidRPr="0083723A">
        <w:t xml:space="preserve">stimates </w:t>
      </w:r>
      <w:r w:rsidR="008B5B38">
        <w:t xml:space="preserve">calculated </w:t>
      </w:r>
      <w:r w:rsidRPr="0083723A">
        <w:t>from product-limit</w:t>
      </w:r>
      <w:r w:rsidR="008B5B38">
        <w:t xml:space="preserve"> (</w:t>
      </w:r>
      <w:r w:rsidR="00A30C11">
        <w:t>Kaplan-Meier</w:t>
      </w:r>
      <w:r w:rsidR="008B5B38">
        <w:t>)</w:t>
      </w:r>
      <w:r w:rsidRPr="0083723A">
        <w:t xml:space="preserve"> method. Confidence intervals constructed using log-log transformation</w:t>
      </w:r>
    </w:p>
    <w:p w:rsidR="00E13718" w:rsidRPr="00614C0A" w:rsidRDefault="00E13718" w:rsidP="00BE64AA">
      <w:pPr>
        <w:pStyle w:val="TableFigureFooter"/>
        <w:keepNext/>
        <w:rPr>
          <w:vertAlign w:val="superscript"/>
        </w:rPr>
      </w:pPr>
      <w:r w:rsidRPr="00997F87">
        <w:t>*Absolute difference in risk of progression or death at each time point (calculated during the evaluation)</w:t>
      </w:r>
      <w:r w:rsidR="00D31200">
        <w:t>**</w:t>
      </w:r>
    </w:p>
    <w:p w:rsidR="00E13718" w:rsidRPr="00614C0A" w:rsidRDefault="00E13718" w:rsidP="00BE64AA">
      <w:pPr>
        <w:pStyle w:val="TableFigureFooter"/>
        <w:keepNext/>
        <w:rPr>
          <w:vertAlign w:val="superscript"/>
        </w:rPr>
      </w:pPr>
      <w:r w:rsidRPr="00997F87">
        <w:rPr>
          <w:vertAlign w:val="superscript"/>
        </w:rPr>
        <w:t>#</w:t>
      </w:r>
      <w:r w:rsidRPr="00997F87">
        <w:t>Absolute difference in risk of death at each time point (calculated during the evaluation)</w:t>
      </w:r>
      <w:r w:rsidR="00D31200">
        <w:t>**</w:t>
      </w:r>
    </w:p>
    <w:p w:rsidR="00E13718" w:rsidRDefault="00E13718" w:rsidP="00BE64AA">
      <w:pPr>
        <w:pStyle w:val="TableFigureFooter"/>
        <w:keepNext/>
      </w:pPr>
      <w:r>
        <w:t>$ Relative risk and risk difference were calculated during the evaluation using R software.</w:t>
      </w:r>
      <w:r w:rsidR="00D31200">
        <w:t>**</w:t>
      </w:r>
      <w:r>
        <w:t xml:space="preserve"> </w:t>
      </w:r>
    </w:p>
    <w:p w:rsidR="00D31200" w:rsidRPr="00997F87" w:rsidRDefault="00D31200" w:rsidP="00BE64AA">
      <w:pPr>
        <w:pStyle w:val="TableFigureFooter"/>
        <w:keepNext/>
      </w:pPr>
      <w:r>
        <w:t>**</w:t>
      </w:r>
      <w:r w:rsidRPr="00D31200">
        <w:t>Note that the results denoted by (*, #, $) presented in Table 7 are derived from post-hoc analyses conducted by the evaluation specifically for the purposes of informing the PBAC consideration. These analyses were not part of the pre-specified statistical plan for NOVA. Interpretation of the results and their application should therefore be limited to seeking to understand the basis for the PBAC outcome and should not be used for any other purpose</w:t>
      </w:r>
    </w:p>
    <w:p w:rsidR="00E13718" w:rsidRPr="007A3D1D" w:rsidRDefault="00E13718" w:rsidP="00BE64AA">
      <w:pPr>
        <w:pStyle w:val="TableFigureFooter"/>
      </w:pPr>
    </w:p>
    <w:p w:rsidR="00E13718" w:rsidRDefault="00E13718" w:rsidP="00BE64AA">
      <w:pPr>
        <w:pStyle w:val="3-BodyText"/>
        <w:ind w:left="709"/>
      </w:pPr>
      <w:r>
        <w:t>Based on the direct evidence presented in the submission in the non-gBRCAm patient population, for every 100 patients treated with niraparib in comparison to SM</w:t>
      </w:r>
      <w:r w:rsidR="00906AF3">
        <w:t>M</w:t>
      </w:r>
      <w:r>
        <w:t xml:space="preserve"> (no active treatment), and followed over a median duration of 15.7 months:</w:t>
      </w:r>
    </w:p>
    <w:p w:rsidR="00E13718" w:rsidRDefault="00E13718" w:rsidP="00BE64AA">
      <w:pPr>
        <w:pStyle w:val="ListParagraph"/>
      </w:pPr>
      <w:r>
        <w:t>Approximately 15 more patients would remain progression-free at 24 months;</w:t>
      </w:r>
    </w:p>
    <w:p w:rsidR="00E13718" w:rsidRDefault="00E13718" w:rsidP="00BE64AA">
      <w:pPr>
        <w:pStyle w:val="ListParagraph"/>
      </w:pPr>
      <w:r>
        <w:t>Approximately 47 more patients would experience a grade 3-4 treatment-related adverse event;</w:t>
      </w:r>
    </w:p>
    <w:p w:rsidR="00E13718" w:rsidRDefault="00E13718" w:rsidP="00BE64AA">
      <w:pPr>
        <w:pStyle w:val="ListParagraph"/>
      </w:pPr>
      <w:r>
        <w:t>Approximately 12 more patients would experience a serious treatment-related adverse event;</w:t>
      </w:r>
    </w:p>
    <w:p w:rsidR="00E13718" w:rsidRDefault="00E13718" w:rsidP="00BE64AA">
      <w:pPr>
        <w:pStyle w:val="ListParagraph"/>
      </w:pPr>
      <w:r>
        <w:t xml:space="preserve">Approximately 13 more patients would experience a treatment-related adverse event that leads to treatment discontinuation. </w:t>
      </w:r>
    </w:p>
    <w:p w:rsidR="00E13718" w:rsidRPr="00955A21" w:rsidRDefault="00E13718" w:rsidP="00BE64AA">
      <w:pPr>
        <w:pStyle w:val="3-BodyText"/>
        <w:ind w:left="709"/>
      </w:pPr>
      <w:r w:rsidRPr="001912FD">
        <w:rPr>
          <w:b/>
        </w:rPr>
        <w:lastRenderedPageBreak/>
        <w:t xml:space="preserve">For </w:t>
      </w:r>
      <w:r w:rsidR="007926E8">
        <w:rPr>
          <w:b/>
        </w:rPr>
        <w:t xml:space="preserve">the </w:t>
      </w:r>
      <w:r w:rsidRPr="001912FD">
        <w:rPr>
          <w:b/>
        </w:rPr>
        <w:t>gBRCAm patient population</w:t>
      </w:r>
      <w:r>
        <w:t xml:space="preserve">, </w:t>
      </w:r>
      <w:r w:rsidRPr="004674CC">
        <w:t xml:space="preserve">the NOVA and SOLO-2 trials had different durations of follow-up. </w:t>
      </w:r>
      <w:r>
        <w:t>N</w:t>
      </w:r>
      <w:r w:rsidRPr="004674CC">
        <w:t xml:space="preserve">o data </w:t>
      </w:r>
      <w:r>
        <w:t>for</w:t>
      </w:r>
      <w:r w:rsidRPr="004674CC">
        <w:t xml:space="preserve"> PFS or OS at 12 and 24 months </w:t>
      </w:r>
      <w:r>
        <w:t>were</w:t>
      </w:r>
      <w:r w:rsidRPr="004674CC">
        <w:t xml:space="preserve"> available in the SOLO-2 trial</w:t>
      </w:r>
      <w:r>
        <w:t xml:space="preserve">. The difference in safety between the two trials was based on a naïve indirect comparison. Overall, the results </w:t>
      </w:r>
      <w:r w:rsidRPr="00D2155B">
        <w:rPr>
          <w:snapToGrid/>
          <w:lang w:val="en-US"/>
        </w:rPr>
        <w:t xml:space="preserve">presented in the submission did not allow for a quantitative comparison of the benefits and harms of </w:t>
      </w:r>
      <w:r>
        <w:rPr>
          <w:snapToGrid/>
          <w:lang w:val="en-US"/>
        </w:rPr>
        <w:t>niraparib</w:t>
      </w:r>
      <w:r w:rsidRPr="00D2155B">
        <w:rPr>
          <w:snapToGrid/>
          <w:lang w:val="en-US"/>
        </w:rPr>
        <w:t xml:space="preserve"> and </w:t>
      </w:r>
      <w:r>
        <w:rPr>
          <w:snapToGrid/>
          <w:lang w:val="en-US"/>
        </w:rPr>
        <w:t>olaparib.</w:t>
      </w:r>
      <w:r w:rsidRPr="00D2155B">
        <w:rPr>
          <w:snapToGrid/>
          <w:lang w:val="en-US"/>
        </w:rPr>
        <w:t xml:space="preserve"> Accordingly, a benefits/harms table has not been presented.</w:t>
      </w:r>
    </w:p>
    <w:p w:rsidR="00E13718" w:rsidRPr="00C9624D" w:rsidRDefault="00E13718" w:rsidP="00BE64AA">
      <w:pPr>
        <w:pStyle w:val="4-SubsectionHeading"/>
      </w:pPr>
      <w:bookmarkStart w:id="26" w:name="_Toc22897644"/>
      <w:bookmarkStart w:id="27" w:name="_Toc61962145"/>
      <w:r w:rsidRPr="00C9624D">
        <w:t>Clinical claim</w:t>
      </w:r>
      <w:bookmarkEnd w:id="26"/>
      <w:bookmarkEnd w:id="27"/>
    </w:p>
    <w:p w:rsidR="00E13718" w:rsidRPr="004674CC" w:rsidRDefault="00E13718" w:rsidP="00BE64AA">
      <w:pPr>
        <w:pStyle w:val="3-BodyText"/>
        <w:ind w:left="709"/>
      </w:pPr>
      <w:r w:rsidRPr="004674CC">
        <w:t>The submission described niraparib as:</w:t>
      </w:r>
    </w:p>
    <w:p w:rsidR="00E13718" w:rsidRPr="004674CC" w:rsidRDefault="00E13718" w:rsidP="00BE64AA">
      <w:pPr>
        <w:pStyle w:val="ListParagraph"/>
        <w:ind w:left="1134" w:hanging="283"/>
      </w:pPr>
      <w:r w:rsidRPr="004674CC">
        <w:t xml:space="preserve">Superior in terms of effectiveness for PFS compared with </w:t>
      </w:r>
      <w:r>
        <w:t xml:space="preserve">SMM for patients with non-BRCAm (based on a direct comparison between niraparib and placebo </w:t>
      </w:r>
      <w:r w:rsidR="005A2118">
        <w:t xml:space="preserve">for patients with non-gBRCA </w:t>
      </w:r>
      <w:r>
        <w:t>from the NOVA trial)</w:t>
      </w:r>
      <w:r w:rsidR="005F3A80">
        <w:t>;</w:t>
      </w:r>
    </w:p>
    <w:p w:rsidR="00E13718" w:rsidRPr="004674CC" w:rsidRDefault="00E13718" w:rsidP="00BE64AA">
      <w:pPr>
        <w:pStyle w:val="ListParagraph"/>
        <w:ind w:left="1134" w:hanging="283"/>
      </w:pPr>
      <w:r w:rsidRPr="004674CC">
        <w:t>Non-inferior in terms of effectiveness for PFS compared with ol</w:t>
      </w:r>
      <w:r>
        <w:t>aparib in patients with gBRCAm (based on a one-step indirect comparison between niraparib (NOVA) and olaparib (SOLO-2)</w:t>
      </w:r>
      <w:r w:rsidR="005A2118">
        <w:t xml:space="preserve"> for patients with gBRCA</w:t>
      </w:r>
      <w:r>
        <w:t>;</w:t>
      </w:r>
      <w:r w:rsidR="005F3A80">
        <w:t xml:space="preserve"> and</w:t>
      </w:r>
    </w:p>
    <w:p w:rsidR="00E13718" w:rsidRDefault="00E13718" w:rsidP="00BE64AA">
      <w:pPr>
        <w:pStyle w:val="ListParagraph"/>
        <w:ind w:left="1134" w:hanging="283"/>
      </w:pPr>
      <w:r>
        <w:t>H</w:t>
      </w:r>
      <w:r w:rsidRPr="004674CC">
        <w:t>aving a manageable safety profile in both patient populations.</w:t>
      </w:r>
    </w:p>
    <w:p w:rsidR="00E13718" w:rsidRPr="00A0281F" w:rsidRDefault="00E13718" w:rsidP="00BE64AA">
      <w:pPr>
        <w:pStyle w:val="3-BodyText"/>
        <w:ind w:left="709"/>
      </w:pPr>
      <w:r w:rsidRPr="00A0281F">
        <w:t xml:space="preserve">The evidence of effectiveness and safety in </w:t>
      </w:r>
      <w:r w:rsidR="00DF2422">
        <w:t xml:space="preserve">the </w:t>
      </w:r>
      <w:r w:rsidRPr="00A0281F">
        <w:t xml:space="preserve">NOVA trial and the results of the indirect comparison </w:t>
      </w:r>
      <w:r w:rsidR="00F6764A">
        <w:t>are</w:t>
      </w:r>
      <w:r w:rsidR="00F6764A" w:rsidRPr="00A0281F">
        <w:t xml:space="preserve"> </w:t>
      </w:r>
      <w:r w:rsidRPr="00A0281F">
        <w:t>uncertain</w:t>
      </w:r>
      <w:r w:rsidR="00906AF3">
        <w:t xml:space="preserve"> as</w:t>
      </w:r>
      <w:r w:rsidRPr="00A0281F">
        <w:t>:</w:t>
      </w:r>
    </w:p>
    <w:p w:rsidR="004E42BD" w:rsidRPr="00B5669A" w:rsidRDefault="004E42BD" w:rsidP="004E42BD">
      <w:pPr>
        <w:pStyle w:val="ListParagraph"/>
        <w:numPr>
          <w:ilvl w:val="0"/>
          <w:numId w:val="4"/>
        </w:numPr>
        <w:ind w:left="1134" w:hanging="283"/>
        <w:rPr>
          <w:rStyle w:val="CommentReference"/>
          <w:rFonts w:cs="Times New Roman"/>
          <w:snapToGrid/>
        </w:rPr>
      </w:pPr>
      <w:r w:rsidRPr="00A0281F">
        <w:t xml:space="preserve">The proposed individualised dosage was tested in a different patient population and a different setting </w:t>
      </w:r>
      <w:r w:rsidRPr="00032C5B">
        <w:t>and is not consistent with the Australian PI</w:t>
      </w:r>
      <w:r w:rsidR="00823D4A">
        <w:t xml:space="preserve"> and</w:t>
      </w:r>
      <w:r w:rsidRPr="00B5669A">
        <w:t xml:space="preserve"> </w:t>
      </w:r>
      <w:r w:rsidR="00823D4A" w:rsidRPr="003B1747">
        <w:t>it is unclear whether efficacy is maintained when the 200 mg individualised starting dose is used in this setting.</w:t>
      </w:r>
      <w:r w:rsidRPr="00B5669A" w:rsidDel="005A2118">
        <w:rPr>
          <w:rStyle w:val="CommentReference"/>
          <w:rFonts w:cs="Times New Roman"/>
          <w:snapToGrid/>
        </w:rPr>
        <w:t xml:space="preserve"> </w:t>
      </w:r>
    </w:p>
    <w:p w:rsidR="00DF2422" w:rsidRDefault="00E13718" w:rsidP="00A84F44">
      <w:pPr>
        <w:pStyle w:val="ListParagraph"/>
        <w:numPr>
          <w:ilvl w:val="0"/>
          <w:numId w:val="4"/>
        </w:numPr>
        <w:ind w:left="1134" w:hanging="283"/>
      </w:pPr>
      <w:r w:rsidRPr="00A0281F">
        <w:t>No mature OS data were presented in this submission</w:t>
      </w:r>
      <w:r w:rsidR="0072399E">
        <w:t xml:space="preserve"> and even </w:t>
      </w:r>
      <w:r w:rsidR="005F3A80">
        <w:t>based on</w:t>
      </w:r>
      <w:r w:rsidR="0072399E">
        <w:t xml:space="preserve"> the updated OS data provided in the pre-PBAC </w:t>
      </w:r>
      <w:r w:rsidR="00906AF3">
        <w:t xml:space="preserve">response </w:t>
      </w:r>
      <w:r w:rsidR="0072399E">
        <w:t>it remains</w:t>
      </w:r>
      <w:r w:rsidRPr="00A0281F">
        <w:t xml:space="preserve"> unknown if the observed PFS improvement will be translated into an OS benefit. In the SOLO-2 trial, the strongly significant PFS observed was translated to a marginal OS benefit;</w:t>
      </w:r>
    </w:p>
    <w:p w:rsidR="00DF2422" w:rsidRPr="00A0281F" w:rsidRDefault="00DF2422" w:rsidP="00A84F44">
      <w:pPr>
        <w:pStyle w:val="ListParagraph"/>
        <w:numPr>
          <w:ilvl w:val="0"/>
          <w:numId w:val="4"/>
        </w:numPr>
        <w:ind w:left="1134" w:hanging="283"/>
      </w:pPr>
      <w:r>
        <w:t>For the BRCAm population t</w:t>
      </w:r>
      <w:r w:rsidRPr="00A0281F">
        <w:t xml:space="preserve">he suitability of the nominated non-inferiority margin is </w:t>
      </w:r>
      <w:r w:rsidR="0072399E">
        <w:t>questionable</w:t>
      </w:r>
      <w:r>
        <w:t>;</w:t>
      </w:r>
      <w:r w:rsidRPr="00A0281F">
        <w:t xml:space="preserve"> </w:t>
      </w:r>
      <w:r w:rsidR="00A637A0">
        <w:t>and</w:t>
      </w:r>
    </w:p>
    <w:p w:rsidR="00DF2422" w:rsidRPr="00A0281F" w:rsidRDefault="00DF2422" w:rsidP="00A84F44">
      <w:pPr>
        <w:pStyle w:val="ListParagraph"/>
        <w:numPr>
          <w:ilvl w:val="0"/>
          <w:numId w:val="4"/>
        </w:numPr>
        <w:ind w:left="1134" w:hanging="283"/>
      </w:pPr>
      <w:r>
        <w:t>For the non-BRCA</w:t>
      </w:r>
      <w:r w:rsidR="00906AF3">
        <w:t>m</w:t>
      </w:r>
      <w:r>
        <w:t xml:space="preserve"> population t</w:t>
      </w:r>
      <w:r w:rsidRPr="00A0281F">
        <w:t xml:space="preserve">he PFS and OS </w:t>
      </w:r>
      <w:r w:rsidR="00906AF3">
        <w:t>benefit</w:t>
      </w:r>
      <w:r w:rsidR="00906AF3" w:rsidRPr="00A0281F">
        <w:t xml:space="preserve"> </w:t>
      </w:r>
      <w:r w:rsidRPr="00A0281F">
        <w:t>would be reduced if patients with sBRCAm are excluded as patients with sBRCA</w:t>
      </w:r>
      <w:r w:rsidR="00062669">
        <w:t>m</w:t>
      </w:r>
      <w:r w:rsidRPr="00A0281F">
        <w:t xml:space="preserve"> had a better response to treatment than the overall non-gBRCA group</w:t>
      </w:r>
      <w:r w:rsidR="005F3A80">
        <w:t>.</w:t>
      </w:r>
    </w:p>
    <w:p w:rsidR="008E27D3" w:rsidRPr="00A637A0" w:rsidRDefault="003C228F" w:rsidP="008E27D3">
      <w:pPr>
        <w:pStyle w:val="3-BodyText"/>
        <w:ind w:left="709"/>
      </w:pPr>
      <w:r w:rsidRPr="00B5669A">
        <w:t>For the BRCAm population th</w:t>
      </w:r>
      <w:r w:rsidR="008E27D3" w:rsidRPr="00B5669A">
        <w:t xml:space="preserve">e PBAC considered that the claim of non-inferior comparative effectiveness </w:t>
      </w:r>
      <w:r w:rsidR="00B5669A" w:rsidRPr="00B5669A">
        <w:t xml:space="preserve">to olaparib </w:t>
      </w:r>
      <w:r w:rsidR="008E27D3" w:rsidRPr="00B5669A">
        <w:t>was not adequately supported by the data.</w:t>
      </w:r>
      <w:r w:rsidRPr="00B5669A">
        <w:t xml:space="preserve"> For the non-BRCA population the PBAC considered that the claim of superior comparative effectiveness to placebo was reasonable based on PFS benefit, however the magnitude of benefit was </w:t>
      </w:r>
      <w:r w:rsidR="00B5669A" w:rsidRPr="00B5669A">
        <w:t xml:space="preserve">small and of uncertain </w:t>
      </w:r>
      <w:r w:rsidRPr="00B5669A">
        <w:t>clinical relevance</w:t>
      </w:r>
      <w:r w:rsidR="00B5669A" w:rsidRPr="00B5669A">
        <w:t>, particularly for patients with HRD negative tumours.</w:t>
      </w:r>
    </w:p>
    <w:p w:rsidR="008E27D3" w:rsidRPr="00A637A0" w:rsidRDefault="008E27D3" w:rsidP="008E27D3">
      <w:pPr>
        <w:pStyle w:val="3-BodyText"/>
        <w:ind w:left="709"/>
      </w:pPr>
      <w:r w:rsidRPr="00A637A0">
        <w:t xml:space="preserve">The PBAC considered that the claim of </w:t>
      </w:r>
      <w:r w:rsidR="00B5669A" w:rsidRPr="00A637A0">
        <w:t xml:space="preserve">manageable safety in both populations </w:t>
      </w:r>
      <w:r w:rsidRPr="00A637A0">
        <w:t>was not adequately supported by the data.</w:t>
      </w:r>
      <w:r w:rsidR="00B5669A" w:rsidRPr="00A637A0">
        <w:t xml:space="preserve"> </w:t>
      </w:r>
      <w:r w:rsidR="00A637A0">
        <w:t xml:space="preserve">The PBAC noted that niraparib had </w:t>
      </w:r>
      <w:r w:rsidR="00A637A0" w:rsidRPr="00A0281F">
        <w:t xml:space="preserve">higher rates of </w:t>
      </w:r>
      <w:r w:rsidR="00A637A0" w:rsidRPr="00A0281F">
        <w:lastRenderedPageBreak/>
        <w:t>grade 3-4 adverse events (compared to either SMM or olaparib)</w:t>
      </w:r>
      <w:r w:rsidR="00A637A0">
        <w:t xml:space="preserve">. </w:t>
      </w:r>
      <w:r w:rsidR="00B5669A" w:rsidRPr="00A637A0">
        <w:t xml:space="preserve">The PBAC considered that the safety of niraparib, using a starting dose of niraparib of 300 mg daily as in the NOVA trial, appeared inferior to olaparib based on the available data. The PBAC considered that the comparative safety for niraparib was inferior to </w:t>
      </w:r>
      <w:r w:rsidR="009C58ED">
        <w:t>SMM</w:t>
      </w:r>
      <w:r w:rsidR="00B5669A" w:rsidRPr="00A637A0">
        <w:t xml:space="preserve">. </w:t>
      </w:r>
    </w:p>
    <w:p w:rsidR="00C278F0" w:rsidRPr="00C9624D" w:rsidRDefault="00C278F0" w:rsidP="00BE64AA">
      <w:pPr>
        <w:pStyle w:val="4-SubsectionHeading"/>
      </w:pPr>
      <w:bookmarkStart w:id="28" w:name="_Toc22897645"/>
      <w:bookmarkStart w:id="29" w:name="_Toc22898857"/>
      <w:bookmarkStart w:id="30" w:name="_Toc57871801"/>
      <w:bookmarkStart w:id="31" w:name="_Toc57994544"/>
      <w:bookmarkStart w:id="32" w:name="_Toc61962146"/>
      <w:bookmarkStart w:id="33" w:name="_Toc22897646"/>
      <w:bookmarkStart w:id="34" w:name="_Toc22898858"/>
      <w:bookmarkStart w:id="35" w:name="_Toc57994545"/>
      <w:bookmarkStart w:id="36" w:name="_Toc22897650"/>
      <w:bookmarkStart w:id="37" w:name="_Toc22898862"/>
      <w:r w:rsidRPr="00C9624D">
        <w:t>Economic analysis</w:t>
      </w:r>
      <w:bookmarkEnd w:id="28"/>
      <w:bookmarkEnd w:id="29"/>
      <w:bookmarkEnd w:id="30"/>
      <w:bookmarkEnd w:id="31"/>
      <w:bookmarkEnd w:id="32"/>
      <w:r w:rsidRPr="00C9624D">
        <w:t xml:space="preserve"> </w:t>
      </w:r>
    </w:p>
    <w:p w:rsidR="00C278F0" w:rsidRDefault="00C278F0" w:rsidP="00BE64AA">
      <w:pPr>
        <w:pStyle w:val="3-BodyText"/>
        <w:ind w:left="709"/>
      </w:pPr>
      <w:r w:rsidRPr="00D37B11">
        <w:t>The submission presented two economic evalua</w:t>
      </w:r>
      <w:r>
        <w:t>tions:</w:t>
      </w:r>
    </w:p>
    <w:p w:rsidR="00C278F0" w:rsidRDefault="00C278F0" w:rsidP="00BE64AA">
      <w:pPr>
        <w:pStyle w:val="ListParagraph"/>
        <w:ind w:left="1134"/>
      </w:pPr>
      <w:r>
        <w:t xml:space="preserve">A modelled economic evaluation </w:t>
      </w:r>
      <w:r w:rsidR="00C9557E" w:rsidRPr="00F31C82">
        <w:t>cost-utility analysis (CUA)</w:t>
      </w:r>
      <w:r w:rsidR="00C9557E">
        <w:t xml:space="preserve"> </w:t>
      </w:r>
      <w:r>
        <w:t>comparing niraparib with SMM for the maintenance treatment of non-BRCAm PSR HGSOC</w:t>
      </w:r>
      <w:r w:rsidRPr="00A0281F">
        <w:t>;</w:t>
      </w:r>
      <w:r>
        <w:t xml:space="preserve"> and</w:t>
      </w:r>
    </w:p>
    <w:p w:rsidR="00C9557E" w:rsidRDefault="00C278F0" w:rsidP="002B72D8">
      <w:pPr>
        <w:pStyle w:val="ListParagraph"/>
        <w:ind w:left="1134"/>
      </w:pPr>
      <w:r>
        <w:t>A cost-minimisation analysis (CMA) comparing niraparib with olaparib for the maintenance treatment of BRCAm PSR HGSOC.</w:t>
      </w:r>
      <w:r w:rsidRPr="00A0281F">
        <w:t xml:space="preserve"> </w:t>
      </w:r>
    </w:p>
    <w:p w:rsidR="00823D4A" w:rsidRPr="002B72D8" w:rsidRDefault="00F31C82" w:rsidP="00823D4A">
      <w:pPr>
        <w:pStyle w:val="3-BodyText"/>
        <w:ind w:left="709"/>
        <w:rPr>
          <w:lang w:val="en-US"/>
        </w:rPr>
      </w:pPr>
      <w:bookmarkStart w:id="38" w:name="_Ref68593290"/>
      <w:r w:rsidRPr="00F31C82">
        <w:t>The proposed price of n</w:t>
      </w:r>
      <w:r w:rsidR="002D2DD4">
        <w:t>iraparib wa</w:t>
      </w:r>
      <w:r w:rsidRPr="00F31C82">
        <w:t>s based on a weighted price for the CUA and CMA populations</w:t>
      </w:r>
      <w:r w:rsidRPr="00862904">
        <w:t xml:space="preserve">, </w:t>
      </w:r>
      <w:r w:rsidRPr="00D476BB">
        <w:t xml:space="preserve">where the proposed cost in the non-BRCAm setting </w:t>
      </w:r>
      <w:r w:rsidR="002D2DD4">
        <w:t>wa</w:t>
      </w:r>
      <w:r w:rsidRPr="00D476BB">
        <w:t xml:space="preserve">s less than </w:t>
      </w:r>
      <w:r w:rsidR="00614C0A">
        <w:rPr>
          <w:noProof/>
          <w:color w:val="000000"/>
          <w:highlight w:val="black"/>
        </w:rPr>
        <w:t>''' ''''''''''</w:t>
      </w:r>
      <w:r w:rsidRPr="00D476BB">
        <w:t xml:space="preserve"> of the cost proposed in the BRCAm setting ($</w:t>
      </w:r>
      <w:r w:rsidR="00614C0A">
        <w:rPr>
          <w:noProof/>
          <w:color w:val="000000"/>
          <w:highlight w:val="black"/>
        </w:rPr>
        <w:t>''''''''''''''''</w:t>
      </w:r>
      <w:r w:rsidRPr="00D476BB">
        <w:t xml:space="preserve"> versus $12,673.34 DPMQ per 84 capsule pack).</w:t>
      </w:r>
      <w:r w:rsidRPr="00F31C82">
        <w:t xml:space="preserve"> Therefore, the price of niraparib depends on accurately predicting the extent to which niraparib will replace olaparib and the relative proportions of patients</w:t>
      </w:r>
      <w:r w:rsidRPr="00D476BB">
        <w:t>, in the 2L maintenance setting</w:t>
      </w:r>
      <w:r w:rsidRPr="00F31C82">
        <w:t xml:space="preserve">, who are BRCAm and non-BRCAm. </w:t>
      </w:r>
      <w:r w:rsidR="00643294" w:rsidRPr="00A0281F">
        <w:t>With the recent listing of olaparib as maintenance treatment in the first-line setting, it is likely that the proportion of patients treated with nirapar</w:t>
      </w:r>
      <w:r w:rsidR="00F6764A">
        <w:t>ib who have BRCAm PSR HGSOC would</w:t>
      </w:r>
      <w:r w:rsidR="00643294" w:rsidRPr="00A0281F">
        <w:t xml:space="preserve"> be considerably lower than the estimate used in the submission</w:t>
      </w:r>
      <w:r w:rsidR="00643294">
        <w:t xml:space="preserve"> (based on the prevalence of BRCA1/2 pathogenic variants)</w:t>
      </w:r>
      <w:r w:rsidR="00643294" w:rsidRPr="00A0281F">
        <w:t>.</w:t>
      </w:r>
      <w:r w:rsidR="00643294">
        <w:t xml:space="preserve"> </w:t>
      </w:r>
      <w:r w:rsidR="002D2DD4">
        <w:t xml:space="preserve">The pre-PBAC response acknowledged that </w:t>
      </w:r>
      <w:r w:rsidR="002D2DD4" w:rsidRPr="002B72D8">
        <w:t>the 1L l</w:t>
      </w:r>
      <w:r w:rsidR="007E217E" w:rsidRPr="002B72D8">
        <w:t>isting of olaparib</w:t>
      </w:r>
      <w:r w:rsidR="002D2DD4" w:rsidRPr="002B72D8">
        <w:t xml:space="preserve"> will result in a reduction in the estimated cost-offsets in the financial estimates and estimated a 64% reduction in the eligible 2L BRCAm population, while also noting </w:t>
      </w:r>
      <w:r w:rsidR="007E217E" w:rsidRPr="002B72D8">
        <w:t xml:space="preserve">the extent of impact resulting from the 1L listing is uncertain and </w:t>
      </w:r>
      <w:r w:rsidR="002D2DD4" w:rsidRPr="002B72D8">
        <w:t>further changes to the treatment landscape are likely.</w:t>
      </w:r>
      <w:bookmarkEnd w:id="38"/>
      <w:r w:rsidR="002D2DD4" w:rsidRPr="002B72D8">
        <w:t xml:space="preserve"> </w:t>
      </w:r>
    </w:p>
    <w:p w:rsidR="00823D4A" w:rsidRPr="008576EA" w:rsidRDefault="00823D4A" w:rsidP="00823D4A">
      <w:pPr>
        <w:pStyle w:val="3-BodyText"/>
        <w:ind w:left="709"/>
        <w:rPr>
          <w:lang w:val="en-US"/>
        </w:rPr>
      </w:pPr>
      <w:r w:rsidRPr="002B72D8">
        <w:t>In both the modelled economic analysis of niraparib compared with SMM in the non-BRCAm population and the cost-minimisation of niraparib compared with olaparib in the BRCAm population</w:t>
      </w:r>
      <w:r w:rsidRPr="00823D4A">
        <w:t xml:space="preserve"> was based on the </w:t>
      </w:r>
      <w:r w:rsidRPr="00874CC4">
        <w:rPr>
          <w:lang w:val="en-US"/>
        </w:rPr>
        <w:t>individualised starting dose regimen. Therefore, the submission</w:t>
      </w:r>
      <w:r>
        <w:rPr>
          <w:lang w:val="en-US"/>
        </w:rPr>
        <w:t xml:space="preserve"> presented a translation study, whereby the niraparib </w:t>
      </w:r>
      <w:r>
        <w:t xml:space="preserve">exposure in NOVA was adjusted to account for the difference between the fixed starting dose and the proposed individualised starting </w:t>
      </w:r>
      <w:r w:rsidRPr="008576EA">
        <w:t>dose, based on the dosing data for the individualised starting dose cohort in PRIMA</w:t>
      </w:r>
      <w:r w:rsidRPr="0033785B">
        <w:t xml:space="preserve">. </w:t>
      </w:r>
    </w:p>
    <w:p w:rsidR="006F718E" w:rsidRDefault="006F718E">
      <w:pPr>
        <w:spacing w:after="160" w:line="259" w:lineRule="auto"/>
        <w:jc w:val="left"/>
        <w:rPr>
          <w:rFonts w:ascii="Arial Narrow" w:eastAsiaTheme="majorEastAsia" w:hAnsi="Arial Narrow" w:cstheme="majorBidi"/>
          <w:b/>
          <w:bCs/>
          <w:sz w:val="20"/>
        </w:rPr>
      </w:pPr>
      <w:r>
        <w:br w:type="page"/>
      </w:r>
    </w:p>
    <w:p w:rsidR="00874CC4" w:rsidRDefault="00874CC4" w:rsidP="00874CC4">
      <w:pPr>
        <w:pStyle w:val="TableFigureHeading"/>
        <w:rPr>
          <w:i/>
        </w:rPr>
      </w:pPr>
      <w:r>
        <w:lastRenderedPageBreak/>
        <w:t xml:space="preserve">Table </w:t>
      </w:r>
      <w:r w:rsidR="00681899">
        <w:rPr>
          <w:noProof/>
        </w:rPr>
        <w:t>8</w:t>
      </w:r>
      <w:r>
        <w:t>: Translation of fixed starting dose in NOVA to individualised starting dose</w:t>
      </w:r>
    </w:p>
    <w:tbl>
      <w:tblPr>
        <w:tblStyle w:val="TableGrid"/>
        <w:tblW w:w="5000" w:type="pct"/>
        <w:tblLook w:val="04A0" w:firstRow="1" w:lastRow="0" w:firstColumn="1" w:lastColumn="0" w:noHBand="0" w:noVBand="1"/>
        <w:tblCaption w:val="Table 8: Translation of fixed starting dose in NOVA to individualised starting dose"/>
      </w:tblPr>
      <w:tblGrid>
        <w:gridCol w:w="1487"/>
        <w:gridCol w:w="1490"/>
        <w:gridCol w:w="1490"/>
        <w:gridCol w:w="1569"/>
        <w:gridCol w:w="1490"/>
        <w:gridCol w:w="1491"/>
      </w:tblGrid>
      <w:tr w:rsidR="00874CC4" w:rsidTr="00C64862">
        <w:trPr>
          <w:tblHeader/>
        </w:trPr>
        <w:tc>
          <w:tcPr>
            <w:tcW w:w="825" w:type="pct"/>
          </w:tcPr>
          <w:p w:rsidR="00874CC4" w:rsidRDefault="00874CC4" w:rsidP="007330F7">
            <w:pPr>
              <w:pStyle w:val="In-tableHeading"/>
            </w:pPr>
          </w:p>
        </w:tc>
        <w:tc>
          <w:tcPr>
            <w:tcW w:w="826" w:type="pct"/>
          </w:tcPr>
          <w:p w:rsidR="00874CC4" w:rsidRDefault="00874CC4" w:rsidP="007330F7">
            <w:pPr>
              <w:pStyle w:val="In-tableHeading"/>
              <w:jc w:val="center"/>
            </w:pPr>
            <w:r>
              <w:t>PRIMA fixed dosing</w:t>
            </w:r>
          </w:p>
        </w:tc>
        <w:tc>
          <w:tcPr>
            <w:tcW w:w="826" w:type="pct"/>
          </w:tcPr>
          <w:p w:rsidR="00874CC4" w:rsidRDefault="00874CC4" w:rsidP="007330F7">
            <w:pPr>
              <w:pStyle w:val="In-tableHeading"/>
              <w:jc w:val="center"/>
            </w:pPr>
            <w:r>
              <w:t>PRIMA individualised dosing</w:t>
            </w:r>
          </w:p>
        </w:tc>
        <w:tc>
          <w:tcPr>
            <w:tcW w:w="870" w:type="pct"/>
          </w:tcPr>
          <w:p w:rsidR="00874CC4" w:rsidRDefault="00874CC4" w:rsidP="007330F7">
            <w:pPr>
              <w:pStyle w:val="In-tableHeading"/>
              <w:jc w:val="center"/>
            </w:pPr>
            <w:r>
              <w:t>Dose intensity reduction, %</w:t>
            </w:r>
          </w:p>
        </w:tc>
        <w:tc>
          <w:tcPr>
            <w:tcW w:w="826" w:type="pct"/>
          </w:tcPr>
          <w:p w:rsidR="00874CC4" w:rsidRDefault="00874CC4" w:rsidP="007330F7">
            <w:pPr>
              <w:pStyle w:val="In-tableHeading"/>
              <w:jc w:val="center"/>
            </w:pPr>
            <w:r>
              <w:t>NOVA fixed dosing</w:t>
            </w:r>
          </w:p>
        </w:tc>
        <w:tc>
          <w:tcPr>
            <w:tcW w:w="827" w:type="pct"/>
          </w:tcPr>
          <w:p w:rsidR="00874CC4" w:rsidRPr="00936EE2" w:rsidRDefault="00874CC4" w:rsidP="007330F7">
            <w:pPr>
              <w:pStyle w:val="In-tableHeading"/>
              <w:jc w:val="center"/>
              <w:rPr>
                <w:vertAlign w:val="superscript"/>
              </w:rPr>
            </w:pPr>
            <w:r>
              <w:t>Estimated individualised dosing</w:t>
            </w:r>
            <w:r>
              <w:rPr>
                <w:vertAlign w:val="superscript"/>
              </w:rPr>
              <w:t>a</w:t>
            </w:r>
          </w:p>
        </w:tc>
      </w:tr>
      <w:tr w:rsidR="00874CC4" w:rsidTr="007330F7">
        <w:tc>
          <w:tcPr>
            <w:tcW w:w="5000" w:type="pct"/>
            <w:gridSpan w:val="6"/>
          </w:tcPr>
          <w:p w:rsidR="00874CC4" w:rsidRPr="00936EE2" w:rsidRDefault="00874CC4" w:rsidP="007330F7">
            <w:pPr>
              <w:pStyle w:val="TableText0"/>
              <w:rPr>
                <w:vertAlign w:val="superscript"/>
              </w:rPr>
            </w:pPr>
            <w:r>
              <w:t>Daily dose intensity – over total treatment duration, mg/day</w:t>
            </w:r>
            <w:r>
              <w:rPr>
                <w:vertAlign w:val="superscript"/>
              </w:rPr>
              <w:t>b</w:t>
            </w:r>
          </w:p>
        </w:tc>
      </w:tr>
      <w:tr w:rsidR="00874CC4" w:rsidTr="007330F7">
        <w:tc>
          <w:tcPr>
            <w:tcW w:w="825" w:type="pct"/>
          </w:tcPr>
          <w:p w:rsidR="00874CC4" w:rsidRDefault="00874CC4" w:rsidP="007330F7">
            <w:pPr>
              <w:pStyle w:val="TableText0"/>
            </w:pPr>
            <w:r>
              <w:t>Mean (SD)</w:t>
            </w:r>
          </w:p>
        </w:tc>
        <w:tc>
          <w:tcPr>
            <w:tcW w:w="826" w:type="pct"/>
          </w:tcPr>
          <w:p w:rsidR="00874CC4" w:rsidRDefault="00874CC4" w:rsidP="007330F7">
            <w:pPr>
              <w:pStyle w:val="TableText0"/>
              <w:jc w:val="center"/>
            </w:pPr>
            <w:r w:rsidRPr="009211D8">
              <w:t>181.4</w:t>
            </w:r>
          </w:p>
        </w:tc>
        <w:tc>
          <w:tcPr>
            <w:tcW w:w="826" w:type="pct"/>
          </w:tcPr>
          <w:p w:rsidR="00874CC4" w:rsidRDefault="00874CC4" w:rsidP="007330F7">
            <w:pPr>
              <w:pStyle w:val="TableText0"/>
              <w:jc w:val="center"/>
            </w:pPr>
            <w:r w:rsidRPr="009211D8">
              <w:t>162.1</w:t>
            </w:r>
          </w:p>
        </w:tc>
        <w:tc>
          <w:tcPr>
            <w:tcW w:w="870" w:type="pct"/>
          </w:tcPr>
          <w:p w:rsidR="00874CC4" w:rsidRDefault="00874CC4" w:rsidP="007330F7">
            <w:pPr>
              <w:pStyle w:val="TableText0"/>
              <w:jc w:val="center"/>
            </w:pPr>
            <w:r w:rsidRPr="009211D8">
              <w:t>10.6%</w:t>
            </w:r>
          </w:p>
        </w:tc>
        <w:tc>
          <w:tcPr>
            <w:tcW w:w="826" w:type="pct"/>
            <w:vAlign w:val="center"/>
          </w:tcPr>
          <w:p w:rsidR="00874CC4" w:rsidRDefault="00874CC4" w:rsidP="007330F7">
            <w:pPr>
              <w:pStyle w:val="TableText0"/>
              <w:jc w:val="center"/>
            </w:pPr>
            <w:r w:rsidRPr="009211D8">
              <w:t>180.7</w:t>
            </w:r>
          </w:p>
        </w:tc>
        <w:tc>
          <w:tcPr>
            <w:tcW w:w="827" w:type="pct"/>
          </w:tcPr>
          <w:p w:rsidR="00874CC4" w:rsidRDefault="00874CC4" w:rsidP="007330F7">
            <w:pPr>
              <w:pStyle w:val="TableText0"/>
              <w:jc w:val="center"/>
            </w:pPr>
            <w:r w:rsidRPr="009211D8">
              <w:t>161.5</w:t>
            </w:r>
          </w:p>
        </w:tc>
      </w:tr>
    </w:tbl>
    <w:p w:rsidR="00874CC4" w:rsidRDefault="00874CC4" w:rsidP="00874CC4">
      <w:pPr>
        <w:pStyle w:val="TableFigureFooter"/>
      </w:pPr>
      <w:r>
        <w:t>Source: Table 125, p164 of the submission.</w:t>
      </w:r>
    </w:p>
    <w:p w:rsidR="00874CC4" w:rsidRDefault="00874CC4" w:rsidP="00874CC4">
      <w:pPr>
        <w:pStyle w:val="TableFigureFooter"/>
      </w:pPr>
      <w:r>
        <w:t>SD = standard deviation.</w:t>
      </w:r>
    </w:p>
    <w:p w:rsidR="00874CC4" w:rsidRDefault="00874CC4" w:rsidP="00874CC4">
      <w:pPr>
        <w:pStyle w:val="TableFigureFooter"/>
      </w:pPr>
      <w:r>
        <w:rPr>
          <w:vertAlign w:val="superscript"/>
        </w:rPr>
        <w:t>a</w:t>
      </w:r>
      <w:r>
        <w:t xml:space="preserve"> NOVA fixed dosing multiplied by one minus the dose intensity reduction from PRIMA.</w:t>
      </w:r>
    </w:p>
    <w:p w:rsidR="00874CC4" w:rsidRDefault="00874CC4" w:rsidP="00874CC4">
      <w:pPr>
        <w:pStyle w:val="TableFigureFooter"/>
      </w:pPr>
      <w:r>
        <w:rPr>
          <w:vertAlign w:val="superscript"/>
        </w:rPr>
        <w:t xml:space="preserve">b </w:t>
      </w:r>
      <w:r>
        <w:t>Dose intensity was calculated as sum of the daily doses actually consumed divided by total treatment duration. Treatment duration was defined as the period from first to last dose, including days when no doses were received by the patient.</w:t>
      </w:r>
      <w:r w:rsidR="00D31200">
        <w:t>*</w:t>
      </w:r>
    </w:p>
    <w:p w:rsidR="00D31200" w:rsidRPr="00936EE2" w:rsidRDefault="00D31200" w:rsidP="00874CC4">
      <w:pPr>
        <w:pStyle w:val="TableFigureFooter"/>
      </w:pPr>
      <w:r>
        <w:t>*</w:t>
      </w:r>
      <w:r w:rsidRPr="00D31200">
        <w:t xml:space="preserve"> Note that the mean dose of treatment stated in Table 8 was provided for the purposes of informing the PBAC consideration. Interpretation of the results and their application should therefore be limited to seeking to understand the basis for the PBAC outcome and should not be used for any other purpose</w:t>
      </w:r>
      <w:r>
        <w:t>.</w:t>
      </w:r>
    </w:p>
    <w:p w:rsidR="00823D4A" w:rsidRDefault="00823D4A" w:rsidP="00823D4A">
      <w:pPr>
        <w:pStyle w:val="3-BodyText"/>
        <w:ind w:left="709"/>
      </w:pPr>
      <w:r>
        <w:t xml:space="preserve">The PBAC noted that there were a number of concerns regarding the methodology used to translate the niraparib dosing and estimation of the extent of dose interruptions. In addition, patient characteristics in the 1L setting are likely to be different to those in the 2L maintenance setting and dose distributions from PRIMA were based on a small sample size. </w:t>
      </w:r>
    </w:p>
    <w:p w:rsidR="00F31C82" w:rsidRPr="002B72D8" w:rsidRDefault="00874CC4" w:rsidP="00D3708F">
      <w:pPr>
        <w:pStyle w:val="3-BodyText"/>
        <w:ind w:left="709"/>
        <w:rPr>
          <w:lang w:val="en-US"/>
        </w:rPr>
      </w:pPr>
      <w:r>
        <w:t>T</w:t>
      </w:r>
      <w:r w:rsidR="00823D4A" w:rsidRPr="003B1747">
        <w:t>he ESC considered that in the absence of TGA approval to the change in dosing and given the uncertainty regarding the impact on safety and efficacy, it was not appropriate</w:t>
      </w:r>
      <w:r w:rsidR="00823D4A" w:rsidRPr="001D13E3">
        <w:rPr>
          <w:lang w:val="en-US"/>
        </w:rPr>
        <w:t xml:space="preserve"> to base the economic evaluations, in either population, on the ISD. Further, if TGA approval does follow, an economic evaluation using trial effectiveness and adjusted dosing is likely to over-estimate the cost-effectiveness of niraparib. </w:t>
      </w:r>
      <w:r>
        <w:rPr>
          <w:lang w:val="en-US"/>
        </w:rPr>
        <w:t>S</w:t>
      </w:r>
      <w:r w:rsidR="00823D4A" w:rsidRPr="00633839">
        <w:rPr>
          <w:lang w:val="en-US"/>
        </w:rPr>
        <w:t>ensitivity analys</w:t>
      </w:r>
      <w:r>
        <w:rPr>
          <w:lang w:val="en-US"/>
        </w:rPr>
        <w:t>e</w:t>
      </w:r>
      <w:r w:rsidR="00823D4A" w:rsidRPr="00633839">
        <w:rPr>
          <w:lang w:val="en-US"/>
        </w:rPr>
        <w:t>s usi</w:t>
      </w:r>
      <w:r>
        <w:rPr>
          <w:lang w:val="en-US"/>
        </w:rPr>
        <w:t>ng the dosing applied in NOVA are</w:t>
      </w:r>
      <w:r w:rsidR="00823D4A" w:rsidRPr="00633839">
        <w:rPr>
          <w:lang w:val="en-US"/>
        </w:rPr>
        <w:t xml:space="preserve"> shown in Table 14</w:t>
      </w:r>
      <w:r>
        <w:rPr>
          <w:lang w:val="en-US"/>
        </w:rPr>
        <w:t xml:space="preserve"> (CUA) and </w:t>
      </w:r>
      <w:r w:rsidR="00681899" w:rsidRPr="00A0281F">
        <w:rPr>
          <w:iCs/>
        </w:rPr>
        <w:t xml:space="preserve">Table </w:t>
      </w:r>
      <w:r w:rsidR="00681899">
        <w:rPr>
          <w:iCs/>
          <w:noProof/>
        </w:rPr>
        <w:t>15</w:t>
      </w:r>
      <w:r>
        <w:rPr>
          <w:lang w:val="en-US"/>
        </w:rPr>
        <w:t xml:space="preserve"> (CMA)</w:t>
      </w:r>
      <w:r w:rsidR="00823D4A" w:rsidRPr="00633839">
        <w:rPr>
          <w:lang w:val="en-US"/>
        </w:rPr>
        <w:t xml:space="preserve">.  </w:t>
      </w:r>
      <w:r w:rsidR="00823D4A" w:rsidRPr="001D13E3">
        <w:rPr>
          <w:lang w:val="en-US"/>
        </w:rPr>
        <w:t>The pre-PBAC response argued that it was appropriate that the base case economic analysis reflects the sponsor’s intentions regarding the TGA approved dosing and that with the improved safety profile it is not unreasonable to expect an overall net improvement in patient outcomes.</w:t>
      </w:r>
    </w:p>
    <w:p w:rsidR="00C278F0" w:rsidRPr="0050548B" w:rsidRDefault="00C278F0" w:rsidP="002B72D8">
      <w:pPr>
        <w:pStyle w:val="ListBullet"/>
        <w:keepNext/>
        <w:keepLines/>
        <w:spacing w:after="120"/>
        <w:ind w:left="357" w:hanging="357"/>
        <w:contextualSpacing w:val="0"/>
        <w:rPr>
          <w:b/>
        </w:rPr>
      </w:pPr>
      <w:r>
        <w:rPr>
          <w:rFonts w:asciiTheme="minorHAnsi" w:hAnsiTheme="minorHAnsi"/>
          <w:b/>
          <w:snapToGrid w:val="0"/>
        </w:rPr>
        <w:lastRenderedPageBreak/>
        <w:t>Cost-effectiveness analysis - n</w:t>
      </w:r>
      <w:r w:rsidRPr="0050548B">
        <w:rPr>
          <w:rFonts w:asciiTheme="minorHAnsi" w:hAnsiTheme="minorHAnsi"/>
          <w:b/>
          <w:snapToGrid w:val="0"/>
        </w:rPr>
        <w:t>on-</w:t>
      </w:r>
      <w:r w:rsidRPr="0050548B">
        <w:rPr>
          <w:b/>
        </w:rPr>
        <w:t>BRCAm PSR HGSOC population</w:t>
      </w:r>
    </w:p>
    <w:p w:rsidR="00C278F0" w:rsidRPr="00BA3DF3" w:rsidRDefault="00C278F0" w:rsidP="00435B99">
      <w:pPr>
        <w:pStyle w:val="3-BodyText"/>
        <w:keepNext/>
        <w:keepLines/>
        <w:ind w:left="709"/>
        <w:rPr>
          <w:b/>
          <w:bCs/>
          <w:lang w:val="en-US"/>
        </w:rPr>
      </w:pPr>
      <w:r>
        <w:t>The submission presented a stepped economic evaluation based on a</w:t>
      </w:r>
      <w:r w:rsidRPr="00641FB3">
        <w:t xml:space="preserve"> </w:t>
      </w:r>
      <w:r>
        <w:t xml:space="preserve">direct randomised trial comparing niraparib and SMM in the non-BRCAm PSR HGSOC population (NOVA). The type of economic evaluation presented was a cost-utility analysis.  The key components of the economic evaluation are presented in </w:t>
      </w:r>
      <w:r w:rsidR="00681899">
        <w:t xml:space="preserve">Table </w:t>
      </w:r>
      <w:r w:rsidR="00681899">
        <w:rPr>
          <w:noProof/>
        </w:rPr>
        <w:t>9</w:t>
      </w:r>
      <w:r>
        <w:t>.</w:t>
      </w:r>
    </w:p>
    <w:p w:rsidR="00C278F0" w:rsidRPr="00641FB3" w:rsidRDefault="00C278F0" w:rsidP="00BE64AA">
      <w:pPr>
        <w:pStyle w:val="TableFigureHeading"/>
        <w:rPr>
          <w:rStyle w:val="CommentReference"/>
          <w:b/>
        </w:rPr>
      </w:pPr>
      <w:bookmarkStart w:id="39" w:name="_Ref57883511"/>
      <w:r>
        <w:t xml:space="preserve">Table </w:t>
      </w:r>
      <w:r w:rsidR="00681899">
        <w:rPr>
          <w:noProof/>
        </w:rPr>
        <w:t>9</w:t>
      </w:r>
      <w:bookmarkEnd w:id="39"/>
      <w:r>
        <w:t>: Summary of model structure, key inputs and rationale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18"/>
        <w:gridCol w:w="6499"/>
      </w:tblGrid>
      <w:tr w:rsidR="00C278F0" w:rsidRPr="003D1DE4" w:rsidTr="00C278F0">
        <w:trPr>
          <w:tblHeader/>
        </w:trPr>
        <w:tc>
          <w:tcPr>
            <w:tcW w:w="1396" w:type="pct"/>
            <w:shd w:val="clear" w:color="auto" w:fill="auto"/>
            <w:vAlign w:val="center"/>
          </w:tcPr>
          <w:p w:rsidR="00C278F0" w:rsidRPr="00641FB3" w:rsidRDefault="00C278F0" w:rsidP="00BE64AA">
            <w:pPr>
              <w:pStyle w:val="In-tableHeading"/>
            </w:pPr>
            <w:r w:rsidRPr="00641FB3">
              <w:t>Component</w:t>
            </w:r>
          </w:p>
        </w:tc>
        <w:tc>
          <w:tcPr>
            <w:tcW w:w="3604" w:type="pct"/>
            <w:shd w:val="clear" w:color="auto" w:fill="auto"/>
            <w:vAlign w:val="center"/>
          </w:tcPr>
          <w:p w:rsidR="00C278F0" w:rsidRPr="00641FB3" w:rsidRDefault="00C278F0" w:rsidP="00BE64AA">
            <w:pPr>
              <w:pStyle w:val="In-tableHeading"/>
            </w:pPr>
            <w:r w:rsidRPr="00641FB3">
              <w:t>Summary</w:t>
            </w:r>
          </w:p>
        </w:tc>
      </w:tr>
      <w:tr w:rsidR="00C278F0" w:rsidRPr="00E2771E" w:rsidTr="00C278F0">
        <w:tc>
          <w:tcPr>
            <w:tcW w:w="1396" w:type="pct"/>
            <w:shd w:val="clear" w:color="auto" w:fill="auto"/>
            <w:vAlign w:val="center"/>
          </w:tcPr>
          <w:p w:rsidR="00C278F0" w:rsidRDefault="00C278F0" w:rsidP="00BE64AA">
            <w:pPr>
              <w:pStyle w:val="TableText0"/>
            </w:pPr>
            <w:r>
              <w:t>Population</w:t>
            </w:r>
          </w:p>
        </w:tc>
        <w:tc>
          <w:tcPr>
            <w:tcW w:w="3604" w:type="pct"/>
            <w:shd w:val="clear" w:color="auto" w:fill="auto"/>
            <w:vAlign w:val="center"/>
          </w:tcPr>
          <w:p w:rsidR="00C278F0" w:rsidRDefault="00C278F0" w:rsidP="00BE64AA">
            <w:pPr>
              <w:pStyle w:val="TableText0"/>
            </w:pPr>
            <w:r>
              <w:t>non-BRCAm platinum-sensitive, relapsed HGSOC</w:t>
            </w:r>
          </w:p>
        </w:tc>
      </w:tr>
      <w:tr w:rsidR="00C278F0" w:rsidRPr="00E2771E" w:rsidTr="00C278F0">
        <w:tc>
          <w:tcPr>
            <w:tcW w:w="1396" w:type="pct"/>
            <w:shd w:val="clear" w:color="auto" w:fill="auto"/>
            <w:vAlign w:val="center"/>
          </w:tcPr>
          <w:p w:rsidR="00C278F0" w:rsidRPr="00E2771E" w:rsidRDefault="00C278F0" w:rsidP="00BE64AA">
            <w:pPr>
              <w:pStyle w:val="TableText0"/>
            </w:pPr>
            <w:r>
              <w:t>Treatments</w:t>
            </w:r>
          </w:p>
        </w:tc>
        <w:tc>
          <w:tcPr>
            <w:tcW w:w="3604" w:type="pct"/>
            <w:shd w:val="clear" w:color="auto" w:fill="auto"/>
            <w:vAlign w:val="center"/>
          </w:tcPr>
          <w:p w:rsidR="00C278F0" w:rsidRPr="00E2771E" w:rsidRDefault="00C278F0" w:rsidP="00BE64AA">
            <w:pPr>
              <w:pStyle w:val="TableText0"/>
            </w:pPr>
            <w:r>
              <w:t xml:space="preserve">Niraparib vs SMM </w:t>
            </w:r>
          </w:p>
        </w:tc>
      </w:tr>
      <w:tr w:rsidR="00C278F0" w:rsidRPr="00E2771E" w:rsidTr="00C278F0">
        <w:tc>
          <w:tcPr>
            <w:tcW w:w="1396" w:type="pct"/>
            <w:shd w:val="clear" w:color="auto" w:fill="auto"/>
            <w:vAlign w:val="center"/>
          </w:tcPr>
          <w:p w:rsidR="00C278F0" w:rsidRPr="00E2771E" w:rsidRDefault="00C278F0" w:rsidP="00BE64AA">
            <w:pPr>
              <w:pStyle w:val="TableText0"/>
            </w:pPr>
            <w:r w:rsidRPr="00E2771E">
              <w:t>Time horizon</w:t>
            </w:r>
          </w:p>
        </w:tc>
        <w:tc>
          <w:tcPr>
            <w:tcW w:w="3604" w:type="pct"/>
            <w:shd w:val="clear" w:color="auto" w:fill="auto"/>
            <w:vAlign w:val="center"/>
          </w:tcPr>
          <w:p w:rsidR="00C278F0" w:rsidRPr="00E2771E" w:rsidRDefault="00C278F0" w:rsidP="00BE64AA">
            <w:pPr>
              <w:pStyle w:val="TableText0"/>
            </w:pPr>
            <w:r>
              <w:t>10</w:t>
            </w:r>
            <w:r w:rsidRPr="00E2771E">
              <w:t xml:space="preserve"> years in the model base case versus </w:t>
            </w:r>
            <w:r>
              <w:t xml:space="preserve">mean follow-up of 15.8 months in the trial. </w:t>
            </w:r>
          </w:p>
        </w:tc>
      </w:tr>
      <w:tr w:rsidR="00C278F0" w:rsidRPr="00E2771E" w:rsidTr="00C278F0">
        <w:tc>
          <w:tcPr>
            <w:tcW w:w="1396" w:type="pct"/>
            <w:shd w:val="clear" w:color="auto" w:fill="auto"/>
            <w:vAlign w:val="center"/>
          </w:tcPr>
          <w:p w:rsidR="00C278F0" w:rsidRPr="00E2771E" w:rsidRDefault="00C278F0" w:rsidP="00BE64AA">
            <w:pPr>
              <w:pStyle w:val="TableText0"/>
            </w:pPr>
            <w:r w:rsidRPr="00E2771E">
              <w:t>Outcomes</w:t>
            </w:r>
          </w:p>
        </w:tc>
        <w:tc>
          <w:tcPr>
            <w:tcW w:w="3604" w:type="pct"/>
            <w:shd w:val="clear" w:color="auto" w:fill="auto"/>
            <w:vAlign w:val="center"/>
          </w:tcPr>
          <w:p w:rsidR="00C278F0" w:rsidRPr="00E2771E" w:rsidRDefault="00C278F0" w:rsidP="00BE64AA">
            <w:pPr>
              <w:pStyle w:val="TableText0"/>
            </w:pPr>
            <w:r>
              <w:t>LYs and QALYs</w:t>
            </w:r>
          </w:p>
        </w:tc>
      </w:tr>
      <w:tr w:rsidR="00C278F0" w:rsidRPr="00E2771E" w:rsidTr="00C278F0">
        <w:tc>
          <w:tcPr>
            <w:tcW w:w="1396" w:type="pct"/>
            <w:shd w:val="clear" w:color="auto" w:fill="auto"/>
            <w:vAlign w:val="center"/>
          </w:tcPr>
          <w:p w:rsidR="00C278F0" w:rsidRPr="00E2771E" w:rsidRDefault="00C278F0" w:rsidP="00BE64AA">
            <w:pPr>
              <w:pStyle w:val="TableText0"/>
            </w:pPr>
            <w:r w:rsidRPr="00E2771E">
              <w:t>Methods used to generate results</w:t>
            </w:r>
          </w:p>
        </w:tc>
        <w:tc>
          <w:tcPr>
            <w:tcW w:w="3604" w:type="pct"/>
            <w:shd w:val="clear" w:color="auto" w:fill="auto"/>
            <w:vAlign w:val="center"/>
          </w:tcPr>
          <w:p w:rsidR="00C278F0" w:rsidRPr="00E2771E" w:rsidRDefault="00C278F0" w:rsidP="00BE64AA">
            <w:pPr>
              <w:pStyle w:val="TableText0"/>
            </w:pPr>
            <w:r>
              <w:t>Partitioned survival model</w:t>
            </w:r>
          </w:p>
        </w:tc>
      </w:tr>
      <w:tr w:rsidR="00C278F0" w:rsidRPr="00E2771E" w:rsidTr="00C278F0">
        <w:tc>
          <w:tcPr>
            <w:tcW w:w="1396" w:type="pct"/>
            <w:shd w:val="clear" w:color="auto" w:fill="auto"/>
            <w:vAlign w:val="center"/>
          </w:tcPr>
          <w:p w:rsidR="00C278F0" w:rsidRPr="00E2771E" w:rsidRDefault="00C278F0" w:rsidP="00BE64AA">
            <w:pPr>
              <w:pStyle w:val="TableText0"/>
            </w:pPr>
            <w:r w:rsidRPr="00E2771E">
              <w:t>Health states</w:t>
            </w:r>
          </w:p>
        </w:tc>
        <w:tc>
          <w:tcPr>
            <w:tcW w:w="3604" w:type="pct"/>
            <w:shd w:val="clear" w:color="auto" w:fill="auto"/>
            <w:vAlign w:val="center"/>
          </w:tcPr>
          <w:p w:rsidR="00C278F0" w:rsidRPr="00E2771E" w:rsidRDefault="00C278F0" w:rsidP="00BE64AA">
            <w:pPr>
              <w:pStyle w:val="TableText0"/>
            </w:pPr>
            <w:r>
              <w:t>Progression free (PF), progressed disease (PD), and dead.</w:t>
            </w:r>
          </w:p>
        </w:tc>
      </w:tr>
      <w:tr w:rsidR="00C278F0" w:rsidRPr="00E2771E" w:rsidTr="00C278F0">
        <w:tc>
          <w:tcPr>
            <w:tcW w:w="1396" w:type="pct"/>
            <w:shd w:val="clear" w:color="auto" w:fill="auto"/>
            <w:vAlign w:val="center"/>
          </w:tcPr>
          <w:p w:rsidR="00C278F0" w:rsidRPr="00E2771E" w:rsidRDefault="00C278F0" w:rsidP="00BE64AA">
            <w:pPr>
              <w:pStyle w:val="TableText0"/>
            </w:pPr>
            <w:r w:rsidRPr="00E2771E">
              <w:t>Cycle length</w:t>
            </w:r>
          </w:p>
        </w:tc>
        <w:tc>
          <w:tcPr>
            <w:tcW w:w="3604" w:type="pct"/>
            <w:shd w:val="clear" w:color="auto" w:fill="auto"/>
            <w:vAlign w:val="center"/>
          </w:tcPr>
          <w:p w:rsidR="00C278F0" w:rsidRPr="00E2771E" w:rsidRDefault="00C278F0" w:rsidP="00BE64AA">
            <w:pPr>
              <w:pStyle w:val="TableText0"/>
            </w:pPr>
            <w:r>
              <w:t>1 month</w:t>
            </w:r>
          </w:p>
        </w:tc>
      </w:tr>
      <w:tr w:rsidR="00C278F0" w:rsidRPr="00E2771E" w:rsidTr="00C278F0">
        <w:tc>
          <w:tcPr>
            <w:tcW w:w="1396" w:type="pct"/>
            <w:shd w:val="clear" w:color="auto" w:fill="auto"/>
            <w:vAlign w:val="center"/>
          </w:tcPr>
          <w:p w:rsidR="00C278F0" w:rsidRPr="00E2771E" w:rsidRDefault="00C278F0" w:rsidP="00BE64AA">
            <w:pPr>
              <w:pStyle w:val="TableText0"/>
            </w:pPr>
            <w:r>
              <w:t xml:space="preserve">Allocation to health states </w:t>
            </w:r>
          </w:p>
        </w:tc>
        <w:tc>
          <w:tcPr>
            <w:tcW w:w="3604" w:type="pct"/>
            <w:shd w:val="clear" w:color="auto" w:fill="auto"/>
            <w:vAlign w:val="center"/>
          </w:tcPr>
          <w:p w:rsidR="00C278F0" w:rsidRPr="00E2771E" w:rsidRDefault="00C278F0" w:rsidP="00BE64AA">
            <w:pPr>
              <w:pStyle w:val="TableText0"/>
            </w:pPr>
            <w:r>
              <w:t>Kaplan-Meier estimates for PFS and OS for the non-gBRCAm cohort in NOVA and extrapolated PFS and OS curves.</w:t>
            </w:r>
          </w:p>
        </w:tc>
      </w:tr>
      <w:tr w:rsidR="00C278F0" w:rsidRPr="00E2771E" w:rsidTr="00C278F0">
        <w:tc>
          <w:tcPr>
            <w:tcW w:w="1396" w:type="pct"/>
            <w:shd w:val="clear" w:color="auto" w:fill="auto"/>
            <w:vAlign w:val="center"/>
          </w:tcPr>
          <w:p w:rsidR="00C278F0" w:rsidRPr="00E2771E" w:rsidRDefault="00C278F0" w:rsidP="00BE64AA">
            <w:pPr>
              <w:pStyle w:val="TableText0"/>
            </w:pPr>
            <w:r>
              <w:t>Extrapolation method</w:t>
            </w:r>
          </w:p>
        </w:tc>
        <w:tc>
          <w:tcPr>
            <w:tcW w:w="3604" w:type="pct"/>
            <w:shd w:val="clear" w:color="auto" w:fill="auto"/>
            <w:vAlign w:val="center"/>
          </w:tcPr>
          <w:p w:rsidR="00C278F0" w:rsidRDefault="00C278F0" w:rsidP="00BE64AA">
            <w:pPr>
              <w:pStyle w:val="TableText0"/>
            </w:pPr>
            <w:r>
              <w:t>Dependent parametric functions fitted to the Kaplan-Meier survival estimates in each treatment arm, with the log-normal function selected in the base case for both OS and PFS based on visual validity and goodness of fit.</w:t>
            </w:r>
          </w:p>
          <w:p w:rsidR="00C278F0" w:rsidRDefault="00C278F0" w:rsidP="00BE64AA">
            <w:pPr>
              <w:pStyle w:val="TableText0"/>
            </w:pPr>
            <w:r>
              <w:t>Convergence was not assumed to occur within the modelled time horizon.</w:t>
            </w:r>
          </w:p>
          <w:p w:rsidR="00C278F0" w:rsidRDefault="00C278F0" w:rsidP="00BE64AA">
            <w:pPr>
              <w:pStyle w:val="TableText0"/>
            </w:pPr>
          </w:p>
          <w:p w:rsidR="00C278F0" w:rsidRPr="00E2771E" w:rsidRDefault="00C278F0" w:rsidP="00BE64AA">
            <w:pPr>
              <w:pStyle w:val="TableText0"/>
            </w:pPr>
            <w:r>
              <w:t>92% of the incremental LYs gained and 84% of the incremental QALYs gained occur in the extrapolated period.</w:t>
            </w:r>
          </w:p>
        </w:tc>
      </w:tr>
      <w:tr w:rsidR="00C278F0" w:rsidRPr="00E2771E" w:rsidTr="00C278F0">
        <w:tc>
          <w:tcPr>
            <w:tcW w:w="1396" w:type="pct"/>
            <w:shd w:val="clear" w:color="auto" w:fill="auto"/>
            <w:vAlign w:val="center"/>
          </w:tcPr>
          <w:p w:rsidR="00C278F0" w:rsidRPr="001F4081" w:rsidRDefault="00C278F0" w:rsidP="00BE64AA">
            <w:pPr>
              <w:pStyle w:val="TableText0"/>
            </w:pPr>
            <w:r>
              <w:t>Health related quality of life</w:t>
            </w:r>
          </w:p>
        </w:tc>
        <w:tc>
          <w:tcPr>
            <w:tcW w:w="3604" w:type="pct"/>
            <w:shd w:val="clear" w:color="auto" w:fill="auto"/>
            <w:vAlign w:val="center"/>
          </w:tcPr>
          <w:p w:rsidR="00C278F0" w:rsidRDefault="00C278F0" w:rsidP="00BE64AA">
            <w:pPr>
              <w:pStyle w:val="TableText0"/>
            </w:pPr>
            <w:r>
              <w:t>Trial based.</w:t>
            </w:r>
          </w:p>
          <w:p w:rsidR="00C278F0" w:rsidRDefault="00C278F0" w:rsidP="00BE64AA">
            <w:pPr>
              <w:pStyle w:val="TableText0"/>
            </w:pPr>
            <w:r>
              <w:t>Progression-free: niraparib = 0.741, SMM = 0.734</w:t>
            </w:r>
          </w:p>
          <w:p w:rsidR="00C278F0" w:rsidRPr="00E2771E" w:rsidRDefault="00C278F0" w:rsidP="00BE64AA">
            <w:pPr>
              <w:pStyle w:val="TableText0"/>
            </w:pPr>
            <w:r>
              <w:t>Progressed disease: niraparib = 0.713, SMM = 0.679</w:t>
            </w:r>
          </w:p>
        </w:tc>
      </w:tr>
      <w:tr w:rsidR="00C278F0" w:rsidRPr="00E2771E" w:rsidTr="00C278F0">
        <w:tc>
          <w:tcPr>
            <w:tcW w:w="1396" w:type="pct"/>
            <w:shd w:val="clear" w:color="auto" w:fill="auto"/>
            <w:vAlign w:val="center"/>
          </w:tcPr>
          <w:p w:rsidR="00C278F0" w:rsidRDefault="00C278F0" w:rsidP="00BE64AA">
            <w:pPr>
              <w:pStyle w:val="TableText0"/>
            </w:pPr>
            <w:r>
              <w:t xml:space="preserve">Utilisation of niraparib </w:t>
            </w:r>
          </w:p>
        </w:tc>
        <w:tc>
          <w:tcPr>
            <w:tcW w:w="3604" w:type="pct"/>
            <w:shd w:val="clear" w:color="auto" w:fill="auto"/>
            <w:vAlign w:val="center"/>
          </w:tcPr>
          <w:p w:rsidR="00C278F0" w:rsidRPr="00BF3723" w:rsidRDefault="00C278F0" w:rsidP="00BE64AA">
            <w:pPr>
              <w:pStyle w:val="TableText0"/>
              <w:rPr>
                <w:vertAlign w:val="superscript"/>
              </w:rPr>
            </w:pPr>
            <w:r>
              <w:t>Dosage data from NOVA (fixed starting dose of 300 mg/day) was translated to account for the proposed individualised starting dose regimen using data from the PRIMA trial.</w:t>
            </w:r>
            <w:r>
              <w:rPr>
                <w:vertAlign w:val="superscript"/>
              </w:rPr>
              <w:t>a</w:t>
            </w:r>
          </w:p>
          <w:p w:rsidR="00C278F0" w:rsidRDefault="00C278F0" w:rsidP="00BE64AA">
            <w:pPr>
              <w:pStyle w:val="TableText0"/>
            </w:pPr>
            <w:r>
              <w:t>The duration of treatment was based directly on Kaplan-Meier estimates of time to treatment discontinuation (TTD) from NOVA and extrapolated TTD data.</w:t>
            </w:r>
          </w:p>
        </w:tc>
      </w:tr>
      <w:tr w:rsidR="00C278F0" w:rsidRPr="00E2771E" w:rsidTr="00C278F0">
        <w:tc>
          <w:tcPr>
            <w:tcW w:w="1396" w:type="pct"/>
            <w:shd w:val="clear" w:color="auto" w:fill="auto"/>
            <w:vAlign w:val="center"/>
          </w:tcPr>
          <w:p w:rsidR="00C278F0" w:rsidRPr="00E2771E" w:rsidRDefault="00C278F0" w:rsidP="00BE64AA">
            <w:pPr>
              <w:pStyle w:val="TableText0"/>
            </w:pPr>
            <w:r>
              <w:t xml:space="preserve">Specific costs </w:t>
            </w:r>
          </w:p>
        </w:tc>
        <w:tc>
          <w:tcPr>
            <w:tcW w:w="3604" w:type="pct"/>
            <w:shd w:val="clear" w:color="auto" w:fill="auto"/>
            <w:vAlign w:val="center"/>
          </w:tcPr>
          <w:p w:rsidR="00C278F0" w:rsidRDefault="00C278F0" w:rsidP="00BE64AA">
            <w:pPr>
              <w:pStyle w:val="TableText0"/>
            </w:pPr>
            <w:r>
              <w:t>Management of AEs associated with niraparib maintenance treatment</w:t>
            </w:r>
          </w:p>
          <w:p w:rsidR="00C278F0" w:rsidRPr="00E2771E" w:rsidRDefault="00C278F0" w:rsidP="00BE64AA">
            <w:pPr>
              <w:pStyle w:val="TableText0"/>
            </w:pPr>
            <w:r>
              <w:t>Post-progression costs included: medicine costs of subsequent anti-cancer treatment, costs of managing AEs associated with subsequent treatment, and terminal care costs.</w:t>
            </w:r>
          </w:p>
        </w:tc>
      </w:tr>
    </w:tbl>
    <w:p w:rsidR="00C278F0" w:rsidRDefault="00C278F0" w:rsidP="00BE64AA">
      <w:pPr>
        <w:pStyle w:val="TableFigureFooter"/>
      </w:pPr>
      <w:r>
        <w:t>Source: Table 64 p99, Section 3A.5.1 p123; Section 3A.4.3, Table 79, p130 and Section 3A.6 of the submission.</w:t>
      </w:r>
    </w:p>
    <w:p w:rsidR="00C278F0" w:rsidRDefault="00C278F0" w:rsidP="00BE64AA">
      <w:pPr>
        <w:pStyle w:val="TableFigureFooter"/>
      </w:pPr>
      <w:r>
        <w:t xml:space="preserve">AE = adverse event; gBRCAm = germline </w:t>
      </w:r>
      <w:r w:rsidR="00A72D6D">
        <w:t>BRCA1/2 pathogenic and likely pathogenic variants</w:t>
      </w:r>
      <w:r>
        <w:t>; HGSOC = high-grade serous ovarian cancer; LY = life-year; QALY = quality-adjusted life-year; SMM = standard medical management.</w:t>
      </w:r>
    </w:p>
    <w:p w:rsidR="00C278F0" w:rsidRPr="00BA1E90" w:rsidRDefault="00C278F0" w:rsidP="00BE64AA">
      <w:pPr>
        <w:pStyle w:val="TableFigureFooter"/>
        <w:ind w:left="142" w:hanging="142"/>
      </w:pPr>
      <w:r>
        <w:rPr>
          <w:vertAlign w:val="superscript"/>
        </w:rPr>
        <w:t>a</w:t>
      </w:r>
      <w:r>
        <w:t xml:space="preserve"> PRIMA was a randomised placebo-controlled trial of niraparib as maintenance therapy in the first-line setting in patients with PR HGSOC, in which the individualised starting dose regimen was applied following a protocol amendment during the conduct of the trial.</w:t>
      </w:r>
    </w:p>
    <w:p w:rsidR="007C17AA" w:rsidRPr="00FD45A6" w:rsidRDefault="00C278F0" w:rsidP="002B72D8">
      <w:pPr>
        <w:pStyle w:val="3-BodyText"/>
        <w:ind w:left="720"/>
        <w:rPr>
          <w:i/>
        </w:rPr>
      </w:pPr>
      <w:r>
        <w:t xml:space="preserve">Kaplan-Meier PFS and OS data for the non-gBRCAm cohort in NOVA was applied up to the mean duration of follow-up in the trial. </w:t>
      </w:r>
      <w:r w:rsidR="007C17AA" w:rsidRPr="00A0281F">
        <w:t>As discussed above, at least 13% of patient</w:t>
      </w:r>
      <w:r w:rsidR="001C3491">
        <w:t>s</w:t>
      </w:r>
      <w:r w:rsidR="007C17AA" w:rsidRPr="00A0281F">
        <w:t xml:space="preserve"> in the non-gBRCAm cohort in NOVA had somatic BRCA pathogenic variants. The submission did not address the likely impact of this on the applicability of the effectiveness of niraparib, as observed in the non-gBRCAm cohort of NOVA, to the narrower BRCA wild type (non-BRCAm) population.</w:t>
      </w:r>
    </w:p>
    <w:p w:rsidR="00C278F0" w:rsidRPr="00A57A57" w:rsidRDefault="00C278F0" w:rsidP="000D1255">
      <w:pPr>
        <w:pStyle w:val="3-BodyText"/>
        <w:rPr>
          <w:i/>
        </w:rPr>
      </w:pPr>
      <w:r w:rsidRPr="007C17AA">
        <w:t>Based predominantly on goodness of fit statistics, in the base case, a log-normal parametric model was used to extrapolate both PFS and OS over the remaining time horizon of the model.</w:t>
      </w:r>
      <w:r w:rsidRPr="00A57A57">
        <w:rPr>
          <w:i/>
        </w:rPr>
        <w:t xml:space="preserve"> </w:t>
      </w:r>
      <w:r w:rsidRPr="00A0281F">
        <w:t xml:space="preserve">Due to the immaturity of the OS data from NOVA, there were insufficient trial data to reliably determine the most appropriate parametric model to apply in the extrapolation. </w:t>
      </w:r>
      <w:r w:rsidR="00A57A57" w:rsidRPr="00A0281F">
        <w:t xml:space="preserve">The goodness of fit statistics for </w:t>
      </w:r>
      <w:r w:rsidR="00A57A57" w:rsidRPr="00A0281F">
        <w:lastRenderedPageBreak/>
        <w:t xml:space="preserve">the log-normal, the log-logistic and the Gamma parametric models were very similar. Given the uncertainty inherent in extrapolating the immature OS data over a 10 year time horizon, and the fact that the trial has not yet established that niraparib is statistically superior to placebo in terms of OS, it would have been more appropriate to use a more conservative parametric function to model the OS gains associated with niraparib over SMM. </w:t>
      </w:r>
      <w:r w:rsidRPr="00A0281F">
        <w:t>The results of the economic model were sensitive to the parametric function used to extrapolate OS.</w:t>
      </w:r>
      <w:r w:rsidR="001C3491">
        <w:t xml:space="preserve"> </w:t>
      </w:r>
      <w:r w:rsidR="001C3491" w:rsidRPr="00D476BB">
        <w:t xml:space="preserve">The ESC noted that the extrapolation of OS data was naïve </w:t>
      </w:r>
      <w:r w:rsidR="002F4A45" w:rsidRPr="00D476BB">
        <w:t xml:space="preserve">given the immaturity of the OS data and that using the log-logistic functional form (the second best fit based on information criteria) increased the ICER to </w:t>
      </w:r>
      <w:r w:rsidR="000D1255">
        <w:t>$55,000 to &lt; $75,000</w:t>
      </w:r>
      <w:r w:rsidR="002F4A45" w:rsidRPr="00D476BB">
        <w:t xml:space="preserve">. </w:t>
      </w:r>
      <w:r w:rsidR="001E4810" w:rsidRPr="00D476BB">
        <w:t>The PSCR proposed that shortening the time horizon from 10 years to 7.5 years was the most practical approach to addressing uncertainty in the extrapolated OS data. The ESC noted that the model was relatively insensitive to changes in the time horizon between 7.5 and 12.5 years, whereas it was sensitive to changes in the extrapolation function.</w:t>
      </w:r>
    </w:p>
    <w:p w:rsidR="00C278F0" w:rsidRPr="00794F87" w:rsidRDefault="00C278F0" w:rsidP="00BE64AA">
      <w:pPr>
        <w:pStyle w:val="TableFigureHeading"/>
      </w:pPr>
      <w:r>
        <w:t xml:space="preserve">Figure </w:t>
      </w:r>
      <w:r w:rsidR="00681899">
        <w:rPr>
          <w:noProof/>
        </w:rPr>
        <w:t>4</w:t>
      </w:r>
      <w:r>
        <w:t>: OS Kaplan-Meier estimates and fitted dependent parametric functions for niraparib (A) and SMM (B)</w:t>
      </w:r>
    </w:p>
    <w:p w:rsidR="00C278F0" w:rsidRDefault="00C278F0" w:rsidP="00BE64AA">
      <w:pPr>
        <w:pStyle w:val="TableFigureFooter"/>
      </w:pPr>
      <w:r w:rsidRPr="00794F87">
        <w:rPr>
          <w:noProof/>
        </w:rPr>
        <w:drawing>
          <wp:inline distT="0" distB="0" distL="0" distR="0" wp14:anchorId="30635AF9" wp14:editId="6EA5CD15">
            <wp:extent cx="2838450" cy="2013585"/>
            <wp:effectExtent l="0" t="0" r="0" b="5715"/>
            <wp:docPr id="1959018451" name="Picture 1959018451" title="Figure 4: OS Kaplan-Meier estimates and fitted dependent parametric functions for niraparib (A) and SMM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63223" cy="2031159"/>
                    </a:xfrm>
                    <a:prstGeom prst="rect">
                      <a:avLst/>
                    </a:prstGeom>
                    <a:noFill/>
                    <a:ln>
                      <a:noFill/>
                    </a:ln>
                  </pic:spPr>
                </pic:pic>
              </a:graphicData>
            </a:graphic>
          </wp:inline>
        </w:drawing>
      </w:r>
      <w:r w:rsidRPr="005162E2">
        <w:rPr>
          <w:noProof/>
        </w:rPr>
        <w:drawing>
          <wp:inline distT="0" distB="0" distL="0" distR="0" wp14:anchorId="69B99B88" wp14:editId="1090A8D2">
            <wp:extent cx="2871052" cy="2014538"/>
            <wp:effectExtent l="0" t="0" r="5715" b="5080"/>
            <wp:docPr id="1959018455" name="Picture 1959018455" title="Figure 4: OS Kaplan-Meier estimates and fitted dependent parametric functions for niraparib (A) and SMM (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5727" cy="2031852"/>
                    </a:xfrm>
                    <a:prstGeom prst="rect">
                      <a:avLst/>
                    </a:prstGeom>
                    <a:noFill/>
                    <a:ln>
                      <a:noFill/>
                    </a:ln>
                  </pic:spPr>
                </pic:pic>
              </a:graphicData>
            </a:graphic>
          </wp:inline>
        </w:drawing>
      </w:r>
    </w:p>
    <w:p w:rsidR="00C278F0" w:rsidRDefault="00C278F0" w:rsidP="00BE64AA">
      <w:pPr>
        <w:pStyle w:val="TableFigureFooter"/>
      </w:pPr>
      <w:r>
        <w:t>Source: Figure 35, p115 and Figure 36, p116 of the submission.</w:t>
      </w:r>
    </w:p>
    <w:p w:rsidR="00C278F0" w:rsidRDefault="00C278F0" w:rsidP="00BE64AA">
      <w:pPr>
        <w:pStyle w:val="TableFigureFooter"/>
      </w:pPr>
      <w:r>
        <w:t>KM = Kaplan-Meier; OS = overall survival; SMM = standard medical management.</w:t>
      </w:r>
    </w:p>
    <w:p w:rsidR="00A57A57" w:rsidRPr="007C17AA" w:rsidRDefault="00C278F0" w:rsidP="00BE64AA">
      <w:pPr>
        <w:pStyle w:val="3-BodyText"/>
        <w:ind w:left="709"/>
      </w:pPr>
      <w:r>
        <w:t xml:space="preserve">The parametrically extrapolated OS, PFS and time to treatment discontinuation (TTD) curves applied in the base case of the model are illustrated in </w:t>
      </w:r>
      <w:r w:rsidR="00681899">
        <w:t>Figure 5</w:t>
      </w:r>
      <w:r>
        <w:t>.</w:t>
      </w:r>
      <w:r w:rsidRPr="007C17AA">
        <w:t xml:space="preserve"> </w:t>
      </w:r>
      <w:r w:rsidRPr="00A0281F">
        <w:t>The OS curves for niraparib and SMM did not converge within the 10 year time horizon</w:t>
      </w:r>
      <w:r w:rsidR="001E4810" w:rsidRPr="00D476BB">
        <w:t>, despite no statistically significant OS benefit demonstrated in the clinical data presented</w:t>
      </w:r>
      <w:r w:rsidRPr="00D476BB">
        <w:t>.</w:t>
      </w:r>
      <w:r w:rsidRPr="00A0281F">
        <w:t xml:space="preserve"> Given the uncertainty in the extent of any OS benefit associated with niraparib over SMM, it would have been more conservative to adjust the niraparib OS survival curve to ensure convergence with the SMM OS curve within the time horizon of the model.</w:t>
      </w:r>
      <w:r w:rsidR="00A57A57">
        <w:t xml:space="preserve"> </w:t>
      </w:r>
    </w:p>
    <w:p w:rsidR="00C278F0" w:rsidRPr="00C260D9" w:rsidRDefault="00C278F0" w:rsidP="00BE64AA">
      <w:pPr>
        <w:pStyle w:val="TableFigureHeading"/>
      </w:pPr>
      <w:bookmarkStart w:id="40" w:name="_Ref57899195"/>
      <w:r>
        <w:lastRenderedPageBreak/>
        <w:t xml:space="preserve">Figure </w:t>
      </w:r>
      <w:r w:rsidR="00681899">
        <w:rPr>
          <w:noProof/>
        </w:rPr>
        <w:t>5</w:t>
      </w:r>
      <w:bookmarkEnd w:id="40"/>
      <w:r>
        <w:t>: Parametrically extrapolated survival curves applied in the base case economic model</w:t>
      </w:r>
    </w:p>
    <w:p w:rsidR="00C278F0" w:rsidRDefault="00C278F0" w:rsidP="00BE64AA">
      <w:pPr>
        <w:pStyle w:val="TableFigureFooter"/>
      </w:pPr>
      <w:r>
        <w:rPr>
          <w:noProof/>
        </w:rPr>
        <w:drawing>
          <wp:inline distT="0" distB="0" distL="0" distR="0" wp14:anchorId="18A92FCC" wp14:editId="2D9B5EBB">
            <wp:extent cx="4867012" cy="2852738"/>
            <wp:effectExtent l="0" t="0" r="0" b="5080"/>
            <wp:docPr id="1959018457" name="Picture 1959018457" title="Figure 5: Parametrically extrapolated survival curves applied in the base case economic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18260" cy="2882776"/>
                    </a:xfrm>
                    <a:prstGeom prst="rect">
                      <a:avLst/>
                    </a:prstGeom>
                    <a:noFill/>
                  </pic:spPr>
                </pic:pic>
              </a:graphicData>
            </a:graphic>
          </wp:inline>
        </w:drawing>
      </w:r>
    </w:p>
    <w:p w:rsidR="00C278F0" w:rsidRDefault="00C278F0" w:rsidP="00BE64AA">
      <w:pPr>
        <w:pStyle w:val="TableFigureFooter"/>
      </w:pPr>
      <w:r>
        <w:t>Source: Figure 32 p114, Figure 37 p117 and Figure 42 p120 of the submission; Excel workbook ‘Zejula (niraparib) non-BRCAm CEA’, spreadsheet ‘Survival Traces’.</w:t>
      </w:r>
    </w:p>
    <w:p w:rsidR="00C278F0" w:rsidRPr="00EA7EEF" w:rsidRDefault="00C278F0" w:rsidP="00BE64AA">
      <w:pPr>
        <w:pStyle w:val="TableFigureFooter"/>
      </w:pPr>
      <w:r>
        <w:t xml:space="preserve">KM = Kaplan-Meier; NIR = niraparib; OS = overall survival; PFS = progression-free survival; SMM = standard medical management; TTD = </w:t>
      </w:r>
      <w:r w:rsidRPr="00EA7EEF">
        <w:t>time to treatment discontinuation</w:t>
      </w:r>
    </w:p>
    <w:p w:rsidR="00C278F0" w:rsidRPr="00A0281F" w:rsidRDefault="00C278F0" w:rsidP="00BE64AA">
      <w:pPr>
        <w:pStyle w:val="3-BodyText"/>
        <w:ind w:left="709"/>
      </w:pPr>
      <w:r w:rsidRPr="00A0281F">
        <w:t xml:space="preserve">Patients in the niraparib arm spent less time in the progressed disease (PD) health state (2.15 years) than those in the SMM arm (2.26 years), despite the assumption that they had a better utility than those in the SMM arm (0.713 vs 0.679). </w:t>
      </w:r>
    </w:p>
    <w:p w:rsidR="00C278F0" w:rsidRPr="00A0281F" w:rsidRDefault="00C278F0" w:rsidP="00BE64AA">
      <w:pPr>
        <w:pStyle w:val="3-BodyText"/>
        <w:ind w:left="709"/>
      </w:pPr>
      <w:r w:rsidRPr="00020B55">
        <w:t xml:space="preserve">The submission derived health state utilities from the EQ-5D-5L data from NOVA </w:t>
      </w:r>
      <w:r>
        <w:t>using a mapping algorithm from Norman et al (2013)</w:t>
      </w:r>
      <w:r>
        <w:rPr>
          <w:rStyle w:val="FootnoteReference"/>
          <w:rFonts w:eastAsiaTheme="majorEastAsia"/>
        </w:rPr>
        <w:footnoteReference w:id="2"/>
      </w:r>
      <w:r>
        <w:t>, which was an Australian pilot discrete choice experiment to explore preferences for EQ-5D-5L health states</w:t>
      </w:r>
      <w:r w:rsidRPr="00A0281F">
        <w:t>. Norman et al (2013) clearly notes that the study was exploratory, and producing an Australian algorithm for the EQ-5D-5L was not the primary purpose of the experiment. Therefore, the validity of the algorithm used to translate the trial EQ-5D-5L data to utility values was uncertain.</w:t>
      </w:r>
    </w:p>
    <w:p w:rsidR="00C278F0" w:rsidRPr="00D476BB" w:rsidRDefault="00C278F0" w:rsidP="000D1255">
      <w:pPr>
        <w:pStyle w:val="3-BodyText"/>
      </w:pPr>
      <w:r>
        <w:t>Treatment-specific utilities were applied in both the progression-free (PF) and the PD health states</w:t>
      </w:r>
      <w:r w:rsidRPr="0057189C">
        <w:rPr>
          <w:i/>
        </w:rPr>
        <w:t xml:space="preserve">. </w:t>
      </w:r>
      <w:r w:rsidRPr="00A0281F">
        <w:t>The use of treatment specific utilities in both the PF and PD health states was poorly supported by the quality-of-life data from NOVA. Oza et al (2018)</w:t>
      </w:r>
      <w:r w:rsidRPr="00A0281F">
        <w:rPr>
          <w:rStyle w:val="FootnoteReference"/>
          <w:rFonts w:eastAsiaTheme="majorEastAsia"/>
        </w:rPr>
        <w:footnoteReference w:id="3"/>
      </w:r>
      <w:r w:rsidRPr="00A0281F">
        <w:t xml:space="preserve"> reported that the adjusted least squares mean health utility index values derived from the NOVA EQ-5D-5L data, using the US value set, were similar between the niraparib and placebo treatment arms, and the between group differences were less than the MCID when averaged across the pre-progression time-points. The utilities in the PD health state were based on a </w:t>
      </w:r>
      <w:r w:rsidRPr="00A0281F">
        <w:lastRenderedPageBreak/>
        <w:t>single EQ-5D-5L assessment conducted at 8 weeks post-progression</w:t>
      </w:r>
      <w:r w:rsidRPr="00D476BB">
        <w:t xml:space="preserve">. </w:t>
      </w:r>
      <w:r w:rsidR="00B37895" w:rsidRPr="00D476BB">
        <w:t>The PSCR argued that the utility weights were directly informed by the pivotal evidence and are the most appropriate source of utilities for the base case.</w:t>
      </w:r>
      <w:r w:rsidR="003023F5" w:rsidRPr="00D476BB">
        <w:t xml:space="preserve"> The ESC noted that the standard deviations for the </w:t>
      </w:r>
      <w:r w:rsidR="00643294" w:rsidRPr="00D476BB">
        <w:t>utility</w:t>
      </w:r>
      <w:r w:rsidR="003023F5" w:rsidRPr="00D476BB">
        <w:t xml:space="preserve"> values </w:t>
      </w:r>
      <w:r w:rsidR="00643294" w:rsidRPr="00D476BB">
        <w:t>are</w:t>
      </w:r>
      <w:r w:rsidR="003023F5" w:rsidRPr="00D476BB">
        <w:t xml:space="preserve"> high and results may be driven by outliers. Further, the ESC noted that the treatment specific increment was higher in the progressed disease group (0.034) than in the progression free group (0.007), which appears implausible. The ESC noted that using the non-treatment specific utilities increased the ICER to </w:t>
      </w:r>
      <w:r w:rsidR="000D1255" w:rsidRPr="000D1255">
        <w:t>$75,000 to &lt; $95,000</w:t>
      </w:r>
      <w:r w:rsidR="000D1255">
        <w:t xml:space="preserve"> </w:t>
      </w:r>
      <w:r w:rsidR="003023F5" w:rsidRPr="00D476BB">
        <w:t xml:space="preserve">and using utilities from the NICE evaluation of olaparib increased the ICER to </w:t>
      </w:r>
      <w:r w:rsidR="000D1255">
        <w:t>$55,000 to &lt; $75,000</w:t>
      </w:r>
      <w:r w:rsidR="003023F5" w:rsidRPr="00D476BB">
        <w:t xml:space="preserve">. </w:t>
      </w:r>
    </w:p>
    <w:p w:rsidR="00C278F0" w:rsidRPr="0057189C" w:rsidRDefault="00C278F0" w:rsidP="00BE64AA">
      <w:pPr>
        <w:pStyle w:val="3-BodyText"/>
        <w:ind w:left="709"/>
      </w:pPr>
      <w:r>
        <w:t xml:space="preserve">Costs associated with monitoring for and managing niraparib-related AEs were included in the model. The submission stated that the difference in the incidence of treatment emergent serious AEs between the two arms of NOVA was almost entirely due to the difference in the incidence of serious thrombocytopenia (niraparib 10.9% vs placebo 0%) and anaemia (niraparib 3.8% vs placebo 0%). To account for this, a hospitalisation cost was applied to the proportion of patients in the niraparib arm experiencing thrombocytopenia and anaemia serious AEs, and the cost of a blood transfusion was applied to the proportion of patients in the niraparib arm experiencing grade 3/4 anaemia events. </w:t>
      </w:r>
      <w:r w:rsidRPr="00A0281F">
        <w:t>As the costs of managing AEs were limited to two specific serious AEs and were based on the number of patients experiencing at least one event, rather than the to</w:t>
      </w:r>
      <w:r w:rsidR="007311FE">
        <w:t>tal n</w:t>
      </w:r>
      <w:r w:rsidRPr="00A0281F">
        <w:t>u</w:t>
      </w:r>
      <w:r w:rsidR="007311FE">
        <w:t>m</w:t>
      </w:r>
      <w:r w:rsidRPr="00A0281F">
        <w:t>ber of events, they are likely to be underestimated. However, the model was not sensitive to this input.</w:t>
      </w:r>
    </w:p>
    <w:p w:rsidR="00C278F0" w:rsidRPr="00D476BB" w:rsidRDefault="00C278F0" w:rsidP="00BE64AA">
      <w:pPr>
        <w:pStyle w:val="3-BodyText"/>
        <w:ind w:left="709"/>
      </w:pPr>
      <w:r>
        <w:t>Based on utilisation of subsequent lines of anti-cancer treatment received in the non-gBRCAm cohort of NOVA, it was assumed that patients in the niraparib arm receive an average of 1.42 courses of subsequent anti-cancer treatment, compared with 1.65 courses in the SMM arm. All patients who received at least one subsequent anti-cancer treatment were assumed to experience treatment-related AEs (56.3% and 71.1% of patients in the niraparib and SMM arms, respectively).</w:t>
      </w:r>
      <w:r w:rsidRPr="003F743C">
        <w:rPr>
          <w:i/>
        </w:rPr>
        <w:t xml:space="preserve"> </w:t>
      </w:r>
      <w:r w:rsidRPr="00A0281F">
        <w:t>These assumptions were not adequately supported by the trial data. At the data cut-off, 21% (49/234) of patients in the niraparib arm and 12% (14/116) in the placebo arm were still receiving randomised study treatment. In addition, the duration of follow-up was not long enough to capture all subsequent lines of therapy received. This will have underestimated the likely full extent of use of subsequent lines of therapy, especially in the niraparib arm, where progression was delayed relative to the SMM arm. The assumption that utilisation of subsequent treatments would be considerably higher in the SMM arm than in the niraparib arm may have biased the costings of subsequent anti-cancer therapies, and the management of the AEs associated with them, in favour of niraparib</w:t>
      </w:r>
      <w:r w:rsidRPr="00D476BB">
        <w:t>.</w:t>
      </w:r>
      <w:r w:rsidR="00B37895" w:rsidRPr="00D476BB">
        <w:t xml:space="preserve"> The PSCR argued that t</w:t>
      </w:r>
      <w:r w:rsidR="00B37895" w:rsidRPr="00D476BB">
        <w:rPr>
          <w:rFonts w:cstheme="minorHAnsi"/>
          <w:szCs w:val="20"/>
        </w:rPr>
        <w:t>he modelling of an additional 0.22 lines of subsequent chemotherapy for patients on SMM compared to niraparib</w:t>
      </w:r>
      <w:r w:rsidR="00B37895" w:rsidRPr="00D476BB">
        <w:t xml:space="preserve"> was appropriate because </w:t>
      </w:r>
      <w:r w:rsidR="00B37895" w:rsidRPr="00D476BB">
        <w:rPr>
          <w:rFonts w:cstheme="minorHAnsi"/>
          <w:szCs w:val="20"/>
        </w:rPr>
        <w:t xml:space="preserve">patients with HGSOC often receive multiple lines of chemotherapy over their lifetime, with decreasing efficacy (time to progression), as </w:t>
      </w:r>
      <w:r w:rsidR="00B37895" w:rsidRPr="00D476BB">
        <w:rPr>
          <w:rFonts w:cstheme="minorHAnsi"/>
          <w:szCs w:val="20"/>
        </w:rPr>
        <w:lastRenderedPageBreak/>
        <w:t>such patients who receive subsequent chemotherapy earlier become increasingly more likely to experience disease progression and another line of treatment.</w:t>
      </w:r>
    </w:p>
    <w:p w:rsidR="00C278F0" w:rsidRDefault="00C278F0" w:rsidP="00BE64AA">
      <w:pPr>
        <w:pStyle w:val="3-BodyText"/>
        <w:ind w:left="709"/>
        <w:rPr>
          <w:i/>
        </w:rPr>
      </w:pPr>
      <w:r>
        <w:t xml:space="preserve">The submission stated that a terminal care cost was applied at death in the economic model to account for the difference in overall survival expected between niraparib and SMM, while acknowledging that over a lifetime time horizon, all patients would be attributed this cost. </w:t>
      </w:r>
      <w:r w:rsidRPr="00A0281F">
        <w:t>While including palliative care costs at end of life may be reasonable, the cost applied included hospitalisations, emergency department visits, clinician visits, pathology, and procedures and associated costs in the last 6 months of life</w:t>
      </w:r>
      <w:r w:rsidRPr="00A0281F">
        <w:rPr>
          <w:rStyle w:val="FootnoteReference"/>
          <w:rFonts w:eastAsiaTheme="majorEastAsia"/>
        </w:rPr>
        <w:footnoteReference w:id="4"/>
      </w:r>
      <w:r w:rsidRPr="00A0281F">
        <w:t>. Many of these costs will be accrued as part of standard care of cancer patients and are, therefore, likely to have been double-counted. The inclusion of the terminal care cost favoured niraparib.</w:t>
      </w:r>
      <w:r w:rsidR="00B37895">
        <w:t xml:space="preserve"> </w:t>
      </w:r>
      <w:r w:rsidR="00B37895" w:rsidRPr="00D476BB">
        <w:t xml:space="preserve">The PSCR argued that </w:t>
      </w:r>
      <w:r w:rsidR="00B37895" w:rsidRPr="00D476BB">
        <w:rPr>
          <w:rFonts w:cstheme="minorHAnsi"/>
          <w:szCs w:val="20"/>
        </w:rPr>
        <w:t>safety costs are derived from AEs primarily occurring in the first few months of treatment, therefore the extent by which health care costs may be double counted was limited to monitoring costs, which account for only a small proportion of the terminal care costs.</w:t>
      </w:r>
    </w:p>
    <w:p w:rsidR="00C278F0" w:rsidRPr="005625E7" w:rsidRDefault="00C278F0" w:rsidP="00BE64AA">
      <w:pPr>
        <w:pStyle w:val="3-BodyText"/>
        <w:ind w:left="709"/>
      </w:pPr>
      <w:r w:rsidRPr="005625E7">
        <w:t xml:space="preserve">The key drivers of the model are summarised in </w:t>
      </w:r>
      <w:r w:rsidR="00681899">
        <w:t xml:space="preserve">Table </w:t>
      </w:r>
      <w:r w:rsidR="00681899">
        <w:rPr>
          <w:noProof/>
        </w:rPr>
        <w:t>10</w:t>
      </w:r>
      <w:r>
        <w:t xml:space="preserve">. </w:t>
      </w:r>
    </w:p>
    <w:p w:rsidR="00C278F0" w:rsidRPr="00BB00B3" w:rsidRDefault="00C278F0" w:rsidP="00BE64AA">
      <w:pPr>
        <w:pStyle w:val="TableFigureHeading"/>
        <w:rPr>
          <w:rStyle w:val="CommentReference"/>
          <w:b/>
        </w:rPr>
      </w:pPr>
      <w:bookmarkStart w:id="41" w:name="_Ref57905755"/>
      <w:r>
        <w:t xml:space="preserve">Table </w:t>
      </w:r>
      <w:r w:rsidR="00681899">
        <w:rPr>
          <w:noProof/>
        </w:rPr>
        <w:t>10</w:t>
      </w:r>
      <w:bookmarkEnd w:id="41"/>
      <w:r w:rsidRPr="00BB00B3">
        <w:rPr>
          <w:rStyle w:val="CommentReference"/>
        </w:rPr>
        <w:t xml:space="preserve">: </w:t>
      </w:r>
      <w:r w:rsidRPr="007C39A1">
        <w:rPr>
          <w:rStyle w:val="CommentReference"/>
          <w:b/>
        </w:rPr>
        <w:t>Key drivers of the model</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106"/>
        <w:gridCol w:w="3888"/>
        <w:gridCol w:w="4023"/>
      </w:tblGrid>
      <w:tr w:rsidR="00C278F0" w:rsidRPr="00A0281F" w:rsidTr="00C278F0">
        <w:trPr>
          <w:tblHeader/>
        </w:trPr>
        <w:tc>
          <w:tcPr>
            <w:tcW w:w="613" w:type="pct"/>
            <w:shd w:val="clear" w:color="auto" w:fill="auto"/>
            <w:vAlign w:val="center"/>
          </w:tcPr>
          <w:p w:rsidR="00C278F0" w:rsidRPr="00A0281F" w:rsidRDefault="00C278F0" w:rsidP="00BE64AA">
            <w:pPr>
              <w:pStyle w:val="In-tableHeading"/>
            </w:pPr>
            <w:r w:rsidRPr="00A0281F">
              <w:t>Description</w:t>
            </w:r>
          </w:p>
        </w:tc>
        <w:tc>
          <w:tcPr>
            <w:tcW w:w="2156" w:type="pct"/>
            <w:shd w:val="clear" w:color="auto" w:fill="auto"/>
            <w:vAlign w:val="center"/>
          </w:tcPr>
          <w:p w:rsidR="00C278F0" w:rsidRPr="00A0281F" w:rsidRDefault="00C278F0" w:rsidP="00BE64AA">
            <w:pPr>
              <w:pStyle w:val="In-tableHeading"/>
              <w:jc w:val="center"/>
            </w:pPr>
            <w:r w:rsidRPr="00A0281F">
              <w:t>Method/Value</w:t>
            </w:r>
          </w:p>
        </w:tc>
        <w:tc>
          <w:tcPr>
            <w:tcW w:w="2231" w:type="pct"/>
            <w:shd w:val="clear" w:color="auto" w:fill="auto"/>
            <w:vAlign w:val="center"/>
          </w:tcPr>
          <w:p w:rsidR="00C278F0" w:rsidRPr="00A0281F" w:rsidRDefault="00C278F0" w:rsidP="00BE64AA">
            <w:pPr>
              <w:pStyle w:val="In-tableHeading"/>
              <w:jc w:val="center"/>
            </w:pPr>
            <w:r w:rsidRPr="00A0281F">
              <w:t>Impact</w:t>
            </w:r>
          </w:p>
          <w:p w:rsidR="00C278F0" w:rsidRPr="00A0281F" w:rsidRDefault="00C278F0" w:rsidP="00BE64AA">
            <w:pPr>
              <w:pStyle w:val="In-tableHeading"/>
              <w:jc w:val="center"/>
            </w:pPr>
            <w:r w:rsidRPr="00A0281F">
              <w:rPr>
                <w:rFonts w:cs="Arial"/>
                <w:szCs w:val="20"/>
              </w:rPr>
              <w:t>Base case: $</w:t>
            </w:r>
            <w:r w:rsidR="00614C0A">
              <w:rPr>
                <w:rFonts w:cs="Arial"/>
                <w:noProof/>
                <w:color w:val="000000"/>
                <w:szCs w:val="20"/>
                <w:highlight w:val="black"/>
              </w:rPr>
              <w:t>'''''''''''''</w:t>
            </w:r>
            <w:r w:rsidR="000D1255">
              <w:rPr>
                <w:vertAlign w:val="superscript"/>
              </w:rPr>
              <w:t>1</w:t>
            </w:r>
            <w:r w:rsidRPr="00A0281F">
              <w:rPr>
                <w:rFonts w:cs="Arial"/>
                <w:szCs w:val="20"/>
              </w:rPr>
              <w:t>/QALY gained</w:t>
            </w:r>
            <w:r w:rsidRPr="00A0281F">
              <w:rPr>
                <w:rFonts w:cs="Arial"/>
                <w:color w:val="3366FF"/>
                <w:szCs w:val="20"/>
              </w:rPr>
              <w:t>.</w:t>
            </w:r>
          </w:p>
        </w:tc>
      </w:tr>
      <w:tr w:rsidR="00C278F0" w:rsidRPr="00A0281F" w:rsidTr="00C278F0">
        <w:tc>
          <w:tcPr>
            <w:tcW w:w="613" w:type="pct"/>
            <w:shd w:val="clear" w:color="auto" w:fill="auto"/>
            <w:vAlign w:val="center"/>
          </w:tcPr>
          <w:p w:rsidR="00C278F0" w:rsidRPr="00A0281F" w:rsidRDefault="00C278F0" w:rsidP="00BE64AA">
            <w:pPr>
              <w:pStyle w:val="TableText0"/>
              <w:rPr>
                <w:lang w:val="en-US"/>
              </w:rPr>
            </w:pPr>
            <w:r w:rsidRPr="00A0281F">
              <w:rPr>
                <w:lang w:val="en-US"/>
              </w:rPr>
              <w:t xml:space="preserve">Dose regimen for niraparib </w:t>
            </w:r>
          </w:p>
        </w:tc>
        <w:tc>
          <w:tcPr>
            <w:tcW w:w="2156" w:type="pct"/>
            <w:shd w:val="clear" w:color="auto" w:fill="auto"/>
            <w:vAlign w:val="center"/>
          </w:tcPr>
          <w:p w:rsidR="00C278F0" w:rsidRPr="00A0281F" w:rsidRDefault="00C278F0" w:rsidP="00BE64AA">
            <w:pPr>
              <w:pStyle w:val="TableText0"/>
              <w:rPr>
                <w:lang w:val="en-US"/>
              </w:rPr>
            </w:pPr>
            <w:r w:rsidRPr="00A0281F">
              <w:rPr>
                <w:lang w:val="en-US"/>
              </w:rPr>
              <w:t xml:space="preserve">Dosing data from NOVA was translated to account for the proposed individualised starting dose regimen.  </w:t>
            </w:r>
          </w:p>
        </w:tc>
        <w:tc>
          <w:tcPr>
            <w:tcW w:w="2231" w:type="pct"/>
            <w:shd w:val="clear" w:color="auto" w:fill="auto"/>
            <w:vAlign w:val="center"/>
          </w:tcPr>
          <w:p w:rsidR="00C278F0" w:rsidRPr="00A0281F" w:rsidRDefault="00C278F0" w:rsidP="00BE64AA">
            <w:pPr>
              <w:pStyle w:val="TableText0"/>
              <w:rPr>
                <w:lang w:val="en-US"/>
              </w:rPr>
            </w:pPr>
            <w:r w:rsidRPr="00A0281F">
              <w:rPr>
                <w:lang w:val="en-US"/>
              </w:rPr>
              <w:t>High, favours niraparib</w:t>
            </w:r>
            <w:r w:rsidR="007311FE">
              <w:rPr>
                <w:lang w:val="en-US"/>
              </w:rPr>
              <w:t>.</w:t>
            </w:r>
            <w:r w:rsidRPr="00A0281F">
              <w:rPr>
                <w:lang w:val="en-US"/>
              </w:rPr>
              <w:t xml:space="preserve"> </w:t>
            </w:r>
          </w:p>
          <w:p w:rsidR="00C278F0" w:rsidRPr="00614C0A" w:rsidRDefault="00C278F0">
            <w:pPr>
              <w:pStyle w:val="TableText0"/>
              <w:rPr>
                <w:vertAlign w:val="superscript"/>
                <w:lang w:val="en-US"/>
              </w:rPr>
            </w:pPr>
            <w:r w:rsidRPr="00A0281F">
              <w:rPr>
                <w:lang w:val="en-US"/>
              </w:rPr>
              <w:t>Use of the fixed starting dose data from NOVA increased the ICER to $</w:t>
            </w:r>
            <w:r w:rsidR="00614C0A">
              <w:rPr>
                <w:noProof/>
                <w:color w:val="000000"/>
                <w:highlight w:val="black"/>
                <w:lang w:val="en-US"/>
              </w:rPr>
              <w:t>''''''''''''''''</w:t>
            </w:r>
            <w:r w:rsidR="000D1255">
              <w:rPr>
                <w:vertAlign w:val="superscript"/>
                <w:lang w:val="en-US"/>
              </w:rPr>
              <w:t>2</w:t>
            </w:r>
            <w:r w:rsidRPr="00A0281F">
              <w:rPr>
                <w:lang w:val="en-US"/>
              </w:rPr>
              <w:t>/QALY gained.</w:t>
            </w:r>
          </w:p>
        </w:tc>
      </w:tr>
      <w:tr w:rsidR="00C278F0" w:rsidRPr="00A0281F" w:rsidTr="00C278F0">
        <w:trPr>
          <w:trHeight w:val="471"/>
        </w:trPr>
        <w:tc>
          <w:tcPr>
            <w:tcW w:w="613" w:type="pct"/>
            <w:shd w:val="clear" w:color="auto" w:fill="auto"/>
            <w:vAlign w:val="center"/>
          </w:tcPr>
          <w:p w:rsidR="00C278F0" w:rsidRPr="00A0281F" w:rsidRDefault="00C278F0" w:rsidP="00BE64AA">
            <w:pPr>
              <w:pStyle w:val="TableText0"/>
              <w:rPr>
                <w:lang w:val="en-US"/>
              </w:rPr>
            </w:pPr>
            <w:r w:rsidRPr="00A0281F">
              <w:rPr>
                <w:lang w:val="en-US"/>
              </w:rPr>
              <w:t>Extrapolation</w:t>
            </w:r>
          </w:p>
        </w:tc>
        <w:tc>
          <w:tcPr>
            <w:tcW w:w="2156" w:type="pct"/>
            <w:shd w:val="clear" w:color="auto" w:fill="auto"/>
            <w:vAlign w:val="center"/>
          </w:tcPr>
          <w:p w:rsidR="00C278F0" w:rsidRPr="00A0281F" w:rsidRDefault="00C278F0" w:rsidP="00BE64AA">
            <w:pPr>
              <w:pStyle w:val="TableText0"/>
              <w:rPr>
                <w:lang w:val="en-US"/>
              </w:rPr>
            </w:pPr>
            <w:r w:rsidRPr="00A0281F">
              <w:rPr>
                <w:lang w:val="en-US"/>
              </w:rPr>
              <w:t xml:space="preserve">A log-normal parametric model was used to extrapolate OS beyond the mean follow-up of 15.8 months in the trial. </w:t>
            </w:r>
          </w:p>
        </w:tc>
        <w:tc>
          <w:tcPr>
            <w:tcW w:w="2231" w:type="pct"/>
            <w:shd w:val="clear" w:color="auto" w:fill="auto"/>
            <w:vAlign w:val="center"/>
          </w:tcPr>
          <w:p w:rsidR="00C278F0" w:rsidRPr="00A0281F" w:rsidRDefault="00C278F0" w:rsidP="00BE64AA">
            <w:pPr>
              <w:pStyle w:val="TableText0"/>
              <w:rPr>
                <w:lang w:val="en-US"/>
              </w:rPr>
            </w:pPr>
            <w:r w:rsidRPr="00A0281F">
              <w:rPr>
                <w:lang w:val="en-US"/>
              </w:rPr>
              <w:t>High, favours niraparib</w:t>
            </w:r>
            <w:r w:rsidR="007311FE">
              <w:rPr>
                <w:lang w:val="en-US"/>
              </w:rPr>
              <w:t>.</w:t>
            </w:r>
          </w:p>
          <w:p w:rsidR="00C278F0" w:rsidRPr="00A0281F" w:rsidRDefault="00C278F0" w:rsidP="00BE64AA">
            <w:pPr>
              <w:pStyle w:val="TableText0"/>
              <w:rPr>
                <w:lang w:val="en-US"/>
              </w:rPr>
            </w:pPr>
            <w:r w:rsidRPr="00A0281F">
              <w:rPr>
                <w:rFonts w:cs="Arial"/>
                <w:color w:val="000000" w:themeColor="text1"/>
                <w:szCs w:val="20"/>
              </w:rPr>
              <w:t>Use of a log-logistic parametric model increased the ICER to $</w:t>
            </w:r>
            <w:r w:rsidR="00614C0A">
              <w:rPr>
                <w:rFonts w:cs="Arial"/>
                <w:noProof/>
                <w:color w:val="000000"/>
                <w:szCs w:val="20"/>
                <w:highlight w:val="black"/>
              </w:rPr>
              <w:t>''''''''''''''''</w:t>
            </w:r>
            <w:r w:rsidR="000D1255">
              <w:rPr>
                <w:vertAlign w:val="superscript"/>
                <w:lang w:val="en-US"/>
              </w:rPr>
              <w:t>1</w:t>
            </w:r>
            <w:r w:rsidRPr="00A0281F">
              <w:rPr>
                <w:rFonts w:cs="Arial"/>
                <w:color w:val="000000" w:themeColor="text1"/>
                <w:szCs w:val="20"/>
              </w:rPr>
              <w:t xml:space="preserve">/QALY gained. </w:t>
            </w:r>
          </w:p>
        </w:tc>
      </w:tr>
      <w:tr w:rsidR="00C278F0" w:rsidRPr="00A0281F" w:rsidTr="00C278F0">
        <w:tc>
          <w:tcPr>
            <w:tcW w:w="613" w:type="pct"/>
            <w:shd w:val="clear" w:color="auto" w:fill="auto"/>
            <w:vAlign w:val="center"/>
          </w:tcPr>
          <w:p w:rsidR="00C278F0" w:rsidRPr="00A0281F" w:rsidRDefault="00C278F0" w:rsidP="00BE64AA">
            <w:pPr>
              <w:pStyle w:val="TableText0"/>
              <w:rPr>
                <w:lang w:val="en-US"/>
              </w:rPr>
            </w:pPr>
            <w:r w:rsidRPr="00A0281F">
              <w:rPr>
                <w:lang w:val="en-US"/>
              </w:rPr>
              <w:t>Utilities</w:t>
            </w:r>
          </w:p>
        </w:tc>
        <w:tc>
          <w:tcPr>
            <w:tcW w:w="2156" w:type="pct"/>
            <w:shd w:val="clear" w:color="auto" w:fill="auto"/>
            <w:vAlign w:val="center"/>
          </w:tcPr>
          <w:p w:rsidR="00C278F0" w:rsidRPr="00A0281F" w:rsidRDefault="00C278F0" w:rsidP="00BE64AA">
            <w:pPr>
              <w:pStyle w:val="TableText0"/>
              <w:rPr>
                <w:lang w:val="en-US"/>
              </w:rPr>
            </w:pPr>
            <w:r w:rsidRPr="00A0281F">
              <w:rPr>
                <w:lang w:val="en-US"/>
              </w:rPr>
              <w:t>Treatment-specific utilities, based on the ITT population from NOVA, were applied in both the progression free and the progressed disease health states.</w:t>
            </w:r>
          </w:p>
        </w:tc>
        <w:tc>
          <w:tcPr>
            <w:tcW w:w="2231" w:type="pct"/>
            <w:shd w:val="clear" w:color="auto" w:fill="auto"/>
            <w:vAlign w:val="center"/>
          </w:tcPr>
          <w:p w:rsidR="00C278F0" w:rsidRPr="00A0281F" w:rsidRDefault="00C278F0" w:rsidP="00BE64AA">
            <w:pPr>
              <w:pStyle w:val="TableText0"/>
              <w:rPr>
                <w:lang w:val="en-US"/>
              </w:rPr>
            </w:pPr>
            <w:r w:rsidRPr="00A0281F">
              <w:rPr>
                <w:lang w:val="en-US"/>
              </w:rPr>
              <w:t>High, favours niraparib.</w:t>
            </w:r>
          </w:p>
          <w:p w:rsidR="00C278F0" w:rsidRPr="00A0281F" w:rsidRDefault="00C278F0" w:rsidP="00BE64AA">
            <w:pPr>
              <w:pStyle w:val="TableText0"/>
              <w:rPr>
                <w:lang w:val="en-US"/>
              </w:rPr>
            </w:pPr>
            <w:r w:rsidRPr="00A0281F">
              <w:rPr>
                <w:lang w:val="en-US"/>
              </w:rPr>
              <w:t>The use of non-treatment specific utilities from the literature increased the ICER to $</w:t>
            </w:r>
            <w:r w:rsidR="00614C0A">
              <w:rPr>
                <w:noProof/>
                <w:color w:val="000000"/>
                <w:highlight w:val="black"/>
                <w:lang w:val="en-US"/>
              </w:rPr>
              <w:t>''''''''''''''''</w:t>
            </w:r>
            <w:r w:rsidR="000D1255">
              <w:rPr>
                <w:vertAlign w:val="superscript"/>
                <w:lang w:val="en-US"/>
              </w:rPr>
              <w:t>1</w:t>
            </w:r>
            <w:r w:rsidRPr="00A0281F">
              <w:rPr>
                <w:lang w:val="en-US"/>
              </w:rPr>
              <w:t>/QALY gained. The use of non-treatment specific utilities based on the ITT population from NOVA increased the ICER to $</w:t>
            </w:r>
            <w:r w:rsidR="00614C0A">
              <w:rPr>
                <w:noProof/>
                <w:color w:val="000000"/>
                <w:highlight w:val="black"/>
                <w:lang w:val="en-US"/>
              </w:rPr>
              <w:t>''''''''''''''''''</w:t>
            </w:r>
            <w:r w:rsidR="000D1255">
              <w:rPr>
                <w:vertAlign w:val="superscript"/>
                <w:lang w:val="en-US"/>
              </w:rPr>
              <w:t>2</w:t>
            </w:r>
            <w:r w:rsidRPr="00A0281F">
              <w:rPr>
                <w:lang w:val="en-US"/>
              </w:rPr>
              <w:t xml:space="preserve">/QALY. </w:t>
            </w:r>
          </w:p>
        </w:tc>
      </w:tr>
    </w:tbl>
    <w:p w:rsidR="00C278F0" w:rsidRDefault="00C278F0" w:rsidP="00BE64AA">
      <w:pPr>
        <w:pStyle w:val="TableFigureFooter"/>
      </w:pPr>
      <w:r>
        <w:t>Source: Compiled during the evaluation based on Section 3A.9 of the submission and the sensitivity analyses performed during the evaluation.</w:t>
      </w:r>
    </w:p>
    <w:p w:rsidR="00C278F0" w:rsidRDefault="00C278F0" w:rsidP="00BE64AA">
      <w:pPr>
        <w:pStyle w:val="TableFigureFooter"/>
      </w:pPr>
      <w:r>
        <w:t>ICER = incremental cost-effectiveness ratio; ITT = intention-to-treat; QALY = quality-adjusted life-year; OS = overall survival.</w:t>
      </w:r>
    </w:p>
    <w:p w:rsidR="000D1255" w:rsidRPr="00614C0A" w:rsidRDefault="000D1255" w:rsidP="000D1255">
      <w:pPr>
        <w:pStyle w:val="TableFigureFooter"/>
        <w:spacing w:after="0"/>
        <w:contextualSpacing w:val="0"/>
        <w:rPr>
          <w:i/>
        </w:rPr>
      </w:pPr>
      <w:r w:rsidRPr="00E62035">
        <w:rPr>
          <w:i/>
        </w:rPr>
        <w:t xml:space="preserve">The redacted values correspond to the following ranges: </w:t>
      </w:r>
    </w:p>
    <w:p w:rsidR="000D1255" w:rsidRPr="00614C0A" w:rsidRDefault="000D1255" w:rsidP="000D1255">
      <w:pPr>
        <w:pStyle w:val="TableFigureFooter"/>
        <w:rPr>
          <w:i/>
        </w:rPr>
      </w:pPr>
      <w:r w:rsidRPr="00614C0A">
        <w:rPr>
          <w:i/>
          <w:vertAlign w:val="superscript"/>
        </w:rPr>
        <w:t xml:space="preserve">1 </w:t>
      </w:r>
      <w:r w:rsidRPr="00614C0A">
        <w:rPr>
          <w:i/>
        </w:rPr>
        <w:t xml:space="preserve">$55,000 to &lt; $75,000 </w:t>
      </w:r>
    </w:p>
    <w:p w:rsidR="000D1255" w:rsidRPr="00614C0A" w:rsidRDefault="000D1255" w:rsidP="000D1255">
      <w:pPr>
        <w:pStyle w:val="TableFigureFooter"/>
        <w:rPr>
          <w:i/>
        </w:rPr>
      </w:pPr>
      <w:r w:rsidRPr="00614C0A">
        <w:rPr>
          <w:i/>
          <w:vertAlign w:val="superscript"/>
        </w:rPr>
        <w:t xml:space="preserve">2 </w:t>
      </w:r>
      <w:r w:rsidRPr="00614C0A">
        <w:rPr>
          <w:i/>
        </w:rPr>
        <w:t>$75,000 to &lt; $95,000</w:t>
      </w:r>
    </w:p>
    <w:p w:rsidR="006F718E" w:rsidRDefault="006F718E">
      <w:pPr>
        <w:spacing w:after="160" w:line="259" w:lineRule="auto"/>
        <w:jc w:val="left"/>
        <w:rPr>
          <w:rFonts w:asciiTheme="minorHAnsi" w:hAnsiTheme="minorHAnsi"/>
          <w:snapToGrid w:val="0"/>
        </w:rPr>
      </w:pPr>
      <w:r>
        <w:br w:type="page"/>
      </w:r>
    </w:p>
    <w:p w:rsidR="00C278F0" w:rsidRPr="00C260D9" w:rsidRDefault="00C278F0" w:rsidP="00BE64AA">
      <w:pPr>
        <w:pStyle w:val="3-BodyText"/>
        <w:ind w:left="709"/>
      </w:pPr>
      <w:r>
        <w:lastRenderedPageBreak/>
        <w:t xml:space="preserve">The results of the stepped economic evaluation are presented in </w:t>
      </w:r>
      <w:r w:rsidR="00681899">
        <w:t xml:space="preserve">Table </w:t>
      </w:r>
      <w:r w:rsidR="00681899">
        <w:rPr>
          <w:noProof/>
        </w:rPr>
        <w:t>11</w:t>
      </w:r>
      <w:r>
        <w:t>.</w:t>
      </w:r>
    </w:p>
    <w:p w:rsidR="00C278F0" w:rsidRDefault="00C278F0" w:rsidP="00BE64AA">
      <w:pPr>
        <w:pStyle w:val="TableFigureHeading"/>
      </w:pPr>
      <w:bookmarkStart w:id="42" w:name="_Ref57898990"/>
      <w:r>
        <w:t xml:space="preserve">Table </w:t>
      </w:r>
      <w:r w:rsidR="00681899">
        <w:rPr>
          <w:noProof/>
        </w:rPr>
        <w:t>11</w:t>
      </w:r>
      <w:bookmarkEnd w:id="42"/>
      <w:r>
        <w:t xml:space="preserve">: </w:t>
      </w:r>
      <w:r w:rsidRPr="007C39A1">
        <w:rPr>
          <w:rStyle w:val="CommentReference"/>
          <w:b/>
        </w:rPr>
        <w:t>Results of the stepped economic evaluation – non-BRCAm population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2757"/>
        <w:gridCol w:w="2451"/>
        <w:gridCol w:w="2298"/>
        <w:gridCol w:w="1511"/>
      </w:tblGrid>
      <w:tr w:rsidR="00C278F0" w:rsidRPr="00580B47" w:rsidTr="00C278F0">
        <w:trPr>
          <w:tblHeader/>
        </w:trPr>
        <w:tc>
          <w:tcPr>
            <w:tcW w:w="1529" w:type="pct"/>
            <w:vAlign w:val="center"/>
          </w:tcPr>
          <w:p w:rsidR="00C278F0" w:rsidRPr="00580B47" w:rsidRDefault="00C278F0" w:rsidP="00BE64AA">
            <w:pPr>
              <w:pStyle w:val="In-tableHeading"/>
            </w:pPr>
            <w:r w:rsidRPr="00580B47">
              <w:t>Step and component</w:t>
            </w:r>
          </w:p>
        </w:tc>
        <w:tc>
          <w:tcPr>
            <w:tcW w:w="1359" w:type="pct"/>
            <w:vAlign w:val="center"/>
          </w:tcPr>
          <w:p w:rsidR="00C278F0" w:rsidRPr="00580B47" w:rsidRDefault="00C278F0" w:rsidP="00BE64AA">
            <w:pPr>
              <w:pStyle w:val="In-tableHeading"/>
              <w:jc w:val="center"/>
            </w:pPr>
            <w:r w:rsidRPr="00580B47">
              <w:t>Niraparib</w:t>
            </w:r>
          </w:p>
        </w:tc>
        <w:tc>
          <w:tcPr>
            <w:tcW w:w="1274" w:type="pct"/>
            <w:vAlign w:val="center"/>
          </w:tcPr>
          <w:p w:rsidR="00C278F0" w:rsidRPr="00580B47" w:rsidRDefault="00C278F0" w:rsidP="00BE64AA">
            <w:pPr>
              <w:pStyle w:val="In-tableHeading"/>
              <w:jc w:val="center"/>
            </w:pPr>
            <w:r w:rsidRPr="00580B47">
              <w:t>SMM</w:t>
            </w:r>
          </w:p>
        </w:tc>
        <w:tc>
          <w:tcPr>
            <w:tcW w:w="838" w:type="pct"/>
            <w:vAlign w:val="center"/>
          </w:tcPr>
          <w:p w:rsidR="00C278F0" w:rsidRPr="00580B47" w:rsidRDefault="00C278F0" w:rsidP="00BE64AA">
            <w:pPr>
              <w:pStyle w:val="In-tableHeading"/>
              <w:jc w:val="center"/>
            </w:pPr>
            <w:r w:rsidRPr="00580B47">
              <w:t>Increment</w:t>
            </w:r>
          </w:p>
        </w:tc>
      </w:tr>
      <w:tr w:rsidR="00C278F0" w:rsidRPr="00580B47" w:rsidTr="00C278F0">
        <w:tc>
          <w:tcPr>
            <w:tcW w:w="5000" w:type="pct"/>
            <w:gridSpan w:val="4"/>
            <w:vAlign w:val="center"/>
          </w:tcPr>
          <w:p w:rsidR="00C278F0" w:rsidRPr="00580B47" w:rsidRDefault="00C278F0" w:rsidP="00BE64AA">
            <w:pPr>
              <w:pStyle w:val="TableText0"/>
              <w:rPr>
                <w:b/>
              </w:rPr>
            </w:pPr>
            <w:r w:rsidRPr="00580B47">
              <w:rPr>
                <w:b/>
              </w:rPr>
              <w:t>Step 1: trial-based costs and outcomes, 24 month time horizon</w:t>
            </w:r>
          </w:p>
        </w:tc>
      </w:tr>
      <w:tr w:rsidR="00C278F0" w:rsidRPr="00580B47" w:rsidTr="00C278F0">
        <w:tc>
          <w:tcPr>
            <w:tcW w:w="1529" w:type="pct"/>
            <w:vAlign w:val="center"/>
          </w:tcPr>
          <w:p w:rsidR="00C278F0" w:rsidRPr="00580B47" w:rsidRDefault="00C278F0" w:rsidP="00BE64AA">
            <w:pPr>
              <w:pStyle w:val="TableText0"/>
              <w:rPr>
                <w:rFonts w:ascii="Times" w:hAnsi="Times"/>
              </w:rPr>
            </w:pPr>
            <w:r w:rsidRPr="00580B47">
              <w:t>Costs</w:t>
            </w:r>
          </w:p>
        </w:tc>
        <w:tc>
          <w:tcPr>
            <w:tcW w:w="1359" w:type="pct"/>
            <w:vAlign w:val="center"/>
          </w:tcPr>
          <w:p w:rsidR="00C278F0" w:rsidRPr="00580B47" w:rsidRDefault="00C278F0" w:rsidP="00BE64AA">
            <w:pPr>
              <w:pStyle w:val="TableText0"/>
              <w:jc w:val="center"/>
              <w:rPr>
                <w:rFonts w:ascii="Times" w:hAnsi="Times"/>
              </w:rPr>
            </w:pPr>
            <w:r w:rsidRPr="00580B47">
              <w:t>$</w:t>
            </w:r>
            <w:r w:rsidR="00614C0A">
              <w:rPr>
                <w:noProof/>
                <w:color w:val="000000"/>
                <w:highlight w:val="black"/>
              </w:rPr>
              <w:t>''''''''''''''''</w:t>
            </w:r>
          </w:p>
        </w:tc>
        <w:tc>
          <w:tcPr>
            <w:tcW w:w="1274" w:type="pct"/>
            <w:vAlign w:val="center"/>
          </w:tcPr>
          <w:p w:rsidR="00C278F0" w:rsidRPr="00580B47" w:rsidRDefault="00C278F0" w:rsidP="00BE64AA">
            <w:pPr>
              <w:pStyle w:val="TableText0"/>
              <w:jc w:val="center"/>
              <w:rPr>
                <w:rFonts w:ascii="Times" w:hAnsi="Times"/>
              </w:rPr>
            </w:pPr>
            <w:r w:rsidRPr="00580B47">
              <w:t>$0</w:t>
            </w:r>
          </w:p>
        </w:tc>
        <w:tc>
          <w:tcPr>
            <w:tcW w:w="838" w:type="pct"/>
            <w:vAlign w:val="center"/>
          </w:tcPr>
          <w:p w:rsidR="00C278F0" w:rsidRPr="00580B47" w:rsidRDefault="00C278F0" w:rsidP="00BE64AA">
            <w:pPr>
              <w:pStyle w:val="TableText0"/>
              <w:jc w:val="center"/>
              <w:rPr>
                <w:rFonts w:ascii="Times" w:hAnsi="Times"/>
              </w:rPr>
            </w:pPr>
            <w:r w:rsidRPr="00580B47">
              <w:t>$</w:t>
            </w:r>
            <w:r w:rsidR="00614C0A">
              <w:rPr>
                <w:noProof/>
                <w:color w:val="000000"/>
                <w:highlight w:val="black"/>
              </w:rPr>
              <w:t>'''''''''''''''</w:t>
            </w:r>
          </w:p>
        </w:tc>
      </w:tr>
      <w:tr w:rsidR="00C278F0" w:rsidRPr="00580B47" w:rsidTr="00C278F0">
        <w:tc>
          <w:tcPr>
            <w:tcW w:w="1529" w:type="pct"/>
            <w:vAlign w:val="center"/>
          </w:tcPr>
          <w:p w:rsidR="00C278F0" w:rsidRPr="00580B47" w:rsidRDefault="00C278F0" w:rsidP="00BE64AA">
            <w:pPr>
              <w:pStyle w:val="TableText0"/>
              <w:rPr>
                <w:rFonts w:ascii="Times" w:hAnsi="Times"/>
              </w:rPr>
            </w:pPr>
            <w:r w:rsidRPr="00580B47">
              <w:t>LYG</w:t>
            </w:r>
          </w:p>
        </w:tc>
        <w:tc>
          <w:tcPr>
            <w:tcW w:w="1359" w:type="pct"/>
            <w:vAlign w:val="center"/>
          </w:tcPr>
          <w:p w:rsidR="00C278F0" w:rsidRPr="00580B47" w:rsidRDefault="00C278F0" w:rsidP="00BE64AA">
            <w:pPr>
              <w:pStyle w:val="TableText0"/>
              <w:jc w:val="center"/>
              <w:rPr>
                <w:rFonts w:ascii="Times" w:hAnsi="Times"/>
              </w:rPr>
            </w:pPr>
            <w:r w:rsidRPr="00580B47">
              <w:t>1.75</w:t>
            </w:r>
          </w:p>
        </w:tc>
        <w:tc>
          <w:tcPr>
            <w:tcW w:w="1274" w:type="pct"/>
            <w:vAlign w:val="center"/>
          </w:tcPr>
          <w:p w:rsidR="00C278F0" w:rsidRPr="00580B47" w:rsidRDefault="00C278F0" w:rsidP="00BE64AA">
            <w:pPr>
              <w:pStyle w:val="TableText0"/>
              <w:jc w:val="center"/>
              <w:rPr>
                <w:rFonts w:ascii="Times" w:hAnsi="Times"/>
              </w:rPr>
            </w:pPr>
            <w:r w:rsidRPr="00580B47">
              <w:t>1.67</w:t>
            </w:r>
          </w:p>
        </w:tc>
        <w:tc>
          <w:tcPr>
            <w:tcW w:w="838" w:type="pct"/>
            <w:vAlign w:val="center"/>
          </w:tcPr>
          <w:p w:rsidR="00C278F0" w:rsidRPr="00580B47" w:rsidRDefault="00C278F0" w:rsidP="00BE64AA">
            <w:pPr>
              <w:pStyle w:val="TableText0"/>
              <w:jc w:val="center"/>
            </w:pPr>
            <w:r w:rsidRPr="00580B47">
              <w:t>0.08</w:t>
            </w:r>
          </w:p>
        </w:tc>
      </w:tr>
      <w:tr w:rsidR="00C278F0" w:rsidRPr="00580B47" w:rsidTr="00C278F0">
        <w:tc>
          <w:tcPr>
            <w:tcW w:w="4162" w:type="pct"/>
            <w:gridSpan w:val="3"/>
            <w:vAlign w:val="center"/>
          </w:tcPr>
          <w:p w:rsidR="00C278F0" w:rsidRPr="00580B47" w:rsidRDefault="00C278F0" w:rsidP="00BE64AA">
            <w:pPr>
              <w:pStyle w:val="TableText0"/>
              <w:rPr>
                <w:rFonts w:ascii="Times" w:hAnsi="Times"/>
              </w:rPr>
            </w:pPr>
            <w:r w:rsidRPr="00580B47">
              <w:t>Incremental cost/extra LY gained</w:t>
            </w:r>
          </w:p>
        </w:tc>
        <w:tc>
          <w:tcPr>
            <w:tcW w:w="838" w:type="pct"/>
            <w:vAlign w:val="center"/>
          </w:tcPr>
          <w:p w:rsidR="00C278F0" w:rsidRPr="00580B47" w:rsidRDefault="00C278F0" w:rsidP="00BE64AA">
            <w:pPr>
              <w:pStyle w:val="TableText0"/>
              <w:jc w:val="center"/>
              <w:rPr>
                <w:rFonts w:ascii="Times" w:hAnsi="Times"/>
                <w:vertAlign w:val="superscript"/>
              </w:rPr>
            </w:pPr>
            <w:r w:rsidRPr="00580B47">
              <w:t>$</w:t>
            </w:r>
            <w:r w:rsidR="00614C0A">
              <w:rPr>
                <w:noProof/>
                <w:color w:val="000000"/>
                <w:highlight w:val="black"/>
              </w:rPr>
              <w:t>''''''''''''''''''''</w:t>
            </w:r>
            <w:r w:rsidRPr="00580B47">
              <w:rPr>
                <w:vertAlign w:val="superscript"/>
              </w:rPr>
              <w:t>a</w:t>
            </w:r>
            <w:r w:rsidR="00A427EA">
              <w:rPr>
                <w:vertAlign w:val="superscript"/>
              </w:rPr>
              <w:t>,1</w:t>
            </w:r>
          </w:p>
        </w:tc>
      </w:tr>
      <w:tr w:rsidR="00C278F0" w:rsidRPr="00580B47" w:rsidTr="00C278F0">
        <w:tc>
          <w:tcPr>
            <w:tcW w:w="5000" w:type="pct"/>
            <w:gridSpan w:val="4"/>
            <w:vAlign w:val="center"/>
          </w:tcPr>
          <w:p w:rsidR="00C278F0" w:rsidRPr="00580B47" w:rsidRDefault="00C278F0" w:rsidP="00BE64AA">
            <w:pPr>
              <w:pStyle w:val="In-tableHeading"/>
            </w:pPr>
            <w:r w:rsidRPr="00580B47">
              <w:t>Step 2: time horizon extended to 10 years</w:t>
            </w:r>
          </w:p>
        </w:tc>
      </w:tr>
      <w:tr w:rsidR="00C278F0" w:rsidRPr="00580B47" w:rsidTr="00C278F0">
        <w:tc>
          <w:tcPr>
            <w:tcW w:w="1529" w:type="pct"/>
            <w:vAlign w:val="center"/>
          </w:tcPr>
          <w:p w:rsidR="00C278F0" w:rsidRPr="00580B47" w:rsidRDefault="00C278F0" w:rsidP="00BE64AA">
            <w:pPr>
              <w:pStyle w:val="TableText0"/>
              <w:rPr>
                <w:rFonts w:ascii="Times" w:hAnsi="Times"/>
              </w:rPr>
            </w:pPr>
            <w:r w:rsidRPr="00580B47">
              <w:t>Costs</w:t>
            </w:r>
          </w:p>
        </w:tc>
        <w:tc>
          <w:tcPr>
            <w:tcW w:w="1359" w:type="pct"/>
            <w:vAlign w:val="center"/>
          </w:tcPr>
          <w:p w:rsidR="00C278F0" w:rsidRPr="00580B47" w:rsidRDefault="00C278F0" w:rsidP="00BE64AA">
            <w:pPr>
              <w:pStyle w:val="TableText0"/>
              <w:jc w:val="center"/>
              <w:rPr>
                <w:rFonts w:ascii="Times" w:hAnsi="Times"/>
              </w:rPr>
            </w:pPr>
            <w:r w:rsidRPr="00580B47">
              <w:t>$</w:t>
            </w:r>
            <w:r w:rsidR="00614C0A">
              <w:rPr>
                <w:noProof/>
                <w:color w:val="000000"/>
                <w:highlight w:val="black"/>
              </w:rPr>
              <w:t>'''''''''''''''</w:t>
            </w:r>
          </w:p>
        </w:tc>
        <w:tc>
          <w:tcPr>
            <w:tcW w:w="1274" w:type="pct"/>
            <w:vAlign w:val="center"/>
          </w:tcPr>
          <w:p w:rsidR="00C278F0" w:rsidRPr="00580B47" w:rsidRDefault="00C278F0" w:rsidP="00BE64AA">
            <w:pPr>
              <w:pStyle w:val="TableText0"/>
              <w:jc w:val="center"/>
              <w:rPr>
                <w:rFonts w:ascii="Times" w:hAnsi="Times"/>
              </w:rPr>
            </w:pPr>
            <w:r w:rsidRPr="00580B47">
              <w:t>$0</w:t>
            </w:r>
          </w:p>
        </w:tc>
        <w:tc>
          <w:tcPr>
            <w:tcW w:w="838" w:type="pct"/>
            <w:vAlign w:val="center"/>
          </w:tcPr>
          <w:p w:rsidR="00C278F0" w:rsidRPr="00580B47" w:rsidRDefault="00C278F0" w:rsidP="00BE64AA">
            <w:pPr>
              <w:pStyle w:val="TableText0"/>
              <w:jc w:val="center"/>
              <w:rPr>
                <w:rFonts w:ascii="Times" w:hAnsi="Times"/>
              </w:rPr>
            </w:pPr>
            <w:r w:rsidRPr="00580B47">
              <w:t>$</w:t>
            </w:r>
            <w:r w:rsidR="00614C0A">
              <w:rPr>
                <w:noProof/>
                <w:color w:val="000000"/>
                <w:highlight w:val="black"/>
              </w:rPr>
              <w:t>''''''''''''''''''</w:t>
            </w:r>
          </w:p>
        </w:tc>
      </w:tr>
      <w:tr w:rsidR="00C278F0" w:rsidRPr="00580B47" w:rsidTr="00C278F0">
        <w:tc>
          <w:tcPr>
            <w:tcW w:w="1529" w:type="pct"/>
            <w:vAlign w:val="center"/>
          </w:tcPr>
          <w:p w:rsidR="00C278F0" w:rsidRPr="00580B47" w:rsidRDefault="00C278F0" w:rsidP="00BE64AA">
            <w:pPr>
              <w:pStyle w:val="TableText0"/>
              <w:rPr>
                <w:rFonts w:ascii="Times" w:hAnsi="Times"/>
              </w:rPr>
            </w:pPr>
            <w:r w:rsidRPr="00580B47">
              <w:t>LYG</w:t>
            </w:r>
          </w:p>
        </w:tc>
        <w:tc>
          <w:tcPr>
            <w:tcW w:w="1359" w:type="pct"/>
            <w:vAlign w:val="center"/>
          </w:tcPr>
          <w:p w:rsidR="00C278F0" w:rsidRPr="00580B47" w:rsidRDefault="00C278F0" w:rsidP="00BE64AA">
            <w:pPr>
              <w:pStyle w:val="TableText0"/>
              <w:jc w:val="center"/>
              <w:rPr>
                <w:rFonts w:ascii="Times" w:hAnsi="Times"/>
              </w:rPr>
            </w:pPr>
            <w:r w:rsidRPr="00580B47">
              <w:t>3.30</w:t>
            </w:r>
          </w:p>
        </w:tc>
        <w:tc>
          <w:tcPr>
            <w:tcW w:w="1274" w:type="pct"/>
            <w:vAlign w:val="center"/>
          </w:tcPr>
          <w:p w:rsidR="00C278F0" w:rsidRPr="00580B47" w:rsidRDefault="00C278F0" w:rsidP="00BE64AA">
            <w:pPr>
              <w:pStyle w:val="TableText0"/>
              <w:jc w:val="center"/>
              <w:rPr>
                <w:rFonts w:ascii="Times" w:hAnsi="Times"/>
              </w:rPr>
            </w:pPr>
            <w:r w:rsidRPr="00580B47">
              <w:t>2.89</w:t>
            </w:r>
          </w:p>
        </w:tc>
        <w:tc>
          <w:tcPr>
            <w:tcW w:w="838" w:type="pct"/>
            <w:vAlign w:val="center"/>
          </w:tcPr>
          <w:p w:rsidR="00C278F0" w:rsidRPr="00580B47" w:rsidRDefault="00C278F0" w:rsidP="00BE64AA">
            <w:pPr>
              <w:pStyle w:val="TableText0"/>
              <w:jc w:val="center"/>
            </w:pPr>
            <w:r w:rsidRPr="00580B47">
              <w:t>0.41</w:t>
            </w:r>
          </w:p>
        </w:tc>
      </w:tr>
      <w:tr w:rsidR="00C278F0" w:rsidRPr="00580B47" w:rsidTr="00C278F0">
        <w:tc>
          <w:tcPr>
            <w:tcW w:w="4162" w:type="pct"/>
            <w:gridSpan w:val="3"/>
            <w:vAlign w:val="center"/>
          </w:tcPr>
          <w:p w:rsidR="00C278F0" w:rsidRPr="00580B47" w:rsidRDefault="00C278F0" w:rsidP="00BE64AA">
            <w:pPr>
              <w:pStyle w:val="TableText0"/>
              <w:rPr>
                <w:rFonts w:ascii="Times" w:hAnsi="Times"/>
              </w:rPr>
            </w:pPr>
            <w:r w:rsidRPr="00580B47">
              <w:t>Incremental cost/extra LY gained</w:t>
            </w:r>
          </w:p>
        </w:tc>
        <w:tc>
          <w:tcPr>
            <w:tcW w:w="838" w:type="pct"/>
            <w:vAlign w:val="center"/>
          </w:tcPr>
          <w:p w:rsidR="00C278F0" w:rsidRPr="00580B47" w:rsidRDefault="00C278F0" w:rsidP="00BE64AA">
            <w:pPr>
              <w:pStyle w:val="TableText0"/>
              <w:jc w:val="center"/>
              <w:rPr>
                <w:rFonts w:ascii="Times" w:hAnsi="Times"/>
              </w:rPr>
            </w:pPr>
            <w:r w:rsidRPr="00580B47">
              <w:t>$</w:t>
            </w:r>
            <w:r w:rsidR="00614C0A">
              <w:rPr>
                <w:noProof/>
                <w:color w:val="000000"/>
                <w:highlight w:val="black"/>
              </w:rPr>
              <w:t>'''''''''''''''</w:t>
            </w:r>
            <w:r w:rsidR="00A427EA">
              <w:rPr>
                <w:vertAlign w:val="superscript"/>
              </w:rPr>
              <w:t>2</w:t>
            </w:r>
          </w:p>
        </w:tc>
      </w:tr>
      <w:tr w:rsidR="00C278F0" w:rsidRPr="00580B47" w:rsidTr="00C278F0">
        <w:tc>
          <w:tcPr>
            <w:tcW w:w="5000" w:type="pct"/>
            <w:gridSpan w:val="4"/>
            <w:vAlign w:val="center"/>
          </w:tcPr>
          <w:p w:rsidR="00C278F0" w:rsidRPr="00580B47" w:rsidRDefault="00C278F0" w:rsidP="00BE64AA">
            <w:pPr>
              <w:pStyle w:val="In-tableHeading"/>
            </w:pPr>
            <w:r w:rsidRPr="00580B47">
              <w:t>Step 3: utility weights applied</w:t>
            </w:r>
          </w:p>
        </w:tc>
      </w:tr>
      <w:tr w:rsidR="00C278F0" w:rsidRPr="00580B47" w:rsidTr="00C278F0">
        <w:tc>
          <w:tcPr>
            <w:tcW w:w="1529" w:type="pct"/>
            <w:vAlign w:val="center"/>
          </w:tcPr>
          <w:p w:rsidR="00C278F0" w:rsidRPr="00580B47" w:rsidRDefault="00C278F0" w:rsidP="00BE64AA">
            <w:pPr>
              <w:pStyle w:val="TableText0"/>
              <w:rPr>
                <w:rFonts w:ascii="Times" w:hAnsi="Times"/>
              </w:rPr>
            </w:pPr>
            <w:r w:rsidRPr="00580B47">
              <w:t>Costs</w:t>
            </w:r>
          </w:p>
        </w:tc>
        <w:tc>
          <w:tcPr>
            <w:tcW w:w="1359" w:type="pct"/>
            <w:vAlign w:val="center"/>
          </w:tcPr>
          <w:p w:rsidR="00C278F0" w:rsidRPr="00580B47" w:rsidRDefault="00C278F0" w:rsidP="00BE64AA">
            <w:pPr>
              <w:pStyle w:val="TableText0"/>
              <w:jc w:val="center"/>
              <w:rPr>
                <w:rFonts w:ascii="Times" w:hAnsi="Times"/>
              </w:rPr>
            </w:pPr>
            <w:r w:rsidRPr="00580B47">
              <w:t>$</w:t>
            </w:r>
            <w:r w:rsidR="00614C0A">
              <w:rPr>
                <w:noProof/>
                <w:color w:val="000000"/>
                <w:highlight w:val="black"/>
              </w:rPr>
              <w:t>''''''''''''''''</w:t>
            </w:r>
          </w:p>
        </w:tc>
        <w:tc>
          <w:tcPr>
            <w:tcW w:w="1274" w:type="pct"/>
            <w:vAlign w:val="center"/>
          </w:tcPr>
          <w:p w:rsidR="00C278F0" w:rsidRPr="00580B47" w:rsidRDefault="00C278F0" w:rsidP="00BE64AA">
            <w:pPr>
              <w:pStyle w:val="TableText0"/>
              <w:jc w:val="center"/>
              <w:rPr>
                <w:rFonts w:ascii="Times" w:hAnsi="Times"/>
              </w:rPr>
            </w:pPr>
            <w:r w:rsidRPr="00580B47">
              <w:t>$0</w:t>
            </w:r>
          </w:p>
        </w:tc>
        <w:tc>
          <w:tcPr>
            <w:tcW w:w="838" w:type="pct"/>
            <w:vAlign w:val="center"/>
          </w:tcPr>
          <w:p w:rsidR="00C278F0" w:rsidRPr="00580B47" w:rsidRDefault="00C278F0" w:rsidP="00BE64AA">
            <w:pPr>
              <w:pStyle w:val="TableText0"/>
              <w:jc w:val="center"/>
              <w:rPr>
                <w:rFonts w:ascii="Times" w:hAnsi="Times"/>
              </w:rPr>
            </w:pPr>
            <w:r w:rsidRPr="00580B47">
              <w:t>$</w:t>
            </w:r>
            <w:r w:rsidR="00614C0A">
              <w:rPr>
                <w:noProof/>
                <w:color w:val="000000"/>
                <w:highlight w:val="black"/>
              </w:rPr>
              <w:t>'''''''''''''''''</w:t>
            </w:r>
          </w:p>
        </w:tc>
      </w:tr>
      <w:tr w:rsidR="00C278F0" w:rsidRPr="00580B47" w:rsidTr="00C278F0">
        <w:tc>
          <w:tcPr>
            <w:tcW w:w="1529" w:type="pct"/>
            <w:vAlign w:val="center"/>
          </w:tcPr>
          <w:p w:rsidR="00C278F0" w:rsidRPr="00580B47" w:rsidRDefault="00C278F0" w:rsidP="00BE64AA">
            <w:pPr>
              <w:pStyle w:val="TableText0"/>
              <w:rPr>
                <w:rFonts w:ascii="Times" w:hAnsi="Times"/>
              </w:rPr>
            </w:pPr>
            <w:r w:rsidRPr="00580B47">
              <w:t>QALYs</w:t>
            </w:r>
          </w:p>
        </w:tc>
        <w:tc>
          <w:tcPr>
            <w:tcW w:w="1359" w:type="pct"/>
            <w:vAlign w:val="center"/>
          </w:tcPr>
          <w:p w:rsidR="00C278F0" w:rsidRPr="00580B47" w:rsidRDefault="00C278F0" w:rsidP="00BE64AA">
            <w:pPr>
              <w:pStyle w:val="TableText0"/>
              <w:jc w:val="center"/>
              <w:rPr>
                <w:rFonts w:ascii="Times" w:hAnsi="Times"/>
              </w:rPr>
            </w:pPr>
            <w:r w:rsidRPr="00580B47">
              <w:t>2.39</w:t>
            </w:r>
          </w:p>
        </w:tc>
        <w:tc>
          <w:tcPr>
            <w:tcW w:w="1274" w:type="pct"/>
            <w:vAlign w:val="center"/>
          </w:tcPr>
          <w:p w:rsidR="00C278F0" w:rsidRPr="00580B47" w:rsidRDefault="00C278F0" w:rsidP="00BE64AA">
            <w:pPr>
              <w:pStyle w:val="TableText0"/>
              <w:jc w:val="center"/>
              <w:rPr>
                <w:rFonts w:ascii="Times" w:hAnsi="Times"/>
              </w:rPr>
            </w:pPr>
            <w:r w:rsidRPr="00580B47">
              <w:t>2.00</w:t>
            </w:r>
          </w:p>
        </w:tc>
        <w:tc>
          <w:tcPr>
            <w:tcW w:w="838" w:type="pct"/>
            <w:vAlign w:val="center"/>
          </w:tcPr>
          <w:p w:rsidR="00C278F0" w:rsidRPr="00580B47" w:rsidRDefault="00C278F0" w:rsidP="00BE64AA">
            <w:pPr>
              <w:pStyle w:val="TableText0"/>
              <w:jc w:val="center"/>
            </w:pPr>
            <w:r w:rsidRPr="00580B47">
              <w:t>0.39</w:t>
            </w:r>
          </w:p>
        </w:tc>
      </w:tr>
      <w:tr w:rsidR="00C278F0" w:rsidRPr="00580B47" w:rsidTr="00C278F0">
        <w:tc>
          <w:tcPr>
            <w:tcW w:w="4162" w:type="pct"/>
            <w:gridSpan w:val="3"/>
            <w:vAlign w:val="center"/>
          </w:tcPr>
          <w:p w:rsidR="00C278F0" w:rsidRPr="00580B47" w:rsidRDefault="00C278F0" w:rsidP="00BE64AA">
            <w:pPr>
              <w:pStyle w:val="TableText0"/>
              <w:rPr>
                <w:rFonts w:ascii="Times" w:hAnsi="Times"/>
              </w:rPr>
            </w:pPr>
            <w:r w:rsidRPr="00580B47">
              <w:t>Incremental cost/extra QALY gained</w:t>
            </w:r>
          </w:p>
        </w:tc>
        <w:tc>
          <w:tcPr>
            <w:tcW w:w="838" w:type="pct"/>
            <w:vAlign w:val="center"/>
          </w:tcPr>
          <w:p w:rsidR="00C278F0" w:rsidRPr="00580B47" w:rsidRDefault="00C278F0" w:rsidP="00BE64AA">
            <w:pPr>
              <w:pStyle w:val="TableText0"/>
              <w:jc w:val="center"/>
              <w:rPr>
                <w:rFonts w:ascii="Times" w:hAnsi="Times"/>
              </w:rPr>
            </w:pPr>
            <w:r w:rsidRPr="00580B47">
              <w:t>$</w:t>
            </w:r>
            <w:r w:rsidR="00614C0A">
              <w:rPr>
                <w:noProof/>
                <w:color w:val="000000"/>
                <w:highlight w:val="black"/>
              </w:rPr>
              <w:t>'''''''''''''''</w:t>
            </w:r>
            <w:r w:rsidR="00A427EA">
              <w:rPr>
                <w:vertAlign w:val="superscript"/>
              </w:rPr>
              <w:t>2</w:t>
            </w:r>
          </w:p>
        </w:tc>
      </w:tr>
      <w:tr w:rsidR="00C278F0" w:rsidRPr="00580B47" w:rsidTr="00C278F0">
        <w:tc>
          <w:tcPr>
            <w:tcW w:w="5000" w:type="pct"/>
            <w:gridSpan w:val="4"/>
            <w:tcBorders>
              <w:bottom w:val="single" w:sz="4" w:space="0" w:color="auto"/>
            </w:tcBorders>
            <w:vAlign w:val="center"/>
          </w:tcPr>
          <w:p w:rsidR="00C278F0" w:rsidRPr="00580B47" w:rsidRDefault="00C278F0" w:rsidP="00BE64AA">
            <w:pPr>
              <w:pStyle w:val="In-tableHeading"/>
            </w:pPr>
            <w:r w:rsidRPr="00580B47">
              <w:t>Step 4: incorporation of healthcare resource use</w:t>
            </w:r>
          </w:p>
        </w:tc>
      </w:tr>
      <w:tr w:rsidR="00C278F0" w:rsidRPr="00580B47" w:rsidTr="00C278F0">
        <w:tc>
          <w:tcPr>
            <w:tcW w:w="1529" w:type="pct"/>
            <w:tcBorders>
              <w:bottom w:val="nil"/>
            </w:tcBorders>
            <w:vAlign w:val="center"/>
          </w:tcPr>
          <w:p w:rsidR="00C278F0" w:rsidRPr="00580B47" w:rsidRDefault="00C278F0" w:rsidP="00BE64AA">
            <w:pPr>
              <w:pStyle w:val="TableText0"/>
              <w:rPr>
                <w:rFonts w:ascii="Times" w:hAnsi="Times"/>
              </w:rPr>
            </w:pPr>
            <w:r w:rsidRPr="00580B47">
              <w:t>Costs</w:t>
            </w:r>
            <w:r w:rsidR="004F24A9" w:rsidRPr="00862904">
              <w:rPr>
                <w:vertAlign w:val="superscript"/>
              </w:rPr>
              <w:t>b</w:t>
            </w:r>
          </w:p>
        </w:tc>
        <w:tc>
          <w:tcPr>
            <w:tcW w:w="1359" w:type="pct"/>
            <w:tcBorders>
              <w:bottom w:val="nil"/>
            </w:tcBorders>
            <w:vAlign w:val="center"/>
          </w:tcPr>
          <w:p w:rsidR="00C278F0" w:rsidRPr="00580B47" w:rsidRDefault="004F24A9" w:rsidP="00BE64AA">
            <w:pPr>
              <w:pStyle w:val="TableText0"/>
              <w:jc w:val="center"/>
              <w:rPr>
                <w:rFonts w:ascii="Times" w:hAnsi="Times"/>
              </w:rPr>
            </w:pPr>
            <w:r w:rsidRPr="00862904">
              <w:t>$</w:t>
            </w:r>
            <w:r w:rsidR="00614C0A">
              <w:rPr>
                <w:noProof/>
                <w:color w:val="000000"/>
                <w:highlight w:val="black"/>
              </w:rPr>
              <w:t>''''''''''''''''</w:t>
            </w:r>
          </w:p>
        </w:tc>
        <w:tc>
          <w:tcPr>
            <w:tcW w:w="1274" w:type="pct"/>
            <w:tcBorders>
              <w:bottom w:val="nil"/>
            </w:tcBorders>
            <w:vAlign w:val="center"/>
          </w:tcPr>
          <w:p w:rsidR="00C278F0" w:rsidRPr="00614C0A" w:rsidRDefault="00C278F0">
            <w:pPr>
              <w:pStyle w:val="TableText0"/>
              <w:jc w:val="center"/>
              <w:rPr>
                <w:rFonts w:ascii="Times" w:hAnsi="Times"/>
                <w:vertAlign w:val="superscript"/>
              </w:rPr>
            </w:pPr>
            <w:r w:rsidRPr="00580B47">
              <w:t>$44,968</w:t>
            </w:r>
          </w:p>
        </w:tc>
        <w:tc>
          <w:tcPr>
            <w:tcW w:w="838" w:type="pct"/>
            <w:tcBorders>
              <w:bottom w:val="nil"/>
            </w:tcBorders>
            <w:vAlign w:val="center"/>
          </w:tcPr>
          <w:p w:rsidR="00C278F0" w:rsidRPr="00580B47" w:rsidRDefault="004F24A9" w:rsidP="00BE64AA">
            <w:pPr>
              <w:pStyle w:val="TableText0"/>
              <w:jc w:val="center"/>
              <w:rPr>
                <w:rFonts w:ascii="Times" w:hAnsi="Times"/>
              </w:rPr>
            </w:pPr>
            <w:r w:rsidRPr="00862904">
              <w:t>$</w:t>
            </w:r>
            <w:r w:rsidR="00614C0A">
              <w:rPr>
                <w:noProof/>
                <w:color w:val="000000"/>
                <w:highlight w:val="black"/>
              </w:rPr>
              <w:t>'''''''''''''''''</w:t>
            </w:r>
          </w:p>
        </w:tc>
      </w:tr>
      <w:tr w:rsidR="00C278F0" w:rsidRPr="00580B47" w:rsidTr="00C278F0">
        <w:tc>
          <w:tcPr>
            <w:tcW w:w="1529" w:type="pct"/>
            <w:tcBorders>
              <w:bottom w:val="single" w:sz="4" w:space="0" w:color="auto"/>
            </w:tcBorders>
            <w:vAlign w:val="center"/>
          </w:tcPr>
          <w:p w:rsidR="00C278F0" w:rsidRPr="00580B47" w:rsidRDefault="00C278F0" w:rsidP="00BE64AA">
            <w:pPr>
              <w:pStyle w:val="TableText0"/>
              <w:rPr>
                <w:rFonts w:ascii="Times" w:hAnsi="Times"/>
              </w:rPr>
            </w:pPr>
            <w:r w:rsidRPr="00580B47">
              <w:t>QALYs</w:t>
            </w:r>
          </w:p>
        </w:tc>
        <w:tc>
          <w:tcPr>
            <w:tcW w:w="1359" w:type="pct"/>
            <w:tcBorders>
              <w:bottom w:val="single" w:sz="4" w:space="0" w:color="auto"/>
            </w:tcBorders>
            <w:vAlign w:val="center"/>
          </w:tcPr>
          <w:p w:rsidR="00C278F0" w:rsidRPr="00580B47" w:rsidRDefault="00C278F0" w:rsidP="00BE64AA">
            <w:pPr>
              <w:pStyle w:val="TableText0"/>
              <w:jc w:val="center"/>
              <w:rPr>
                <w:rFonts w:ascii="Times" w:hAnsi="Times"/>
              </w:rPr>
            </w:pPr>
            <w:r w:rsidRPr="00580B47">
              <w:t>2.39</w:t>
            </w:r>
          </w:p>
        </w:tc>
        <w:tc>
          <w:tcPr>
            <w:tcW w:w="1274" w:type="pct"/>
            <w:tcBorders>
              <w:bottom w:val="single" w:sz="4" w:space="0" w:color="auto"/>
            </w:tcBorders>
            <w:vAlign w:val="center"/>
          </w:tcPr>
          <w:p w:rsidR="00C278F0" w:rsidRPr="00580B47" w:rsidRDefault="00C278F0" w:rsidP="00BE64AA">
            <w:pPr>
              <w:pStyle w:val="TableText0"/>
              <w:jc w:val="center"/>
              <w:rPr>
                <w:rFonts w:ascii="Times" w:hAnsi="Times"/>
              </w:rPr>
            </w:pPr>
            <w:r w:rsidRPr="00580B47">
              <w:t>2.00</w:t>
            </w:r>
          </w:p>
        </w:tc>
        <w:tc>
          <w:tcPr>
            <w:tcW w:w="838" w:type="pct"/>
            <w:tcBorders>
              <w:bottom w:val="single" w:sz="4" w:space="0" w:color="auto"/>
            </w:tcBorders>
            <w:vAlign w:val="center"/>
          </w:tcPr>
          <w:p w:rsidR="00C278F0" w:rsidRPr="00580B47" w:rsidRDefault="00C278F0" w:rsidP="00BE64AA">
            <w:pPr>
              <w:pStyle w:val="TableText0"/>
              <w:jc w:val="center"/>
            </w:pPr>
            <w:r w:rsidRPr="00580B47">
              <w:t>0.39</w:t>
            </w:r>
          </w:p>
        </w:tc>
      </w:tr>
      <w:tr w:rsidR="00C278F0" w:rsidRPr="00580B47" w:rsidTr="00C278F0">
        <w:tc>
          <w:tcPr>
            <w:tcW w:w="4162" w:type="pct"/>
            <w:gridSpan w:val="3"/>
            <w:tcBorders>
              <w:bottom w:val="nil"/>
            </w:tcBorders>
            <w:vAlign w:val="center"/>
          </w:tcPr>
          <w:p w:rsidR="00C278F0" w:rsidRPr="00580B47" w:rsidRDefault="00C278F0" w:rsidP="00BE64AA">
            <w:pPr>
              <w:pStyle w:val="TableText0"/>
              <w:rPr>
                <w:rFonts w:ascii="Times" w:hAnsi="Times"/>
              </w:rPr>
            </w:pPr>
            <w:r w:rsidRPr="00580B47">
              <w:t>Incremental cost/extra QALY gained</w:t>
            </w:r>
            <w:r w:rsidR="004F24A9" w:rsidRPr="00862904">
              <w:rPr>
                <w:vertAlign w:val="superscript"/>
              </w:rPr>
              <w:t>b</w:t>
            </w:r>
          </w:p>
        </w:tc>
        <w:tc>
          <w:tcPr>
            <w:tcW w:w="838" w:type="pct"/>
            <w:tcBorders>
              <w:bottom w:val="nil"/>
            </w:tcBorders>
            <w:vAlign w:val="center"/>
          </w:tcPr>
          <w:p w:rsidR="00C278F0" w:rsidRPr="00580B47" w:rsidRDefault="004F24A9" w:rsidP="00BE64AA">
            <w:pPr>
              <w:pStyle w:val="TableText0"/>
              <w:jc w:val="center"/>
              <w:rPr>
                <w:rFonts w:ascii="Times" w:hAnsi="Times"/>
              </w:rPr>
            </w:pPr>
            <w:r w:rsidRPr="00862904">
              <w:t>$</w:t>
            </w:r>
            <w:r w:rsidR="00614C0A">
              <w:rPr>
                <w:noProof/>
                <w:color w:val="000000"/>
                <w:highlight w:val="black"/>
              </w:rPr>
              <w:t>'''''''''''''''</w:t>
            </w:r>
            <w:r w:rsidR="00A427EA">
              <w:rPr>
                <w:vertAlign w:val="superscript"/>
              </w:rPr>
              <w:t>2</w:t>
            </w:r>
          </w:p>
        </w:tc>
      </w:tr>
      <w:tr w:rsidR="00C278F0" w:rsidRPr="00580B47" w:rsidTr="00C278F0">
        <w:tc>
          <w:tcPr>
            <w:tcW w:w="5000" w:type="pct"/>
            <w:gridSpan w:val="4"/>
            <w:tcBorders>
              <w:bottom w:val="single" w:sz="4" w:space="0" w:color="auto"/>
            </w:tcBorders>
            <w:vAlign w:val="center"/>
          </w:tcPr>
          <w:p w:rsidR="00C278F0" w:rsidRPr="00580B47" w:rsidRDefault="00C278F0" w:rsidP="00BE64AA">
            <w:pPr>
              <w:pStyle w:val="In-tableHeading"/>
            </w:pPr>
            <w:r w:rsidRPr="00580B47">
              <w:t>Step 5: translation of NOVA fixed starting dose regimen to individualised starting dose regimen</w:t>
            </w:r>
          </w:p>
        </w:tc>
      </w:tr>
      <w:tr w:rsidR="00C278F0" w:rsidRPr="00580B47" w:rsidTr="00C278F0">
        <w:tc>
          <w:tcPr>
            <w:tcW w:w="1529" w:type="pct"/>
            <w:tcBorders>
              <w:bottom w:val="nil"/>
            </w:tcBorders>
            <w:vAlign w:val="center"/>
          </w:tcPr>
          <w:p w:rsidR="00C278F0" w:rsidRPr="00580B47" w:rsidRDefault="00C278F0" w:rsidP="00BE64AA">
            <w:pPr>
              <w:pStyle w:val="TableText0"/>
              <w:rPr>
                <w:rFonts w:ascii="Times" w:hAnsi="Times"/>
              </w:rPr>
            </w:pPr>
            <w:r w:rsidRPr="00580B47">
              <w:t>Costs</w:t>
            </w:r>
            <w:r w:rsidR="004F24A9" w:rsidRPr="00862904">
              <w:rPr>
                <w:vertAlign w:val="superscript"/>
              </w:rPr>
              <w:t>b</w:t>
            </w:r>
          </w:p>
        </w:tc>
        <w:tc>
          <w:tcPr>
            <w:tcW w:w="1359" w:type="pct"/>
            <w:tcBorders>
              <w:bottom w:val="nil"/>
            </w:tcBorders>
            <w:vAlign w:val="center"/>
          </w:tcPr>
          <w:p w:rsidR="00C278F0" w:rsidRPr="00580B47" w:rsidRDefault="004F24A9" w:rsidP="00BE64AA">
            <w:pPr>
              <w:pStyle w:val="TableText0"/>
              <w:jc w:val="center"/>
              <w:rPr>
                <w:rFonts w:ascii="Times" w:hAnsi="Times"/>
              </w:rPr>
            </w:pPr>
            <w:r w:rsidRPr="00862904">
              <w:t>$</w:t>
            </w:r>
            <w:r w:rsidR="00614C0A">
              <w:rPr>
                <w:noProof/>
                <w:color w:val="000000"/>
                <w:highlight w:val="black"/>
              </w:rPr>
              <w:t>'''''''''''''''</w:t>
            </w:r>
          </w:p>
        </w:tc>
        <w:tc>
          <w:tcPr>
            <w:tcW w:w="1274" w:type="pct"/>
            <w:tcBorders>
              <w:bottom w:val="nil"/>
            </w:tcBorders>
            <w:vAlign w:val="center"/>
          </w:tcPr>
          <w:p w:rsidR="00C278F0" w:rsidRPr="00580B47" w:rsidRDefault="00C278F0" w:rsidP="00BE64AA">
            <w:pPr>
              <w:pStyle w:val="TableText0"/>
              <w:jc w:val="center"/>
              <w:rPr>
                <w:rFonts w:ascii="Times" w:hAnsi="Times"/>
              </w:rPr>
            </w:pPr>
            <w:r w:rsidRPr="00580B47">
              <w:t>$44,968</w:t>
            </w:r>
          </w:p>
        </w:tc>
        <w:tc>
          <w:tcPr>
            <w:tcW w:w="838" w:type="pct"/>
            <w:tcBorders>
              <w:bottom w:val="nil"/>
            </w:tcBorders>
            <w:vAlign w:val="center"/>
          </w:tcPr>
          <w:p w:rsidR="00C278F0" w:rsidRPr="00580B47" w:rsidRDefault="004F24A9" w:rsidP="00BE64AA">
            <w:pPr>
              <w:pStyle w:val="TableText0"/>
              <w:jc w:val="center"/>
              <w:rPr>
                <w:rFonts w:ascii="Times" w:hAnsi="Times"/>
              </w:rPr>
            </w:pPr>
            <w:r w:rsidRPr="00862904">
              <w:t>$</w:t>
            </w:r>
            <w:r w:rsidR="00614C0A">
              <w:rPr>
                <w:noProof/>
                <w:color w:val="000000"/>
                <w:highlight w:val="black"/>
              </w:rPr>
              <w:t>''''''''''''''''''</w:t>
            </w:r>
          </w:p>
        </w:tc>
      </w:tr>
      <w:tr w:rsidR="00C278F0" w:rsidRPr="00580B47" w:rsidTr="00862904">
        <w:tc>
          <w:tcPr>
            <w:tcW w:w="1529" w:type="pct"/>
            <w:tcBorders>
              <w:bottom w:val="single" w:sz="4" w:space="0" w:color="auto"/>
            </w:tcBorders>
            <w:vAlign w:val="center"/>
          </w:tcPr>
          <w:p w:rsidR="00C278F0" w:rsidRPr="00580B47" w:rsidRDefault="00C278F0" w:rsidP="00BE64AA">
            <w:pPr>
              <w:pStyle w:val="TableText0"/>
              <w:rPr>
                <w:rFonts w:ascii="Times" w:hAnsi="Times"/>
              </w:rPr>
            </w:pPr>
            <w:r w:rsidRPr="00580B47">
              <w:t>QALYs</w:t>
            </w:r>
          </w:p>
        </w:tc>
        <w:tc>
          <w:tcPr>
            <w:tcW w:w="1359" w:type="pct"/>
            <w:tcBorders>
              <w:bottom w:val="single" w:sz="4" w:space="0" w:color="auto"/>
            </w:tcBorders>
            <w:vAlign w:val="center"/>
          </w:tcPr>
          <w:p w:rsidR="00C278F0" w:rsidRPr="00580B47" w:rsidRDefault="00C278F0" w:rsidP="00BE64AA">
            <w:pPr>
              <w:pStyle w:val="TableText0"/>
              <w:jc w:val="center"/>
              <w:rPr>
                <w:rFonts w:ascii="Times" w:hAnsi="Times"/>
              </w:rPr>
            </w:pPr>
            <w:r w:rsidRPr="00580B47">
              <w:t>2.39</w:t>
            </w:r>
          </w:p>
        </w:tc>
        <w:tc>
          <w:tcPr>
            <w:tcW w:w="1274" w:type="pct"/>
            <w:tcBorders>
              <w:bottom w:val="single" w:sz="4" w:space="0" w:color="auto"/>
            </w:tcBorders>
            <w:vAlign w:val="center"/>
          </w:tcPr>
          <w:p w:rsidR="00C278F0" w:rsidRPr="00580B47" w:rsidRDefault="00C278F0" w:rsidP="00BE64AA">
            <w:pPr>
              <w:pStyle w:val="TableText0"/>
              <w:jc w:val="center"/>
              <w:rPr>
                <w:rFonts w:ascii="Times" w:hAnsi="Times"/>
              </w:rPr>
            </w:pPr>
            <w:r w:rsidRPr="00580B47">
              <w:t>2.00</w:t>
            </w:r>
          </w:p>
        </w:tc>
        <w:tc>
          <w:tcPr>
            <w:tcW w:w="838" w:type="pct"/>
            <w:tcBorders>
              <w:bottom w:val="single" w:sz="4" w:space="0" w:color="auto"/>
            </w:tcBorders>
            <w:vAlign w:val="center"/>
          </w:tcPr>
          <w:p w:rsidR="00C278F0" w:rsidRPr="00580B47" w:rsidRDefault="00C278F0" w:rsidP="00BE64AA">
            <w:pPr>
              <w:pStyle w:val="TableText0"/>
              <w:jc w:val="center"/>
            </w:pPr>
            <w:r w:rsidRPr="00580B47">
              <w:t>0.39</w:t>
            </w:r>
          </w:p>
        </w:tc>
      </w:tr>
      <w:tr w:rsidR="00C278F0" w:rsidRPr="00580B47" w:rsidTr="00862904">
        <w:tc>
          <w:tcPr>
            <w:tcW w:w="4162" w:type="pct"/>
            <w:gridSpan w:val="3"/>
            <w:tcBorders>
              <w:bottom w:val="single" w:sz="4" w:space="0" w:color="auto"/>
            </w:tcBorders>
            <w:vAlign w:val="center"/>
          </w:tcPr>
          <w:p w:rsidR="00C278F0" w:rsidRPr="00580B47" w:rsidRDefault="00C278F0" w:rsidP="00BE64AA">
            <w:pPr>
              <w:pStyle w:val="TableText0"/>
              <w:rPr>
                <w:rFonts w:ascii="Times" w:hAnsi="Times"/>
                <w:b/>
              </w:rPr>
            </w:pPr>
            <w:r w:rsidRPr="00580B47">
              <w:rPr>
                <w:b/>
              </w:rPr>
              <w:t>Incremental cost/extra QALY gained (base case)</w:t>
            </w:r>
            <w:r w:rsidR="00580B47" w:rsidRPr="00862904">
              <w:rPr>
                <w:vertAlign w:val="superscript"/>
              </w:rPr>
              <w:t xml:space="preserve"> b</w:t>
            </w:r>
          </w:p>
        </w:tc>
        <w:tc>
          <w:tcPr>
            <w:tcW w:w="838" w:type="pct"/>
            <w:tcBorders>
              <w:bottom w:val="single" w:sz="4" w:space="0" w:color="auto"/>
            </w:tcBorders>
            <w:vAlign w:val="center"/>
          </w:tcPr>
          <w:p w:rsidR="00C278F0" w:rsidRPr="00580B47" w:rsidRDefault="00580B47" w:rsidP="00BE64AA">
            <w:pPr>
              <w:pStyle w:val="TableText0"/>
              <w:jc w:val="center"/>
              <w:rPr>
                <w:rFonts w:ascii="Times" w:hAnsi="Times"/>
                <w:b/>
              </w:rPr>
            </w:pPr>
            <w:r w:rsidRPr="00862904">
              <w:rPr>
                <w:b/>
              </w:rPr>
              <w:t>$</w:t>
            </w:r>
            <w:r w:rsidR="00614C0A">
              <w:rPr>
                <w:b/>
                <w:noProof/>
                <w:color w:val="000000"/>
                <w:highlight w:val="black"/>
              </w:rPr>
              <w:t>'''''''''''''</w:t>
            </w:r>
            <w:r w:rsidR="00A427EA">
              <w:rPr>
                <w:vertAlign w:val="superscript"/>
              </w:rPr>
              <w:t>3</w:t>
            </w:r>
          </w:p>
        </w:tc>
      </w:tr>
    </w:tbl>
    <w:p w:rsidR="00C278F0" w:rsidRDefault="00C278F0" w:rsidP="00BE64AA">
      <w:pPr>
        <w:pStyle w:val="TableFigureFooter"/>
      </w:pPr>
      <w:r>
        <w:t>Source: Table 113, of the submission; Excel workbook ‘Zejula (niraparib) non-BRCAm CEA’</w:t>
      </w:r>
    </w:p>
    <w:p w:rsidR="00C278F0" w:rsidRDefault="00C278F0" w:rsidP="00BE64AA">
      <w:pPr>
        <w:pStyle w:val="TableFigureFooter"/>
      </w:pPr>
      <w:r>
        <w:t>QALY = quality-adjusted life-year; LY = life-year; SMM = standard medical management</w:t>
      </w:r>
    </w:p>
    <w:p w:rsidR="00C278F0" w:rsidRPr="00A0281F" w:rsidRDefault="00C278F0" w:rsidP="00BE64AA">
      <w:pPr>
        <w:pStyle w:val="TableFigureFooter"/>
      </w:pPr>
      <w:r w:rsidRPr="00A0281F">
        <w:rPr>
          <w:vertAlign w:val="superscript"/>
        </w:rPr>
        <w:t>a</w:t>
      </w:r>
      <w:r w:rsidRPr="00A0281F">
        <w:t xml:space="preserve"> Table 113 of the submission reported an ICER of $</w:t>
      </w:r>
      <w:r w:rsidR="00614C0A">
        <w:rPr>
          <w:noProof/>
          <w:color w:val="000000"/>
          <w:highlight w:val="black"/>
        </w:rPr>
        <w:t>'''''''''''''''''''''</w:t>
      </w:r>
      <w:r w:rsidR="00A427EA">
        <w:rPr>
          <w:vertAlign w:val="superscript"/>
        </w:rPr>
        <w:t>4</w:t>
      </w:r>
      <w:r w:rsidRPr="00A0281F">
        <w:t>/LY gained but this was the cost per QALY gained.</w:t>
      </w:r>
    </w:p>
    <w:p w:rsidR="00C278F0" w:rsidRDefault="00C278F0" w:rsidP="00BE64AA">
      <w:pPr>
        <w:pStyle w:val="TableFigureFooter"/>
      </w:pPr>
      <w:r w:rsidRPr="00A0281F">
        <w:rPr>
          <w:vertAlign w:val="superscript"/>
        </w:rPr>
        <w:t xml:space="preserve">b </w:t>
      </w:r>
      <w:r w:rsidRPr="00A0281F">
        <w:t>The calculation of costs for CBCs in cells BB12:BB195 of the ‘Trace-Niraparib’ spreadsheet were corrected to refer to column 7 of the table array ‘Costs!$C$112:$J118’, rather than column 5 (Oncologist visit (PD)) of array ‘Costs!$C$112:$H1187, and the calculation of costs for GP consultations in cells BC12:BC195 of the ‘Trace-Niraparib’ spreadsheet were corrected to refer to column 8 of the table array ‘Costs!$C$112:$J118’, rather than column 6 (Serum CA-125 level(PD)) of array ‘Costs!$C$112:$H1187.</w:t>
      </w:r>
    </w:p>
    <w:p w:rsidR="00A427EA" w:rsidRPr="009868C4" w:rsidRDefault="00A427EA" w:rsidP="00A427EA">
      <w:pPr>
        <w:pStyle w:val="TableFigureFooter"/>
        <w:spacing w:after="0"/>
        <w:contextualSpacing w:val="0"/>
      </w:pPr>
      <w:r w:rsidRPr="009868C4">
        <w:rPr>
          <w:i/>
        </w:rPr>
        <w:t>The redacted values correspond to the following ranges</w:t>
      </w:r>
      <w:r>
        <w:rPr>
          <w:i/>
        </w:rPr>
        <w:t xml:space="preserve">: </w:t>
      </w:r>
    </w:p>
    <w:p w:rsidR="00A427EA" w:rsidRPr="00614C0A" w:rsidRDefault="00A427EA" w:rsidP="00BE64AA">
      <w:pPr>
        <w:pStyle w:val="TableFigureFooter"/>
        <w:rPr>
          <w:i/>
        </w:rPr>
      </w:pPr>
      <w:r>
        <w:rPr>
          <w:i/>
          <w:vertAlign w:val="superscript"/>
        </w:rPr>
        <w:t xml:space="preserve">1 </w:t>
      </w:r>
      <w:r w:rsidRPr="00614C0A">
        <w:rPr>
          <w:i/>
        </w:rPr>
        <w:t>$255,000 to &lt; $355,000</w:t>
      </w:r>
    </w:p>
    <w:p w:rsidR="00A427EA" w:rsidRPr="00614C0A" w:rsidRDefault="00A427EA" w:rsidP="00BE64AA">
      <w:pPr>
        <w:pStyle w:val="TableFigureFooter"/>
        <w:rPr>
          <w:i/>
        </w:rPr>
      </w:pPr>
      <w:r>
        <w:rPr>
          <w:i/>
          <w:vertAlign w:val="superscript"/>
        </w:rPr>
        <w:t xml:space="preserve">2 </w:t>
      </w:r>
      <w:r w:rsidRPr="00614C0A">
        <w:rPr>
          <w:i/>
        </w:rPr>
        <w:t>$75,000 to &lt; $95,000</w:t>
      </w:r>
    </w:p>
    <w:p w:rsidR="00A427EA" w:rsidRPr="00614C0A" w:rsidRDefault="00A427EA" w:rsidP="00BE64AA">
      <w:pPr>
        <w:pStyle w:val="TableFigureFooter"/>
        <w:rPr>
          <w:i/>
        </w:rPr>
      </w:pPr>
      <w:r>
        <w:rPr>
          <w:i/>
          <w:vertAlign w:val="superscript"/>
        </w:rPr>
        <w:t xml:space="preserve">3 </w:t>
      </w:r>
      <w:r w:rsidRPr="00614C0A">
        <w:rPr>
          <w:i/>
        </w:rPr>
        <w:t>$55,000 to &lt; $75,000</w:t>
      </w:r>
    </w:p>
    <w:p w:rsidR="00A427EA" w:rsidRPr="00614C0A" w:rsidRDefault="00A427EA" w:rsidP="00BE64AA">
      <w:pPr>
        <w:pStyle w:val="TableFigureFooter"/>
        <w:rPr>
          <w:i/>
        </w:rPr>
      </w:pPr>
      <w:r>
        <w:rPr>
          <w:i/>
          <w:vertAlign w:val="superscript"/>
        </w:rPr>
        <w:t xml:space="preserve">4 </w:t>
      </w:r>
      <w:r w:rsidRPr="00614C0A">
        <w:rPr>
          <w:i/>
        </w:rPr>
        <w:t>$155,000 to &lt; $255,000</w:t>
      </w:r>
    </w:p>
    <w:p w:rsidR="00C278F0" w:rsidRPr="00A0281F" w:rsidRDefault="00C278F0" w:rsidP="00BE64AA">
      <w:pPr>
        <w:pStyle w:val="3-BodyText"/>
        <w:ind w:left="709"/>
      </w:pPr>
      <w:r w:rsidRPr="00A0281F">
        <w:t xml:space="preserve">In the base case of the economic model, 92% of the incremental life-years (LYs) gained </w:t>
      </w:r>
      <w:r w:rsidR="00580B47" w:rsidRPr="00D476BB">
        <w:t>(4.9 months)</w:t>
      </w:r>
      <w:r w:rsidR="00580B47">
        <w:t xml:space="preserve"> </w:t>
      </w:r>
      <w:r w:rsidRPr="00A0281F">
        <w:t>and 84% of the incremental quality-adjusted life-years (QALYs) gained</w:t>
      </w:r>
      <w:r w:rsidR="00580B47">
        <w:t xml:space="preserve"> </w:t>
      </w:r>
      <w:r w:rsidR="00580B47" w:rsidRPr="00D476BB">
        <w:t>(4.7 months)</w:t>
      </w:r>
      <w:r w:rsidRPr="00A0281F">
        <w:t>, were accrued over the extrapolated period of the model (</w:t>
      </w:r>
      <w:r w:rsidR="00681899">
        <w:t xml:space="preserve">Figure </w:t>
      </w:r>
      <w:r w:rsidR="00681899">
        <w:rPr>
          <w:noProof/>
        </w:rPr>
        <w:t>6</w:t>
      </w:r>
      <w:r w:rsidRPr="00A0281F">
        <w:t>).</w:t>
      </w:r>
    </w:p>
    <w:p w:rsidR="00C278F0" w:rsidRPr="00A46630" w:rsidRDefault="00C278F0" w:rsidP="00BE64AA">
      <w:pPr>
        <w:pStyle w:val="TableFigureHeading"/>
      </w:pPr>
      <w:bookmarkStart w:id="43" w:name="_Ref57906410"/>
      <w:r>
        <w:lastRenderedPageBreak/>
        <w:t xml:space="preserve">Figure </w:t>
      </w:r>
      <w:r w:rsidR="00681899">
        <w:rPr>
          <w:noProof/>
        </w:rPr>
        <w:t>6</w:t>
      </w:r>
      <w:bookmarkEnd w:id="43"/>
      <w:r>
        <w:t>: Cumulative incremental LYs and QALYs gained over the time horizon of the model</w:t>
      </w:r>
    </w:p>
    <w:p w:rsidR="00C278F0" w:rsidRDefault="00C278F0" w:rsidP="00BE64AA">
      <w:pPr>
        <w:pStyle w:val="TableFigureFooter"/>
      </w:pPr>
      <w:r w:rsidRPr="004A6175">
        <w:rPr>
          <w:noProof/>
        </w:rPr>
        <w:drawing>
          <wp:inline distT="0" distB="0" distL="0" distR="0" wp14:anchorId="3C8DF98F" wp14:editId="2DABC3AF">
            <wp:extent cx="5308933" cy="2763078"/>
            <wp:effectExtent l="0" t="0" r="6350" b="0"/>
            <wp:docPr id="1959018460" name="Picture 1959018460" title="Figure 6: Cumulative incremental LYs and QALYs gained over the time horizon of the mod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41126" cy="2779833"/>
                    </a:xfrm>
                    <a:prstGeom prst="rect">
                      <a:avLst/>
                    </a:prstGeom>
                    <a:noFill/>
                    <a:ln>
                      <a:noFill/>
                    </a:ln>
                  </pic:spPr>
                </pic:pic>
              </a:graphicData>
            </a:graphic>
          </wp:inline>
        </w:drawing>
      </w:r>
    </w:p>
    <w:p w:rsidR="00C278F0" w:rsidRDefault="00C278F0" w:rsidP="00BE64AA">
      <w:pPr>
        <w:pStyle w:val="TableFigureFooter"/>
      </w:pPr>
      <w:r w:rsidRPr="00262017">
        <w:rPr>
          <w:i/>
        </w:rPr>
        <w:t>Source: Figure constructed during the evaluation, based on data from the Excel workbook ‘Zejula (niraparib) non-BRCAm CEA</w:t>
      </w:r>
      <w:r>
        <w:rPr>
          <w:i/>
        </w:rPr>
        <w:t>’</w:t>
      </w:r>
      <w:r w:rsidRPr="00262017">
        <w:rPr>
          <w:i/>
        </w:rPr>
        <w:t>’</w:t>
      </w:r>
    </w:p>
    <w:p w:rsidR="00C278F0" w:rsidRPr="00D07402" w:rsidRDefault="00C278F0" w:rsidP="00BE64AA">
      <w:pPr>
        <w:pStyle w:val="TableFigureFooter"/>
      </w:pPr>
      <w:r>
        <w:t>KM = Kaplan-Meier data; LY = life-year; QALY = quality-adjusted life-year.</w:t>
      </w:r>
    </w:p>
    <w:p w:rsidR="00C278F0" w:rsidRPr="00A0281F" w:rsidRDefault="00C278F0" w:rsidP="00BE64AA">
      <w:pPr>
        <w:pStyle w:val="3-BodyText"/>
        <w:ind w:left="709"/>
      </w:pPr>
      <w:r w:rsidRPr="00A0281F">
        <w:t>The incremental QALYs were higher than the incremental LYs up to about 6 years, then lower than the incremental LYs thereafter. This was due to the treatment-specific utilities applied in both the PF and PD health states.</w:t>
      </w:r>
    </w:p>
    <w:p w:rsidR="00C278F0" w:rsidRPr="00A0281F" w:rsidRDefault="00C278F0" w:rsidP="00BE64AA">
      <w:pPr>
        <w:pStyle w:val="3-BodyText"/>
        <w:ind w:left="709"/>
      </w:pPr>
      <w:r w:rsidRPr="00A0281F">
        <w:t>By far the largest contributor to the incremental cost was the cost of niraparib maintenance therapy in the PF health state. The largest cost offsets were those associated with the management of subsequent treatment AEs and terminal care. As discussed above, the assumption that the utilisation of subsequent therapies would be considerably greater in the SMM arm compared with the niraparib arm was poorly supported, while the terminal care cost was likely to be overestimated.</w:t>
      </w:r>
    </w:p>
    <w:p w:rsidR="00C278F0" w:rsidRPr="00A46630" w:rsidRDefault="00C278F0" w:rsidP="00BE64AA">
      <w:pPr>
        <w:pStyle w:val="3-BodyText"/>
        <w:ind w:left="709"/>
      </w:pPr>
      <w:r w:rsidRPr="00A46630">
        <w:t xml:space="preserve">The </w:t>
      </w:r>
      <w:r>
        <w:t xml:space="preserve">results of key </w:t>
      </w:r>
      <w:r w:rsidRPr="00A46630">
        <w:t xml:space="preserve">univariate sensitivity analyses presented in the submission, as well as further univariate and multivariate analyses performed during the evaluation, are </w:t>
      </w:r>
      <w:r>
        <w:t>summarised below.</w:t>
      </w:r>
    </w:p>
    <w:p w:rsidR="00C278F0" w:rsidRPr="00EE1CF1" w:rsidRDefault="00C278F0" w:rsidP="00BE64AA">
      <w:pPr>
        <w:pStyle w:val="TableFigureHeading"/>
        <w:keepLines/>
      </w:pPr>
      <w:bookmarkStart w:id="44" w:name="_Ref57900063"/>
      <w:r w:rsidRPr="00695F9E">
        <w:lastRenderedPageBreak/>
        <w:t xml:space="preserve">Table </w:t>
      </w:r>
      <w:r w:rsidR="00681899">
        <w:rPr>
          <w:noProof/>
        </w:rPr>
        <w:t>12</w:t>
      </w:r>
      <w:bookmarkEnd w:id="44"/>
      <w:r w:rsidRPr="00695F9E">
        <w:t xml:space="preserve">: </w:t>
      </w:r>
      <w:r w:rsidRPr="00EE1CF1">
        <w:rPr>
          <w:rStyle w:val="CommentReference"/>
          <w:b/>
          <w:szCs w:val="24"/>
        </w:rPr>
        <w:t>Results of key sensitivity analyses</w:t>
      </w: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
        <w:gridCol w:w="4106"/>
        <w:gridCol w:w="1137"/>
        <w:gridCol w:w="1137"/>
        <w:gridCol w:w="1066"/>
        <w:gridCol w:w="1032"/>
      </w:tblGrid>
      <w:tr w:rsidR="00C278F0" w:rsidRPr="00A0281F" w:rsidTr="00C278F0">
        <w:trPr>
          <w:tblHeader/>
        </w:trPr>
        <w:tc>
          <w:tcPr>
            <w:tcW w:w="2563" w:type="pct"/>
            <w:gridSpan w:val="2"/>
          </w:tcPr>
          <w:p w:rsidR="00C278F0" w:rsidRPr="00A0281F" w:rsidRDefault="00C278F0" w:rsidP="00BE64AA">
            <w:pPr>
              <w:pStyle w:val="In-tableHeading"/>
              <w:keepLines/>
            </w:pPr>
            <w:r w:rsidRPr="00A0281F">
              <w:t>Analyses</w:t>
            </w:r>
          </w:p>
        </w:tc>
        <w:tc>
          <w:tcPr>
            <w:tcW w:w="634" w:type="pct"/>
            <w:vAlign w:val="center"/>
          </w:tcPr>
          <w:p w:rsidR="00C278F0" w:rsidRPr="00A0281F" w:rsidRDefault="00C278F0" w:rsidP="00BE64AA">
            <w:pPr>
              <w:pStyle w:val="In-tableHeading"/>
              <w:keepLines/>
              <w:jc w:val="center"/>
            </w:pPr>
            <w:r w:rsidRPr="00A0281F">
              <w:t>Incremental cost</w:t>
            </w:r>
          </w:p>
        </w:tc>
        <w:tc>
          <w:tcPr>
            <w:tcW w:w="634" w:type="pct"/>
            <w:vAlign w:val="center"/>
          </w:tcPr>
          <w:p w:rsidR="00C278F0" w:rsidRPr="00A0281F" w:rsidRDefault="00C278F0" w:rsidP="00BE64AA">
            <w:pPr>
              <w:pStyle w:val="In-tableHeading"/>
              <w:keepLines/>
              <w:jc w:val="center"/>
            </w:pPr>
            <w:r w:rsidRPr="00A0281F">
              <w:t>Incremental QALY</w:t>
            </w:r>
          </w:p>
        </w:tc>
        <w:tc>
          <w:tcPr>
            <w:tcW w:w="594" w:type="pct"/>
            <w:vAlign w:val="center"/>
          </w:tcPr>
          <w:p w:rsidR="00C278F0" w:rsidRPr="00A0281F" w:rsidRDefault="00C278F0" w:rsidP="00BE64AA">
            <w:pPr>
              <w:pStyle w:val="In-tableHeading"/>
              <w:keepLines/>
              <w:jc w:val="center"/>
            </w:pPr>
            <w:r w:rsidRPr="00A0281F">
              <w:t>ICER</w:t>
            </w:r>
          </w:p>
        </w:tc>
        <w:tc>
          <w:tcPr>
            <w:tcW w:w="575" w:type="pct"/>
            <w:vAlign w:val="center"/>
          </w:tcPr>
          <w:p w:rsidR="00C278F0" w:rsidRPr="00A0281F" w:rsidRDefault="00C278F0" w:rsidP="00BE64AA">
            <w:pPr>
              <w:pStyle w:val="In-tableHeading"/>
              <w:keepLines/>
              <w:jc w:val="center"/>
            </w:pPr>
            <w:r w:rsidRPr="00A0281F">
              <w:t>% difference</w:t>
            </w:r>
          </w:p>
        </w:tc>
      </w:tr>
      <w:tr w:rsidR="00C278F0" w:rsidRPr="00A0281F" w:rsidTr="00C278F0">
        <w:tc>
          <w:tcPr>
            <w:tcW w:w="2563" w:type="pct"/>
            <w:gridSpan w:val="2"/>
            <w:tcBorders>
              <w:bottom w:val="single" w:sz="4" w:space="0" w:color="auto"/>
            </w:tcBorders>
          </w:tcPr>
          <w:p w:rsidR="00C278F0" w:rsidRPr="00A0281F" w:rsidRDefault="00C278F0" w:rsidP="00BE64AA">
            <w:pPr>
              <w:pStyle w:val="TableText0"/>
              <w:keepLines/>
              <w:rPr>
                <w:b/>
              </w:rPr>
            </w:pPr>
            <w:r w:rsidRPr="00A0281F">
              <w:rPr>
                <w:b/>
              </w:rPr>
              <w:t>Base case</w:t>
            </w:r>
          </w:p>
        </w:tc>
        <w:tc>
          <w:tcPr>
            <w:tcW w:w="634" w:type="pct"/>
            <w:tcBorders>
              <w:bottom w:val="single" w:sz="4" w:space="0" w:color="auto"/>
            </w:tcBorders>
          </w:tcPr>
          <w:p w:rsidR="00C278F0" w:rsidRPr="00A0281F" w:rsidRDefault="00C278F0" w:rsidP="00BE64AA">
            <w:pPr>
              <w:pStyle w:val="TableText0"/>
              <w:keepLines/>
              <w:jc w:val="center"/>
              <w:rPr>
                <w:b/>
              </w:rPr>
            </w:pPr>
            <w:r w:rsidRPr="00A0281F">
              <w:rPr>
                <w:b/>
              </w:rPr>
              <w:t>$</w:t>
            </w:r>
            <w:r w:rsidR="00614C0A">
              <w:rPr>
                <w:b/>
                <w:noProof/>
                <w:color w:val="000000"/>
                <w:highlight w:val="black"/>
              </w:rPr>
              <w:t>'''''''''''''</w:t>
            </w:r>
          </w:p>
        </w:tc>
        <w:tc>
          <w:tcPr>
            <w:tcW w:w="634" w:type="pct"/>
            <w:tcBorders>
              <w:bottom w:val="single" w:sz="4" w:space="0" w:color="auto"/>
            </w:tcBorders>
          </w:tcPr>
          <w:p w:rsidR="00C278F0" w:rsidRPr="00A0281F" w:rsidRDefault="00C278F0" w:rsidP="00BE64AA">
            <w:pPr>
              <w:pStyle w:val="TableText0"/>
              <w:keepLines/>
              <w:jc w:val="center"/>
              <w:rPr>
                <w:b/>
              </w:rPr>
            </w:pPr>
            <w:r w:rsidRPr="00A0281F">
              <w:rPr>
                <w:b/>
              </w:rPr>
              <w:t>0.39</w:t>
            </w:r>
          </w:p>
        </w:tc>
        <w:tc>
          <w:tcPr>
            <w:tcW w:w="594" w:type="pct"/>
            <w:tcBorders>
              <w:bottom w:val="single" w:sz="4" w:space="0" w:color="auto"/>
            </w:tcBorders>
          </w:tcPr>
          <w:p w:rsidR="00C278F0" w:rsidRPr="00A0281F" w:rsidRDefault="00C278F0" w:rsidP="00BE64AA">
            <w:pPr>
              <w:pStyle w:val="TableText0"/>
              <w:keepLines/>
              <w:jc w:val="center"/>
              <w:rPr>
                <w:b/>
              </w:rPr>
            </w:pPr>
            <w:r w:rsidRPr="00A0281F">
              <w:rPr>
                <w:b/>
              </w:rPr>
              <w:t>$</w:t>
            </w:r>
            <w:r w:rsidR="00614C0A">
              <w:rPr>
                <w:b/>
                <w:noProof/>
                <w:color w:val="000000"/>
                <w:highlight w:val="black"/>
              </w:rPr>
              <w:t>'''''''''''''</w:t>
            </w:r>
            <w:r w:rsidR="001E0429">
              <w:rPr>
                <w:vertAlign w:val="superscript"/>
              </w:rPr>
              <w:t>1</w:t>
            </w:r>
          </w:p>
        </w:tc>
        <w:tc>
          <w:tcPr>
            <w:tcW w:w="575" w:type="pct"/>
            <w:tcBorders>
              <w:bottom w:val="single" w:sz="4" w:space="0" w:color="auto"/>
            </w:tcBorders>
          </w:tcPr>
          <w:p w:rsidR="00C278F0" w:rsidRPr="00A0281F" w:rsidRDefault="00C278F0" w:rsidP="00BE64AA">
            <w:pPr>
              <w:pStyle w:val="TableText0"/>
              <w:keepLines/>
              <w:jc w:val="center"/>
              <w:rPr>
                <w:b/>
              </w:rPr>
            </w:pPr>
          </w:p>
        </w:tc>
      </w:tr>
      <w:tr w:rsidR="00C278F0" w:rsidRPr="00A0281F" w:rsidTr="00C278F0">
        <w:trPr>
          <w:cantSplit/>
        </w:trPr>
        <w:tc>
          <w:tcPr>
            <w:tcW w:w="2563" w:type="pct"/>
            <w:gridSpan w:val="2"/>
            <w:tcBorders>
              <w:bottom w:val="single" w:sz="4" w:space="0" w:color="auto"/>
              <w:right w:val="nil"/>
            </w:tcBorders>
          </w:tcPr>
          <w:p w:rsidR="00C278F0" w:rsidRPr="00A0281F" w:rsidRDefault="00C278F0" w:rsidP="00BE64AA">
            <w:pPr>
              <w:pStyle w:val="TableText0"/>
              <w:keepLines/>
              <w:rPr>
                <w:b/>
              </w:rPr>
            </w:pPr>
            <w:r w:rsidRPr="00A0281F">
              <w:rPr>
                <w:b/>
              </w:rPr>
              <w:t>Univariate sensitivity analyses</w:t>
            </w:r>
          </w:p>
        </w:tc>
        <w:tc>
          <w:tcPr>
            <w:tcW w:w="634" w:type="pct"/>
            <w:tcBorders>
              <w:left w:val="nil"/>
              <w:bottom w:val="single" w:sz="4" w:space="0" w:color="auto"/>
              <w:right w:val="nil"/>
            </w:tcBorders>
          </w:tcPr>
          <w:p w:rsidR="00C278F0" w:rsidRPr="00A0281F" w:rsidRDefault="00C278F0" w:rsidP="00BE64AA">
            <w:pPr>
              <w:pStyle w:val="TableText0"/>
              <w:keepLines/>
              <w:jc w:val="center"/>
              <w:rPr>
                <w:b/>
              </w:rPr>
            </w:pPr>
          </w:p>
        </w:tc>
        <w:tc>
          <w:tcPr>
            <w:tcW w:w="634" w:type="pct"/>
            <w:tcBorders>
              <w:left w:val="nil"/>
              <w:bottom w:val="single" w:sz="4" w:space="0" w:color="auto"/>
              <w:right w:val="nil"/>
            </w:tcBorders>
          </w:tcPr>
          <w:p w:rsidR="00C278F0" w:rsidRPr="00A0281F" w:rsidRDefault="00C278F0" w:rsidP="00BE64AA">
            <w:pPr>
              <w:pStyle w:val="TableText0"/>
              <w:keepLines/>
              <w:jc w:val="center"/>
              <w:rPr>
                <w:b/>
              </w:rPr>
            </w:pPr>
          </w:p>
        </w:tc>
        <w:tc>
          <w:tcPr>
            <w:tcW w:w="594" w:type="pct"/>
            <w:tcBorders>
              <w:left w:val="nil"/>
              <w:bottom w:val="single" w:sz="4" w:space="0" w:color="auto"/>
              <w:right w:val="nil"/>
            </w:tcBorders>
          </w:tcPr>
          <w:p w:rsidR="00C278F0" w:rsidRPr="00A0281F" w:rsidRDefault="00C278F0" w:rsidP="00BE64AA">
            <w:pPr>
              <w:pStyle w:val="TableText0"/>
              <w:keepLines/>
              <w:jc w:val="center"/>
              <w:rPr>
                <w:b/>
              </w:rPr>
            </w:pPr>
          </w:p>
        </w:tc>
        <w:tc>
          <w:tcPr>
            <w:tcW w:w="575" w:type="pct"/>
            <w:tcBorders>
              <w:left w:val="nil"/>
              <w:bottom w:val="single" w:sz="4" w:space="0" w:color="auto"/>
            </w:tcBorders>
          </w:tcPr>
          <w:p w:rsidR="00C278F0" w:rsidRPr="00A0281F" w:rsidRDefault="00C278F0" w:rsidP="00BE64AA">
            <w:pPr>
              <w:pStyle w:val="TableText0"/>
              <w:keepLines/>
              <w:jc w:val="center"/>
              <w:rPr>
                <w:b/>
              </w:rPr>
            </w:pPr>
          </w:p>
        </w:tc>
      </w:tr>
      <w:tr w:rsidR="00C278F0" w:rsidRPr="00A0281F" w:rsidTr="00C278F0">
        <w:trPr>
          <w:cantSplit/>
        </w:trPr>
        <w:tc>
          <w:tcPr>
            <w:tcW w:w="2563" w:type="pct"/>
            <w:gridSpan w:val="2"/>
            <w:tcBorders>
              <w:bottom w:val="single" w:sz="4" w:space="0" w:color="auto"/>
            </w:tcBorders>
          </w:tcPr>
          <w:p w:rsidR="00C278F0" w:rsidRPr="00A0281F" w:rsidRDefault="00C278F0" w:rsidP="00BE64AA">
            <w:pPr>
              <w:pStyle w:val="TableText0"/>
              <w:keepLines/>
            </w:pPr>
            <w:r w:rsidRPr="00A0281F">
              <w:t>Time horizon (base case 10 years)</w:t>
            </w:r>
          </w:p>
        </w:tc>
        <w:tc>
          <w:tcPr>
            <w:tcW w:w="634" w:type="pct"/>
            <w:tcBorders>
              <w:bottom w:val="single" w:sz="4" w:space="0" w:color="auto"/>
            </w:tcBorders>
          </w:tcPr>
          <w:p w:rsidR="00C278F0" w:rsidRPr="00A0281F" w:rsidRDefault="00C278F0" w:rsidP="00BE64AA">
            <w:pPr>
              <w:pStyle w:val="TableText0"/>
              <w:keepLines/>
              <w:jc w:val="center"/>
            </w:pPr>
          </w:p>
        </w:tc>
        <w:tc>
          <w:tcPr>
            <w:tcW w:w="634" w:type="pct"/>
            <w:tcBorders>
              <w:bottom w:val="single" w:sz="4" w:space="0" w:color="auto"/>
            </w:tcBorders>
          </w:tcPr>
          <w:p w:rsidR="00C278F0" w:rsidRPr="00A0281F" w:rsidRDefault="00C278F0" w:rsidP="00BE64AA">
            <w:pPr>
              <w:pStyle w:val="TableText0"/>
              <w:keepLines/>
              <w:jc w:val="center"/>
            </w:pPr>
          </w:p>
        </w:tc>
        <w:tc>
          <w:tcPr>
            <w:tcW w:w="594" w:type="pct"/>
            <w:tcBorders>
              <w:bottom w:val="single" w:sz="4" w:space="0" w:color="auto"/>
            </w:tcBorders>
          </w:tcPr>
          <w:p w:rsidR="00C278F0" w:rsidRPr="00A0281F" w:rsidRDefault="00C278F0" w:rsidP="00BE64AA">
            <w:pPr>
              <w:pStyle w:val="TableText0"/>
              <w:keepLines/>
              <w:jc w:val="center"/>
            </w:pPr>
          </w:p>
        </w:tc>
        <w:tc>
          <w:tcPr>
            <w:tcW w:w="575" w:type="pct"/>
            <w:tcBorders>
              <w:bottom w:val="single" w:sz="4" w:space="0" w:color="auto"/>
            </w:tcBorders>
          </w:tcPr>
          <w:p w:rsidR="00C278F0" w:rsidRPr="00A0281F" w:rsidRDefault="00C278F0" w:rsidP="00BE64AA">
            <w:pPr>
              <w:pStyle w:val="TableText0"/>
              <w:keepLines/>
              <w:jc w:val="center"/>
            </w:pPr>
          </w:p>
        </w:tc>
      </w:tr>
      <w:tr w:rsidR="00C278F0" w:rsidRPr="00A0281F" w:rsidTr="00C278F0">
        <w:trPr>
          <w:cantSplit/>
        </w:trPr>
        <w:tc>
          <w:tcPr>
            <w:tcW w:w="2563" w:type="pct"/>
            <w:gridSpan w:val="2"/>
            <w:tcBorders>
              <w:bottom w:val="single" w:sz="4" w:space="0" w:color="auto"/>
            </w:tcBorders>
          </w:tcPr>
          <w:p w:rsidR="00C278F0" w:rsidRPr="00A0281F" w:rsidRDefault="00C278F0" w:rsidP="00A84F44">
            <w:pPr>
              <w:pStyle w:val="TableText0"/>
              <w:keepLines/>
              <w:numPr>
                <w:ilvl w:val="0"/>
                <w:numId w:val="7"/>
              </w:numPr>
              <w:ind w:left="596"/>
            </w:pPr>
            <w:r w:rsidRPr="00A0281F">
              <w:t>7.5 years</w:t>
            </w:r>
          </w:p>
          <w:p w:rsidR="00C278F0" w:rsidRPr="00A0281F" w:rsidRDefault="00C278F0" w:rsidP="00A84F44">
            <w:pPr>
              <w:pStyle w:val="TableText0"/>
              <w:keepLines/>
              <w:numPr>
                <w:ilvl w:val="0"/>
                <w:numId w:val="7"/>
              </w:numPr>
              <w:ind w:left="596"/>
            </w:pPr>
            <w:r w:rsidRPr="00A0281F">
              <w:t>12.5 years</w:t>
            </w:r>
          </w:p>
        </w:tc>
        <w:tc>
          <w:tcPr>
            <w:tcW w:w="634" w:type="pct"/>
            <w:tcBorders>
              <w:bottom w:val="single" w:sz="4" w:space="0" w:color="auto"/>
            </w:tcBorders>
          </w:tcPr>
          <w:p w:rsidR="00C278F0" w:rsidRPr="00A0281F" w:rsidRDefault="00C278F0" w:rsidP="00BE64AA">
            <w:pPr>
              <w:pStyle w:val="TableText0"/>
              <w:keepLines/>
              <w:jc w:val="center"/>
            </w:pPr>
            <w:r w:rsidRPr="00A0281F">
              <w:t>$</w:t>
            </w:r>
            <w:r w:rsidR="00614C0A">
              <w:rPr>
                <w:noProof/>
                <w:color w:val="000000"/>
                <w:highlight w:val="black"/>
              </w:rPr>
              <w:t>'''''''''''''''</w:t>
            </w:r>
          </w:p>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Borders>
              <w:bottom w:val="single" w:sz="4" w:space="0" w:color="auto"/>
            </w:tcBorders>
          </w:tcPr>
          <w:p w:rsidR="00C278F0" w:rsidRPr="00A0281F" w:rsidRDefault="00C278F0" w:rsidP="00BE64AA">
            <w:pPr>
              <w:pStyle w:val="TableText0"/>
              <w:keepLines/>
              <w:jc w:val="center"/>
            </w:pPr>
            <w:r w:rsidRPr="00A0281F">
              <w:t>0.36</w:t>
            </w:r>
          </w:p>
          <w:p w:rsidR="00C278F0" w:rsidRPr="00A0281F" w:rsidRDefault="00C278F0" w:rsidP="00BE64AA">
            <w:pPr>
              <w:pStyle w:val="TableText0"/>
              <w:keepLines/>
              <w:jc w:val="center"/>
            </w:pPr>
            <w:r w:rsidRPr="00A0281F">
              <w:t>0.41</w:t>
            </w:r>
          </w:p>
        </w:tc>
        <w:tc>
          <w:tcPr>
            <w:tcW w:w="594" w:type="pct"/>
            <w:tcBorders>
              <w:bottom w:val="single" w:sz="4" w:space="0" w:color="auto"/>
            </w:tcBorders>
          </w:tcPr>
          <w:p w:rsidR="00C278F0" w:rsidRPr="00A0281F" w:rsidRDefault="00C278F0" w:rsidP="00BE64AA">
            <w:pPr>
              <w:pStyle w:val="TableText0"/>
              <w:keepLines/>
              <w:jc w:val="center"/>
            </w:pPr>
            <w:r w:rsidRPr="00A0281F">
              <w:t>$</w:t>
            </w:r>
            <w:r w:rsidR="00614C0A">
              <w:rPr>
                <w:noProof/>
                <w:color w:val="000000"/>
                <w:highlight w:val="black"/>
              </w:rPr>
              <w:t>'''''''''''''''''</w:t>
            </w:r>
            <w:r w:rsidR="001E0429">
              <w:rPr>
                <w:vertAlign w:val="superscript"/>
              </w:rPr>
              <w:t>1</w:t>
            </w:r>
          </w:p>
          <w:p w:rsidR="00C278F0" w:rsidRPr="00A0281F" w:rsidRDefault="00C278F0" w:rsidP="00BE64AA">
            <w:pPr>
              <w:pStyle w:val="TableText0"/>
              <w:keepLines/>
              <w:jc w:val="center"/>
            </w:pPr>
            <w:r w:rsidRPr="00A0281F">
              <w:t>$</w:t>
            </w:r>
            <w:r w:rsidR="00614C0A">
              <w:rPr>
                <w:noProof/>
                <w:color w:val="000000"/>
                <w:highlight w:val="black"/>
              </w:rPr>
              <w:t>''''''''''''''''</w:t>
            </w:r>
            <w:r w:rsidR="001E0429">
              <w:rPr>
                <w:vertAlign w:val="superscript"/>
              </w:rPr>
              <w:t>1</w:t>
            </w:r>
          </w:p>
        </w:tc>
        <w:tc>
          <w:tcPr>
            <w:tcW w:w="575" w:type="pct"/>
            <w:tcBorders>
              <w:bottom w:val="single" w:sz="4" w:space="0" w:color="auto"/>
            </w:tcBorders>
          </w:tcPr>
          <w:p w:rsidR="00C278F0" w:rsidRPr="00A0281F" w:rsidRDefault="00C278F0" w:rsidP="00BE64AA">
            <w:pPr>
              <w:pStyle w:val="TableText0"/>
              <w:keepLines/>
              <w:jc w:val="center"/>
            </w:pPr>
            <w:r w:rsidRPr="00A0281F">
              <w:t>+7.2%</w:t>
            </w:r>
          </w:p>
          <w:p w:rsidR="00C278F0" w:rsidRPr="00A0281F" w:rsidRDefault="00C278F0" w:rsidP="00BE64AA">
            <w:pPr>
              <w:pStyle w:val="TableText0"/>
              <w:keepLines/>
              <w:jc w:val="center"/>
            </w:pPr>
            <w:r w:rsidRPr="00A0281F">
              <w:t>-3.2%</w:t>
            </w:r>
          </w:p>
        </w:tc>
      </w:tr>
      <w:tr w:rsidR="00C278F0" w:rsidRPr="00A0281F" w:rsidTr="00C278F0">
        <w:trPr>
          <w:cantSplit/>
        </w:trPr>
        <w:tc>
          <w:tcPr>
            <w:tcW w:w="2563" w:type="pct"/>
            <w:gridSpan w:val="2"/>
            <w:tcBorders>
              <w:bottom w:val="single" w:sz="4" w:space="0" w:color="auto"/>
              <w:right w:val="nil"/>
            </w:tcBorders>
          </w:tcPr>
          <w:p w:rsidR="00C278F0" w:rsidRPr="00A0281F" w:rsidRDefault="00C278F0" w:rsidP="00BE64AA">
            <w:pPr>
              <w:pStyle w:val="TableText0"/>
              <w:keepLines/>
              <w:rPr>
                <w:vertAlign w:val="superscript"/>
              </w:rPr>
            </w:pPr>
            <w:r w:rsidRPr="00A0281F">
              <w:t>Extrapolation OS (base case log-normal extrapolation)</w:t>
            </w:r>
          </w:p>
        </w:tc>
        <w:tc>
          <w:tcPr>
            <w:tcW w:w="634" w:type="pct"/>
            <w:tcBorders>
              <w:left w:val="nil"/>
              <w:bottom w:val="single" w:sz="4" w:space="0" w:color="auto"/>
              <w:right w:val="nil"/>
            </w:tcBorders>
          </w:tcPr>
          <w:p w:rsidR="00C278F0" w:rsidRPr="00A0281F" w:rsidRDefault="00C278F0" w:rsidP="00BE64AA">
            <w:pPr>
              <w:pStyle w:val="TableText0"/>
              <w:keepLines/>
            </w:pPr>
          </w:p>
        </w:tc>
        <w:tc>
          <w:tcPr>
            <w:tcW w:w="634" w:type="pct"/>
            <w:tcBorders>
              <w:left w:val="nil"/>
              <w:bottom w:val="single" w:sz="4" w:space="0" w:color="auto"/>
              <w:right w:val="nil"/>
            </w:tcBorders>
          </w:tcPr>
          <w:p w:rsidR="00C278F0" w:rsidRPr="00A0281F" w:rsidRDefault="00C278F0" w:rsidP="00BE64AA">
            <w:pPr>
              <w:pStyle w:val="TableText0"/>
              <w:keepLines/>
            </w:pPr>
          </w:p>
        </w:tc>
        <w:tc>
          <w:tcPr>
            <w:tcW w:w="594" w:type="pct"/>
            <w:tcBorders>
              <w:left w:val="nil"/>
              <w:bottom w:val="single" w:sz="4" w:space="0" w:color="auto"/>
              <w:right w:val="nil"/>
            </w:tcBorders>
          </w:tcPr>
          <w:p w:rsidR="00C278F0" w:rsidRPr="00A0281F" w:rsidRDefault="00C278F0" w:rsidP="00BE64AA">
            <w:pPr>
              <w:pStyle w:val="TableText0"/>
              <w:keepLines/>
              <w:jc w:val="center"/>
            </w:pPr>
          </w:p>
        </w:tc>
        <w:tc>
          <w:tcPr>
            <w:tcW w:w="575" w:type="pct"/>
            <w:tcBorders>
              <w:left w:val="nil"/>
              <w:bottom w:val="single" w:sz="4" w:space="0" w:color="auto"/>
            </w:tcBorders>
          </w:tcPr>
          <w:p w:rsidR="00C278F0" w:rsidRPr="00A0281F" w:rsidRDefault="00C278F0" w:rsidP="00BE64AA">
            <w:pPr>
              <w:pStyle w:val="TableText0"/>
              <w:keepLines/>
              <w:jc w:val="center"/>
            </w:pPr>
          </w:p>
        </w:tc>
      </w:tr>
      <w:tr w:rsidR="00C278F0" w:rsidRPr="00A0281F" w:rsidTr="00C278F0">
        <w:trPr>
          <w:cantSplit/>
        </w:trPr>
        <w:tc>
          <w:tcPr>
            <w:tcW w:w="2563" w:type="pct"/>
            <w:gridSpan w:val="2"/>
            <w:tcBorders>
              <w:top w:val="single" w:sz="4" w:space="0" w:color="auto"/>
              <w:bottom w:val="single" w:sz="4" w:space="0" w:color="auto"/>
            </w:tcBorders>
          </w:tcPr>
          <w:p w:rsidR="00C278F0" w:rsidRPr="00A0281F" w:rsidRDefault="00C278F0" w:rsidP="00A84F44">
            <w:pPr>
              <w:pStyle w:val="TableText0"/>
              <w:keepLines/>
              <w:numPr>
                <w:ilvl w:val="0"/>
                <w:numId w:val="8"/>
              </w:numPr>
              <w:ind w:left="596"/>
            </w:pPr>
            <w:r w:rsidRPr="00A0281F">
              <w:t>Log-logistic extrapolation</w:t>
            </w:r>
          </w:p>
        </w:tc>
        <w:tc>
          <w:tcPr>
            <w:tcW w:w="634" w:type="pct"/>
            <w:tcBorders>
              <w:top w:val="single" w:sz="4" w:space="0" w:color="auto"/>
              <w:bottom w:val="single" w:sz="4" w:space="0" w:color="auto"/>
            </w:tcBorders>
          </w:tcPr>
          <w:p w:rsidR="00C278F0" w:rsidRPr="00A0281F" w:rsidRDefault="00C278F0" w:rsidP="00BE64AA">
            <w:pPr>
              <w:pStyle w:val="TableText0"/>
              <w:keepLines/>
              <w:spacing w:after="20"/>
              <w:jc w:val="center"/>
            </w:pPr>
            <w:r w:rsidRPr="00A0281F">
              <w:t>$</w:t>
            </w:r>
            <w:r w:rsidR="00614C0A">
              <w:rPr>
                <w:noProof/>
                <w:color w:val="000000"/>
                <w:highlight w:val="black"/>
              </w:rPr>
              <w:t>''''''''''''''''</w:t>
            </w:r>
          </w:p>
        </w:tc>
        <w:tc>
          <w:tcPr>
            <w:tcW w:w="634" w:type="pct"/>
            <w:tcBorders>
              <w:top w:val="single" w:sz="4" w:space="0" w:color="auto"/>
              <w:bottom w:val="single" w:sz="4" w:space="0" w:color="auto"/>
            </w:tcBorders>
          </w:tcPr>
          <w:p w:rsidR="00C278F0" w:rsidRPr="00A0281F" w:rsidRDefault="00C278F0" w:rsidP="00BE64AA">
            <w:pPr>
              <w:pStyle w:val="TableText0"/>
              <w:keepLines/>
              <w:spacing w:after="20"/>
              <w:jc w:val="center"/>
            </w:pPr>
            <w:r w:rsidRPr="00A0281F">
              <w:t>0.35</w:t>
            </w:r>
          </w:p>
        </w:tc>
        <w:tc>
          <w:tcPr>
            <w:tcW w:w="594" w:type="pct"/>
            <w:tcBorders>
              <w:top w:val="single" w:sz="4" w:space="0" w:color="auto"/>
              <w:bottom w:val="single" w:sz="4" w:space="0" w:color="auto"/>
            </w:tcBorders>
          </w:tcPr>
          <w:p w:rsidR="00C278F0" w:rsidRPr="00A0281F" w:rsidRDefault="00C278F0" w:rsidP="00BE64AA">
            <w:pPr>
              <w:pStyle w:val="TableText0"/>
              <w:keepLines/>
              <w:spacing w:after="20"/>
              <w:jc w:val="center"/>
            </w:pPr>
            <w:r w:rsidRPr="00A0281F">
              <w:t>$</w:t>
            </w:r>
            <w:r w:rsidR="00614C0A">
              <w:rPr>
                <w:noProof/>
                <w:color w:val="000000"/>
                <w:highlight w:val="black"/>
              </w:rPr>
              <w:t>'''''''''''''''</w:t>
            </w:r>
            <w:r w:rsidR="001E0429">
              <w:rPr>
                <w:vertAlign w:val="superscript"/>
              </w:rPr>
              <w:t>1</w:t>
            </w:r>
          </w:p>
        </w:tc>
        <w:tc>
          <w:tcPr>
            <w:tcW w:w="575" w:type="pct"/>
            <w:tcBorders>
              <w:top w:val="single" w:sz="4" w:space="0" w:color="auto"/>
              <w:bottom w:val="single" w:sz="4" w:space="0" w:color="auto"/>
            </w:tcBorders>
          </w:tcPr>
          <w:p w:rsidR="00C278F0" w:rsidRPr="00A0281F" w:rsidRDefault="00C278F0" w:rsidP="00BE64AA">
            <w:pPr>
              <w:pStyle w:val="TableText0"/>
              <w:keepLines/>
              <w:spacing w:after="20"/>
              <w:jc w:val="center"/>
            </w:pPr>
            <w:r w:rsidRPr="00A0281F">
              <w:t>+14.4%</w:t>
            </w:r>
          </w:p>
        </w:tc>
      </w:tr>
      <w:tr w:rsidR="00C278F0" w:rsidRPr="00A0281F" w:rsidTr="00C278F0">
        <w:trPr>
          <w:cantSplit/>
        </w:trPr>
        <w:tc>
          <w:tcPr>
            <w:tcW w:w="5000" w:type="pct"/>
            <w:gridSpan w:val="6"/>
            <w:tcBorders>
              <w:top w:val="nil"/>
              <w:bottom w:val="single" w:sz="4" w:space="0" w:color="auto"/>
            </w:tcBorders>
          </w:tcPr>
          <w:p w:rsidR="00C278F0" w:rsidRPr="00A0281F" w:rsidRDefault="00C278F0" w:rsidP="00BE64AA">
            <w:pPr>
              <w:pStyle w:val="TableText0"/>
              <w:keepLines/>
            </w:pPr>
            <w:r w:rsidRPr="00A0281F">
              <w:t>NOVA dosing (base case NOVA dosing adjusted for proposed individualised starting dose regimen)</w:t>
            </w:r>
          </w:p>
        </w:tc>
      </w:tr>
      <w:tr w:rsidR="00C278F0" w:rsidRPr="00A0281F" w:rsidTr="00C278F0">
        <w:trPr>
          <w:cantSplit/>
        </w:trPr>
        <w:tc>
          <w:tcPr>
            <w:tcW w:w="2563" w:type="pct"/>
            <w:gridSpan w:val="2"/>
            <w:tcBorders>
              <w:top w:val="nil"/>
              <w:bottom w:val="single" w:sz="4" w:space="0" w:color="auto"/>
            </w:tcBorders>
          </w:tcPr>
          <w:p w:rsidR="00C278F0" w:rsidRPr="00A0281F" w:rsidRDefault="00C278F0" w:rsidP="00A84F44">
            <w:pPr>
              <w:pStyle w:val="TableText0"/>
              <w:keepLines/>
              <w:numPr>
                <w:ilvl w:val="0"/>
                <w:numId w:val="8"/>
              </w:numPr>
              <w:ind w:left="596"/>
            </w:pPr>
            <w:r w:rsidRPr="00A0281F">
              <w:t xml:space="preserve">NOVA fixed starting dose regimen (non-gBRCAm) </w:t>
            </w:r>
          </w:p>
        </w:tc>
        <w:tc>
          <w:tcPr>
            <w:tcW w:w="634" w:type="pct"/>
            <w:tcBorders>
              <w:top w:val="nil"/>
              <w:bottom w:val="single" w:sz="4" w:space="0" w:color="auto"/>
            </w:tcBorders>
          </w:tcPr>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Borders>
              <w:top w:val="nil"/>
              <w:bottom w:val="single" w:sz="4" w:space="0" w:color="auto"/>
            </w:tcBorders>
          </w:tcPr>
          <w:p w:rsidR="00C278F0" w:rsidRPr="00A0281F" w:rsidRDefault="00C278F0" w:rsidP="00BE64AA">
            <w:pPr>
              <w:pStyle w:val="TableText0"/>
              <w:keepLines/>
              <w:jc w:val="center"/>
            </w:pPr>
            <w:r w:rsidRPr="00A0281F">
              <w:t>0.39</w:t>
            </w:r>
          </w:p>
        </w:tc>
        <w:tc>
          <w:tcPr>
            <w:tcW w:w="594" w:type="pct"/>
            <w:tcBorders>
              <w:top w:val="nil"/>
              <w:bottom w:val="single" w:sz="4" w:space="0" w:color="auto"/>
            </w:tcBorders>
          </w:tcPr>
          <w:p w:rsidR="00C278F0" w:rsidRPr="00A0281F" w:rsidRDefault="00C278F0" w:rsidP="00BE64AA">
            <w:pPr>
              <w:pStyle w:val="TableText0"/>
              <w:keepLines/>
              <w:jc w:val="center"/>
            </w:pPr>
            <w:r w:rsidRPr="00A0281F">
              <w:t>$</w:t>
            </w:r>
            <w:r w:rsidR="00614C0A">
              <w:rPr>
                <w:noProof/>
                <w:color w:val="000000"/>
                <w:highlight w:val="black"/>
              </w:rPr>
              <w:t>'''''''''''''''</w:t>
            </w:r>
            <w:r w:rsidR="001E0429">
              <w:rPr>
                <w:vertAlign w:val="superscript"/>
              </w:rPr>
              <w:t>2</w:t>
            </w:r>
          </w:p>
        </w:tc>
        <w:tc>
          <w:tcPr>
            <w:tcW w:w="575" w:type="pct"/>
            <w:tcBorders>
              <w:top w:val="nil"/>
              <w:bottom w:val="single" w:sz="4" w:space="0" w:color="auto"/>
            </w:tcBorders>
          </w:tcPr>
          <w:p w:rsidR="00C278F0" w:rsidRPr="00A0281F" w:rsidRDefault="00C278F0" w:rsidP="00BE64AA">
            <w:pPr>
              <w:pStyle w:val="TableText0"/>
              <w:keepLines/>
              <w:jc w:val="center"/>
            </w:pPr>
            <w:r w:rsidRPr="00A0281F">
              <w:t>+20.0%</w:t>
            </w:r>
          </w:p>
        </w:tc>
      </w:tr>
      <w:tr w:rsidR="00C278F0" w:rsidRPr="00A0281F" w:rsidTr="00C278F0">
        <w:trPr>
          <w:cantSplit/>
        </w:trPr>
        <w:tc>
          <w:tcPr>
            <w:tcW w:w="5000" w:type="pct"/>
            <w:gridSpan w:val="6"/>
            <w:tcBorders>
              <w:bottom w:val="single" w:sz="4" w:space="0" w:color="auto"/>
            </w:tcBorders>
          </w:tcPr>
          <w:p w:rsidR="00C278F0" w:rsidRPr="00A0281F" w:rsidRDefault="00C278F0" w:rsidP="00BE64AA">
            <w:pPr>
              <w:pStyle w:val="TableText0"/>
              <w:keepLines/>
            </w:pPr>
            <w:r w:rsidRPr="00A0281F">
              <w:t>Utility values (base case NOVA ITT cohort, adjusted, treatment specific)</w:t>
            </w:r>
            <w:r w:rsidRPr="00A0281F">
              <w:rPr>
                <w:vertAlign w:val="superscript"/>
              </w:rPr>
              <w:t>a</w:t>
            </w:r>
            <w:r w:rsidRPr="00A0281F">
              <w:t xml:space="preserve"> </w:t>
            </w:r>
          </w:p>
        </w:tc>
      </w:tr>
      <w:tr w:rsidR="00C278F0" w:rsidRPr="00A0281F" w:rsidTr="00C278F0">
        <w:trPr>
          <w:cantSplit/>
        </w:trPr>
        <w:tc>
          <w:tcPr>
            <w:tcW w:w="2563" w:type="pct"/>
            <w:gridSpan w:val="2"/>
            <w:tcBorders>
              <w:top w:val="single" w:sz="4" w:space="0" w:color="auto"/>
              <w:bottom w:val="nil"/>
            </w:tcBorders>
          </w:tcPr>
          <w:p w:rsidR="00C278F0" w:rsidRPr="00A0281F" w:rsidRDefault="00C278F0" w:rsidP="00A84F44">
            <w:pPr>
              <w:pStyle w:val="TableText0"/>
              <w:keepLines/>
              <w:numPr>
                <w:ilvl w:val="0"/>
                <w:numId w:val="8"/>
              </w:numPr>
              <w:ind w:left="596"/>
            </w:pPr>
            <w:r w:rsidRPr="00A0281F">
              <w:t>Non-gBRCAm cohort, adjusted, treatment specific</w:t>
            </w:r>
            <w:r w:rsidRPr="00A0281F">
              <w:rPr>
                <w:vertAlign w:val="superscript"/>
              </w:rPr>
              <w:t>b</w:t>
            </w:r>
          </w:p>
        </w:tc>
        <w:tc>
          <w:tcPr>
            <w:tcW w:w="634" w:type="pct"/>
            <w:tcBorders>
              <w:top w:val="single" w:sz="4" w:space="0" w:color="auto"/>
              <w:bottom w:val="nil"/>
            </w:tcBorders>
          </w:tcPr>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Borders>
              <w:top w:val="single" w:sz="4" w:space="0" w:color="auto"/>
              <w:bottom w:val="nil"/>
            </w:tcBorders>
          </w:tcPr>
          <w:p w:rsidR="00C278F0" w:rsidRPr="00A0281F" w:rsidRDefault="00C278F0" w:rsidP="00BE64AA">
            <w:pPr>
              <w:pStyle w:val="TableText0"/>
              <w:keepLines/>
              <w:jc w:val="center"/>
            </w:pPr>
            <w:r w:rsidRPr="00A0281F">
              <w:t>0.43</w:t>
            </w:r>
          </w:p>
        </w:tc>
        <w:tc>
          <w:tcPr>
            <w:tcW w:w="594" w:type="pct"/>
            <w:tcBorders>
              <w:top w:val="single" w:sz="4" w:space="0" w:color="auto"/>
              <w:bottom w:val="nil"/>
            </w:tcBorders>
          </w:tcPr>
          <w:p w:rsidR="00C278F0" w:rsidRPr="00A0281F" w:rsidRDefault="00C278F0" w:rsidP="00BE64AA">
            <w:pPr>
              <w:pStyle w:val="TableText0"/>
              <w:keepLines/>
              <w:jc w:val="center"/>
            </w:pPr>
            <w:r w:rsidRPr="00A0281F">
              <w:t>$</w:t>
            </w:r>
            <w:r w:rsidR="00614C0A">
              <w:rPr>
                <w:noProof/>
                <w:color w:val="000000"/>
                <w:highlight w:val="black"/>
              </w:rPr>
              <w:t>'''''''''''''''</w:t>
            </w:r>
            <w:r w:rsidR="001E0429">
              <w:rPr>
                <w:vertAlign w:val="superscript"/>
              </w:rPr>
              <w:t>1</w:t>
            </w:r>
          </w:p>
        </w:tc>
        <w:tc>
          <w:tcPr>
            <w:tcW w:w="575" w:type="pct"/>
            <w:tcBorders>
              <w:top w:val="single" w:sz="4" w:space="0" w:color="auto"/>
              <w:bottom w:val="nil"/>
            </w:tcBorders>
          </w:tcPr>
          <w:p w:rsidR="00C278F0" w:rsidRPr="00A0281F" w:rsidRDefault="00C278F0" w:rsidP="00BE64AA">
            <w:pPr>
              <w:pStyle w:val="TableText0"/>
              <w:keepLines/>
              <w:jc w:val="center"/>
            </w:pPr>
            <w:r w:rsidRPr="00A0281F">
              <w:t>-8.6%</w:t>
            </w:r>
          </w:p>
        </w:tc>
      </w:tr>
      <w:tr w:rsidR="00C278F0" w:rsidRPr="00A0281F" w:rsidTr="00C278F0">
        <w:trPr>
          <w:cantSplit/>
        </w:trPr>
        <w:tc>
          <w:tcPr>
            <w:tcW w:w="2563" w:type="pct"/>
            <w:gridSpan w:val="2"/>
            <w:tcBorders>
              <w:top w:val="nil"/>
              <w:bottom w:val="nil"/>
            </w:tcBorders>
          </w:tcPr>
          <w:p w:rsidR="00C278F0" w:rsidRPr="00A0281F" w:rsidRDefault="00C278F0" w:rsidP="00A84F44">
            <w:pPr>
              <w:pStyle w:val="TableText0"/>
              <w:keepLines/>
              <w:numPr>
                <w:ilvl w:val="0"/>
                <w:numId w:val="8"/>
              </w:numPr>
              <w:ind w:left="596"/>
            </w:pPr>
            <w:r w:rsidRPr="00A0281F">
              <w:t>ITT cohort, unadjusted, treatment specific</w:t>
            </w:r>
            <w:r w:rsidRPr="00A0281F">
              <w:rPr>
                <w:vertAlign w:val="superscript"/>
              </w:rPr>
              <w:t>c</w:t>
            </w:r>
          </w:p>
        </w:tc>
        <w:tc>
          <w:tcPr>
            <w:tcW w:w="634" w:type="pct"/>
            <w:tcBorders>
              <w:top w:val="nil"/>
              <w:bottom w:val="nil"/>
            </w:tcBorders>
          </w:tcPr>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Borders>
              <w:top w:val="nil"/>
              <w:bottom w:val="nil"/>
            </w:tcBorders>
          </w:tcPr>
          <w:p w:rsidR="00C278F0" w:rsidRPr="00A0281F" w:rsidRDefault="00C278F0" w:rsidP="00BE64AA">
            <w:pPr>
              <w:pStyle w:val="TableText0"/>
              <w:keepLines/>
              <w:jc w:val="center"/>
            </w:pPr>
            <w:r w:rsidRPr="00A0281F">
              <w:t>0.48</w:t>
            </w:r>
          </w:p>
        </w:tc>
        <w:tc>
          <w:tcPr>
            <w:tcW w:w="594" w:type="pct"/>
            <w:tcBorders>
              <w:top w:val="nil"/>
              <w:bottom w:val="nil"/>
            </w:tcBorders>
          </w:tcPr>
          <w:p w:rsidR="00C278F0" w:rsidRPr="00A0281F" w:rsidRDefault="00C278F0" w:rsidP="00BE64AA">
            <w:pPr>
              <w:pStyle w:val="TableText0"/>
              <w:keepLines/>
              <w:jc w:val="center"/>
            </w:pPr>
            <w:r w:rsidRPr="00A0281F">
              <w:t>$</w:t>
            </w:r>
            <w:r w:rsidR="00614C0A">
              <w:rPr>
                <w:noProof/>
                <w:color w:val="000000"/>
                <w:highlight w:val="black"/>
              </w:rPr>
              <w:t>'''''''''''''''''</w:t>
            </w:r>
            <w:r w:rsidR="001E0429">
              <w:rPr>
                <w:vertAlign w:val="superscript"/>
              </w:rPr>
              <w:t>3</w:t>
            </w:r>
          </w:p>
        </w:tc>
        <w:tc>
          <w:tcPr>
            <w:tcW w:w="575" w:type="pct"/>
            <w:tcBorders>
              <w:top w:val="nil"/>
              <w:bottom w:val="nil"/>
            </w:tcBorders>
          </w:tcPr>
          <w:p w:rsidR="00C278F0" w:rsidRPr="00A0281F" w:rsidRDefault="00C278F0" w:rsidP="00BE64AA">
            <w:pPr>
              <w:pStyle w:val="TableText0"/>
              <w:keepLines/>
              <w:jc w:val="center"/>
            </w:pPr>
            <w:r w:rsidRPr="00A0281F">
              <w:t>-17.3%</w:t>
            </w:r>
          </w:p>
        </w:tc>
      </w:tr>
      <w:tr w:rsidR="00C278F0" w:rsidRPr="00A0281F" w:rsidTr="00C278F0">
        <w:trPr>
          <w:cantSplit/>
        </w:trPr>
        <w:tc>
          <w:tcPr>
            <w:tcW w:w="2563" w:type="pct"/>
            <w:gridSpan w:val="2"/>
            <w:tcBorders>
              <w:top w:val="nil"/>
              <w:bottom w:val="nil"/>
            </w:tcBorders>
          </w:tcPr>
          <w:p w:rsidR="00C278F0" w:rsidRPr="00A0281F" w:rsidRDefault="00C278F0" w:rsidP="00A84F44">
            <w:pPr>
              <w:pStyle w:val="TableText0"/>
              <w:keepLines/>
              <w:numPr>
                <w:ilvl w:val="0"/>
                <w:numId w:val="8"/>
              </w:numPr>
              <w:ind w:left="596"/>
            </w:pPr>
            <w:r w:rsidRPr="00A0281F">
              <w:t>ITT cohort, adjusted, non-treatment specific</w:t>
            </w:r>
            <w:r w:rsidRPr="00A0281F">
              <w:rPr>
                <w:vertAlign w:val="superscript"/>
              </w:rPr>
              <w:t>d</w:t>
            </w:r>
          </w:p>
        </w:tc>
        <w:tc>
          <w:tcPr>
            <w:tcW w:w="634" w:type="pct"/>
            <w:tcBorders>
              <w:top w:val="nil"/>
              <w:bottom w:val="nil"/>
            </w:tcBorders>
          </w:tcPr>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Borders>
              <w:top w:val="nil"/>
              <w:bottom w:val="nil"/>
            </w:tcBorders>
          </w:tcPr>
          <w:p w:rsidR="00C278F0" w:rsidRPr="00A0281F" w:rsidRDefault="00C278F0" w:rsidP="00BE64AA">
            <w:pPr>
              <w:pStyle w:val="TableText0"/>
              <w:keepLines/>
              <w:jc w:val="center"/>
            </w:pPr>
            <w:r w:rsidRPr="00A0281F">
              <w:t>0.31</w:t>
            </w:r>
          </w:p>
        </w:tc>
        <w:tc>
          <w:tcPr>
            <w:tcW w:w="594" w:type="pct"/>
            <w:tcBorders>
              <w:top w:val="nil"/>
              <w:bottom w:val="nil"/>
            </w:tcBorders>
          </w:tcPr>
          <w:p w:rsidR="00C278F0" w:rsidRPr="00A0281F" w:rsidRDefault="00C278F0" w:rsidP="00BE64AA">
            <w:pPr>
              <w:pStyle w:val="TableText0"/>
              <w:keepLines/>
              <w:jc w:val="center"/>
            </w:pPr>
            <w:r w:rsidRPr="00A0281F">
              <w:t>$</w:t>
            </w:r>
            <w:r w:rsidR="00614C0A">
              <w:rPr>
                <w:noProof/>
                <w:color w:val="000000"/>
                <w:highlight w:val="black"/>
              </w:rPr>
              <w:t>''''''''''''''''</w:t>
            </w:r>
            <w:r w:rsidR="001E0429">
              <w:rPr>
                <w:vertAlign w:val="superscript"/>
              </w:rPr>
              <w:t>2</w:t>
            </w:r>
          </w:p>
        </w:tc>
        <w:tc>
          <w:tcPr>
            <w:tcW w:w="575" w:type="pct"/>
            <w:tcBorders>
              <w:top w:val="nil"/>
              <w:bottom w:val="nil"/>
            </w:tcBorders>
          </w:tcPr>
          <w:p w:rsidR="00C278F0" w:rsidRPr="00A0281F" w:rsidRDefault="00C278F0" w:rsidP="00BE64AA">
            <w:pPr>
              <w:pStyle w:val="TableText0"/>
              <w:keepLines/>
              <w:jc w:val="center"/>
            </w:pPr>
            <w:r w:rsidRPr="00A0281F">
              <w:t>+26.1%</w:t>
            </w:r>
          </w:p>
        </w:tc>
      </w:tr>
      <w:tr w:rsidR="00C278F0" w:rsidRPr="00A0281F" w:rsidTr="00C278F0">
        <w:trPr>
          <w:cantSplit/>
        </w:trPr>
        <w:tc>
          <w:tcPr>
            <w:tcW w:w="2563" w:type="pct"/>
            <w:gridSpan w:val="2"/>
            <w:tcBorders>
              <w:top w:val="nil"/>
              <w:bottom w:val="single" w:sz="4" w:space="0" w:color="auto"/>
            </w:tcBorders>
          </w:tcPr>
          <w:p w:rsidR="00C278F0" w:rsidRPr="00A0281F" w:rsidRDefault="00C278F0" w:rsidP="00A84F44">
            <w:pPr>
              <w:pStyle w:val="TableText0"/>
              <w:keepLines/>
              <w:numPr>
                <w:ilvl w:val="0"/>
                <w:numId w:val="8"/>
              </w:numPr>
              <w:ind w:left="596"/>
            </w:pPr>
            <w:r w:rsidRPr="00A0281F">
              <w:t>Utilities from NICE olaparib TA620</w:t>
            </w:r>
            <w:r w:rsidRPr="00A0281F">
              <w:rPr>
                <w:vertAlign w:val="superscript"/>
              </w:rPr>
              <w:t xml:space="preserve"> e,f</w:t>
            </w:r>
          </w:p>
        </w:tc>
        <w:tc>
          <w:tcPr>
            <w:tcW w:w="634" w:type="pct"/>
            <w:tcBorders>
              <w:top w:val="nil"/>
              <w:bottom w:val="single" w:sz="4" w:space="0" w:color="auto"/>
            </w:tcBorders>
          </w:tcPr>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Borders>
              <w:top w:val="nil"/>
              <w:bottom w:val="single" w:sz="4" w:space="0" w:color="auto"/>
            </w:tcBorders>
          </w:tcPr>
          <w:p w:rsidR="00C278F0" w:rsidRPr="00A0281F" w:rsidRDefault="00C278F0" w:rsidP="00BE64AA">
            <w:pPr>
              <w:pStyle w:val="TableText0"/>
              <w:keepLines/>
              <w:jc w:val="center"/>
            </w:pPr>
            <w:r w:rsidRPr="00A0281F">
              <w:t>0.34</w:t>
            </w:r>
          </w:p>
        </w:tc>
        <w:tc>
          <w:tcPr>
            <w:tcW w:w="594" w:type="pct"/>
            <w:tcBorders>
              <w:top w:val="nil"/>
              <w:bottom w:val="single" w:sz="4" w:space="0" w:color="auto"/>
            </w:tcBorders>
          </w:tcPr>
          <w:p w:rsidR="00C278F0" w:rsidRPr="00A0281F" w:rsidRDefault="00C278F0" w:rsidP="00BE64AA">
            <w:pPr>
              <w:pStyle w:val="TableText0"/>
              <w:keepLines/>
              <w:jc w:val="center"/>
            </w:pPr>
            <w:r w:rsidRPr="00A0281F">
              <w:t>$</w:t>
            </w:r>
            <w:r w:rsidR="00614C0A">
              <w:rPr>
                <w:noProof/>
                <w:color w:val="000000"/>
                <w:highlight w:val="black"/>
              </w:rPr>
              <w:t>''''''''''''''''</w:t>
            </w:r>
            <w:r w:rsidR="001E0429">
              <w:rPr>
                <w:vertAlign w:val="superscript"/>
              </w:rPr>
              <w:t>1</w:t>
            </w:r>
          </w:p>
        </w:tc>
        <w:tc>
          <w:tcPr>
            <w:tcW w:w="575" w:type="pct"/>
            <w:tcBorders>
              <w:top w:val="nil"/>
              <w:bottom w:val="single" w:sz="4" w:space="0" w:color="auto"/>
            </w:tcBorders>
          </w:tcPr>
          <w:p w:rsidR="00C278F0" w:rsidRPr="00A0281F" w:rsidRDefault="00C278F0" w:rsidP="00BE64AA">
            <w:pPr>
              <w:pStyle w:val="TableText0"/>
              <w:keepLines/>
              <w:jc w:val="center"/>
            </w:pPr>
            <w:r w:rsidRPr="00A0281F">
              <w:t>+14.8%</w:t>
            </w:r>
          </w:p>
        </w:tc>
      </w:tr>
      <w:tr w:rsidR="00C278F0" w:rsidRPr="00A0281F" w:rsidTr="00C278F0">
        <w:trPr>
          <w:cantSplit/>
        </w:trPr>
        <w:tc>
          <w:tcPr>
            <w:tcW w:w="5000" w:type="pct"/>
            <w:gridSpan w:val="6"/>
            <w:tcBorders>
              <w:bottom w:val="single" w:sz="4" w:space="0" w:color="auto"/>
            </w:tcBorders>
          </w:tcPr>
          <w:p w:rsidR="00C278F0" w:rsidRPr="00A0281F" w:rsidRDefault="00C278F0" w:rsidP="00BE64AA">
            <w:pPr>
              <w:pStyle w:val="TableText0"/>
              <w:keepLines/>
              <w:spacing w:after="20"/>
            </w:pPr>
            <w:r w:rsidRPr="00A0281F">
              <w:t>Subsequent treatment costs (base case included pharmaceutical, administration and management of AEs costs)</w:t>
            </w:r>
          </w:p>
        </w:tc>
      </w:tr>
      <w:tr w:rsidR="00C278F0" w:rsidRPr="00A0281F" w:rsidTr="00C278F0">
        <w:trPr>
          <w:cantSplit/>
        </w:trPr>
        <w:tc>
          <w:tcPr>
            <w:tcW w:w="2563" w:type="pct"/>
            <w:gridSpan w:val="2"/>
            <w:tcBorders>
              <w:top w:val="single" w:sz="4" w:space="0" w:color="auto"/>
              <w:bottom w:val="nil"/>
            </w:tcBorders>
          </w:tcPr>
          <w:p w:rsidR="00C278F0" w:rsidRPr="00A0281F" w:rsidRDefault="00C278F0" w:rsidP="00A84F44">
            <w:pPr>
              <w:pStyle w:val="TableText0"/>
              <w:keepLines/>
              <w:numPr>
                <w:ilvl w:val="0"/>
                <w:numId w:val="8"/>
              </w:numPr>
              <w:ind w:left="596"/>
            </w:pPr>
            <w:r w:rsidRPr="00A0281F">
              <w:t>Excluding cost of managing AEs</w:t>
            </w:r>
          </w:p>
        </w:tc>
        <w:tc>
          <w:tcPr>
            <w:tcW w:w="634" w:type="pct"/>
            <w:tcBorders>
              <w:top w:val="single" w:sz="4" w:space="0" w:color="auto"/>
              <w:bottom w:val="nil"/>
            </w:tcBorders>
          </w:tcPr>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Borders>
              <w:top w:val="single" w:sz="4" w:space="0" w:color="auto"/>
              <w:bottom w:val="nil"/>
            </w:tcBorders>
          </w:tcPr>
          <w:p w:rsidR="00C278F0" w:rsidRPr="00A0281F" w:rsidRDefault="00C278F0" w:rsidP="00BE64AA">
            <w:pPr>
              <w:pStyle w:val="TableText0"/>
              <w:keepLines/>
              <w:jc w:val="center"/>
            </w:pPr>
            <w:r w:rsidRPr="00A0281F">
              <w:t>0.39</w:t>
            </w:r>
          </w:p>
        </w:tc>
        <w:tc>
          <w:tcPr>
            <w:tcW w:w="594" w:type="pct"/>
            <w:tcBorders>
              <w:top w:val="single" w:sz="4" w:space="0" w:color="auto"/>
              <w:bottom w:val="nil"/>
            </w:tcBorders>
          </w:tcPr>
          <w:p w:rsidR="00C278F0" w:rsidRPr="00A0281F" w:rsidRDefault="00C278F0" w:rsidP="00BE64AA">
            <w:pPr>
              <w:pStyle w:val="TableText0"/>
              <w:keepLines/>
              <w:jc w:val="center"/>
            </w:pPr>
            <w:r w:rsidRPr="00A0281F">
              <w:t>$</w:t>
            </w:r>
            <w:r w:rsidR="00614C0A">
              <w:rPr>
                <w:noProof/>
                <w:color w:val="000000"/>
                <w:highlight w:val="black"/>
              </w:rPr>
              <w:t>''''''''''''''''</w:t>
            </w:r>
            <w:r w:rsidR="001E0429">
              <w:rPr>
                <w:vertAlign w:val="superscript"/>
              </w:rPr>
              <w:t>1</w:t>
            </w:r>
          </w:p>
        </w:tc>
        <w:tc>
          <w:tcPr>
            <w:tcW w:w="575" w:type="pct"/>
            <w:tcBorders>
              <w:top w:val="single" w:sz="4" w:space="0" w:color="auto"/>
              <w:bottom w:val="nil"/>
            </w:tcBorders>
          </w:tcPr>
          <w:p w:rsidR="00C278F0" w:rsidRPr="00A0281F" w:rsidRDefault="00C278F0" w:rsidP="00BE64AA">
            <w:pPr>
              <w:pStyle w:val="TableText0"/>
              <w:keepLines/>
              <w:jc w:val="center"/>
            </w:pPr>
            <w:r w:rsidRPr="00A0281F">
              <w:t>+5.8%</w:t>
            </w:r>
          </w:p>
        </w:tc>
      </w:tr>
      <w:tr w:rsidR="00C278F0" w:rsidRPr="00A0281F" w:rsidTr="00C278F0">
        <w:trPr>
          <w:cantSplit/>
        </w:trPr>
        <w:tc>
          <w:tcPr>
            <w:tcW w:w="2563" w:type="pct"/>
            <w:gridSpan w:val="2"/>
            <w:tcBorders>
              <w:top w:val="nil"/>
              <w:bottom w:val="single" w:sz="4" w:space="0" w:color="auto"/>
            </w:tcBorders>
          </w:tcPr>
          <w:p w:rsidR="00C278F0" w:rsidRPr="00A0281F" w:rsidRDefault="00C278F0" w:rsidP="00A84F44">
            <w:pPr>
              <w:pStyle w:val="TableText0"/>
              <w:keepLines/>
              <w:numPr>
                <w:ilvl w:val="0"/>
                <w:numId w:val="8"/>
              </w:numPr>
              <w:ind w:left="596"/>
            </w:pPr>
            <w:r w:rsidRPr="00A0281F">
              <w:t>Assuming the same utilisation in both arms</w:t>
            </w:r>
          </w:p>
        </w:tc>
        <w:tc>
          <w:tcPr>
            <w:tcW w:w="634" w:type="pct"/>
            <w:tcBorders>
              <w:top w:val="nil"/>
              <w:bottom w:val="single" w:sz="4" w:space="0" w:color="auto"/>
            </w:tcBorders>
          </w:tcPr>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Borders>
              <w:top w:val="nil"/>
              <w:bottom w:val="single" w:sz="4" w:space="0" w:color="auto"/>
            </w:tcBorders>
          </w:tcPr>
          <w:p w:rsidR="00C278F0" w:rsidRPr="00A0281F" w:rsidRDefault="00C278F0" w:rsidP="00BE64AA">
            <w:pPr>
              <w:pStyle w:val="TableText0"/>
              <w:keepLines/>
              <w:jc w:val="center"/>
            </w:pPr>
            <w:r w:rsidRPr="00A0281F">
              <w:t>0.39</w:t>
            </w:r>
          </w:p>
        </w:tc>
        <w:tc>
          <w:tcPr>
            <w:tcW w:w="594" w:type="pct"/>
            <w:tcBorders>
              <w:top w:val="nil"/>
              <w:bottom w:val="single" w:sz="4" w:space="0" w:color="auto"/>
            </w:tcBorders>
          </w:tcPr>
          <w:p w:rsidR="00C278F0" w:rsidRPr="00A0281F" w:rsidRDefault="00C278F0" w:rsidP="00BE64AA">
            <w:pPr>
              <w:pStyle w:val="TableText0"/>
              <w:keepLines/>
              <w:jc w:val="center"/>
            </w:pPr>
            <w:r w:rsidRPr="00A0281F">
              <w:t>$</w:t>
            </w:r>
            <w:r w:rsidR="00614C0A">
              <w:rPr>
                <w:noProof/>
                <w:color w:val="000000"/>
                <w:highlight w:val="black"/>
              </w:rPr>
              <w:t>'''''''''''''''</w:t>
            </w:r>
            <w:r w:rsidR="001E0429">
              <w:rPr>
                <w:vertAlign w:val="superscript"/>
              </w:rPr>
              <w:t>1</w:t>
            </w:r>
          </w:p>
        </w:tc>
        <w:tc>
          <w:tcPr>
            <w:tcW w:w="575" w:type="pct"/>
            <w:tcBorders>
              <w:top w:val="nil"/>
              <w:bottom w:val="single" w:sz="4" w:space="0" w:color="auto"/>
            </w:tcBorders>
          </w:tcPr>
          <w:p w:rsidR="00C278F0" w:rsidRPr="00A0281F" w:rsidRDefault="00C278F0" w:rsidP="00BE64AA">
            <w:pPr>
              <w:pStyle w:val="TableText0"/>
              <w:keepLines/>
              <w:jc w:val="center"/>
            </w:pPr>
            <w:r w:rsidRPr="00A0281F">
              <w:t>+7.6%</w:t>
            </w:r>
          </w:p>
        </w:tc>
      </w:tr>
      <w:tr w:rsidR="00C278F0" w:rsidRPr="00A0281F" w:rsidTr="00C278F0">
        <w:trPr>
          <w:cantSplit/>
        </w:trPr>
        <w:tc>
          <w:tcPr>
            <w:tcW w:w="2563" w:type="pct"/>
            <w:gridSpan w:val="2"/>
            <w:tcBorders>
              <w:right w:val="nil"/>
            </w:tcBorders>
          </w:tcPr>
          <w:p w:rsidR="00C278F0" w:rsidRPr="00A0281F" w:rsidRDefault="00C278F0" w:rsidP="00BE64AA">
            <w:pPr>
              <w:pStyle w:val="TableText0"/>
              <w:keepLines/>
            </w:pPr>
            <w:r w:rsidRPr="00A0281F">
              <w:t>Terminal care cost (base case $</w:t>
            </w:r>
            <w:r w:rsidR="00614C0A">
              <w:rPr>
                <w:noProof/>
                <w:color w:val="000000"/>
                <w:highlight w:val="black"/>
              </w:rPr>
              <w:t>'''''''''''''''</w:t>
            </w:r>
            <w:r w:rsidRPr="00A0281F">
              <w:t>)</w:t>
            </w:r>
          </w:p>
        </w:tc>
        <w:tc>
          <w:tcPr>
            <w:tcW w:w="634" w:type="pct"/>
            <w:tcBorders>
              <w:left w:val="nil"/>
              <w:right w:val="nil"/>
            </w:tcBorders>
          </w:tcPr>
          <w:p w:rsidR="00C278F0" w:rsidRPr="00A0281F" w:rsidRDefault="00C278F0" w:rsidP="00BE64AA">
            <w:pPr>
              <w:pStyle w:val="TableText0"/>
              <w:keepLines/>
              <w:jc w:val="center"/>
            </w:pPr>
          </w:p>
        </w:tc>
        <w:tc>
          <w:tcPr>
            <w:tcW w:w="634" w:type="pct"/>
            <w:tcBorders>
              <w:left w:val="nil"/>
              <w:right w:val="nil"/>
            </w:tcBorders>
          </w:tcPr>
          <w:p w:rsidR="00C278F0" w:rsidRPr="00A0281F" w:rsidRDefault="00C278F0" w:rsidP="00BE64AA">
            <w:pPr>
              <w:pStyle w:val="TableText0"/>
              <w:keepLines/>
              <w:jc w:val="center"/>
            </w:pPr>
          </w:p>
        </w:tc>
        <w:tc>
          <w:tcPr>
            <w:tcW w:w="594" w:type="pct"/>
            <w:tcBorders>
              <w:left w:val="nil"/>
              <w:right w:val="nil"/>
            </w:tcBorders>
          </w:tcPr>
          <w:p w:rsidR="00C278F0" w:rsidRPr="00A0281F" w:rsidRDefault="00C278F0" w:rsidP="00BE64AA">
            <w:pPr>
              <w:pStyle w:val="TableText0"/>
              <w:keepLines/>
              <w:jc w:val="center"/>
            </w:pPr>
          </w:p>
        </w:tc>
        <w:tc>
          <w:tcPr>
            <w:tcW w:w="575" w:type="pct"/>
            <w:tcBorders>
              <w:left w:val="nil"/>
            </w:tcBorders>
          </w:tcPr>
          <w:p w:rsidR="00C278F0" w:rsidRPr="00A0281F" w:rsidRDefault="00C278F0" w:rsidP="00BE64AA">
            <w:pPr>
              <w:pStyle w:val="TableText0"/>
              <w:keepLines/>
            </w:pPr>
          </w:p>
        </w:tc>
      </w:tr>
      <w:tr w:rsidR="00C278F0" w:rsidRPr="00A0281F" w:rsidTr="00C278F0">
        <w:trPr>
          <w:cantSplit/>
        </w:trPr>
        <w:tc>
          <w:tcPr>
            <w:tcW w:w="2563" w:type="pct"/>
            <w:gridSpan w:val="2"/>
            <w:tcBorders>
              <w:bottom w:val="single" w:sz="4" w:space="0" w:color="auto"/>
            </w:tcBorders>
          </w:tcPr>
          <w:p w:rsidR="00C278F0" w:rsidRPr="00A0281F" w:rsidRDefault="00C278F0" w:rsidP="00A84F44">
            <w:pPr>
              <w:pStyle w:val="TableText0"/>
              <w:keepLines/>
              <w:numPr>
                <w:ilvl w:val="0"/>
                <w:numId w:val="8"/>
              </w:numPr>
              <w:ind w:left="596"/>
            </w:pPr>
            <w:r w:rsidRPr="00A0281F">
              <w:t>Excluded ($0)</w:t>
            </w:r>
          </w:p>
        </w:tc>
        <w:tc>
          <w:tcPr>
            <w:tcW w:w="634" w:type="pct"/>
            <w:tcBorders>
              <w:bottom w:val="single" w:sz="4" w:space="0" w:color="auto"/>
            </w:tcBorders>
          </w:tcPr>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Borders>
              <w:bottom w:val="single" w:sz="4" w:space="0" w:color="auto"/>
            </w:tcBorders>
          </w:tcPr>
          <w:p w:rsidR="00C278F0" w:rsidRPr="00A0281F" w:rsidRDefault="00C278F0" w:rsidP="00BE64AA">
            <w:pPr>
              <w:pStyle w:val="TableText0"/>
              <w:keepLines/>
              <w:jc w:val="center"/>
            </w:pPr>
            <w:r w:rsidRPr="00A0281F">
              <w:t>0.39</w:t>
            </w:r>
          </w:p>
        </w:tc>
        <w:tc>
          <w:tcPr>
            <w:tcW w:w="594" w:type="pct"/>
            <w:tcBorders>
              <w:bottom w:val="single" w:sz="4" w:space="0" w:color="auto"/>
            </w:tcBorders>
          </w:tcPr>
          <w:p w:rsidR="00C278F0" w:rsidRPr="00A0281F" w:rsidRDefault="00C278F0" w:rsidP="00BE64AA">
            <w:pPr>
              <w:pStyle w:val="TableText0"/>
              <w:keepLines/>
              <w:jc w:val="center"/>
            </w:pPr>
            <w:r w:rsidRPr="00A0281F">
              <w:t>$</w:t>
            </w:r>
            <w:r w:rsidR="00614C0A">
              <w:rPr>
                <w:noProof/>
                <w:color w:val="000000"/>
                <w:highlight w:val="black"/>
              </w:rPr>
              <w:t>''''''''''''''''</w:t>
            </w:r>
            <w:r w:rsidR="001E0429">
              <w:rPr>
                <w:vertAlign w:val="superscript"/>
              </w:rPr>
              <w:t>1</w:t>
            </w:r>
          </w:p>
        </w:tc>
        <w:tc>
          <w:tcPr>
            <w:tcW w:w="575" w:type="pct"/>
            <w:tcBorders>
              <w:bottom w:val="single" w:sz="4" w:space="0" w:color="auto"/>
            </w:tcBorders>
          </w:tcPr>
          <w:p w:rsidR="00C278F0" w:rsidRPr="00A0281F" w:rsidRDefault="00C278F0" w:rsidP="00BE64AA">
            <w:pPr>
              <w:pStyle w:val="TableText0"/>
              <w:keepLines/>
              <w:jc w:val="center"/>
            </w:pPr>
            <w:r w:rsidRPr="00A0281F">
              <w:t>+5.1%</w:t>
            </w:r>
          </w:p>
        </w:tc>
      </w:tr>
      <w:tr w:rsidR="00C278F0" w:rsidRPr="00A0281F" w:rsidTr="00C278F0">
        <w:trPr>
          <w:cantSplit/>
        </w:trPr>
        <w:tc>
          <w:tcPr>
            <w:tcW w:w="2563" w:type="pct"/>
            <w:gridSpan w:val="2"/>
            <w:tcBorders>
              <w:right w:val="nil"/>
            </w:tcBorders>
          </w:tcPr>
          <w:p w:rsidR="00C278F0" w:rsidRPr="00A0281F" w:rsidRDefault="00C278F0" w:rsidP="00BE64AA">
            <w:pPr>
              <w:pStyle w:val="TableText0"/>
              <w:keepLines/>
              <w:rPr>
                <w:b/>
              </w:rPr>
            </w:pPr>
            <w:r w:rsidRPr="00A0281F">
              <w:rPr>
                <w:b/>
              </w:rPr>
              <w:t>Multivariate sensitivity analyses</w:t>
            </w:r>
          </w:p>
        </w:tc>
        <w:tc>
          <w:tcPr>
            <w:tcW w:w="634" w:type="pct"/>
            <w:tcBorders>
              <w:left w:val="nil"/>
              <w:right w:val="nil"/>
            </w:tcBorders>
          </w:tcPr>
          <w:p w:rsidR="00C278F0" w:rsidRPr="00A0281F" w:rsidRDefault="00C278F0" w:rsidP="00BE64AA">
            <w:pPr>
              <w:pStyle w:val="TableText0"/>
              <w:keepLines/>
              <w:jc w:val="center"/>
            </w:pPr>
          </w:p>
        </w:tc>
        <w:tc>
          <w:tcPr>
            <w:tcW w:w="634" w:type="pct"/>
            <w:tcBorders>
              <w:left w:val="nil"/>
              <w:right w:val="nil"/>
            </w:tcBorders>
          </w:tcPr>
          <w:p w:rsidR="00C278F0" w:rsidRPr="00A0281F" w:rsidRDefault="00C278F0" w:rsidP="00BE64AA">
            <w:pPr>
              <w:pStyle w:val="TableText0"/>
              <w:keepLines/>
              <w:jc w:val="center"/>
            </w:pPr>
          </w:p>
        </w:tc>
        <w:tc>
          <w:tcPr>
            <w:tcW w:w="594" w:type="pct"/>
            <w:tcBorders>
              <w:left w:val="nil"/>
              <w:right w:val="nil"/>
            </w:tcBorders>
          </w:tcPr>
          <w:p w:rsidR="00C278F0" w:rsidRPr="00A0281F" w:rsidRDefault="00C278F0" w:rsidP="00BE64AA">
            <w:pPr>
              <w:pStyle w:val="TableText0"/>
              <w:keepLines/>
              <w:jc w:val="center"/>
            </w:pPr>
          </w:p>
        </w:tc>
        <w:tc>
          <w:tcPr>
            <w:tcW w:w="575" w:type="pct"/>
            <w:tcBorders>
              <w:left w:val="nil"/>
            </w:tcBorders>
          </w:tcPr>
          <w:p w:rsidR="00C278F0" w:rsidRPr="00A0281F" w:rsidRDefault="00C278F0" w:rsidP="00BE64AA">
            <w:pPr>
              <w:pStyle w:val="TableText0"/>
              <w:keepLines/>
              <w:jc w:val="center"/>
            </w:pPr>
          </w:p>
        </w:tc>
      </w:tr>
      <w:tr w:rsidR="00C278F0" w:rsidRPr="00A0281F" w:rsidTr="00C278F0">
        <w:trPr>
          <w:cantSplit/>
        </w:trPr>
        <w:tc>
          <w:tcPr>
            <w:tcW w:w="274" w:type="pct"/>
          </w:tcPr>
          <w:p w:rsidR="00C278F0" w:rsidRPr="00A0281F" w:rsidRDefault="00C278F0" w:rsidP="00BE64AA">
            <w:pPr>
              <w:pStyle w:val="TableText0"/>
              <w:keepLines/>
            </w:pPr>
            <w:r w:rsidRPr="00A0281F">
              <w:t>#1</w:t>
            </w:r>
          </w:p>
        </w:tc>
        <w:tc>
          <w:tcPr>
            <w:tcW w:w="2289" w:type="pct"/>
          </w:tcPr>
          <w:p w:rsidR="00C278F0" w:rsidRPr="00A0281F" w:rsidRDefault="00C278F0" w:rsidP="00BE64AA">
            <w:pPr>
              <w:pStyle w:val="TableText0"/>
              <w:keepLines/>
            </w:pPr>
            <w:r w:rsidRPr="00A0281F">
              <w:t>7.5 year time horizon and log-logistic extrapolation OS</w:t>
            </w:r>
          </w:p>
        </w:tc>
        <w:tc>
          <w:tcPr>
            <w:tcW w:w="634" w:type="pct"/>
          </w:tcPr>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Pr>
          <w:p w:rsidR="00C278F0" w:rsidRPr="00A0281F" w:rsidRDefault="00C278F0" w:rsidP="00BE64AA">
            <w:pPr>
              <w:pStyle w:val="TableText0"/>
              <w:keepLines/>
              <w:jc w:val="center"/>
            </w:pPr>
            <w:r w:rsidRPr="00A0281F">
              <w:t>0.33</w:t>
            </w:r>
          </w:p>
        </w:tc>
        <w:tc>
          <w:tcPr>
            <w:tcW w:w="594" w:type="pct"/>
          </w:tcPr>
          <w:p w:rsidR="00C278F0" w:rsidRPr="00A0281F" w:rsidRDefault="00C278F0" w:rsidP="00BE64AA">
            <w:pPr>
              <w:pStyle w:val="TableText0"/>
              <w:keepLines/>
              <w:jc w:val="center"/>
            </w:pPr>
            <w:r w:rsidRPr="00A0281F">
              <w:t>$</w:t>
            </w:r>
            <w:r w:rsidR="00614C0A">
              <w:rPr>
                <w:noProof/>
                <w:color w:val="000000"/>
                <w:highlight w:val="black"/>
              </w:rPr>
              <w:t>'''''''''''''''</w:t>
            </w:r>
            <w:r w:rsidR="001E0429">
              <w:rPr>
                <w:vertAlign w:val="superscript"/>
              </w:rPr>
              <w:t>2</w:t>
            </w:r>
          </w:p>
        </w:tc>
        <w:tc>
          <w:tcPr>
            <w:tcW w:w="575" w:type="pct"/>
          </w:tcPr>
          <w:p w:rsidR="00C278F0" w:rsidRPr="00A0281F" w:rsidRDefault="00C278F0" w:rsidP="00BE64AA">
            <w:pPr>
              <w:pStyle w:val="TableText0"/>
              <w:keepLines/>
              <w:jc w:val="center"/>
              <w:rPr>
                <w:highlight w:val="yellow"/>
              </w:rPr>
            </w:pPr>
            <w:r w:rsidRPr="00A0281F">
              <w:t>+19.2%</w:t>
            </w:r>
          </w:p>
        </w:tc>
      </w:tr>
      <w:tr w:rsidR="00C278F0" w:rsidRPr="00A0281F" w:rsidTr="00C278F0">
        <w:trPr>
          <w:cantSplit/>
        </w:trPr>
        <w:tc>
          <w:tcPr>
            <w:tcW w:w="274" w:type="pct"/>
          </w:tcPr>
          <w:p w:rsidR="00C278F0" w:rsidRPr="00A0281F" w:rsidRDefault="00C278F0" w:rsidP="00BE64AA">
            <w:pPr>
              <w:pStyle w:val="TableText0"/>
              <w:keepLines/>
            </w:pPr>
            <w:r w:rsidRPr="00A0281F">
              <w:t>#2</w:t>
            </w:r>
          </w:p>
        </w:tc>
        <w:tc>
          <w:tcPr>
            <w:tcW w:w="2289" w:type="pct"/>
          </w:tcPr>
          <w:p w:rsidR="00C278F0" w:rsidRPr="00A0281F" w:rsidRDefault="00C278F0" w:rsidP="00BE64AA">
            <w:pPr>
              <w:pStyle w:val="TableText0"/>
              <w:keepLines/>
            </w:pPr>
            <w:r w:rsidRPr="00A0281F">
              <w:t>Log-logistic extrapolation OS and NICE olaparib utilities</w:t>
            </w:r>
          </w:p>
        </w:tc>
        <w:tc>
          <w:tcPr>
            <w:tcW w:w="634" w:type="pct"/>
          </w:tcPr>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Pr>
          <w:p w:rsidR="00C278F0" w:rsidRPr="00A0281F" w:rsidRDefault="00C278F0" w:rsidP="00BE64AA">
            <w:pPr>
              <w:pStyle w:val="TableText0"/>
              <w:keepLines/>
              <w:jc w:val="center"/>
            </w:pPr>
            <w:r w:rsidRPr="00A0281F">
              <w:t>0.30</w:t>
            </w:r>
          </w:p>
        </w:tc>
        <w:tc>
          <w:tcPr>
            <w:tcW w:w="594" w:type="pct"/>
          </w:tcPr>
          <w:p w:rsidR="00C278F0" w:rsidRPr="00A0281F" w:rsidRDefault="00C278F0" w:rsidP="00BE64AA">
            <w:pPr>
              <w:pStyle w:val="TableText0"/>
              <w:keepLines/>
              <w:jc w:val="center"/>
            </w:pPr>
            <w:r w:rsidRPr="00A0281F">
              <w:t>$</w:t>
            </w:r>
            <w:r w:rsidR="00614C0A">
              <w:rPr>
                <w:noProof/>
                <w:color w:val="000000"/>
                <w:highlight w:val="black"/>
              </w:rPr>
              <w:t>'''''''''''''''</w:t>
            </w:r>
            <w:r w:rsidR="001E0429">
              <w:rPr>
                <w:vertAlign w:val="superscript"/>
              </w:rPr>
              <w:t>2</w:t>
            </w:r>
          </w:p>
        </w:tc>
        <w:tc>
          <w:tcPr>
            <w:tcW w:w="575" w:type="pct"/>
          </w:tcPr>
          <w:p w:rsidR="00C278F0" w:rsidRPr="00A0281F" w:rsidRDefault="00C278F0" w:rsidP="00BE64AA">
            <w:pPr>
              <w:pStyle w:val="TableText0"/>
              <w:keepLines/>
              <w:jc w:val="center"/>
              <w:rPr>
                <w:highlight w:val="yellow"/>
              </w:rPr>
            </w:pPr>
            <w:r w:rsidRPr="00A0281F">
              <w:t>+30.2%</w:t>
            </w:r>
          </w:p>
        </w:tc>
      </w:tr>
      <w:tr w:rsidR="00C278F0" w:rsidRPr="00A0281F" w:rsidTr="00C278F0">
        <w:trPr>
          <w:cantSplit/>
        </w:trPr>
        <w:tc>
          <w:tcPr>
            <w:tcW w:w="274" w:type="pct"/>
          </w:tcPr>
          <w:p w:rsidR="00C278F0" w:rsidRPr="00A0281F" w:rsidRDefault="00C278F0" w:rsidP="00BE64AA">
            <w:pPr>
              <w:pStyle w:val="TableText0"/>
              <w:keepLines/>
            </w:pPr>
            <w:r w:rsidRPr="00A0281F">
              <w:t>#3</w:t>
            </w:r>
          </w:p>
        </w:tc>
        <w:tc>
          <w:tcPr>
            <w:tcW w:w="2289" w:type="pct"/>
          </w:tcPr>
          <w:p w:rsidR="00C278F0" w:rsidRPr="00A0281F" w:rsidRDefault="00C278F0" w:rsidP="00BE64AA">
            <w:pPr>
              <w:pStyle w:val="TableText0"/>
              <w:keepLines/>
            </w:pPr>
            <w:r w:rsidRPr="00A0281F">
              <w:t>Equal utilisation of subsequent treatments and no end of life care costs</w:t>
            </w:r>
          </w:p>
        </w:tc>
        <w:tc>
          <w:tcPr>
            <w:tcW w:w="634" w:type="pct"/>
          </w:tcPr>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Pr>
          <w:p w:rsidR="00C278F0" w:rsidRPr="00A0281F" w:rsidRDefault="00C278F0" w:rsidP="00BE64AA">
            <w:pPr>
              <w:pStyle w:val="TableText0"/>
              <w:keepLines/>
              <w:jc w:val="center"/>
            </w:pPr>
            <w:r w:rsidRPr="00A0281F">
              <w:t>0.39</w:t>
            </w:r>
          </w:p>
        </w:tc>
        <w:tc>
          <w:tcPr>
            <w:tcW w:w="594" w:type="pct"/>
          </w:tcPr>
          <w:p w:rsidR="00C278F0" w:rsidRPr="00A0281F" w:rsidRDefault="00C278F0" w:rsidP="00BE64AA">
            <w:pPr>
              <w:pStyle w:val="TableText0"/>
              <w:keepLines/>
              <w:jc w:val="center"/>
            </w:pPr>
            <w:r w:rsidRPr="00A0281F">
              <w:t>$</w:t>
            </w:r>
            <w:r w:rsidR="00614C0A">
              <w:rPr>
                <w:noProof/>
                <w:color w:val="000000"/>
                <w:highlight w:val="black"/>
              </w:rPr>
              <w:t>''''''''''''''''</w:t>
            </w:r>
            <w:r w:rsidR="001E0429">
              <w:rPr>
                <w:vertAlign w:val="superscript"/>
              </w:rPr>
              <w:t>1</w:t>
            </w:r>
          </w:p>
        </w:tc>
        <w:tc>
          <w:tcPr>
            <w:tcW w:w="575" w:type="pct"/>
          </w:tcPr>
          <w:p w:rsidR="00C278F0" w:rsidRPr="00A0281F" w:rsidRDefault="00C278F0" w:rsidP="00BE64AA">
            <w:pPr>
              <w:pStyle w:val="TableText0"/>
              <w:keepLines/>
              <w:jc w:val="center"/>
              <w:rPr>
                <w:highlight w:val="yellow"/>
              </w:rPr>
            </w:pPr>
            <w:r w:rsidRPr="00A0281F">
              <w:t>+12.7%</w:t>
            </w:r>
          </w:p>
        </w:tc>
      </w:tr>
      <w:tr w:rsidR="00C278F0" w:rsidRPr="00A0281F" w:rsidTr="00C278F0">
        <w:trPr>
          <w:cantSplit/>
        </w:trPr>
        <w:tc>
          <w:tcPr>
            <w:tcW w:w="274" w:type="pct"/>
          </w:tcPr>
          <w:p w:rsidR="00C278F0" w:rsidRPr="00A0281F" w:rsidRDefault="00C278F0" w:rsidP="00BE64AA">
            <w:pPr>
              <w:pStyle w:val="TableText0"/>
              <w:keepLines/>
            </w:pPr>
            <w:r w:rsidRPr="00A0281F">
              <w:t>#4</w:t>
            </w:r>
          </w:p>
        </w:tc>
        <w:tc>
          <w:tcPr>
            <w:tcW w:w="2289" w:type="pct"/>
          </w:tcPr>
          <w:p w:rsidR="00C278F0" w:rsidRPr="00A0281F" w:rsidRDefault="00C278F0" w:rsidP="00BE64AA">
            <w:pPr>
              <w:pStyle w:val="TableText0"/>
              <w:keepLines/>
            </w:pPr>
            <w:r w:rsidRPr="00A0281F">
              <w:t>#2 and no end of life costs</w:t>
            </w:r>
          </w:p>
        </w:tc>
        <w:tc>
          <w:tcPr>
            <w:tcW w:w="634" w:type="pct"/>
          </w:tcPr>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Pr>
          <w:p w:rsidR="00C278F0" w:rsidRPr="00A0281F" w:rsidRDefault="00C278F0" w:rsidP="00BE64AA">
            <w:pPr>
              <w:pStyle w:val="TableText0"/>
              <w:keepLines/>
              <w:jc w:val="center"/>
            </w:pPr>
            <w:r w:rsidRPr="00A0281F">
              <w:t>0.30</w:t>
            </w:r>
          </w:p>
        </w:tc>
        <w:tc>
          <w:tcPr>
            <w:tcW w:w="594" w:type="pct"/>
          </w:tcPr>
          <w:p w:rsidR="00C278F0" w:rsidRPr="00614C0A" w:rsidRDefault="00C278F0" w:rsidP="00BE64AA">
            <w:pPr>
              <w:pStyle w:val="TableText0"/>
              <w:keepLines/>
              <w:jc w:val="center"/>
            </w:pPr>
            <w:r w:rsidRPr="00E62035">
              <w:t>$</w:t>
            </w:r>
            <w:r w:rsidR="00614C0A">
              <w:rPr>
                <w:noProof/>
                <w:color w:val="000000"/>
                <w:highlight w:val="black"/>
              </w:rPr>
              <w:t>'''''''''''''''''</w:t>
            </w:r>
            <w:r w:rsidR="001E0429">
              <w:rPr>
                <w:vertAlign w:val="superscript"/>
              </w:rPr>
              <w:t>2</w:t>
            </w:r>
          </w:p>
        </w:tc>
        <w:tc>
          <w:tcPr>
            <w:tcW w:w="575" w:type="pct"/>
          </w:tcPr>
          <w:p w:rsidR="00C278F0" w:rsidRPr="00614C0A" w:rsidRDefault="00C278F0">
            <w:pPr>
              <w:pStyle w:val="TableText0"/>
              <w:keepLines/>
              <w:jc w:val="center"/>
              <w:rPr>
                <w:vertAlign w:val="superscript"/>
              </w:rPr>
            </w:pPr>
            <w:r w:rsidRPr="00A0281F">
              <w:t>+35.1%</w:t>
            </w:r>
          </w:p>
        </w:tc>
      </w:tr>
      <w:tr w:rsidR="00C278F0" w:rsidRPr="00A0281F" w:rsidTr="00C278F0">
        <w:trPr>
          <w:cantSplit/>
        </w:trPr>
        <w:tc>
          <w:tcPr>
            <w:tcW w:w="274" w:type="pct"/>
          </w:tcPr>
          <w:p w:rsidR="00C278F0" w:rsidRPr="00A0281F" w:rsidRDefault="00C278F0" w:rsidP="00BE64AA">
            <w:pPr>
              <w:pStyle w:val="TableText0"/>
              <w:keepLines/>
            </w:pPr>
            <w:r w:rsidRPr="00A0281F">
              <w:t>#5</w:t>
            </w:r>
          </w:p>
        </w:tc>
        <w:tc>
          <w:tcPr>
            <w:tcW w:w="2289" w:type="pct"/>
          </w:tcPr>
          <w:p w:rsidR="00C278F0" w:rsidRPr="00A0281F" w:rsidRDefault="00C278F0" w:rsidP="00BE64AA">
            <w:pPr>
              <w:pStyle w:val="TableText0"/>
              <w:keepLines/>
            </w:pPr>
            <w:r w:rsidRPr="00A0281F">
              <w:t>#4 and equal utilisation of subsequent treatments</w:t>
            </w:r>
          </w:p>
        </w:tc>
        <w:tc>
          <w:tcPr>
            <w:tcW w:w="634" w:type="pct"/>
          </w:tcPr>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Pr>
          <w:p w:rsidR="00C278F0" w:rsidRPr="00A0281F" w:rsidRDefault="00C278F0" w:rsidP="00BE64AA">
            <w:pPr>
              <w:pStyle w:val="TableText0"/>
              <w:keepLines/>
              <w:jc w:val="center"/>
            </w:pPr>
            <w:r w:rsidRPr="00A0281F">
              <w:t>0.30</w:t>
            </w:r>
          </w:p>
        </w:tc>
        <w:tc>
          <w:tcPr>
            <w:tcW w:w="594" w:type="pct"/>
          </w:tcPr>
          <w:p w:rsidR="00C278F0" w:rsidRPr="00614C0A" w:rsidRDefault="00C278F0" w:rsidP="00BE64AA">
            <w:pPr>
              <w:pStyle w:val="TableText0"/>
              <w:keepLines/>
              <w:jc w:val="center"/>
            </w:pPr>
            <w:r w:rsidRPr="00E62035">
              <w:t>$</w:t>
            </w:r>
            <w:r w:rsidR="00614C0A">
              <w:rPr>
                <w:noProof/>
                <w:color w:val="000000"/>
                <w:highlight w:val="black"/>
              </w:rPr>
              <w:t>''''''''''''''''</w:t>
            </w:r>
            <w:r w:rsidR="001E0429">
              <w:rPr>
                <w:vertAlign w:val="superscript"/>
              </w:rPr>
              <w:t>2</w:t>
            </w:r>
          </w:p>
        </w:tc>
        <w:tc>
          <w:tcPr>
            <w:tcW w:w="575" w:type="pct"/>
          </w:tcPr>
          <w:p w:rsidR="00C278F0" w:rsidRPr="00A0281F" w:rsidRDefault="00C278F0" w:rsidP="00BE64AA">
            <w:pPr>
              <w:pStyle w:val="TableText0"/>
              <w:keepLines/>
              <w:jc w:val="center"/>
            </w:pPr>
            <w:r w:rsidRPr="00A0281F">
              <w:t>+44.9%</w:t>
            </w:r>
          </w:p>
        </w:tc>
      </w:tr>
      <w:tr w:rsidR="00C278F0" w:rsidRPr="00A0281F" w:rsidTr="00C278F0">
        <w:trPr>
          <w:cantSplit/>
        </w:trPr>
        <w:tc>
          <w:tcPr>
            <w:tcW w:w="274" w:type="pct"/>
          </w:tcPr>
          <w:p w:rsidR="00C278F0" w:rsidRPr="00A0281F" w:rsidRDefault="00C278F0" w:rsidP="00BE64AA">
            <w:pPr>
              <w:pStyle w:val="TableText0"/>
              <w:keepLines/>
            </w:pPr>
            <w:r w:rsidRPr="00A0281F">
              <w:t>#6</w:t>
            </w:r>
          </w:p>
        </w:tc>
        <w:tc>
          <w:tcPr>
            <w:tcW w:w="2289" w:type="pct"/>
          </w:tcPr>
          <w:p w:rsidR="00C278F0" w:rsidRPr="00A0281F" w:rsidRDefault="00C278F0" w:rsidP="00BE64AA">
            <w:pPr>
              <w:pStyle w:val="TableText0"/>
              <w:keepLines/>
            </w:pPr>
            <w:r w:rsidRPr="00A0281F">
              <w:t>Fixed starting dose and log-logistic extrapolation OS</w:t>
            </w:r>
          </w:p>
        </w:tc>
        <w:tc>
          <w:tcPr>
            <w:tcW w:w="634" w:type="pct"/>
          </w:tcPr>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Pr>
          <w:p w:rsidR="00C278F0" w:rsidRPr="00A0281F" w:rsidRDefault="00C278F0" w:rsidP="00BE64AA">
            <w:pPr>
              <w:pStyle w:val="TableText0"/>
              <w:keepLines/>
              <w:jc w:val="center"/>
            </w:pPr>
            <w:r w:rsidRPr="00A0281F">
              <w:t>0.35</w:t>
            </w:r>
          </w:p>
        </w:tc>
        <w:tc>
          <w:tcPr>
            <w:tcW w:w="594" w:type="pct"/>
          </w:tcPr>
          <w:p w:rsidR="00C278F0" w:rsidRPr="00A0281F" w:rsidRDefault="00C278F0" w:rsidP="00BE64AA">
            <w:pPr>
              <w:pStyle w:val="TableText0"/>
              <w:keepLines/>
              <w:jc w:val="center"/>
            </w:pPr>
            <w:r w:rsidRPr="00A0281F">
              <w:t>$</w:t>
            </w:r>
            <w:r w:rsidR="00614C0A">
              <w:rPr>
                <w:noProof/>
                <w:color w:val="000000"/>
                <w:highlight w:val="black"/>
              </w:rPr>
              <w:t>'''''''''''''''''</w:t>
            </w:r>
            <w:r w:rsidR="001E0429">
              <w:rPr>
                <w:vertAlign w:val="superscript"/>
              </w:rPr>
              <w:t>2</w:t>
            </w:r>
          </w:p>
        </w:tc>
        <w:tc>
          <w:tcPr>
            <w:tcW w:w="575" w:type="pct"/>
          </w:tcPr>
          <w:p w:rsidR="00C278F0" w:rsidRPr="00A0281F" w:rsidRDefault="00C278F0" w:rsidP="00BE64AA">
            <w:pPr>
              <w:pStyle w:val="TableText0"/>
              <w:keepLines/>
              <w:jc w:val="center"/>
              <w:rPr>
                <w:highlight w:val="yellow"/>
              </w:rPr>
            </w:pPr>
            <w:r w:rsidRPr="00A0281F">
              <w:t>+37.0%</w:t>
            </w:r>
          </w:p>
        </w:tc>
      </w:tr>
      <w:tr w:rsidR="00C278F0" w:rsidRPr="00A0281F" w:rsidTr="00C278F0">
        <w:trPr>
          <w:cantSplit/>
        </w:trPr>
        <w:tc>
          <w:tcPr>
            <w:tcW w:w="274" w:type="pct"/>
          </w:tcPr>
          <w:p w:rsidR="00C278F0" w:rsidRPr="00A0281F" w:rsidRDefault="00C278F0" w:rsidP="00BE64AA">
            <w:pPr>
              <w:pStyle w:val="TableText0"/>
              <w:keepLines/>
            </w:pPr>
            <w:r w:rsidRPr="00A0281F">
              <w:t>#7</w:t>
            </w:r>
          </w:p>
        </w:tc>
        <w:tc>
          <w:tcPr>
            <w:tcW w:w="2289" w:type="pct"/>
          </w:tcPr>
          <w:p w:rsidR="00C278F0" w:rsidRPr="00A0281F" w:rsidRDefault="00C278F0" w:rsidP="00BE64AA">
            <w:pPr>
              <w:pStyle w:val="TableText0"/>
              <w:keepLines/>
            </w:pPr>
            <w:r w:rsidRPr="00A0281F">
              <w:t>#6 and NICE olaparib utilities</w:t>
            </w:r>
          </w:p>
        </w:tc>
        <w:tc>
          <w:tcPr>
            <w:tcW w:w="634" w:type="pct"/>
          </w:tcPr>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Pr>
          <w:p w:rsidR="00C278F0" w:rsidRPr="00A0281F" w:rsidRDefault="00C278F0" w:rsidP="00BE64AA">
            <w:pPr>
              <w:pStyle w:val="TableText0"/>
              <w:keepLines/>
              <w:jc w:val="center"/>
            </w:pPr>
            <w:r w:rsidRPr="00A0281F">
              <w:t>0.30</w:t>
            </w:r>
          </w:p>
        </w:tc>
        <w:tc>
          <w:tcPr>
            <w:tcW w:w="594" w:type="pct"/>
          </w:tcPr>
          <w:p w:rsidR="00C278F0" w:rsidRPr="00A0281F" w:rsidRDefault="00C278F0" w:rsidP="00BE64AA">
            <w:pPr>
              <w:pStyle w:val="TableText0"/>
              <w:keepLines/>
              <w:jc w:val="center"/>
            </w:pPr>
            <w:r w:rsidRPr="00A0281F">
              <w:t>$</w:t>
            </w:r>
            <w:r w:rsidR="00614C0A">
              <w:rPr>
                <w:noProof/>
                <w:color w:val="000000"/>
                <w:highlight w:val="black"/>
              </w:rPr>
              <w:t>'''''''''''''''''</w:t>
            </w:r>
            <w:r w:rsidR="001E0429">
              <w:rPr>
                <w:vertAlign w:val="superscript"/>
              </w:rPr>
              <w:t>4</w:t>
            </w:r>
          </w:p>
        </w:tc>
        <w:tc>
          <w:tcPr>
            <w:tcW w:w="575" w:type="pct"/>
          </w:tcPr>
          <w:p w:rsidR="00C278F0" w:rsidRPr="00A0281F" w:rsidRDefault="00C278F0" w:rsidP="00BE64AA">
            <w:pPr>
              <w:pStyle w:val="TableText0"/>
              <w:keepLines/>
              <w:jc w:val="center"/>
              <w:rPr>
                <w:highlight w:val="yellow"/>
              </w:rPr>
            </w:pPr>
            <w:r w:rsidRPr="00A0281F">
              <w:t>+56.0%</w:t>
            </w:r>
          </w:p>
        </w:tc>
      </w:tr>
      <w:tr w:rsidR="00C278F0" w:rsidRPr="00A0281F" w:rsidTr="00C278F0">
        <w:trPr>
          <w:cantSplit/>
        </w:trPr>
        <w:tc>
          <w:tcPr>
            <w:tcW w:w="274" w:type="pct"/>
          </w:tcPr>
          <w:p w:rsidR="00C278F0" w:rsidRPr="00A0281F" w:rsidRDefault="00C278F0" w:rsidP="00BE64AA">
            <w:pPr>
              <w:pStyle w:val="TableText0"/>
              <w:keepLines/>
            </w:pPr>
            <w:r w:rsidRPr="00A0281F">
              <w:t>#8</w:t>
            </w:r>
          </w:p>
        </w:tc>
        <w:tc>
          <w:tcPr>
            <w:tcW w:w="2289" w:type="pct"/>
          </w:tcPr>
          <w:p w:rsidR="00C278F0" w:rsidRPr="00A0281F" w:rsidRDefault="00C278F0" w:rsidP="00BE64AA">
            <w:pPr>
              <w:pStyle w:val="TableText0"/>
              <w:keepLines/>
            </w:pPr>
            <w:r w:rsidRPr="00A0281F">
              <w:t>#7 and no end of life costs</w:t>
            </w:r>
          </w:p>
        </w:tc>
        <w:tc>
          <w:tcPr>
            <w:tcW w:w="634" w:type="pct"/>
          </w:tcPr>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Pr>
          <w:p w:rsidR="00C278F0" w:rsidRPr="00A0281F" w:rsidRDefault="00C278F0" w:rsidP="00BE64AA">
            <w:pPr>
              <w:pStyle w:val="TableText0"/>
              <w:keepLines/>
              <w:jc w:val="center"/>
            </w:pPr>
            <w:r w:rsidRPr="00A0281F">
              <w:t>0.30</w:t>
            </w:r>
          </w:p>
        </w:tc>
        <w:tc>
          <w:tcPr>
            <w:tcW w:w="594" w:type="pct"/>
          </w:tcPr>
          <w:p w:rsidR="00C278F0" w:rsidRPr="00A0281F" w:rsidRDefault="00C278F0" w:rsidP="00BE64AA">
            <w:pPr>
              <w:pStyle w:val="TableText0"/>
              <w:keepLines/>
              <w:jc w:val="center"/>
            </w:pPr>
            <w:r w:rsidRPr="00A0281F">
              <w:t>$</w:t>
            </w:r>
            <w:r w:rsidR="00614C0A">
              <w:rPr>
                <w:noProof/>
                <w:color w:val="000000"/>
                <w:highlight w:val="black"/>
              </w:rPr>
              <w:t>''''''''''''''''''''</w:t>
            </w:r>
            <w:r w:rsidR="001E0429">
              <w:rPr>
                <w:vertAlign w:val="superscript"/>
              </w:rPr>
              <w:t>4</w:t>
            </w:r>
          </w:p>
        </w:tc>
        <w:tc>
          <w:tcPr>
            <w:tcW w:w="575" w:type="pct"/>
          </w:tcPr>
          <w:p w:rsidR="00C278F0" w:rsidRPr="00A0281F" w:rsidRDefault="00C278F0" w:rsidP="00BE64AA">
            <w:pPr>
              <w:pStyle w:val="TableText0"/>
              <w:keepLines/>
              <w:jc w:val="center"/>
              <w:rPr>
                <w:highlight w:val="yellow"/>
              </w:rPr>
            </w:pPr>
            <w:r w:rsidRPr="00A0281F">
              <w:t>+60.9%</w:t>
            </w:r>
          </w:p>
        </w:tc>
      </w:tr>
      <w:tr w:rsidR="00C278F0" w:rsidRPr="00A0281F" w:rsidTr="00C278F0">
        <w:trPr>
          <w:cantSplit/>
        </w:trPr>
        <w:tc>
          <w:tcPr>
            <w:tcW w:w="274" w:type="pct"/>
          </w:tcPr>
          <w:p w:rsidR="00C278F0" w:rsidRPr="00A0281F" w:rsidRDefault="00C278F0" w:rsidP="00BE64AA">
            <w:pPr>
              <w:pStyle w:val="TableText0"/>
              <w:keepLines/>
            </w:pPr>
            <w:r w:rsidRPr="00A0281F">
              <w:t>#9</w:t>
            </w:r>
          </w:p>
        </w:tc>
        <w:tc>
          <w:tcPr>
            <w:tcW w:w="2289" w:type="pct"/>
          </w:tcPr>
          <w:p w:rsidR="00C278F0" w:rsidRPr="00A0281F" w:rsidRDefault="00C278F0" w:rsidP="00BE64AA">
            <w:pPr>
              <w:pStyle w:val="TableText0"/>
              <w:keepLines/>
            </w:pPr>
            <w:r w:rsidRPr="00A0281F">
              <w:t>#8 and equal utilisation of subsequent treatments</w:t>
            </w:r>
          </w:p>
        </w:tc>
        <w:tc>
          <w:tcPr>
            <w:tcW w:w="634" w:type="pct"/>
          </w:tcPr>
          <w:p w:rsidR="00C278F0" w:rsidRPr="00A0281F" w:rsidRDefault="00C278F0" w:rsidP="00BE64AA">
            <w:pPr>
              <w:pStyle w:val="TableText0"/>
              <w:keepLines/>
              <w:jc w:val="center"/>
            </w:pPr>
            <w:r w:rsidRPr="00A0281F">
              <w:t>$</w:t>
            </w:r>
            <w:r w:rsidR="00614C0A">
              <w:rPr>
                <w:noProof/>
                <w:color w:val="000000"/>
                <w:highlight w:val="black"/>
              </w:rPr>
              <w:t>''''''''''''''''''</w:t>
            </w:r>
          </w:p>
        </w:tc>
        <w:tc>
          <w:tcPr>
            <w:tcW w:w="634" w:type="pct"/>
          </w:tcPr>
          <w:p w:rsidR="00C278F0" w:rsidRPr="00A0281F" w:rsidRDefault="00C278F0" w:rsidP="00BE64AA">
            <w:pPr>
              <w:pStyle w:val="TableText0"/>
              <w:keepLines/>
              <w:jc w:val="center"/>
            </w:pPr>
            <w:r w:rsidRPr="00A0281F">
              <w:t>0.30</w:t>
            </w:r>
          </w:p>
        </w:tc>
        <w:tc>
          <w:tcPr>
            <w:tcW w:w="594" w:type="pct"/>
          </w:tcPr>
          <w:p w:rsidR="00C278F0" w:rsidRPr="00A0281F" w:rsidRDefault="00C278F0" w:rsidP="00BE64AA">
            <w:pPr>
              <w:pStyle w:val="TableText0"/>
              <w:keepLines/>
              <w:jc w:val="center"/>
            </w:pPr>
            <w:r w:rsidRPr="00A0281F">
              <w:t>$</w:t>
            </w:r>
            <w:r w:rsidR="00614C0A">
              <w:rPr>
                <w:noProof/>
                <w:color w:val="000000"/>
                <w:highlight w:val="black"/>
              </w:rPr>
              <w:t>'''''''''''''''''''''</w:t>
            </w:r>
            <w:r w:rsidR="001E0429">
              <w:rPr>
                <w:vertAlign w:val="superscript"/>
              </w:rPr>
              <w:t>4</w:t>
            </w:r>
          </w:p>
        </w:tc>
        <w:tc>
          <w:tcPr>
            <w:tcW w:w="575" w:type="pct"/>
          </w:tcPr>
          <w:p w:rsidR="00C278F0" w:rsidRPr="00A0281F" w:rsidRDefault="00C278F0" w:rsidP="00BE64AA">
            <w:pPr>
              <w:pStyle w:val="TableText0"/>
              <w:keepLines/>
              <w:jc w:val="center"/>
            </w:pPr>
            <w:r w:rsidRPr="00A0281F">
              <w:t>+70.6%</w:t>
            </w:r>
          </w:p>
        </w:tc>
      </w:tr>
    </w:tbl>
    <w:p w:rsidR="00C278F0" w:rsidRDefault="00C278F0" w:rsidP="00BE64AA">
      <w:pPr>
        <w:pStyle w:val="TableFigureFooter"/>
        <w:keepNext/>
        <w:keepLines/>
      </w:pPr>
      <w:r>
        <w:t xml:space="preserve">Source: Table 118 of the submission; </w:t>
      </w:r>
      <w:r w:rsidRPr="000F7DEA">
        <w:t>Excel workbook ‘Ze</w:t>
      </w:r>
      <w:r>
        <w:t>jula (niraparib) non-BRCAm CEA’</w:t>
      </w:r>
    </w:p>
    <w:p w:rsidR="00C278F0" w:rsidRPr="002345C3" w:rsidRDefault="00C278F0" w:rsidP="00BE64AA">
      <w:pPr>
        <w:pStyle w:val="TableFigureFooter"/>
        <w:keepNext/>
        <w:keepLines/>
      </w:pPr>
      <w:r>
        <w:t xml:space="preserve">AE = adverse event; </w:t>
      </w:r>
      <w:r w:rsidRPr="002345C3">
        <w:t>ICER = incremental cost-effectiveness ratio; ITT = intention to treat population; NICE = National Institute for Health</w:t>
      </w:r>
      <w:r>
        <w:t xml:space="preserve"> and C</w:t>
      </w:r>
      <w:r w:rsidRPr="002345C3">
        <w:t xml:space="preserve">are Excellence; </w:t>
      </w:r>
      <w:r>
        <w:t xml:space="preserve">OS = overall survival; </w:t>
      </w:r>
      <w:r w:rsidRPr="002345C3">
        <w:t>Q</w:t>
      </w:r>
      <w:r>
        <w:t>ALY = quality-adjusted life-year.</w:t>
      </w:r>
    </w:p>
    <w:p w:rsidR="00C278F0" w:rsidRDefault="00C278F0" w:rsidP="00BE64AA">
      <w:pPr>
        <w:pStyle w:val="TableFigureFooter"/>
        <w:keepNext/>
        <w:keepLines/>
      </w:pPr>
      <w:r>
        <w:rPr>
          <w:vertAlign w:val="superscript"/>
        </w:rPr>
        <w:t xml:space="preserve">a </w:t>
      </w:r>
      <w:r>
        <w:t>Niraparib PF 0.741, niraparib PD 0.713, SMM PF 0.734, SMM PD 0.679</w:t>
      </w:r>
    </w:p>
    <w:p w:rsidR="00C278F0" w:rsidRDefault="00C278F0" w:rsidP="00BE64AA">
      <w:pPr>
        <w:pStyle w:val="TableFigureFooter"/>
        <w:keepNext/>
        <w:keepLines/>
      </w:pPr>
      <w:r>
        <w:rPr>
          <w:vertAlign w:val="superscript"/>
        </w:rPr>
        <w:t xml:space="preserve">b </w:t>
      </w:r>
      <w:r>
        <w:t>Niraparib PF 0.745, niraparib PD 0.716, SMM PF 0.736, SMM PD 0.667</w:t>
      </w:r>
    </w:p>
    <w:p w:rsidR="00C278F0" w:rsidRPr="002F2572" w:rsidRDefault="00C278F0" w:rsidP="00BE64AA">
      <w:pPr>
        <w:pStyle w:val="TableFigureFooter"/>
        <w:keepNext/>
        <w:keepLines/>
      </w:pPr>
      <w:r>
        <w:rPr>
          <w:vertAlign w:val="superscript"/>
        </w:rPr>
        <w:t>c</w:t>
      </w:r>
      <w:r>
        <w:t xml:space="preserve"> Niraparib PF 0.786, niraparib PD 0.739, SMM PF 0.739, SMM PD 0.689</w:t>
      </w:r>
    </w:p>
    <w:p w:rsidR="00C278F0" w:rsidRPr="00A0281F" w:rsidRDefault="00C278F0" w:rsidP="00BE64AA">
      <w:pPr>
        <w:pStyle w:val="TableFigureFooter"/>
        <w:keepNext/>
        <w:keepLines/>
      </w:pPr>
      <w:r w:rsidRPr="00A0281F">
        <w:rPr>
          <w:vertAlign w:val="superscript"/>
        </w:rPr>
        <w:t xml:space="preserve">d </w:t>
      </w:r>
      <w:r w:rsidRPr="00A0281F">
        <w:t>The figures for this analysis in Table 118 of the submission could not be replicated. This analysis used the overall utilities reported in cells E95:E96 in the ‘settings spreadsheet of the Excel workbook for the cost-utilisation analysis: PF 0.739, PD 0.702 in both treatment arms.</w:t>
      </w:r>
    </w:p>
    <w:p w:rsidR="00C278F0" w:rsidRPr="00A0281F" w:rsidRDefault="00C278F0" w:rsidP="00BE64AA">
      <w:pPr>
        <w:pStyle w:val="TableFigureFooter"/>
        <w:keepNext/>
        <w:keepLines/>
      </w:pPr>
      <w:r w:rsidRPr="00A0281F">
        <w:rPr>
          <w:vertAlign w:val="superscript"/>
        </w:rPr>
        <w:t>e</w:t>
      </w:r>
      <w:r w:rsidRPr="00A0281F">
        <w:t xml:space="preserve"> Non-treatment specific utilities: PF 0.801, PD 0.719</w:t>
      </w:r>
    </w:p>
    <w:p w:rsidR="00C278F0" w:rsidRDefault="00C278F0" w:rsidP="00BE64AA">
      <w:pPr>
        <w:pStyle w:val="TableFigureFooter"/>
        <w:keepNext/>
        <w:keepLines/>
        <w:ind w:left="142" w:hanging="142"/>
      </w:pPr>
      <w:r w:rsidRPr="00A0281F">
        <w:rPr>
          <w:vertAlign w:val="superscript"/>
        </w:rPr>
        <w:t xml:space="preserve">f </w:t>
      </w:r>
      <w:r w:rsidRPr="00A0281F">
        <w:t xml:space="preserve">Source: Table 50 NICE Single technology appraisal TA620, Document B Company evidence submission, Appraisal consultation committee papers, </w:t>
      </w:r>
      <w:r w:rsidRPr="00614C0A">
        <w:t>https://www.nice.org.uk/guidance/ta620/evidence</w:t>
      </w:r>
      <w:r w:rsidRPr="00A0281F">
        <w:t>.</w:t>
      </w:r>
    </w:p>
    <w:p w:rsidR="001E0429" w:rsidRPr="009868C4" w:rsidRDefault="001E0429" w:rsidP="001E0429">
      <w:pPr>
        <w:pStyle w:val="TableFigureFooter"/>
        <w:spacing w:after="0"/>
        <w:contextualSpacing w:val="0"/>
      </w:pPr>
      <w:r w:rsidRPr="009868C4">
        <w:rPr>
          <w:i/>
        </w:rPr>
        <w:t>The redacted values correspond to the following ranges</w:t>
      </w:r>
      <w:r>
        <w:rPr>
          <w:i/>
        </w:rPr>
        <w:t xml:space="preserve">: </w:t>
      </w:r>
    </w:p>
    <w:p w:rsidR="001E0429" w:rsidRDefault="001E0429" w:rsidP="00BE64AA">
      <w:pPr>
        <w:pStyle w:val="TableFigureFooter"/>
        <w:keepNext/>
        <w:keepLines/>
        <w:ind w:left="142" w:hanging="142"/>
        <w:rPr>
          <w:i/>
        </w:rPr>
      </w:pPr>
      <w:r>
        <w:rPr>
          <w:i/>
          <w:vertAlign w:val="superscript"/>
        </w:rPr>
        <w:t xml:space="preserve">1 </w:t>
      </w:r>
      <w:r w:rsidRPr="00614C0A">
        <w:rPr>
          <w:i/>
        </w:rPr>
        <w:t>$55,000 to &lt; $75,000</w:t>
      </w:r>
    </w:p>
    <w:p w:rsidR="001E0429" w:rsidRDefault="001E0429" w:rsidP="001E0429">
      <w:pPr>
        <w:pStyle w:val="TableFigureFooter"/>
        <w:keepNext/>
        <w:keepLines/>
        <w:ind w:left="142" w:hanging="142"/>
        <w:rPr>
          <w:i/>
        </w:rPr>
      </w:pPr>
      <w:r>
        <w:rPr>
          <w:i/>
          <w:vertAlign w:val="superscript"/>
        </w:rPr>
        <w:t xml:space="preserve">2 </w:t>
      </w:r>
      <w:r w:rsidRPr="001E0429">
        <w:rPr>
          <w:i/>
        </w:rPr>
        <w:t>$75,000 to &lt; $95,000</w:t>
      </w:r>
    </w:p>
    <w:p w:rsidR="001E0429" w:rsidRPr="001E0429" w:rsidRDefault="001E0429" w:rsidP="001E0429">
      <w:pPr>
        <w:pStyle w:val="TableFigureFooter"/>
        <w:keepNext/>
        <w:keepLines/>
        <w:ind w:left="142" w:hanging="142"/>
        <w:rPr>
          <w:i/>
        </w:rPr>
      </w:pPr>
      <w:r>
        <w:rPr>
          <w:i/>
          <w:vertAlign w:val="superscript"/>
        </w:rPr>
        <w:t xml:space="preserve">3 </w:t>
      </w:r>
      <w:r w:rsidRPr="001E0429">
        <w:rPr>
          <w:i/>
        </w:rPr>
        <w:t>$45,000 to &lt; $55,000</w:t>
      </w:r>
    </w:p>
    <w:p w:rsidR="001E0429" w:rsidRPr="00614C0A" w:rsidRDefault="001E0429" w:rsidP="001E0429">
      <w:pPr>
        <w:pStyle w:val="TableFigureFooter"/>
        <w:keepNext/>
        <w:keepLines/>
        <w:ind w:left="142" w:hanging="142"/>
        <w:rPr>
          <w:i/>
        </w:rPr>
      </w:pPr>
      <w:r>
        <w:rPr>
          <w:i/>
          <w:vertAlign w:val="superscript"/>
        </w:rPr>
        <w:t xml:space="preserve">4 </w:t>
      </w:r>
      <w:r w:rsidRPr="001E0429">
        <w:rPr>
          <w:i/>
        </w:rPr>
        <w:t>$95,000 to &lt; $115,000</w:t>
      </w:r>
    </w:p>
    <w:p w:rsidR="00C278F0" w:rsidRPr="00A0281F" w:rsidRDefault="00C278F0" w:rsidP="00BE64AA">
      <w:pPr>
        <w:pStyle w:val="3-BodyText"/>
        <w:ind w:left="709"/>
      </w:pPr>
      <w:r w:rsidRPr="00A0281F">
        <w:t xml:space="preserve">The results of the sensitivity analyses indicated that the model was sensitive to the use of the translated dosing data for niraparib. This is a major source of uncertainty in </w:t>
      </w:r>
      <w:r w:rsidRPr="00A0281F">
        <w:lastRenderedPageBreak/>
        <w:t xml:space="preserve">the model. </w:t>
      </w:r>
      <w:r w:rsidR="00A57A57" w:rsidRPr="00D476BB">
        <w:t>As noted above, the model was also sensitive to the parametric function for extrapolation of OS and the use of treatment specific utilities.</w:t>
      </w:r>
    </w:p>
    <w:p w:rsidR="00C278F0" w:rsidRPr="0050548B" w:rsidRDefault="00C278F0" w:rsidP="00BE64AA">
      <w:pPr>
        <w:pStyle w:val="3-BodyText"/>
        <w:numPr>
          <w:ilvl w:val="0"/>
          <w:numId w:val="0"/>
        </w:numPr>
        <w:spacing w:before="240"/>
        <w:rPr>
          <w:b/>
        </w:rPr>
      </w:pPr>
      <w:r>
        <w:rPr>
          <w:b/>
        </w:rPr>
        <w:t xml:space="preserve">CMA - </w:t>
      </w:r>
      <w:r w:rsidRPr="0050548B">
        <w:rPr>
          <w:b/>
        </w:rPr>
        <w:t>BRCAm PSR HGSOC population</w:t>
      </w:r>
    </w:p>
    <w:p w:rsidR="00C278F0" w:rsidRPr="00A0281F" w:rsidRDefault="00C278F0" w:rsidP="00BE64AA">
      <w:pPr>
        <w:pStyle w:val="3-BodyText"/>
        <w:ind w:left="709"/>
      </w:pPr>
      <w:r w:rsidRPr="00EE32EB">
        <w:t xml:space="preserve">The submission presented a </w:t>
      </w:r>
      <w:r>
        <w:t>CMA</w:t>
      </w:r>
      <w:r w:rsidRPr="00EE32EB">
        <w:t xml:space="preserve"> of niraparib compared with olaparib for PSR HGSOC in the BRCAm population.</w:t>
      </w:r>
      <w:r>
        <w:t xml:space="preserve"> </w:t>
      </w:r>
      <w:r w:rsidRPr="001222FC">
        <w:t xml:space="preserve">The equi-effective doses </w:t>
      </w:r>
      <w:r>
        <w:t>we</w:t>
      </w:r>
      <w:r w:rsidRPr="001222FC">
        <w:t xml:space="preserve">re estimated as </w:t>
      </w:r>
      <w:r>
        <w:t xml:space="preserve">niraparib </w:t>
      </w:r>
      <w:r w:rsidRPr="00EE32EB">
        <w:t>1</w:t>
      </w:r>
      <w:r>
        <w:t>61 </w:t>
      </w:r>
      <w:r w:rsidRPr="00EE32EB">
        <w:t>mg</w:t>
      </w:r>
      <w:r w:rsidR="00614A9E">
        <w:rPr>
          <w:rStyle w:val="FootnoteReference"/>
        </w:rPr>
        <w:footnoteReference w:id="5"/>
      </w:r>
      <w:r w:rsidRPr="001222FC">
        <w:t xml:space="preserve"> and </w:t>
      </w:r>
      <w:r>
        <w:t xml:space="preserve">olaparib 542 mg. </w:t>
      </w:r>
      <w:r w:rsidRPr="00A0281F">
        <w:t>Conducting the cost-minimisation analysis on a cost per mg basis, when the cost per patient for niraparib differs by the dose received, while the cost per patient for olaparib is the same regardless of dose, is not appropriate. The cost-minimisation should have been based on the mean cost per patient per course</w:t>
      </w:r>
      <w:r w:rsidR="00A57A57">
        <w:t xml:space="preserve">, </w:t>
      </w:r>
      <w:r w:rsidR="00A57A57" w:rsidRPr="00D476BB">
        <w:t>however the ESC noted that this was also problematic given the limited trial data available</w:t>
      </w:r>
      <w:r w:rsidRPr="00A0281F">
        <w:t>. If a cost per mg approach is to be used, it would have been more conservative to assume that all patients treated with olaparib received the 150 mg tablets, consistent with the recommended fixed dose regimen (300 mg twice daily).</w:t>
      </w:r>
    </w:p>
    <w:p w:rsidR="00C278F0" w:rsidRPr="00A0281F" w:rsidRDefault="00C278F0" w:rsidP="00BE64AA">
      <w:pPr>
        <w:pStyle w:val="3-BodyText"/>
        <w:ind w:left="709"/>
      </w:pPr>
      <w:r w:rsidRPr="00A0281F">
        <w:t xml:space="preserve">The submission’s approach to estimating the equi-effective doses assumed that the mean duration of treatment for niraparib and olaparib is the same. This is reasonable only if it is accepted that they are non-inferior in terms of both PFS and safety. However, both drugs are intended to be continued until progression, and the median PFS for BRCAm patients receiving niraparib in NOVA </w:t>
      </w:r>
      <w:r w:rsidR="00825EFC" w:rsidRPr="00A0281F">
        <w:t xml:space="preserve">(21 months) </w:t>
      </w:r>
      <w:r w:rsidRPr="00A0281F">
        <w:t>was considerably shorter than that for patients receiving olaparib in SOLO-2</w:t>
      </w:r>
      <w:r w:rsidR="00825EFC" w:rsidRPr="00A0281F">
        <w:t xml:space="preserve"> (30 months), while the median PFS</w:t>
      </w:r>
      <w:r w:rsidR="00943080" w:rsidRPr="00A0281F">
        <w:t xml:space="preserve"> in the placebo arms of both tri</w:t>
      </w:r>
      <w:r w:rsidR="00825EFC" w:rsidRPr="00A0281F">
        <w:t>als was similar (5.5 months)</w:t>
      </w:r>
      <w:r w:rsidRPr="00A0281F">
        <w:t>. Similarly, a comparison of the proportion of gBRCAm patients remaining on treatment at 12 and 24 months in SOLO-2 (62% and 45% respectively), with the TTD Kaplan-Meier (KM) data for the gBRCAm cohort in NOVA (</w:t>
      </w:r>
      <w:r w:rsidR="00681899">
        <w:t xml:space="preserve">Figure </w:t>
      </w:r>
      <w:r w:rsidR="00681899">
        <w:rPr>
          <w:noProof/>
        </w:rPr>
        <w:t>7</w:t>
      </w:r>
      <w:r w:rsidRPr="00A0281F">
        <w:t>) suggests that the mean duration of treatment with olaparib in SOLO may have been longer than that for niraparib in NOVA, although this does not take into account the proposed individualised starting dose for niraparib. It may have been more appropriate to use the NOVA data, with modelling of the TTD curve, as for the non-gBRCAm cohort in the CUA.</w:t>
      </w:r>
    </w:p>
    <w:p w:rsidR="00C278F0" w:rsidRPr="0092746A" w:rsidRDefault="00C278F0" w:rsidP="00BE64AA">
      <w:pPr>
        <w:pStyle w:val="TableFigureHeading"/>
        <w:rPr>
          <w:color w:val="000000" w:themeColor="text1"/>
        </w:rPr>
      </w:pPr>
      <w:bookmarkStart w:id="45" w:name="_Ref60814066"/>
      <w:r>
        <w:lastRenderedPageBreak/>
        <w:t xml:space="preserve">Figure </w:t>
      </w:r>
      <w:r w:rsidR="00681899">
        <w:rPr>
          <w:noProof/>
        </w:rPr>
        <w:t>7</w:t>
      </w:r>
      <w:bookmarkEnd w:id="45"/>
      <w:r>
        <w:t>: Kaplan Meier plot of time to treatment discontinuation – gBRCAm cohort NOVA</w:t>
      </w:r>
    </w:p>
    <w:p w:rsidR="00C278F0" w:rsidRDefault="00C278F0" w:rsidP="00BE64AA">
      <w:pPr>
        <w:pStyle w:val="TableFigureFooter"/>
      </w:pPr>
      <w:r w:rsidRPr="00332C25">
        <w:rPr>
          <w:noProof/>
        </w:rPr>
        <w:drawing>
          <wp:inline distT="0" distB="0" distL="0" distR="0" wp14:anchorId="317ED728" wp14:editId="6A10F76A">
            <wp:extent cx="4809749" cy="2657475"/>
            <wp:effectExtent l="0" t="0" r="0" b="0"/>
            <wp:docPr id="1959018448" name="Picture 1959018448" title="Figure 7: Kaplan Meier plot of time to treatment discontinuation – gBRCAm cohort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6020" cy="2677515"/>
                    </a:xfrm>
                    <a:prstGeom prst="rect">
                      <a:avLst/>
                    </a:prstGeom>
                    <a:noFill/>
                    <a:ln>
                      <a:noFill/>
                    </a:ln>
                  </pic:spPr>
                </pic:pic>
              </a:graphicData>
            </a:graphic>
          </wp:inline>
        </w:drawing>
      </w:r>
    </w:p>
    <w:p w:rsidR="00C278F0" w:rsidRPr="009021AD" w:rsidRDefault="00C278F0" w:rsidP="00BE64AA">
      <w:pPr>
        <w:pStyle w:val="TableFigureFooter"/>
      </w:pPr>
      <w:r>
        <w:t>Source: Figure 14.1.1 (gBRCAm cohort), p1004 NOVA CSR.</w:t>
      </w:r>
      <w:r w:rsidRPr="009021AD">
        <w:t xml:space="preserve"> </w:t>
      </w:r>
    </w:p>
    <w:p w:rsidR="00C278F0" w:rsidRPr="00A0281F" w:rsidRDefault="00C278F0" w:rsidP="00BE64AA">
      <w:pPr>
        <w:pStyle w:val="3-BodyText"/>
        <w:ind w:left="709"/>
      </w:pPr>
      <w:r w:rsidRPr="00466C9C">
        <w:t xml:space="preserve">The equi-effective doses in the CMA were based on the mean dose intensity reported for niraparib and olaparib in the gBRCAm cohort of patients in NOVA and </w:t>
      </w:r>
      <w:r>
        <w:t>SOLO-2</w:t>
      </w:r>
      <w:r w:rsidRPr="00466C9C">
        <w:t>, respectively (</w:t>
      </w:r>
      <w:r w:rsidR="00681899">
        <w:t xml:space="preserve">Table </w:t>
      </w:r>
      <w:r w:rsidR="00681899">
        <w:rPr>
          <w:noProof/>
        </w:rPr>
        <w:t>13</w:t>
      </w:r>
      <w:r w:rsidRPr="00466C9C">
        <w:t xml:space="preserve">). The dose intensities reported in </w:t>
      </w:r>
      <w:r>
        <w:t>SOLO-2</w:t>
      </w:r>
      <w:r w:rsidRPr="00466C9C">
        <w:t xml:space="preserve"> were calculated as the total dose divided by the actual duration of treatment excluding dose interruptions, resulting in an overestimation to the actual dose intensity in the trial. In recognition of this, the FDA conducted an analyses including periods of dose interruption, which was subsequently used in the CMA</w:t>
      </w:r>
      <w:r w:rsidRPr="00A0281F">
        <w:t xml:space="preserve">.  Comparison of mean dose intensities, inclusive of dose reductions and interruptions, across the two trials is likely to be subject to confounding resulting from differences in the trial populations and the conduct of the trials. </w:t>
      </w:r>
    </w:p>
    <w:p w:rsidR="00C278F0" w:rsidRPr="00466C9C" w:rsidRDefault="00C278F0" w:rsidP="00BE64AA">
      <w:pPr>
        <w:pStyle w:val="TableFigureHeading"/>
      </w:pPr>
      <w:bookmarkStart w:id="46" w:name="_Ref57961449"/>
      <w:r>
        <w:t xml:space="preserve">Table </w:t>
      </w:r>
      <w:r w:rsidR="00681899">
        <w:rPr>
          <w:noProof/>
        </w:rPr>
        <w:t>13</w:t>
      </w:r>
      <w:bookmarkEnd w:id="46"/>
      <w:r>
        <w:t>: Dose intensity in the gBRCAm cohort of NOVA and SOLO-2</w:t>
      </w:r>
    </w:p>
    <w:tbl>
      <w:tblPr>
        <w:tblStyle w:val="TableGrid"/>
        <w:tblW w:w="0" w:type="auto"/>
        <w:tblLook w:val="04A0" w:firstRow="1" w:lastRow="0" w:firstColumn="1" w:lastColumn="0" w:noHBand="0" w:noVBand="1"/>
        <w:tblCaption w:val="Table 13: Dose intensity in the gBRCAm cohort of NOVA and SOLO-2"/>
      </w:tblPr>
      <w:tblGrid>
        <w:gridCol w:w="3005"/>
        <w:gridCol w:w="3006"/>
        <w:gridCol w:w="3006"/>
      </w:tblGrid>
      <w:tr w:rsidR="00C278F0" w:rsidTr="00C64862">
        <w:trPr>
          <w:tblHeader/>
        </w:trPr>
        <w:tc>
          <w:tcPr>
            <w:tcW w:w="3005" w:type="dxa"/>
          </w:tcPr>
          <w:p w:rsidR="00C278F0" w:rsidRDefault="00C278F0" w:rsidP="00BE64AA">
            <w:pPr>
              <w:pStyle w:val="TableText0"/>
            </w:pPr>
            <w:r w:rsidRPr="001127B1">
              <w:rPr>
                <w:b/>
              </w:rPr>
              <w:t>NOVA gBRCAm cohort</w:t>
            </w:r>
          </w:p>
        </w:tc>
        <w:tc>
          <w:tcPr>
            <w:tcW w:w="3006" w:type="dxa"/>
            <w:vAlign w:val="center"/>
          </w:tcPr>
          <w:p w:rsidR="00C278F0" w:rsidRPr="001127B1" w:rsidRDefault="00C278F0" w:rsidP="00BE64AA">
            <w:pPr>
              <w:pStyle w:val="TableText0"/>
              <w:jc w:val="center"/>
              <w:rPr>
                <w:b/>
              </w:rPr>
            </w:pPr>
            <w:r>
              <w:rPr>
                <w:b/>
              </w:rPr>
              <w:t xml:space="preserve">Niraparib </w:t>
            </w:r>
          </w:p>
        </w:tc>
        <w:tc>
          <w:tcPr>
            <w:tcW w:w="3006" w:type="dxa"/>
            <w:vAlign w:val="center"/>
          </w:tcPr>
          <w:p w:rsidR="00C278F0" w:rsidRPr="001127B1" w:rsidRDefault="00C278F0" w:rsidP="00BE64AA">
            <w:pPr>
              <w:pStyle w:val="TableText0"/>
              <w:jc w:val="center"/>
              <w:rPr>
                <w:b/>
              </w:rPr>
            </w:pPr>
            <w:r>
              <w:rPr>
                <w:b/>
              </w:rPr>
              <w:t>Placebo</w:t>
            </w:r>
          </w:p>
        </w:tc>
      </w:tr>
      <w:tr w:rsidR="00C278F0" w:rsidTr="00C278F0">
        <w:tc>
          <w:tcPr>
            <w:tcW w:w="9017" w:type="dxa"/>
            <w:gridSpan w:val="3"/>
          </w:tcPr>
          <w:p w:rsidR="00C278F0" w:rsidRPr="00F1093E" w:rsidRDefault="00C278F0" w:rsidP="00BE64AA">
            <w:pPr>
              <w:pStyle w:val="TableText0"/>
              <w:rPr>
                <w:vertAlign w:val="superscript"/>
              </w:rPr>
            </w:pPr>
            <w:r>
              <w:t xml:space="preserve">Daily dose intensity – over total treatment duration, mg/day </w:t>
            </w:r>
            <w:r>
              <w:rPr>
                <w:vertAlign w:val="superscript"/>
              </w:rPr>
              <w:t>a</w:t>
            </w:r>
          </w:p>
        </w:tc>
      </w:tr>
      <w:tr w:rsidR="00C278F0" w:rsidTr="00C278F0">
        <w:tc>
          <w:tcPr>
            <w:tcW w:w="3005" w:type="dxa"/>
          </w:tcPr>
          <w:p w:rsidR="00C278F0" w:rsidRDefault="00C278F0" w:rsidP="00BE64AA">
            <w:pPr>
              <w:pStyle w:val="TableText0"/>
            </w:pPr>
            <w:r>
              <w:t>Mean (SD)</w:t>
            </w:r>
          </w:p>
        </w:tc>
        <w:tc>
          <w:tcPr>
            <w:tcW w:w="3006" w:type="dxa"/>
            <w:vAlign w:val="center"/>
          </w:tcPr>
          <w:p w:rsidR="00C278F0" w:rsidRDefault="00C278F0" w:rsidP="00BE64AA">
            <w:pPr>
              <w:pStyle w:val="TableText0"/>
              <w:jc w:val="center"/>
            </w:pPr>
            <w:r w:rsidRPr="009211D8">
              <w:t>1</w:t>
            </w:r>
            <w:r>
              <w:t>80.68 (66.35</w:t>
            </w:r>
            <w:r w:rsidRPr="009211D8">
              <w:t>)</w:t>
            </w:r>
          </w:p>
        </w:tc>
        <w:tc>
          <w:tcPr>
            <w:tcW w:w="3006" w:type="dxa"/>
            <w:vAlign w:val="center"/>
          </w:tcPr>
          <w:p w:rsidR="00C278F0" w:rsidRDefault="00C278F0" w:rsidP="00BE64AA">
            <w:pPr>
              <w:pStyle w:val="TableText0"/>
              <w:jc w:val="center"/>
            </w:pPr>
            <w:r>
              <w:t>288.9 (29.67</w:t>
            </w:r>
            <w:r w:rsidRPr="009211D8">
              <w:t>)</w:t>
            </w:r>
          </w:p>
        </w:tc>
      </w:tr>
      <w:tr w:rsidR="00C278F0" w:rsidTr="00C278F0">
        <w:tc>
          <w:tcPr>
            <w:tcW w:w="3005" w:type="dxa"/>
          </w:tcPr>
          <w:p w:rsidR="00C278F0" w:rsidRDefault="00C278F0" w:rsidP="00BE64AA">
            <w:pPr>
              <w:pStyle w:val="TableText0"/>
            </w:pPr>
            <w:r>
              <w:t>Median (IQR)</w:t>
            </w:r>
          </w:p>
        </w:tc>
        <w:tc>
          <w:tcPr>
            <w:tcW w:w="3006" w:type="dxa"/>
            <w:vAlign w:val="center"/>
          </w:tcPr>
          <w:p w:rsidR="00C278F0" w:rsidRDefault="00C278F0" w:rsidP="00BE64AA">
            <w:pPr>
              <w:pStyle w:val="TableText0"/>
              <w:jc w:val="center"/>
            </w:pPr>
            <w:r>
              <w:t>187.0 (118.0, 212.5)</w:t>
            </w:r>
          </w:p>
        </w:tc>
        <w:tc>
          <w:tcPr>
            <w:tcW w:w="3006" w:type="dxa"/>
            <w:vAlign w:val="center"/>
          </w:tcPr>
          <w:p w:rsidR="00C278F0" w:rsidRDefault="00C278F0" w:rsidP="00BE64AA">
            <w:pPr>
              <w:pStyle w:val="TableText0"/>
              <w:jc w:val="center"/>
            </w:pPr>
            <w:r>
              <w:t>298.0 (288.0, 300.0)</w:t>
            </w:r>
          </w:p>
        </w:tc>
      </w:tr>
      <w:tr w:rsidR="00C278F0" w:rsidTr="00C278F0">
        <w:tc>
          <w:tcPr>
            <w:tcW w:w="3005" w:type="dxa"/>
            <w:tcBorders>
              <w:top w:val="double" w:sz="4" w:space="0" w:color="auto"/>
            </w:tcBorders>
          </w:tcPr>
          <w:p w:rsidR="00C278F0" w:rsidRPr="00022251" w:rsidRDefault="00C278F0" w:rsidP="00BE64AA">
            <w:pPr>
              <w:pStyle w:val="TableText0"/>
              <w:rPr>
                <w:b/>
              </w:rPr>
            </w:pPr>
            <w:r>
              <w:rPr>
                <w:b/>
              </w:rPr>
              <w:t>SOLO-2</w:t>
            </w:r>
            <w:r w:rsidRPr="00022251">
              <w:rPr>
                <w:b/>
              </w:rPr>
              <w:t xml:space="preserve"> gBRCAm cohort</w:t>
            </w:r>
          </w:p>
        </w:tc>
        <w:tc>
          <w:tcPr>
            <w:tcW w:w="3006" w:type="dxa"/>
            <w:tcBorders>
              <w:top w:val="double" w:sz="4" w:space="0" w:color="auto"/>
            </w:tcBorders>
            <w:vAlign w:val="center"/>
          </w:tcPr>
          <w:p w:rsidR="00C278F0" w:rsidRPr="00022251" w:rsidRDefault="00C278F0" w:rsidP="00BE64AA">
            <w:pPr>
              <w:pStyle w:val="TableText0"/>
              <w:jc w:val="center"/>
              <w:rPr>
                <w:b/>
              </w:rPr>
            </w:pPr>
            <w:r w:rsidRPr="00022251">
              <w:rPr>
                <w:b/>
              </w:rPr>
              <w:t>Olaparib</w:t>
            </w:r>
          </w:p>
        </w:tc>
        <w:tc>
          <w:tcPr>
            <w:tcW w:w="3006" w:type="dxa"/>
            <w:tcBorders>
              <w:top w:val="double" w:sz="4" w:space="0" w:color="auto"/>
            </w:tcBorders>
            <w:vAlign w:val="center"/>
          </w:tcPr>
          <w:p w:rsidR="00C278F0" w:rsidRPr="00022251" w:rsidRDefault="00C278F0" w:rsidP="00BE64AA">
            <w:pPr>
              <w:pStyle w:val="TableText0"/>
              <w:jc w:val="center"/>
              <w:rPr>
                <w:b/>
              </w:rPr>
            </w:pPr>
            <w:r w:rsidRPr="00022251">
              <w:rPr>
                <w:b/>
              </w:rPr>
              <w:t>Placebo</w:t>
            </w:r>
          </w:p>
        </w:tc>
      </w:tr>
      <w:tr w:rsidR="00C278F0" w:rsidTr="00C278F0">
        <w:tc>
          <w:tcPr>
            <w:tcW w:w="9017" w:type="dxa"/>
            <w:gridSpan w:val="3"/>
          </w:tcPr>
          <w:p w:rsidR="00C278F0" w:rsidRPr="00F91C85" w:rsidRDefault="00C278F0" w:rsidP="00BE64AA">
            <w:pPr>
              <w:pStyle w:val="TableText0"/>
              <w:rPr>
                <w:vertAlign w:val="superscript"/>
              </w:rPr>
            </w:pPr>
            <w:r>
              <w:t xml:space="preserve">Daily dose intensity – over total treatment duration, mg/day </w:t>
            </w:r>
            <w:r>
              <w:rPr>
                <w:vertAlign w:val="superscript"/>
              </w:rPr>
              <w:t>b</w:t>
            </w:r>
          </w:p>
        </w:tc>
      </w:tr>
      <w:tr w:rsidR="00C278F0" w:rsidTr="00C278F0">
        <w:tc>
          <w:tcPr>
            <w:tcW w:w="3005" w:type="dxa"/>
          </w:tcPr>
          <w:p w:rsidR="00C278F0" w:rsidRDefault="00C278F0" w:rsidP="00BE64AA">
            <w:pPr>
              <w:pStyle w:val="TableText0"/>
            </w:pPr>
            <w:r>
              <w:t>Mean (SD)</w:t>
            </w:r>
          </w:p>
        </w:tc>
        <w:tc>
          <w:tcPr>
            <w:tcW w:w="3006" w:type="dxa"/>
            <w:vAlign w:val="center"/>
          </w:tcPr>
          <w:p w:rsidR="00C278F0" w:rsidRDefault="00C278F0" w:rsidP="00BE64AA">
            <w:pPr>
              <w:pStyle w:val="TableText0"/>
              <w:jc w:val="center"/>
            </w:pPr>
            <w:r w:rsidRPr="009211D8">
              <w:t>568.2 (53.1)</w:t>
            </w:r>
          </w:p>
        </w:tc>
        <w:tc>
          <w:tcPr>
            <w:tcW w:w="3006" w:type="dxa"/>
            <w:vAlign w:val="center"/>
          </w:tcPr>
          <w:p w:rsidR="00C278F0" w:rsidRDefault="00C278F0" w:rsidP="00BE64AA">
            <w:pPr>
              <w:pStyle w:val="TableText0"/>
              <w:jc w:val="center"/>
            </w:pPr>
            <w:r w:rsidRPr="009211D8">
              <w:t>592.1 (16.9)</w:t>
            </w:r>
          </w:p>
        </w:tc>
      </w:tr>
      <w:tr w:rsidR="00C278F0" w:rsidTr="00C278F0">
        <w:tc>
          <w:tcPr>
            <w:tcW w:w="3005" w:type="dxa"/>
          </w:tcPr>
          <w:p w:rsidR="00C278F0" w:rsidRDefault="00C278F0" w:rsidP="00BE64AA">
            <w:pPr>
              <w:pStyle w:val="TableText0"/>
            </w:pPr>
            <w:r>
              <w:t>Median (IQR)</w:t>
            </w:r>
          </w:p>
        </w:tc>
        <w:tc>
          <w:tcPr>
            <w:tcW w:w="3006" w:type="dxa"/>
            <w:vAlign w:val="center"/>
          </w:tcPr>
          <w:p w:rsidR="00C278F0" w:rsidRDefault="00C278F0" w:rsidP="00BE64AA">
            <w:pPr>
              <w:pStyle w:val="TableText0"/>
              <w:jc w:val="center"/>
            </w:pPr>
            <w:r w:rsidRPr="009211D8">
              <w:t>597.6 (541.3 – 600)</w:t>
            </w:r>
          </w:p>
        </w:tc>
        <w:tc>
          <w:tcPr>
            <w:tcW w:w="3006" w:type="dxa"/>
            <w:vAlign w:val="center"/>
          </w:tcPr>
          <w:p w:rsidR="00C278F0" w:rsidRDefault="00C278F0" w:rsidP="00BE64AA">
            <w:pPr>
              <w:pStyle w:val="TableText0"/>
              <w:jc w:val="center"/>
            </w:pPr>
            <w:r w:rsidRPr="009211D8">
              <w:t>598.4 (593.0 – 600)</w:t>
            </w:r>
          </w:p>
        </w:tc>
      </w:tr>
      <w:tr w:rsidR="00C278F0" w:rsidTr="00C278F0">
        <w:tc>
          <w:tcPr>
            <w:tcW w:w="9017" w:type="dxa"/>
            <w:gridSpan w:val="3"/>
          </w:tcPr>
          <w:p w:rsidR="00C278F0" w:rsidRPr="00C437C7" w:rsidRDefault="00C278F0" w:rsidP="00BE64AA">
            <w:pPr>
              <w:pStyle w:val="TableText0"/>
              <w:rPr>
                <w:vertAlign w:val="superscript"/>
              </w:rPr>
            </w:pPr>
            <w:r>
              <w:t>Dose intensity including dose interruptions - over total treatment duration (FDA analysis), mg/day</w:t>
            </w:r>
            <w:r>
              <w:rPr>
                <w:vertAlign w:val="superscript"/>
              </w:rPr>
              <w:t>c</w:t>
            </w:r>
          </w:p>
        </w:tc>
      </w:tr>
      <w:tr w:rsidR="00C278F0" w:rsidTr="00C278F0">
        <w:tc>
          <w:tcPr>
            <w:tcW w:w="3005" w:type="dxa"/>
          </w:tcPr>
          <w:p w:rsidR="00C278F0" w:rsidRDefault="00C278F0" w:rsidP="00BE64AA">
            <w:pPr>
              <w:pStyle w:val="TableText0"/>
            </w:pPr>
            <w:r>
              <w:t>Mean</w:t>
            </w:r>
          </w:p>
        </w:tc>
        <w:tc>
          <w:tcPr>
            <w:tcW w:w="3006" w:type="dxa"/>
            <w:vAlign w:val="center"/>
          </w:tcPr>
          <w:p w:rsidR="00C278F0" w:rsidRPr="009211D8" w:rsidRDefault="00C278F0" w:rsidP="00BE64AA">
            <w:pPr>
              <w:pStyle w:val="TableText0"/>
              <w:jc w:val="center"/>
            </w:pPr>
            <w:r w:rsidRPr="009211D8">
              <w:t>542</w:t>
            </w:r>
          </w:p>
        </w:tc>
        <w:tc>
          <w:tcPr>
            <w:tcW w:w="3006" w:type="dxa"/>
            <w:vAlign w:val="center"/>
          </w:tcPr>
          <w:p w:rsidR="00C278F0" w:rsidRPr="009211D8" w:rsidRDefault="00C278F0" w:rsidP="00BE64AA">
            <w:pPr>
              <w:pStyle w:val="TableText0"/>
              <w:jc w:val="center"/>
            </w:pPr>
            <w:r w:rsidRPr="009211D8">
              <w:t>582</w:t>
            </w:r>
          </w:p>
        </w:tc>
      </w:tr>
      <w:tr w:rsidR="00C278F0" w:rsidTr="00C278F0">
        <w:tc>
          <w:tcPr>
            <w:tcW w:w="3005" w:type="dxa"/>
          </w:tcPr>
          <w:p w:rsidR="00C278F0" w:rsidRDefault="00C278F0" w:rsidP="00BE64AA">
            <w:pPr>
              <w:pStyle w:val="TableText0"/>
            </w:pPr>
            <w:r>
              <w:t>Median (IQR)</w:t>
            </w:r>
          </w:p>
        </w:tc>
        <w:tc>
          <w:tcPr>
            <w:tcW w:w="3006" w:type="dxa"/>
            <w:vAlign w:val="center"/>
          </w:tcPr>
          <w:p w:rsidR="00C278F0" w:rsidRPr="009211D8" w:rsidRDefault="00C278F0" w:rsidP="00BE64AA">
            <w:pPr>
              <w:pStyle w:val="TableText0"/>
              <w:jc w:val="center"/>
            </w:pPr>
            <w:r w:rsidRPr="009211D8">
              <w:t>590 (41-600)</w:t>
            </w:r>
          </w:p>
        </w:tc>
        <w:tc>
          <w:tcPr>
            <w:tcW w:w="3006" w:type="dxa"/>
            <w:vAlign w:val="center"/>
          </w:tcPr>
          <w:p w:rsidR="00C278F0" w:rsidRPr="009211D8" w:rsidRDefault="00C278F0" w:rsidP="00BE64AA">
            <w:pPr>
              <w:pStyle w:val="TableText0"/>
              <w:jc w:val="center"/>
            </w:pPr>
            <w:r w:rsidRPr="009211D8">
              <w:t>596 (300-600)</w:t>
            </w:r>
          </w:p>
        </w:tc>
      </w:tr>
    </w:tbl>
    <w:p w:rsidR="00C278F0" w:rsidRDefault="00C278F0" w:rsidP="00BE64AA">
      <w:pPr>
        <w:pStyle w:val="TableFigureFooter"/>
      </w:pPr>
      <w:r>
        <w:t>Source: Table 124, p164 and Table 126, p165 of the submission; Table 14.3.5.13, p11072 NOVA CSR.</w:t>
      </w:r>
    </w:p>
    <w:p w:rsidR="00C278F0" w:rsidRDefault="00C278F0" w:rsidP="00BE64AA">
      <w:pPr>
        <w:pStyle w:val="TableFigureFooter"/>
      </w:pPr>
      <w:r>
        <w:t xml:space="preserve">FDA = Food and Drug administration; gBRCAm = germline </w:t>
      </w:r>
      <w:r w:rsidR="00A72D6D">
        <w:t>BRCA1/2 pathogenic and likely pathogenic variants</w:t>
      </w:r>
      <w:r>
        <w:t>; IQR = interquartile range; SD = standard deviation.</w:t>
      </w:r>
    </w:p>
    <w:p w:rsidR="00C278F0" w:rsidRDefault="00C278F0" w:rsidP="00BE64AA">
      <w:pPr>
        <w:pStyle w:val="TableFigureFooter"/>
        <w:ind w:left="142" w:hanging="142"/>
      </w:pPr>
      <w:r>
        <w:rPr>
          <w:vertAlign w:val="superscript"/>
        </w:rPr>
        <w:t>a</w:t>
      </w:r>
      <w:r>
        <w:t xml:space="preserve"> Dose intensity was calculated as sum of the daily doses actually consumed divided by total treatment duration. Treatment duration was defined as the period from first to last dose, including days when no doses were received by the patient.</w:t>
      </w:r>
    </w:p>
    <w:p w:rsidR="00C278F0" w:rsidRDefault="00C278F0" w:rsidP="00BE64AA">
      <w:pPr>
        <w:pStyle w:val="TableFigureFooter"/>
      </w:pPr>
      <w:r>
        <w:rPr>
          <w:vertAlign w:val="superscript"/>
        </w:rPr>
        <w:t>b</w:t>
      </w:r>
      <w:r>
        <w:t xml:space="preserve"> Defined as the total dose divided by the actual duration of treatment (total duration of treatment excluding any dose interruptions).</w:t>
      </w:r>
    </w:p>
    <w:p w:rsidR="00C278F0" w:rsidRDefault="00C278F0" w:rsidP="00BE64AA">
      <w:pPr>
        <w:pStyle w:val="TableFigureFooter"/>
      </w:pPr>
      <w:r>
        <w:rPr>
          <w:vertAlign w:val="superscript"/>
        </w:rPr>
        <w:t xml:space="preserve">c </w:t>
      </w:r>
      <w:r w:rsidRPr="00C437C7">
        <w:t>FDA analysis of</w:t>
      </w:r>
      <w:r>
        <w:rPr>
          <w:vertAlign w:val="superscript"/>
        </w:rPr>
        <w:t xml:space="preserve"> </w:t>
      </w:r>
      <w:r>
        <w:t>dose intensity in SOLO-2: Table 23, p68, Olaparib Multidisciplinary Review 208558Orig1s000, 2017).</w:t>
      </w:r>
      <w:r w:rsidR="00614A9E">
        <w:t>*</w:t>
      </w:r>
    </w:p>
    <w:p w:rsidR="00614A9E" w:rsidRDefault="00614A9E" w:rsidP="00BE64AA">
      <w:pPr>
        <w:pStyle w:val="TableFigureFooter"/>
      </w:pPr>
      <w:r>
        <w:t xml:space="preserve">* </w:t>
      </w:r>
      <w:r w:rsidRPr="00614A9E">
        <w:t>Note that the mean dose of treatment was provided for the purposes of informing the PBAC consideration. Interpretation of the results and their application should therefore be limited to seeking to understand the basis for the PBAC outcome and should not be used for any other purpose</w:t>
      </w:r>
    </w:p>
    <w:p w:rsidR="00C278F0" w:rsidRPr="00A0281F" w:rsidRDefault="00C278F0" w:rsidP="00BE64AA">
      <w:pPr>
        <w:pStyle w:val="3-BodyText"/>
        <w:ind w:left="709"/>
      </w:pPr>
      <w:r w:rsidRPr="00A0281F">
        <w:lastRenderedPageBreak/>
        <w:t xml:space="preserve">The use of the mean dose intensity, which is over the entire duration of follow-up, does not accurately reflect the ‘steady-state’ doses, especially for niraparib, where the majority of patients in NOVA underwent dose reductions, predominantly over the first 3-4 months of treatment. However, the inclusion of dose interruptions will decrease the dose intensity, and is likely to favour niraparib in the CMA, as the proportion of patients experiencing a dose interruption was considerably higher in gBRCAm patients in the niraparib arm of NOVA (84.6%) compared with those receiving olaparib in SOLO-2 (54.4%). </w:t>
      </w:r>
    </w:p>
    <w:p w:rsidR="00C278F0" w:rsidRPr="00A0281F" w:rsidRDefault="00C278F0" w:rsidP="00BE64AA">
      <w:pPr>
        <w:pStyle w:val="3-BodyText"/>
        <w:ind w:left="709"/>
      </w:pPr>
      <w:r w:rsidRPr="002F48DC">
        <w:rPr>
          <w:iCs/>
        </w:rPr>
        <w:t>On the basis of these estimated mean daily doses, the submission claimed that, at ‘steady state’, niraparib 161.1</w:t>
      </w:r>
      <w:r w:rsidR="00F14642">
        <w:rPr>
          <w:rStyle w:val="FootnoteReference"/>
          <w:iCs/>
        </w:rPr>
        <w:footnoteReference w:id="6"/>
      </w:r>
      <w:r w:rsidRPr="002F48DC">
        <w:rPr>
          <w:iCs/>
        </w:rPr>
        <w:t xml:space="preserve"> mg and </w:t>
      </w:r>
      <w:r>
        <w:rPr>
          <w:iCs/>
        </w:rPr>
        <w:t>o</w:t>
      </w:r>
      <w:r w:rsidRPr="002F48DC">
        <w:rPr>
          <w:iCs/>
        </w:rPr>
        <w:t>laparib 542 mg are equi-effective.</w:t>
      </w:r>
      <w:r>
        <w:rPr>
          <w:iCs/>
        </w:rPr>
        <w:t xml:space="preserve"> </w:t>
      </w:r>
      <w:r w:rsidRPr="00A0281F">
        <w:t>Due to the indirect nature of the comparison of mean dose intensities across the trials, and the considerable uncertainty regarding the validity of the translated mean dose for niraparib, the equi-effective doses of niraparib and olaparib were highly uncertain.</w:t>
      </w:r>
    </w:p>
    <w:p w:rsidR="00C278F0" w:rsidRPr="00A43E67" w:rsidRDefault="00C278F0" w:rsidP="00BE64AA">
      <w:pPr>
        <w:pStyle w:val="3-BodyText"/>
        <w:ind w:left="709"/>
        <w:rPr>
          <w:i/>
        </w:rPr>
      </w:pPr>
      <w:r>
        <w:rPr>
          <w:iCs/>
        </w:rPr>
        <w:t xml:space="preserve">Incremental costs associated with monitoring for haematological AEs (complete blood counts) and general practitioner appointments for monitoring of blood pressure for patients receiving niraparib were included. </w:t>
      </w:r>
      <w:r w:rsidRPr="00A0281F">
        <w:t xml:space="preserve">This was appropriate. </w:t>
      </w:r>
      <w:r w:rsidRPr="00A0281F">
        <w:rPr>
          <w:iCs/>
        </w:rPr>
        <w:t>The submission stated that no differences in the incidence of SAEs or Grade 3/4 anaemia events were expected between niraparib and olaparib and, therefore, no safety costs were applied in the CMA.</w:t>
      </w:r>
      <w:r w:rsidRPr="00A0281F">
        <w:t xml:space="preserve"> This is only reasonable if it is accepted that niraparib is non-inferior to olaparib in terms of safety.</w:t>
      </w:r>
    </w:p>
    <w:p w:rsidR="00C278F0" w:rsidRDefault="00C278F0" w:rsidP="00BE64AA">
      <w:pPr>
        <w:pStyle w:val="3-BodyText"/>
        <w:ind w:left="709"/>
        <w:rPr>
          <w:i/>
        </w:rPr>
      </w:pPr>
      <w:r>
        <w:rPr>
          <w:iCs/>
        </w:rPr>
        <w:t xml:space="preserve">The cost-minimisation analysis, based on the published approved EMP (AEMP) for olaparib, is presented in </w:t>
      </w:r>
      <w:r w:rsidR="00681899">
        <w:t xml:space="preserve">Table </w:t>
      </w:r>
      <w:r w:rsidR="00681899">
        <w:rPr>
          <w:noProof/>
        </w:rPr>
        <w:t>14</w:t>
      </w:r>
      <w:r>
        <w:rPr>
          <w:iCs/>
        </w:rPr>
        <w:t xml:space="preserve">. </w:t>
      </w:r>
    </w:p>
    <w:p w:rsidR="00C278F0" w:rsidRPr="00F70F2D" w:rsidRDefault="00C278F0" w:rsidP="00BE64AA">
      <w:pPr>
        <w:pStyle w:val="TableFigureHeading"/>
        <w:rPr>
          <w:color w:val="000000" w:themeColor="text1"/>
        </w:rPr>
      </w:pPr>
      <w:bookmarkStart w:id="47" w:name="_Ref57963758"/>
      <w:r>
        <w:lastRenderedPageBreak/>
        <w:t xml:space="preserve">Table </w:t>
      </w:r>
      <w:r w:rsidR="00681899">
        <w:rPr>
          <w:noProof/>
        </w:rPr>
        <w:t>14</w:t>
      </w:r>
      <w:bookmarkEnd w:id="47"/>
      <w:r>
        <w:t>: Cost-minimisation analysis, as presented in the submission (published AEMP for olaparib)</w:t>
      </w:r>
    </w:p>
    <w:tbl>
      <w:tblPr>
        <w:tblStyle w:val="TableGrid"/>
        <w:tblW w:w="5000" w:type="pct"/>
        <w:tblLook w:val="04A0" w:firstRow="1" w:lastRow="0" w:firstColumn="1" w:lastColumn="0" w:noHBand="0" w:noVBand="1"/>
        <w:tblCaption w:val="Table 14: Cost-minimisation analysis, as presented in the submission (published AEMP for olaparib)"/>
      </w:tblPr>
      <w:tblGrid>
        <w:gridCol w:w="576"/>
        <w:gridCol w:w="4406"/>
        <w:gridCol w:w="1710"/>
        <w:gridCol w:w="2325"/>
      </w:tblGrid>
      <w:tr w:rsidR="00C278F0" w:rsidTr="00C64862">
        <w:trPr>
          <w:tblHeader/>
        </w:trPr>
        <w:tc>
          <w:tcPr>
            <w:tcW w:w="319" w:type="pct"/>
          </w:tcPr>
          <w:p w:rsidR="00C278F0" w:rsidRDefault="00C278F0" w:rsidP="00BE64AA">
            <w:pPr>
              <w:pStyle w:val="In-tableHeading"/>
            </w:pPr>
          </w:p>
        </w:tc>
        <w:tc>
          <w:tcPr>
            <w:tcW w:w="2443" w:type="pct"/>
          </w:tcPr>
          <w:p w:rsidR="00C278F0" w:rsidRDefault="00C278F0" w:rsidP="00BE64AA">
            <w:pPr>
              <w:pStyle w:val="In-tableHeading"/>
            </w:pPr>
            <w:r>
              <w:t>Parameter</w:t>
            </w:r>
          </w:p>
        </w:tc>
        <w:tc>
          <w:tcPr>
            <w:tcW w:w="948" w:type="pct"/>
          </w:tcPr>
          <w:p w:rsidR="00C278F0" w:rsidRDefault="00C278F0" w:rsidP="00BE64AA">
            <w:pPr>
              <w:pStyle w:val="In-tableHeading"/>
            </w:pPr>
          </w:p>
        </w:tc>
        <w:tc>
          <w:tcPr>
            <w:tcW w:w="1289" w:type="pct"/>
          </w:tcPr>
          <w:p w:rsidR="00C278F0" w:rsidRDefault="00C278F0" w:rsidP="00BE64AA">
            <w:pPr>
              <w:pStyle w:val="In-tableHeading"/>
            </w:pPr>
            <w:r>
              <w:t>Source/calculation</w:t>
            </w:r>
          </w:p>
        </w:tc>
      </w:tr>
      <w:tr w:rsidR="00C278F0" w:rsidTr="00C278F0">
        <w:tc>
          <w:tcPr>
            <w:tcW w:w="319" w:type="pct"/>
          </w:tcPr>
          <w:p w:rsidR="00C278F0" w:rsidRDefault="00C278F0" w:rsidP="00BE64AA">
            <w:pPr>
              <w:pStyle w:val="TableText0"/>
            </w:pPr>
          </w:p>
        </w:tc>
        <w:tc>
          <w:tcPr>
            <w:tcW w:w="2443" w:type="pct"/>
          </w:tcPr>
          <w:p w:rsidR="00C278F0" w:rsidRPr="00925BBB" w:rsidRDefault="00C278F0" w:rsidP="00BE64AA">
            <w:pPr>
              <w:pStyle w:val="TableText0"/>
              <w:rPr>
                <w:b/>
              </w:rPr>
            </w:pPr>
            <w:r>
              <w:rPr>
                <w:b/>
              </w:rPr>
              <w:t>Cost of olaparib</w:t>
            </w:r>
          </w:p>
        </w:tc>
        <w:tc>
          <w:tcPr>
            <w:tcW w:w="948" w:type="pct"/>
          </w:tcPr>
          <w:p w:rsidR="00C278F0" w:rsidRDefault="00C278F0" w:rsidP="00BE64AA">
            <w:pPr>
              <w:pStyle w:val="TableText0"/>
            </w:pPr>
          </w:p>
        </w:tc>
        <w:tc>
          <w:tcPr>
            <w:tcW w:w="1289" w:type="pct"/>
          </w:tcPr>
          <w:p w:rsidR="00C278F0" w:rsidRDefault="00C278F0" w:rsidP="00BE64AA">
            <w:pPr>
              <w:pStyle w:val="TableText0"/>
            </w:pPr>
          </w:p>
        </w:tc>
      </w:tr>
      <w:tr w:rsidR="00C278F0" w:rsidTr="00C278F0">
        <w:tc>
          <w:tcPr>
            <w:tcW w:w="319" w:type="pct"/>
          </w:tcPr>
          <w:p w:rsidR="00C278F0" w:rsidRDefault="00C278F0" w:rsidP="00BE64AA">
            <w:pPr>
              <w:pStyle w:val="TableText0"/>
            </w:pPr>
            <w:r>
              <w:t>A</w:t>
            </w:r>
          </w:p>
        </w:tc>
        <w:tc>
          <w:tcPr>
            <w:tcW w:w="2443" w:type="pct"/>
          </w:tcPr>
          <w:p w:rsidR="00C278F0" w:rsidRDefault="00C278F0" w:rsidP="00BE64AA">
            <w:pPr>
              <w:pStyle w:val="TableText0"/>
            </w:pPr>
            <w:r>
              <w:t>Cost per maximum quantity (112 tablets)</w:t>
            </w:r>
          </w:p>
        </w:tc>
        <w:tc>
          <w:tcPr>
            <w:tcW w:w="948" w:type="pct"/>
          </w:tcPr>
          <w:p w:rsidR="00C278F0" w:rsidRPr="00CA20AD" w:rsidRDefault="00C278F0" w:rsidP="00BE64AA">
            <w:pPr>
              <w:pStyle w:val="TableText0"/>
              <w:jc w:val="center"/>
              <w:rPr>
                <w:vertAlign w:val="superscript"/>
              </w:rPr>
            </w:pPr>
            <w:r>
              <w:t>$6,810.00</w:t>
            </w:r>
            <w:r>
              <w:rPr>
                <w:vertAlign w:val="superscript"/>
              </w:rPr>
              <w:t>a</w:t>
            </w:r>
          </w:p>
        </w:tc>
        <w:tc>
          <w:tcPr>
            <w:tcW w:w="1289" w:type="pct"/>
          </w:tcPr>
          <w:p w:rsidR="00C278F0" w:rsidRDefault="00C278F0" w:rsidP="00BE64AA">
            <w:pPr>
              <w:pStyle w:val="TableText0"/>
            </w:pPr>
            <w:r>
              <w:t>Published AEMP</w:t>
            </w:r>
          </w:p>
        </w:tc>
      </w:tr>
      <w:tr w:rsidR="00C278F0" w:rsidTr="00C278F0">
        <w:tc>
          <w:tcPr>
            <w:tcW w:w="319" w:type="pct"/>
          </w:tcPr>
          <w:p w:rsidR="00C278F0" w:rsidRDefault="00C278F0" w:rsidP="00BE64AA">
            <w:pPr>
              <w:pStyle w:val="TableText0"/>
            </w:pPr>
            <w:r>
              <w:t>B</w:t>
            </w:r>
          </w:p>
        </w:tc>
        <w:tc>
          <w:tcPr>
            <w:tcW w:w="2443" w:type="pct"/>
          </w:tcPr>
          <w:p w:rsidR="00C278F0" w:rsidRDefault="00C278F0" w:rsidP="00BE64AA">
            <w:pPr>
              <w:pStyle w:val="TableText0"/>
            </w:pPr>
            <w:r>
              <w:t xml:space="preserve">Amount per maximum quantity 100 mg/150 mg tablets </w:t>
            </w:r>
          </w:p>
        </w:tc>
        <w:tc>
          <w:tcPr>
            <w:tcW w:w="948" w:type="pct"/>
          </w:tcPr>
          <w:p w:rsidR="00C278F0" w:rsidRDefault="00C278F0" w:rsidP="00BE64AA">
            <w:pPr>
              <w:pStyle w:val="TableText0"/>
              <w:jc w:val="center"/>
            </w:pPr>
            <w:r>
              <w:t>11,200/16,800 mg</w:t>
            </w:r>
          </w:p>
        </w:tc>
        <w:tc>
          <w:tcPr>
            <w:tcW w:w="1289" w:type="pct"/>
          </w:tcPr>
          <w:p w:rsidR="00C278F0" w:rsidRDefault="00C278F0" w:rsidP="00BE64AA">
            <w:pPr>
              <w:pStyle w:val="TableText0"/>
            </w:pPr>
          </w:p>
        </w:tc>
      </w:tr>
      <w:tr w:rsidR="00C278F0" w:rsidTr="00C278F0">
        <w:tc>
          <w:tcPr>
            <w:tcW w:w="319" w:type="pct"/>
          </w:tcPr>
          <w:p w:rsidR="00C278F0" w:rsidRDefault="00C278F0" w:rsidP="00BE64AA">
            <w:pPr>
              <w:pStyle w:val="TableText0"/>
            </w:pPr>
            <w:r>
              <w:t>C</w:t>
            </w:r>
          </w:p>
        </w:tc>
        <w:tc>
          <w:tcPr>
            <w:tcW w:w="2443" w:type="pct"/>
          </w:tcPr>
          <w:p w:rsidR="00C278F0" w:rsidRPr="00CA20AD" w:rsidRDefault="00C278F0" w:rsidP="00BE64AA">
            <w:pPr>
              <w:pStyle w:val="TableText0"/>
            </w:pPr>
            <w:r>
              <w:t>Distribution of PBS use (%100 mg/%150 mg)</w:t>
            </w:r>
          </w:p>
        </w:tc>
        <w:tc>
          <w:tcPr>
            <w:tcW w:w="948" w:type="pct"/>
          </w:tcPr>
          <w:p w:rsidR="00C278F0" w:rsidRDefault="00C278F0" w:rsidP="00BE64AA">
            <w:pPr>
              <w:pStyle w:val="TableText0"/>
              <w:jc w:val="center"/>
            </w:pPr>
            <w:r>
              <w:t>26.1%/73.9%</w:t>
            </w:r>
          </w:p>
        </w:tc>
        <w:tc>
          <w:tcPr>
            <w:tcW w:w="1289" w:type="pct"/>
          </w:tcPr>
          <w:p w:rsidR="00C278F0" w:rsidRPr="00DC4EF2" w:rsidRDefault="00C278F0" w:rsidP="00BE64AA">
            <w:pPr>
              <w:pStyle w:val="TableText0"/>
              <w:rPr>
                <w:vertAlign w:val="superscript"/>
              </w:rPr>
            </w:pPr>
            <w:r>
              <w:t>PBS statistics</w:t>
            </w:r>
            <w:r>
              <w:rPr>
                <w:vertAlign w:val="superscript"/>
              </w:rPr>
              <w:t>b</w:t>
            </w:r>
          </w:p>
        </w:tc>
      </w:tr>
      <w:tr w:rsidR="00C278F0" w:rsidTr="00C278F0">
        <w:tc>
          <w:tcPr>
            <w:tcW w:w="319" w:type="pct"/>
          </w:tcPr>
          <w:p w:rsidR="00C278F0" w:rsidRDefault="00C278F0" w:rsidP="00BE64AA">
            <w:pPr>
              <w:pStyle w:val="TableText0"/>
            </w:pPr>
            <w:r>
              <w:t>D</w:t>
            </w:r>
          </w:p>
        </w:tc>
        <w:tc>
          <w:tcPr>
            <w:tcW w:w="2443" w:type="pct"/>
          </w:tcPr>
          <w:p w:rsidR="00C278F0" w:rsidRDefault="00C278F0" w:rsidP="00BE64AA">
            <w:pPr>
              <w:pStyle w:val="TableText0"/>
            </w:pPr>
            <w:r>
              <w:t xml:space="preserve">Weighted amount per script </w:t>
            </w:r>
          </w:p>
        </w:tc>
        <w:tc>
          <w:tcPr>
            <w:tcW w:w="948" w:type="pct"/>
          </w:tcPr>
          <w:p w:rsidR="00C278F0" w:rsidRDefault="00C278F0" w:rsidP="00BE64AA">
            <w:pPr>
              <w:pStyle w:val="TableText0"/>
              <w:jc w:val="center"/>
            </w:pPr>
            <w:r>
              <w:t>15,338.4 mg</w:t>
            </w:r>
          </w:p>
        </w:tc>
        <w:tc>
          <w:tcPr>
            <w:tcW w:w="1289" w:type="pct"/>
          </w:tcPr>
          <w:p w:rsidR="00C278F0" w:rsidRDefault="00C278F0" w:rsidP="00BE64AA">
            <w:pPr>
              <w:pStyle w:val="TableText0"/>
            </w:pPr>
            <w:r>
              <w:t>11,200*0.261+16,800*0.739</w:t>
            </w:r>
          </w:p>
        </w:tc>
      </w:tr>
      <w:tr w:rsidR="00C278F0" w:rsidTr="00C278F0">
        <w:tc>
          <w:tcPr>
            <w:tcW w:w="319" w:type="pct"/>
          </w:tcPr>
          <w:p w:rsidR="00C278F0" w:rsidRDefault="00C278F0" w:rsidP="00BE64AA">
            <w:pPr>
              <w:pStyle w:val="TableText0"/>
            </w:pPr>
            <w:r>
              <w:t>E</w:t>
            </w:r>
          </w:p>
        </w:tc>
        <w:tc>
          <w:tcPr>
            <w:tcW w:w="2443" w:type="pct"/>
          </w:tcPr>
          <w:p w:rsidR="00C278F0" w:rsidRDefault="00C278F0" w:rsidP="00BE64AA">
            <w:pPr>
              <w:pStyle w:val="TableText0"/>
            </w:pPr>
            <w:r>
              <w:t>Weighted average price per mg</w:t>
            </w:r>
          </w:p>
        </w:tc>
        <w:tc>
          <w:tcPr>
            <w:tcW w:w="948" w:type="pct"/>
          </w:tcPr>
          <w:p w:rsidR="00C278F0" w:rsidRDefault="00C278F0" w:rsidP="00BE64AA">
            <w:pPr>
              <w:pStyle w:val="TableText0"/>
              <w:jc w:val="center"/>
            </w:pPr>
            <w:r>
              <w:t>$0.44</w:t>
            </w:r>
          </w:p>
        </w:tc>
        <w:tc>
          <w:tcPr>
            <w:tcW w:w="1289" w:type="pct"/>
          </w:tcPr>
          <w:p w:rsidR="00C278F0" w:rsidRDefault="00C278F0" w:rsidP="00BE64AA">
            <w:pPr>
              <w:pStyle w:val="TableText0"/>
            </w:pPr>
            <w:r>
              <w:t>A/D</w:t>
            </w:r>
          </w:p>
        </w:tc>
      </w:tr>
      <w:tr w:rsidR="00C278F0" w:rsidTr="00C278F0">
        <w:tc>
          <w:tcPr>
            <w:tcW w:w="319" w:type="pct"/>
          </w:tcPr>
          <w:p w:rsidR="00C278F0" w:rsidRDefault="00C278F0" w:rsidP="00BE64AA">
            <w:pPr>
              <w:pStyle w:val="TableText0"/>
            </w:pPr>
            <w:r>
              <w:t>F</w:t>
            </w:r>
          </w:p>
        </w:tc>
        <w:tc>
          <w:tcPr>
            <w:tcW w:w="2443" w:type="pct"/>
          </w:tcPr>
          <w:p w:rsidR="00C278F0" w:rsidRDefault="00C278F0" w:rsidP="00BE64AA">
            <w:pPr>
              <w:pStyle w:val="TableText0"/>
            </w:pPr>
            <w:r>
              <w:t>Mean olaparib dose intensity, mg/day</w:t>
            </w:r>
          </w:p>
        </w:tc>
        <w:tc>
          <w:tcPr>
            <w:tcW w:w="948" w:type="pct"/>
          </w:tcPr>
          <w:p w:rsidR="00C278F0" w:rsidRDefault="00C278F0" w:rsidP="00BE64AA">
            <w:pPr>
              <w:pStyle w:val="TableText0"/>
              <w:jc w:val="center"/>
            </w:pPr>
            <w:r>
              <w:t>542.0 mg</w:t>
            </w:r>
          </w:p>
        </w:tc>
        <w:tc>
          <w:tcPr>
            <w:tcW w:w="1289" w:type="pct"/>
          </w:tcPr>
          <w:p w:rsidR="00C278F0" w:rsidRDefault="00681899" w:rsidP="00BE64AA">
            <w:pPr>
              <w:pStyle w:val="TableText0"/>
            </w:pPr>
            <w:r>
              <w:t xml:space="preserve">Table </w:t>
            </w:r>
            <w:r>
              <w:rPr>
                <w:noProof/>
              </w:rPr>
              <w:t>13</w:t>
            </w:r>
          </w:p>
        </w:tc>
      </w:tr>
      <w:tr w:rsidR="00C278F0" w:rsidTr="00C278F0">
        <w:tc>
          <w:tcPr>
            <w:tcW w:w="319" w:type="pct"/>
          </w:tcPr>
          <w:p w:rsidR="00C278F0" w:rsidRDefault="00C278F0" w:rsidP="00BE64AA">
            <w:pPr>
              <w:pStyle w:val="TableText0"/>
            </w:pPr>
            <w:r>
              <w:t>G</w:t>
            </w:r>
          </w:p>
        </w:tc>
        <w:tc>
          <w:tcPr>
            <w:tcW w:w="2443" w:type="pct"/>
          </w:tcPr>
          <w:p w:rsidR="00C278F0" w:rsidRDefault="00C278F0" w:rsidP="00BE64AA">
            <w:pPr>
              <w:pStyle w:val="TableText0"/>
            </w:pPr>
            <w:r>
              <w:t>Mean cost per day</w:t>
            </w:r>
          </w:p>
        </w:tc>
        <w:tc>
          <w:tcPr>
            <w:tcW w:w="948" w:type="pct"/>
          </w:tcPr>
          <w:p w:rsidR="00C278F0" w:rsidRDefault="00C278F0" w:rsidP="00BE64AA">
            <w:pPr>
              <w:pStyle w:val="TableText0"/>
              <w:jc w:val="center"/>
            </w:pPr>
            <w:r>
              <w:t>$240.68</w:t>
            </w:r>
          </w:p>
        </w:tc>
        <w:tc>
          <w:tcPr>
            <w:tcW w:w="1289" w:type="pct"/>
          </w:tcPr>
          <w:p w:rsidR="00C278F0" w:rsidRDefault="00C278F0" w:rsidP="00BE64AA">
            <w:pPr>
              <w:pStyle w:val="TableText0"/>
            </w:pPr>
            <w:r>
              <w:t>E*F</w:t>
            </w:r>
          </w:p>
        </w:tc>
      </w:tr>
      <w:tr w:rsidR="00C278F0" w:rsidTr="00C278F0">
        <w:tc>
          <w:tcPr>
            <w:tcW w:w="319" w:type="pct"/>
          </w:tcPr>
          <w:p w:rsidR="00C278F0" w:rsidRDefault="00C278F0" w:rsidP="00BE64AA">
            <w:pPr>
              <w:pStyle w:val="TableText0"/>
            </w:pPr>
            <w:r>
              <w:t>H</w:t>
            </w:r>
          </w:p>
        </w:tc>
        <w:tc>
          <w:tcPr>
            <w:tcW w:w="2443" w:type="pct"/>
          </w:tcPr>
          <w:p w:rsidR="00C278F0" w:rsidRDefault="00C278F0" w:rsidP="00BE64AA">
            <w:pPr>
              <w:pStyle w:val="TableText0"/>
            </w:pPr>
            <w:r>
              <w:t>Mean cost per 28 days</w:t>
            </w:r>
          </w:p>
        </w:tc>
        <w:tc>
          <w:tcPr>
            <w:tcW w:w="948" w:type="pct"/>
          </w:tcPr>
          <w:p w:rsidR="00C278F0" w:rsidRDefault="00C278F0" w:rsidP="00BE64AA">
            <w:pPr>
              <w:pStyle w:val="TableText0"/>
              <w:jc w:val="center"/>
            </w:pPr>
            <w:r>
              <w:t>$6,739.11</w:t>
            </w:r>
          </w:p>
        </w:tc>
        <w:tc>
          <w:tcPr>
            <w:tcW w:w="1289" w:type="pct"/>
          </w:tcPr>
          <w:p w:rsidR="00C278F0" w:rsidRDefault="00C278F0" w:rsidP="00BE64AA">
            <w:pPr>
              <w:pStyle w:val="TableText0"/>
            </w:pPr>
            <w:r>
              <w:t>G*28</w:t>
            </w:r>
          </w:p>
        </w:tc>
      </w:tr>
      <w:tr w:rsidR="00C278F0" w:rsidTr="00C278F0">
        <w:tc>
          <w:tcPr>
            <w:tcW w:w="319" w:type="pct"/>
          </w:tcPr>
          <w:p w:rsidR="00C278F0" w:rsidRDefault="00C278F0" w:rsidP="00BE64AA">
            <w:pPr>
              <w:pStyle w:val="TableText0"/>
            </w:pPr>
          </w:p>
        </w:tc>
        <w:tc>
          <w:tcPr>
            <w:tcW w:w="2443" w:type="pct"/>
          </w:tcPr>
          <w:p w:rsidR="00C278F0" w:rsidRPr="00925BBB" w:rsidRDefault="00C278F0" w:rsidP="00BE64AA">
            <w:pPr>
              <w:pStyle w:val="TableText0"/>
              <w:rPr>
                <w:b/>
              </w:rPr>
            </w:pPr>
            <w:r>
              <w:rPr>
                <w:b/>
              </w:rPr>
              <w:t xml:space="preserve">Cost of niraparib </w:t>
            </w:r>
          </w:p>
        </w:tc>
        <w:tc>
          <w:tcPr>
            <w:tcW w:w="948" w:type="pct"/>
          </w:tcPr>
          <w:p w:rsidR="00C278F0" w:rsidRDefault="00C278F0" w:rsidP="00BE64AA">
            <w:pPr>
              <w:pStyle w:val="TableText0"/>
              <w:jc w:val="center"/>
            </w:pPr>
          </w:p>
        </w:tc>
        <w:tc>
          <w:tcPr>
            <w:tcW w:w="1289" w:type="pct"/>
          </w:tcPr>
          <w:p w:rsidR="00C278F0" w:rsidRDefault="00C278F0" w:rsidP="00BE64AA">
            <w:pPr>
              <w:pStyle w:val="TableText0"/>
            </w:pPr>
          </w:p>
        </w:tc>
      </w:tr>
      <w:tr w:rsidR="00C278F0" w:rsidTr="00C278F0">
        <w:tc>
          <w:tcPr>
            <w:tcW w:w="319" w:type="pct"/>
          </w:tcPr>
          <w:p w:rsidR="00C278F0" w:rsidRDefault="00C278F0" w:rsidP="00BE64AA">
            <w:pPr>
              <w:pStyle w:val="TableText0"/>
            </w:pPr>
          </w:p>
        </w:tc>
        <w:tc>
          <w:tcPr>
            <w:tcW w:w="2443" w:type="pct"/>
          </w:tcPr>
          <w:p w:rsidR="00C278F0" w:rsidRDefault="00C278F0" w:rsidP="00BE64AA">
            <w:pPr>
              <w:pStyle w:val="TableText0"/>
            </w:pPr>
            <w:r>
              <w:t>Olaparib drug cost per 28 days</w:t>
            </w:r>
          </w:p>
        </w:tc>
        <w:tc>
          <w:tcPr>
            <w:tcW w:w="948" w:type="pct"/>
          </w:tcPr>
          <w:p w:rsidR="00C278F0" w:rsidRDefault="00C278F0" w:rsidP="00BE64AA">
            <w:pPr>
              <w:pStyle w:val="TableText0"/>
              <w:jc w:val="center"/>
            </w:pPr>
            <w:r>
              <w:t>$6,739.11</w:t>
            </w:r>
          </w:p>
        </w:tc>
        <w:tc>
          <w:tcPr>
            <w:tcW w:w="1289" w:type="pct"/>
          </w:tcPr>
          <w:p w:rsidR="00C278F0" w:rsidRDefault="00C278F0" w:rsidP="00BE64AA">
            <w:pPr>
              <w:pStyle w:val="TableText0"/>
            </w:pPr>
            <w:r>
              <w:t>H</w:t>
            </w:r>
          </w:p>
        </w:tc>
      </w:tr>
      <w:tr w:rsidR="00C278F0" w:rsidTr="00C278F0">
        <w:tc>
          <w:tcPr>
            <w:tcW w:w="319" w:type="pct"/>
          </w:tcPr>
          <w:p w:rsidR="00C278F0" w:rsidRDefault="00C278F0" w:rsidP="00BE64AA">
            <w:pPr>
              <w:pStyle w:val="TableText0"/>
            </w:pPr>
            <w:r>
              <w:t>I</w:t>
            </w:r>
          </w:p>
        </w:tc>
        <w:tc>
          <w:tcPr>
            <w:tcW w:w="2443" w:type="pct"/>
          </w:tcPr>
          <w:p w:rsidR="00C278F0" w:rsidRDefault="00C278F0" w:rsidP="00BE64AA">
            <w:pPr>
              <w:pStyle w:val="TableText0"/>
            </w:pPr>
            <w:r>
              <w:t xml:space="preserve">Incremental monitoring costs per 28 days for niraparib </w:t>
            </w:r>
          </w:p>
        </w:tc>
        <w:tc>
          <w:tcPr>
            <w:tcW w:w="948" w:type="pct"/>
          </w:tcPr>
          <w:p w:rsidR="00C278F0" w:rsidRDefault="00C278F0" w:rsidP="00BE64AA">
            <w:pPr>
              <w:pStyle w:val="TableText0"/>
              <w:jc w:val="center"/>
            </w:pPr>
            <w:r>
              <w:t>$13.70</w:t>
            </w:r>
          </w:p>
        </w:tc>
        <w:tc>
          <w:tcPr>
            <w:tcW w:w="1289" w:type="pct"/>
          </w:tcPr>
          <w:p w:rsidR="00C278F0" w:rsidRDefault="00C278F0" w:rsidP="00BE64AA">
            <w:pPr>
              <w:pStyle w:val="TableText0"/>
            </w:pPr>
          </w:p>
        </w:tc>
      </w:tr>
      <w:tr w:rsidR="00C278F0" w:rsidTr="00C278F0">
        <w:tc>
          <w:tcPr>
            <w:tcW w:w="319" w:type="pct"/>
          </w:tcPr>
          <w:p w:rsidR="00C278F0" w:rsidRDefault="00C278F0" w:rsidP="00BE64AA">
            <w:pPr>
              <w:pStyle w:val="TableText0"/>
            </w:pPr>
            <w:r>
              <w:t>J</w:t>
            </w:r>
          </w:p>
        </w:tc>
        <w:tc>
          <w:tcPr>
            <w:tcW w:w="2443" w:type="pct"/>
          </w:tcPr>
          <w:p w:rsidR="00C278F0" w:rsidRDefault="00C278F0" w:rsidP="00BE64AA">
            <w:pPr>
              <w:pStyle w:val="TableText0"/>
            </w:pPr>
            <w:r>
              <w:t>Cost-minimised niraparib drug cost per 28 days</w:t>
            </w:r>
          </w:p>
        </w:tc>
        <w:tc>
          <w:tcPr>
            <w:tcW w:w="948" w:type="pct"/>
          </w:tcPr>
          <w:p w:rsidR="00C278F0" w:rsidRDefault="00C278F0" w:rsidP="00BE64AA">
            <w:pPr>
              <w:pStyle w:val="TableText0"/>
              <w:jc w:val="center"/>
            </w:pPr>
            <w:r>
              <w:t>$6,725.41</w:t>
            </w:r>
          </w:p>
        </w:tc>
        <w:tc>
          <w:tcPr>
            <w:tcW w:w="1289" w:type="pct"/>
          </w:tcPr>
          <w:p w:rsidR="00C278F0" w:rsidRDefault="00C278F0" w:rsidP="00BE64AA">
            <w:pPr>
              <w:pStyle w:val="TableText0"/>
            </w:pPr>
            <w:r>
              <w:t>H-I</w:t>
            </w:r>
          </w:p>
        </w:tc>
      </w:tr>
      <w:tr w:rsidR="00C278F0" w:rsidTr="00C278F0">
        <w:tc>
          <w:tcPr>
            <w:tcW w:w="319" w:type="pct"/>
          </w:tcPr>
          <w:p w:rsidR="00C278F0" w:rsidRDefault="00C278F0" w:rsidP="00BE64AA">
            <w:pPr>
              <w:pStyle w:val="TableText0"/>
            </w:pPr>
            <w:r>
              <w:t>K</w:t>
            </w:r>
          </w:p>
        </w:tc>
        <w:tc>
          <w:tcPr>
            <w:tcW w:w="2443" w:type="pct"/>
          </w:tcPr>
          <w:p w:rsidR="00C278F0" w:rsidRDefault="00C278F0" w:rsidP="00BE64AA">
            <w:pPr>
              <w:pStyle w:val="TableText0"/>
            </w:pPr>
            <w:r>
              <w:t>Mean niraparib dose intensity, mg/day</w:t>
            </w:r>
          </w:p>
        </w:tc>
        <w:tc>
          <w:tcPr>
            <w:tcW w:w="948" w:type="pct"/>
          </w:tcPr>
          <w:p w:rsidR="00C278F0" w:rsidRPr="004E4C48" w:rsidRDefault="00C278F0" w:rsidP="00BE64AA">
            <w:pPr>
              <w:pStyle w:val="TableText0"/>
              <w:jc w:val="center"/>
            </w:pPr>
            <w:r>
              <w:t>161.5 mg</w:t>
            </w:r>
          </w:p>
        </w:tc>
        <w:tc>
          <w:tcPr>
            <w:tcW w:w="1289" w:type="pct"/>
          </w:tcPr>
          <w:p w:rsidR="00C278F0" w:rsidRDefault="00681899" w:rsidP="00BE64AA">
            <w:pPr>
              <w:pStyle w:val="TableText0"/>
            </w:pPr>
            <w:r>
              <w:t xml:space="preserve">Table </w:t>
            </w:r>
            <w:r>
              <w:rPr>
                <w:noProof/>
              </w:rPr>
              <w:t>13</w:t>
            </w:r>
          </w:p>
        </w:tc>
      </w:tr>
      <w:tr w:rsidR="00C278F0" w:rsidTr="00C278F0">
        <w:tc>
          <w:tcPr>
            <w:tcW w:w="319" w:type="pct"/>
          </w:tcPr>
          <w:p w:rsidR="00C278F0" w:rsidRDefault="00C278F0" w:rsidP="00BE64AA">
            <w:pPr>
              <w:pStyle w:val="TableText0"/>
            </w:pPr>
            <w:r>
              <w:t>L</w:t>
            </w:r>
          </w:p>
        </w:tc>
        <w:tc>
          <w:tcPr>
            <w:tcW w:w="2443" w:type="pct"/>
          </w:tcPr>
          <w:p w:rsidR="00C278F0" w:rsidRDefault="00C278F0" w:rsidP="00BE64AA">
            <w:pPr>
              <w:pStyle w:val="TableText0"/>
            </w:pPr>
            <w:r>
              <w:t>Mean dose per 28 days</w:t>
            </w:r>
            <w:r w:rsidR="00F14642">
              <w:t>*</w:t>
            </w:r>
          </w:p>
        </w:tc>
        <w:tc>
          <w:tcPr>
            <w:tcW w:w="948" w:type="pct"/>
          </w:tcPr>
          <w:p w:rsidR="00C278F0" w:rsidRDefault="00C278F0" w:rsidP="00BE64AA">
            <w:pPr>
              <w:pStyle w:val="TableText0"/>
              <w:jc w:val="center"/>
            </w:pPr>
            <w:r>
              <w:t>4,521 mg</w:t>
            </w:r>
          </w:p>
        </w:tc>
        <w:tc>
          <w:tcPr>
            <w:tcW w:w="1289" w:type="pct"/>
          </w:tcPr>
          <w:p w:rsidR="00C278F0" w:rsidRDefault="00C278F0" w:rsidP="00BE64AA">
            <w:pPr>
              <w:pStyle w:val="TableText0"/>
            </w:pPr>
            <w:r>
              <w:t>K*28</w:t>
            </w:r>
          </w:p>
        </w:tc>
      </w:tr>
      <w:tr w:rsidR="00C278F0" w:rsidTr="00C278F0">
        <w:tc>
          <w:tcPr>
            <w:tcW w:w="319" w:type="pct"/>
          </w:tcPr>
          <w:p w:rsidR="00C278F0" w:rsidRDefault="00C278F0" w:rsidP="00BE64AA">
            <w:pPr>
              <w:pStyle w:val="TableText0"/>
            </w:pPr>
            <w:r>
              <w:t>M</w:t>
            </w:r>
          </w:p>
        </w:tc>
        <w:tc>
          <w:tcPr>
            <w:tcW w:w="2443" w:type="pct"/>
          </w:tcPr>
          <w:p w:rsidR="00C278F0" w:rsidRDefault="00C278F0" w:rsidP="00BE64AA">
            <w:pPr>
              <w:pStyle w:val="TableText0"/>
            </w:pPr>
            <w:r>
              <w:t>Cost per mg</w:t>
            </w:r>
          </w:p>
        </w:tc>
        <w:tc>
          <w:tcPr>
            <w:tcW w:w="948" w:type="pct"/>
          </w:tcPr>
          <w:p w:rsidR="00C278F0" w:rsidRDefault="00C278F0" w:rsidP="00BE64AA">
            <w:pPr>
              <w:pStyle w:val="TableText0"/>
              <w:jc w:val="center"/>
            </w:pPr>
            <w:r>
              <w:t>$1.49</w:t>
            </w:r>
          </w:p>
        </w:tc>
        <w:tc>
          <w:tcPr>
            <w:tcW w:w="1289" w:type="pct"/>
          </w:tcPr>
          <w:p w:rsidR="00C278F0" w:rsidRDefault="00C278F0" w:rsidP="00BE64AA">
            <w:pPr>
              <w:pStyle w:val="TableText0"/>
            </w:pPr>
          </w:p>
        </w:tc>
      </w:tr>
      <w:tr w:rsidR="00C278F0" w:rsidTr="00C278F0">
        <w:tc>
          <w:tcPr>
            <w:tcW w:w="319" w:type="pct"/>
          </w:tcPr>
          <w:p w:rsidR="00C278F0" w:rsidRDefault="00C278F0" w:rsidP="00BE64AA">
            <w:pPr>
              <w:pStyle w:val="TableText0"/>
            </w:pPr>
            <w:r>
              <w:t>N</w:t>
            </w:r>
          </w:p>
        </w:tc>
        <w:tc>
          <w:tcPr>
            <w:tcW w:w="2443" w:type="pct"/>
          </w:tcPr>
          <w:p w:rsidR="00C278F0" w:rsidRPr="004E4C48" w:rsidRDefault="00C278F0" w:rsidP="00BE64AA">
            <w:pPr>
              <w:pStyle w:val="TableText0"/>
              <w:rPr>
                <w:vertAlign w:val="superscript"/>
              </w:rPr>
            </w:pPr>
            <w:r>
              <w:t>Amount per script 84 capsule pack/56 capsule pack</w:t>
            </w:r>
            <w:r>
              <w:rPr>
                <w:vertAlign w:val="superscript"/>
              </w:rPr>
              <w:t>c</w:t>
            </w:r>
          </w:p>
        </w:tc>
        <w:tc>
          <w:tcPr>
            <w:tcW w:w="948" w:type="pct"/>
          </w:tcPr>
          <w:p w:rsidR="00C278F0" w:rsidRDefault="00C278F0" w:rsidP="00BE64AA">
            <w:pPr>
              <w:pStyle w:val="TableText0"/>
              <w:jc w:val="center"/>
            </w:pPr>
            <w:r>
              <w:t>8,400 mg/5,600 mg</w:t>
            </w:r>
          </w:p>
        </w:tc>
        <w:tc>
          <w:tcPr>
            <w:tcW w:w="1289" w:type="pct"/>
          </w:tcPr>
          <w:p w:rsidR="00C278F0" w:rsidRDefault="00C278F0" w:rsidP="00BE64AA">
            <w:pPr>
              <w:pStyle w:val="TableText0"/>
            </w:pPr>
          </w:p>
        </w:tc>
      </w:tr>
      <w:tr w:rsidR="00C278F0" w:rsidTr="00C278F0">
        <w:tc>
          <w:tcPr>
            <w:tcW w:w="319" w:type="pct"/>
          </w:tcPr>
          <w:p w:rsidR="00C278F0" w:rsidRDefault="00C278F0" w:rsidP="00BE64AA">
            <w:pPr>
              <w:pStyle w:val="TableText0"/>
            </w:pPr>
          </w:p>
        </w:tc>
        <w:tc>
          <w:tcPr>
            <w:tcW w:w="2443" w:type="pct"/>
          </w:tcPr>
          <w:p w:rsidR="00C278F0" w:rsidRDefault="00C278F0" w:rsidP="00BE64AA">
            <w:pPr>
              <w:pStyle w:val="TableText0"/>
            </w:pPr>
            <w:r>
              <w:t>Cost-minimised EMP niraparib 84 capsules</w:t>
            </w:r>
          </w:p>
        </w:tc>
        <w:tc>
          <w:tcPr>
            <w:tcW w:w="948" w:type="pct"/>
          </w:tcPr>
          <w:p w:rsidR="00C278F0" w:rsidRDefault="00C278F0" w:rsidP="00BE64AA">
            <w:pPr>
              <w:pStyle w:val="TableText0"/>
              <w:jc w:val="center"/>
            </w:pPr>
            <w:r>
              <w:t>$12,496.38</w:t>
            </w:r>
          </w:p>
        </w:tc>
        <w:tc>
          <w:tcPr>
            <w:tcW w:w="1289" w:type="pct"/>
          </w:tcPr>
          <w:p w:rsidR="00C278F0" w:rsidRDefault="00C278F0" w:rsidP="00BE64AA">
            <w:pPr>
              <w:pStyle w:val="TableText0"/>
            </w:pPr>
            <w:r>
              <w:t>M*8,400</w:t>
            </w:r>
          </w:p>
        </w:tc>
      </w:tr>
      <w:tr w:rsidR="00C278F0" w:rsidTr="00C278F0">
        <w:tc>
          <w:tcPr>
            <w:tcW w:w="319" w:type="pct"/>
          </w:tcPr>
          <w:p w:rsidR="00C278F0" w:rsidRDefault="00C278F0" w:rsidP="00BE64AA">
            <w:pPr>
              <w:pStyle w:val="TableText0"/>
            </w:pPr>
          </w:p>
        </w:tc>
        <w:tc>
          <w:tcPr>
            <w:tcW w:w="2443" w:type="pct"/>
          </w:tcPr>
          <w:p w:rsidR="00C278F0" w:rsidRDefault="00C278F0" w:rsidP="00BE64AA">
            <w:pPr>
              <w:pStyle w:val="TableText0"/>
            </w:pPr>
            <w:r>
              <w:t>Cost-minimised EMP niraparib 56 capsules</w:t>
            </w:r>
          </w:p>
        </w:tc>
        <w:tc>
          <w:tcPr>
            <w:tcW w:w="948" w:type="pct"/>
          </w:tcPr>
          <w:p w:rsidR="00C278F0" w:rsidRDefault="00C278F0" w:rsidP="00BE64AA">
            <w:pPr>
              <w:pStyle w:val="TableText0"/>
              <w:jc w:val="center"/>
            </w:pPr>
            <w:r>
              <w:t>$8,330.92</w:t>
            </w:r>
          </w:p>
        </w:tc>
        <w:tc>
          <w:tcPr>
            <w:tcW w:w="1289" w:type="pct"/>
          </w:tcPr>
          <w:p w:rsidR="00C278F0" w:rsidRDefault="00C278F0" w:rsidP="00BE64AA">
            <w:pPr>
              <w:pStyle w:val="TableText0"/>
            </w:pPr>
            <w:r>
              <w:t>M*5,600</w:t>
            </w:r>
          </w:p>
        </w:tc>
      </w:tr>
    </w:tbl>
    <w:p w:rsidR="00C278F0" w:rsidRDefault="00C278F0" w:rsidP="00BE64AA">
      <w:pPr>
        <w:pStyle w:val="TableFigureFooter"/>
      </w:pPr>
      <w:r>
        <w:t>Source: Table 131 and Table 132, p169 of the submission.</w:t>
      </w:r>
    </w:p>
    <w:p w:rsidR="00C278F0" w:rsidRDefault="00C278F0" w:rsidP="00BE64AA">
      <w:pPr>
        <w:pStyle w:val="TableFigureFooter"/>
      </w:pPr>
      <w:r>
        <w:t>AEMP = approved ex-manufacturer price; EMP = ex-manufacturer price.</w:t>
      </w:r>
    </w:p>
    <w:p w:rsidR="00C278F0" w:rsidRPr="00BA75D8" w:rsidRDefault="00C278F0" w:rsidP="00BE64AA">
      <w:pPr>
        <w:pStyle w:val="TableFigureFooter"/>
      </w:pPr>
      <w:r>
        <w:rPr>
          <w:vertAlign w:val="superscript"/>
        </w:rPr>
        <w:t>a</w:t>
      </w:r>
      <w:r>
        <w:t xml:space="preserve"> The AEMP for 28 days’ supply of olaparib (112 tablets) is the same for both the 100 mg and the 150 mg tablets.</w:t>
      </w:r>
    </w:p>
    <w:p w:rsidR="00C278F0" w:rsidRDefault="00C278F0" w:rsidP="00BE64AA">
      <w:pPr>
        <w:pStyle w:val="TableFigureFooter"/>
      </w:pPr>
      <w:r>
        <w:rPr>
          <w:vertAlign w:val="superscript"/>
        </w:rPr>
        <w:t xml:space="preserve">b </w:t>
      </w:r>
      <w:r w:rsidRPr="009211D8">
        <w:t xml:space="preserve">Between January and June 2020, 182 100 mg packs (PBS items 11503K and 11522K) and 514 150 mg packs (PBS items 11528R and 11539H) </w:t>
      </w:r>
      <w:r>
        <w:t>were</w:t>
      </w:r>
      <w:r w:rsidRPr="009211D8">
        <w:t xml:space="preserve"> utilised. 2020 data is used as 50 mg capsules are currently being phased off the PBS and were still available to initiating patients in 2019.</w:t>
      </w:r>
    </w:p>
    <w:p w:rsidR="00C278F0" w:rsidRDefault="00C278F0" w:rsidP="00BE64AA">
      <w:pPr>
        <w:pStyle w:val="TableFigureFooter"/>
      </w:pPr>
      <w:r>
        <w:rPr>
          <w:vertAlign w:val="superscript"/>
        </w:rPr>
        <w:t>c</w:t>
      </w:r>
      <w:r>
        <w:t xml:space="preserve"> Maximum quantity of one pack per script</w:t>
      </w:r>
    </w:p>
    <w:p w:rsidR="00F14642" w:rsidRPr="004E4C48" w:rsidRDefault="00F14642" w:rsidP="00BE64AA">
      <w:pPr>
        <w:pStyle w:val="TableFigureFooter"/>
      </w:pPr>
      <w:r>
        <w:t>*Note that the mean dose of treatment stated in Table 14 was provided for the purposes of informing the PBAC consideration. Interpretation of the results and their application should therefore be limited to seeking to understand the basis for the PBAC outcome and should not be used for any other purpose</w:t>
      </w:r>
    </w:p>
    <w:p w:rsidR="00C278F0" w:rsidRPr="00A0281F" w:rsidRDefault="00C278F0" w:rsidP="00BE64AA">
      <w:pPr>
        <w:pStyle w:val="3-BodyText"/>
        <w:ind w:left="709"/>
      </w:pPr>
      <w:r w:rsidRPr="00A0281F">
        <w:t>Using the weighted average cost per mg for olaparib was not appropriate, as the cost per patient is constant, regardless of which dose is used.</w:t>
      </w:r>
    </w:p>
    <w:p w:rsidR="00C278F0" w:rsidRPr="00A0281F" w:rsidRDefault="00C278F0" w:rsidP="00BE64AA">
      <w:pPr>
        <w:pStyle w:val="3-BodyText"/>
        <w:ind w:left="709"/>
      </w:pPr>
      <w:r w:rsidRPr="00A0281F">
        <w:t>The following sensitivity analyses were performed during the evaluation:</w:t>
      </w:r>
    </w:p>
    <w:p w:rsidR="00C278F0" w:rsidRPr="00A0281F" w:rsidRDefault="00C278F0" w:rsidP="00BE64AA">
      <w:pPr>
        <w:pStyle w:val="ListParagraph"/>
        <w:ind w:left="1134"/>
      </w:pPr>
      <w:r w:rsidRPr="00A0281F">
        <w:t xml:space="preserve">Using the mean dose intensity (inclusive of dose interruptions) from NOVA (i.e. untranslated data for fixed starting dose regimen), as in  (180.7 mg/day); </w:t>
      </w:r>
    </w:p>
    <w:p w:rsidR="00C278F0" w:rsidRPr="00A0281F" w:rsidRDefault="00C278F0" w:rsidP="00BE64AA">
      <w:pPr>
        <w:pStyle w:val="ListParagraph"/>
        <w:ind w:left="1134"/>
      </w:pPr>
      <w:r w:rsidRPr="00A0281F">
        <w:t>Using the ‘steady state’ dose distribution for niraparib from NOVA (average weighted mean dose over Months 5-12), non-inclusive of dose interruptions (176.7 mg/day), and the mean dose intensity for olaparib non-inclusive of dose interruptions (568.2 mg/day); and</w:t>
      </w:r>
    </w:p>
    <w:p w:rsidR="00C278F0" w:rsidRPr="00A0281F" w:rsidRDefault="00C278F0" w:rsidP="00BE64AA">
      <w:pPr>
        <w:pStyle w:val="ListParagraph"/>
        <w:ind w:left="1134"/>
      </w:pPr>
      <w:r w:rsidRPr="00A0281F">
        <w:t>Using the cost per mg for the 150 mg tablet of olaparib ($0.41/mg).</w:t>
      </w:r>
    </w:p>
    <w:p w:rsidR="00C278F0" w:rsidRPr="00A0281F" w:rsidRDefault="00C278F0" w:rsidP="00BE64AA">
      <w:pPr>
        <w:pStyle w:val="TableFigureHeading"/>
      </w:pPr>
      <w:bookmarkStart w:id="48" w:name="_Ref57969773"/>
      <w:r w:rsidRPr="00A0281F">
        <w:rPr>
          <w:iCs/>
        </w:rPr>
        <w:lastRenderedPageBreak/>
        <w:t xml:space="preserve">Table </w:t>
      </w:r>
      <w:r w:rsidR="00681899">
        <w:rPr>
          <w:iCs/>
          <w:noProof/>
        </w:rPr>
        <w:t>15</w:t>
      </w:r>
      <w:bookmarkEnd w:id="48"/>
      <w:r w:rsidRPr="00A0281F">
        <w:rPr>
          <w:iCs/>
        </w:rPr>
        <w:t>:</w:t>
      </w:r>
      <w:r w:rsidRPr="00A0281F">
        <w:t xml:space="preserve"> Results of the sensitivity analyses performed during the evaluation (published AEMP for olaparib).</w:t>
      </w:r>
    </w:p>
    <w:tbl>
      <w:tblPr>
        <w:tblStyle w:val="TableGrid"/>
        <w:tblW w:w="5000" w:type="pct"/>
        <w:tblLook w:val="04A0" w:firstRow="1" w:lastRow="0" w:firstColumn="1" w:lastColumn="0" w:noHBand="0" w:noVBand="1"/>
        <w:tblCaption w:val="Table 15: Results of the sensitivity analyses performed during the evaluation (published AEMP for olaparib)."/>
      </w:tblPr>
      <w:tblGrid>
        <w:gridCol w:w="4243"/>
        <w:gridCol w:w="1185"/>
        <w:gridCol w:w="1185"/>
        <w:gridCol w:w="1185"/>
        <w:gridCol w:w="1219"/>
      </w:tblGrid>
      <w:tr w:rsidR="00C278F0" w:rsidRPr="00A0281F" w:rsidTr="00C64862">
        <w:trPr>
          <w:tblHeader/>
        </w:trPr>
        <w:tc>
          <w:tcPr>
            <w:tcW w:w="2353" w:type="pct"/>
            <w:vAlign w:val="center"/>
          </w:tcPr>
          <w:p w:rsidR="00C278F0" w:rsidRPr="00A0281F" w:rsidRDefault="00C278F0" w:rsidP="00BE64AA">
            <w:pPr>
              <w:keepNext/>
            </w:pPr>
          </w:p>
        </w:tc>
        <w:tc>
          <w:tcPr>
            <w:tcW w:w="1314" w:type="pct"/>
            <w:gridSpan w:val="2"/>
            <w:vAlign w:val="center"/>
          </w:tcPr>
          <w:p w:rsidR="00C278F0" w:rsidRPr="00A0281F" w:rsidRDefault="00C278F0" w:rsidP="00BE64AA">
            <w:pPr>
              <w:pStyle w:val="In-tableHeading"/>
              <w:jc w:val="center"/>
            </w:pPr>
            <w:r w:rsidRPr="00A0281F">
              <w:t>Mean dose</w:t>
            </w:r>
            <w:r w:rsidR="00F14642">
              <w:t>*</w:t>
            </w:r>
            <w:r w:rsidRPr="00A0281F">
              <w:t>, mg/day</w:t>
            </w:r>
          </w:p>
        </w:tc>
        <w:tc>
          <w:tcPr>
            <w:tcW w:w="1333" w:type="pct"/>
            <w:gridSpan w:val="2"/>
            <w:vAlign w:val="center"/>
          </w:tcPr>
          <w:p w:rsidR="00C278F0" w:rsidRPr="00A0281F" w:rsidRDefault="00C278F0" w:rsidP="00BE64AA">
            <w:pPr>
              <w:pStyle w:val="In-tableHeading"/>
              <w:jc w:val="center"/>
            </w:pPr>
            <w:r w:rsidRPr="00A0281F">
              <w:t xml:space="preserve">Cost-minimised </w:t>
            </w:r>
            <w:r w:rsidRPr="00A0281F">
              <w:br/>
              <w:t>EMP niraparib</w:t>
            </w:r>
          </w:p>
        </w:tc>
      </w:tr>
      <w:tr w:rsidR="00C278F0" w:rsidRPr="00A0281F" w:rsidTr="004B4E18">
        <w:tc>
          <w:tcPr>
            <w:tcW w:w="2353" w:type="pct"/>
            <w:tcBorders>
              <w:bottom w:val="single" w:sz="4" w:space="0" w:color="auto"/>
            </w:tcBorders>
            <w:vAlign w:val="center"/>
          </w:tcPr>
          <w:p w:rsidR="00C278F0" w:rsidRPr="00A0281F" w:rsidRDefault="00C278F0" w:rsidP="00BE64AA">
            <w:pPr>
              <w:pStyle w:val="TableText0"/>
            </w:pPr>
          </w:p>
        </w:tc>
        <w:tc>
          <w:tcPr>
            <w:tcW w:w="657" w:type="pct"/>
            <w:tcBorders>
              <w:bottom w:val="single" w:sz="4" w:space="0" w:color="auto"/>
            </w:tcBorders>
            <w:vAlign w:val="center"/>
          </w:tcPr>
          <w:p w:rsidR="00C278F0" w:rsidRPr="00A0281F" w:rsidRDefault="00C278F0" w:rsidP="00BE64AA">
            <w:pPr>
              <w:pStyle w:val="TableText0"/>
              <w:jc w:val="center"/>
            </w:pPr>
            <w:r w:rsidRPr="00A0281F">
              <w:t>Niraparib</w:t>
            </w:r>
          </w:p>
        </w:tc>
        <w:tc>
          <w:tcPr>
            <w:tcW w:w="657" w:type="pct"/>
            <w:tcBorders>
              <w:bottom w:val="single" w:sz="4" w:space="0" w:color="auto"/>
            </w:tcBorders>
            <w:vAlign w:val="center"/>
          </w:tcPr>
          <w:p w:rsidR="00C278F0" w:rsidRPr="00A0281F" w:rsidRDefault="00C278F0" w:rsidP="00BE64AA">
            <w:pPr>
              <w:pStyle w:val="TableText0"/>
              <w:jc w:val="center"/>
            </w:pPr>
            <w:r w:rsidRPr="00A0281F">
              <w:t>Olaparib</w:t>
            </w:r>
          </w:p>
        </w:tc>
        <w:tc>
          <w:tcPr>
            <w:tcW w:w="657" w:type="pct"/>
            <w:tcBorders>
              <w:bottom w:val="single" w:sz="4" w:space="0" w:color="auto"/>
            </w:tcBorders>
            <w:vAlign w:val="center"/>
          </w:tcPr>
          <w:p w:rsidR="00C278F0" w:rsidRPr="00A0281F" w:rsidRDefault="00C278F0" w:rsidP="00BE64AA">
            <w:pPr>
              <w:pStyle w:val="TableText0"/>
              <w:jc w:val="center"/>
            </w:pPr>
            <w:r w:rsidRPr="00A0281F">
              <w:t>84-capsules</w:t>
            </w:r>
          </w:p>
        </w:tc>
        <w:tc>
          <w:tcPr>
            <w:tcW w:w="676" w:type="pct"/>
            <w:tcBorders>
              <w:bottom w:val="single" w:sz="4" w:space="0" w:color="auto"/>
            </w:tcBorders>
            <w:vAlign w:val="center"/>
          </w:tcPr>
          <w:p w:rsidR="00C278F0" w:rsidRPr="00A0281F" w:rsidRDefault="00C278F0" w:rsidP="00BE64AA">
            <w:pPr>
              <w:pStyle w:val="TableText0"/>
              <w:jc w:val="center"/>
            </w:pPr>
            <w:r w:rsidRPr="00A0281F">
              <w:t>56-capsules</w:t>
            </w:r>
          </w:p>
        </w:tc>
      </w:tr>
      <w:tr w:rsidR="00C278F0" w:rsidRPr="00A0281F" w:rsidTr="004B4E18">
        <w:tc>
          <w:tcPr>
            <w:tcW w:w="2353" w:type="pct"/>
            <w:tcBorders>
              <w:right w:val="nil"/>
            </w:tcBorders>
            <w:vAlign w:val="center"/>
          </w:tcPr>
          <w:p w:rsidR="00C278F0" w:rsidRPr="00A0281F" w:rsidRDefault="00C278F0" w:rsidP="00BE64AA">
            <w:pPr>
              <w:pStyle w:val="TableText0"/>
              <w:rPr>
                <w:b/>
              </w:rPr>
            </w:pPr>
            <w:r w:rsidRPr="00A0281F">
              <w:rPr>
                <w:b/>
              </w:rPr>
              <w:t xml:space="preserve">Base case </w:t>
            </w:r>
          </w:p>
        </w:tc>
        <w:tc>
          <w:tcPr>
            <w:tcW w:w="657" w:type="pct"/>
            <w:tcBorders>
              <w:left w:val="nil"/>
              <w:right w:val="nil"/>
            </w:tcBorders>
            <w:vAlign w:val="center"/>
          </w:tcPr>
          <w:p w:rsidR="00C278F0" w:rsidRPr="00A0281F" w:rsidRDefault="00C278F0" w:rsidP="00BE64AA">
            <w:pPr>
              <w:pStyle w:val="TableText0"/>
              <w:jc w:val="center"/>
            </w:pPr>
          </w:p>
        </w:tc>
        <w:tc>
          <w:tcPr>
            <w:tcW w:w="657" w:type="pct"/>
            <w:tcBorders>
              <w:left w:val="nil"/>
              <w:right w:val="nil"/>
            </w:tcBorders>
            <w:vAlign w:val="center"/>
          </w:tcPr>
          <w:p w:rsidR="00C278F0" w:rsidRPr="00A0281F" w:rsidRDefault="00C278F0" w:rsidP="00BE64AA">
            <w:pPr>
              <w:pStyle w:val="TableText0"/>
              <w:jc w:val="center"/>
            </w:pPr>
          </w:p>
        </w:tc>
        <w:tc>
          <w:tcPr>
            <w:tcW w:w="657" w:type="pct"/>
            <w:tcBorders>
              <w:left w:val="nil"/>
              <w:right w:val="nil"/>
            </w:tcBorders>
            <w:vAlign w:val="center"/>
          </w:tcPr>
          <w:p w:rsidR="00C278F0" w:rsidRPr="00A0281F" w:rsidRDefault="00C278F0" w:rsidP="00BE64AA">
            <w:pPr>
              <w:pStyle w:val="TableText0"/>
              <w:jc w:val="center"/>
            </w:pPr>
          </w:p>
        </w:tc>
        <w:tc>
          <w:tcPr>
            <w:tcW w:w="676" w:type="pct"/>
            <w:tcBorders>
              <w:left w:val="nil"/>
            </w:tcBorders>
            <w:vAlign w:val="center"/>
          </w:tcPr>
          <w:p w:rsidR="00C278F0" w:rsidRPr="00A0281F" w:rsidRDefault="00C278F0" w:rsidP="00BE64AA">
            <w:pPr>
              <w:pStyle w:val="TableText0"/>
              <w:jc w:val="center"/>
            </w:pPr>
          </w:p>
        </w:tc>
      </w:tr>
      <w:tr w:rsidR="00C278F0" w:rsidRPr="00A0281F" w:rsidTr="004B4E18">
        <w:tc>
          <w:tcPr>
            <w:tcW w:w="2353" w:type="pct"/>
            <w:tcBorders>
              <w:bottom w:val="single" w:sz="4" w:space="0" w:color="auto"/>
            </w:tcBorders>
            <w:vAlign w:val="center"/>
          </w:tcPr>
          <w:p w:rsidR="00C278F0" w:rsidRPr="00A0281F" w:rsidRDefault="00C278F0" w:rsidP="00BE64AA">
            <w:pPr>
              <w:pStyle w:val="TableText0"/>
            </w:pPr>
            <w:r w:rsidRPr="00A0281F">
              <w:t xml:space="preserve">Translated niraparib dose, dose intensity inclusive of dose interruptions, </w:t>
            </w:r>
          </w:p>
        </w:tc>
        <w:tc>
          <w:tcPr>
            <w:tcW w:w="657" w:type="pct"/>
            <w:tcBorders>
              <w:bottom w:val="single" w:sz="4" w:space="0" w:color="auto"/>
            </w:tcBorders>
            <w:vAlign w:val="center"/>
          </w:tcPr>
          <w:p w:rsidR="00C278F0" w:rsidRPr="00A0281F" w:rsidRDefault="00C278F0" w:rsidP="00BE64AA">
            <w:pPr>
              <w:pStyle w:val="TableText0"/>
              <w:jc w:val="center"/>
            </w:pPr>
            <w:r w:rsidRPr="00A0281F">
              <w:t>161.5</w:t>
            </w:r>
          </w:p>
        </w:tc>
        <w:tc>
          <w:tcPr>
            <w:tcW w:w="657" w:type="pct"/>
            <w:tcBorders>
              <w:bottom w:val="single" w:sz="4" w:space="0" w:color="auto"/>
            </w:tcBorders>
            <w:vAlign w:val="center"/>
          </w:tcPr>
          <w:p w:rsidR="00C278F0" w:rsidRPr="00A0281F" w:rsidRDefault="00C278F0" w:rsidP="00BE64AA">
            <w:pPr>
              <w:pStyle w:val="TableText0"/>
              <w:jc w:val="center"/>
            </w:pPr>
            <w:r w:rsidRPr="00A0281F">
              <w:t>542.0</w:t>
            </w:r>
          </w:p>
        </w:tc>
        <w:tc>
          <w:tcPr>
            <w:tcW w:w="657" w:type="pct"/>
            <w:tcBorders>
              <w:bottom w:val="single" w:sz="4" w:space="0" w:color="auto"/>
            </w:tcBorders>
            <w:vAlign w:val="center"/>
          </w:tcPr>
          <w:p w:rsidR="00C278F0" w:rsidRPr="00A0281F" w:rsidRDefault="00C278F0" w:rsidP="00BE64AA">
            <w:pPr>
              <w:pStyle w:val="TableText0"/>
              <w:jc w:val="center"/>
            </w:pPr>
            <w:r w:rsidRPr="00A0281F">
              <w:t>$12,496</w:t>
            </w:r>
          </w:p>
        </w:tc>
        <w:tc>
          <w:tcPr>
            <w:tcW w:w="676" w:type="pct"/>
            <w:tcBorders>
              <w:bottom w:val="single" w:sz="4" w:space="0" w:color="auto"/>
            </w:tcBorders>
            <w:vAlign w:val="center"/>
          </w:tcPr>
          <w:p w:rsidR="00C278F0" w:rsidRPr="00A0281F" w:rsidRDefault="00C278F0" w:rsidP="00BE64AA">
            <w:pPr>
              <w:pStyle w:val="TableText0"/>
              <w:jc w:val="center"/>
            </w:pPr>
            <w:r w:rsidRPr="00A0281F">
              <w:t>$8,331</w:t>
            </w:r>
          </w:p>
        </w:tc>
      </w:tr>
      <w:tr w:rsidR="00C278F0" w:rsidRPr="00A0281F" w:rsidTr="004B4E18">
        <w:tc>
          <w:tcPr>
            <w:tcW w:w="2353" w:type="pct"/>
            <w:tcBorders>
              <w:right w:val="nil"/>
            </w:tcBorders>
            <w:vAlign w:val="center"/>
          </w:tcPr>
          <w:p w:rsidR="00C278F0" w:rsidRPr="00A0281F" w:rsidRDefault="00C278F0" w:rsidP="00BE64AA">
            <w:pPr>
              <w:pStyle w:val="TableText0"/>
              <w:rPr>
                <w:b/>
              </w:rPr>
            </w:pPr>
            <w:r w:rsidRPr="00A0281F">
              <w:rPr>
                <w:b/>
              </w:rPr>
              <w:t>Sensitivity analyses</w:t>
            </w:r>
          </w:p>
        </w:tc>
        <w:tc>
          <w:tcPr>
            <w:tcW w:w="657" w:type="pct"/>
            <w:tcBorders>
              <w:left w:val="nil"/>
              <w:right w:val="nil"/>
            </w:tcBorders>
            <w:vAlign w:val="center"/>
          </w:tcPr>
          <w:p w:rsidR="00C278F0" w:rsidRPr="00A0281F" w:rsidRDefault="00C278F0" w:rsidP="00BE64AA">
            <w:pPr>
              <w:pStyle w:val="TableText0"/>
              <w:jc w:val="center"/>
            </w:pPr>
          </w:p>
        </w:tc>
        <w:tc>
          <w:tcPr>
            <w:tcW w:w="657" w:type="pct"/>
            <w:tcBorders>
              <w:left w:val="nil"/>
              <w:right w:val="nil"/>
            </w:tcBorders>
            <w:vAlign w:val="center"/>
          </w:tcPr>
          <w:p w:rsidR="00C278F0" w:rsidRPr="00A0281F" w:rsidRDefault="00C278F0" w:rsidP="00BE64AA">
            <w:pPr>
              <w:pStyle w:val="TableText0"/>
              <w:jc w:val="center"/>
            </w:pPr>
          </w:p>
        </w:tc>
        <w:tc>
          <w:tcPr>
            <w:tcW w:w="657" w:type="pct"/>
            <w:tcBorders>
              <w:left w:val="nil"/>
              <w:right w:val="nil"/>
            </w:tcBorders>
            <w:vAlign w:val="center"/>
          </w:tcPr>
          <w:p w:rsidR="00C278F0" w:rsidRPr="00A0281F" w:rsidRDefault="00C278F0" w:rsidP="00BE64AA">
            <w:pPr>
              <w:pStyle w:val="TableText0"/>
              <w:jc w:val="center"/>
            </w:pPr>
          </w:p>
        </w:tc>
        <w:tc>
          <w:tcPr>
            <w:tcW w:w="676" w:type="pct"/>
            <w:tcBorders>
              <w:left w:val="nil"/>
            </w:tcBorders>
            <w:vAlign w:val="center"/>
          </w:tcPr>
          <w:p w:rsidR="00C278F0" w:rsidRPr="00A0281F" w:rsidRDefault="00C278F0" w:rsidP="00BE64AA">
            <w:pPr>
              <w:pStyle w:val="TableText0"/>
              <w:jc w:val="center"/>
            </w:pPr>
          </w:p>
        </w:tc>
      </w:tr>
      <w:tr w:rsidR="00C278F0" w:rsidRPr="00A0281F" w:rsidTr="004B4E18">
        <w:tc>
          <w:tcPr>
            <w:tcW w:w="2353" w:type="pct"/>
            <w:vAlign w:val="center"/>
          </w:tcPr>
          <w:p w:rsidR="00C278F0" w:rsidRPr="00A0281F" w:rsidRDefault="00C278F0" w:rsidP="00BE64AA">
            <w:pPr>
              <w:pStyle w:val="TableText0"/>
            </w:pPr>
            <w:r w:rsidRPr="00A0281F">
              <w:t>NOVA niraparib dose, dose intensity inclusive of dose interruptions</w:t>
            </w:r>
          </w:p>
        </w:tc>
        <w:tc>
          <w:tcPr>
            <w:tcW w:w="657" w:type="pct"/>
            <w:vAlign w:val="center"/>
          </w:tcPr>
          <w:p w:rsidR="00C278F0" w:rsidRPr="00A0281F" w:rsidRDefault="00C278F0" w:rsidP="00BE64AA">
            <w:pPr>
              <w:pStyle w:val="TableText0"/>
              <w:jc w:val="center"/>
            </w:pPr>
            <w:r w:rsidRPr="00A0281F">
              <w:t>180.7</w:t>
            </w:r>
          </w:p>
        </w:tc>
        <w:tc>
          <w:tcPr>
            <w:tcW w:w="657" w:type="pct"/>
            <w:vAlign w:val="center"/>
          </w:tcPr>
          <w:p w:rsidR="00C278F0" w:rsidRPr="00A0281F" w:rsidRDefault="00C278F0" w:rsidP="00BE64AA">
            <w:pPr>
              <w:pStyle w:val="TableText0"/>
              <w:jc w:val="center"/>
            </w:pPr>
            <w:r w:rsidRPr="00A0281F">
              <w:t>542.0</w:t>
            </w:r>
          </w:p>
        </w:tc>
        <w:tc>
          <w:tcPr>
            <w:tcW w:w="657" w:type="pct"/>
            <w:vAlign w:val="center"/>
          </w:tcPr>
          <w:p w:rsidR="00C278F0" w:rsidRPr="00A0281F" w:rsidRDefault="00C278F0" w:rsidP="00BE64AA">
            <w:pPr>
              <w:pStyle w:val="TableText0"/>
              <w:jc w:val="center"/>
            </w:pPr>
            <w:r w:rsidRPr="00A0281F">
              <w:t>$</w:t>
            </w:r>
            <w:r w:rsidR="008E64BA">
              <w:rPr>
                <w:noProof/>
                <w:color w:val="000000"/>
                <w:highlight w:val="black"/>
              </w:rPr>
              <w:t>''''''''''''''''</w:t>
            </w:r>
          </w:p>
        </w:tc>
        <w:tc>
          <w:tcPr>
            <w:tcW w:w="676" w:type="pct"/>
            <w:vAlign w:val="center"/>
          </w:tcPr>
          <w:p w:rsidR="00C278F0" w:rsidRPr="00A0281F" w:rsidRDefault="00C278F0" w:rsidP="00BE64AA">
            <w:pPr>
              <w:pStyle w:val="TableText0"/>
              <w:jc w:val="center"/>
            </w:pPr>
            <w:r w:rsidRPr="00A0281F">
              <w:t>$</w:t>
            </w:r>
            <w:r w:rsidR="00614C0A">
              <w:rPr>
                <w:noProof/>
                <w:color w:val="000000"/>
                <w:highlight w:val="black"/>
              </w:rPr>
              <w:t>''''''''''''</w:t>
            </w:r>
          </w:p>
        </w:tc>
      </w:tr>
      <w:tr w:rsidR="004B4E18" w:rsidRPr="00A0281F" w:rsidTr="004B4E18">
        <w:tc>
          <w:tcPr>
            <w:tcW w:w="2353" w:type="pct"/>
            <w:vAlign w:val="center"/>
          </w:tcPr>
          <w:p w:rsidR="004B4E18" w:rsidRPr="00A0281F" w:rsidRDefault="004B4E18" w:rsidP="00BE64AA">
            <w:pPr>
              <w:pStyle w:val="TableText0"/>
            </w:pPr>
            <w:r w:rsidRPr="00A0281F">
              <w:t>NOVA niraparib ‘steady state’ dose distribution (Month 5-12), non-inclusive of dose interruptions</w:t>
            </w:r>
          </w:p>
        </w:tc>
        <w:tc>
          <w:tcPr>
            <w:tcW w:w="657" w:type="pct"/>
            <w:vAlign w:val="center"/>
          </w:tcPr>
          <w:p w:rsidR="004B4E18" w:rsidRPr="00A0281F" w:rsidRDefault="004B4E18" w:rsidP="00BE64AA">
            <w:pPr>
              <w:pStyle w:val="TableText0"/>
              <w:jc w:val="center"/>
            </w:pPr>
            <w:r w:rsidRPr="00A0281F">
              <w:t>176.7</w:t>
            </w:r>
          </w:p>
        </w:tc>
        <w:tc>
          <w:tcPr>
            <w:tcW w:w="657" w:type="pct"/>
            <w:vAlign w:val="center"/>
          </w:tcPr>
          <w:p w:rsidR="004B4E18" w:rsidRPr="00A0281F" w:rsidRDefault="004B4E18" w:rsidP="00BE64AA">
            <w:pPr>
              <w:pStyle w:val="TableText0"/>
              <w:jc w:val="center"/>
            </w:pPr>
            <w:r w:rsidRPr="00A0281F">
              <w:t>568.2</w:t>
            </w:r>
          </w:p>
        </w:tc>
        <w:tc>
          <w:tcPr>
            <w:tcW w:w="657" w:type="pct"/>
            <w:vAlign w:val="center"/>
          </w:tcPr>
          <w:p w:rsidR="004B4E18" w:rsidRPr="00A0281F" w:rsidRDefault="004B4E18" w:rsidP="00BE64AA">
            <w:pPr>
              <w:pStyle w:val="TableText0"/>
              <w:jc w:val="center"/>
            </w:pPr>
            <w:r w:rsidRPr="00A0281F">
              <w:t>$</w:t>
            </w:r>
            <w:r w:rsidR="008E64BA">
              <w:rPr>
                <w:noProof/>
                <w:color w:val="000000"/>
                <w:highlight w:val="black"/>
              </w:rPr>
              <w:t>'''''''''''''''</w:t>
            </w:r>
          </w:p>
        </w:tc>
        <w:tc>
          <w:tcPr>
            <w:tcW w:w="676" w:type="pct"/>
            <w:vAlign w:val="center"/>
          </w:tcPr>
          <w:p w:rsidR="004B4E18" w:rsidRPr="00A0281F" w:rsidRDefault="004B4E18" w:rsidP="00BE64AA">
            <w:pPr>
              <w:pStyle w:val="TableText0"/>
              <w:jc w:val="center"/>
            </w:pPr>
            <w:r w:rsidRPr="00A0281F">
              <w:t>$</w:t>
            </w:r>
            <w:r w:rsidR="00614C0A">
              <w:rPr>
                <w:noProof/>
                <w:color w:val="000000"/>
                <w:highlight w:val="black"/>
              </w:rPr>
              <w:t>'''''''''''''</w:t>
            </w:r>
          </w:p>
        </w:tc>
      </w:tr>
      <w:tr w:rsidR="00C278F0" w:rsidRPr="00A0281F" w:rsidTr="004B4E18">
        <w:tc>
          <w:tcPr>
            <w:tcW w:w="2353" w:type="pct"/>
            <w:vAlign w:val="center"/>
          </w:tcPr>
          <w:p w:rsidR="00C278F0" w:rsidRPr="00A0281F" w:rsidRDefault="00C278F0" w:rsidP="00BE64AA">
            <w:pPr>
              <w:pStyle w:val="TableText0"/>
              <w:rPr>
                <w:vertAlign w:val="superscript"/>
              </w:rPr>
            </w:pPr>
            <w:r w:rsidRPr="00A0281F">
              <w:t>Using the cost per mg for the 150 mg tablet of olaparib ($0.41/mg). Base case $0.44/mg</w:t>
            </w:r>
            <w:r w:rsidRPr="00A0281F">
              <w:rPr>
                <w:vertAlign w:val="superscript"/>
              </w:rPr>
              <w:t>a</w:t>
            </w:r>
          </w:p>
        </w:tc>
        <w:tc>
          <w:tcPr>
            <w:tcW w:w="657" w:type="pct"/>
            <w:vAlign w:val="center"/>
          </w:tcPr>
          <w:p w:rsidR="00C278F0" w:rsidRPr="00A0281F" w:rsidRDefault="00C278F0" w:rsidP="00BE64AA">
            <w:pPr>
              <w:pStyle w:val="TableText0"/>
              <w:jc w:val="center"/>
            </w:pPr>
            <w:r w:rsidRPr="00A0281F">
              <w:t>161.5</w:t>
            </w:r>
          </w:p>
        </w:tc>
        <w:tc>
          <w:tcPr>
            <w:tcW w:w="657" w:type="pct"/>
            <w:vAlign w:val="center"/>
          </w:tcPr>
          <w:p w:rsidR="00C278F0" w:rsidRPr="00A0281F" w:rsidRDefault="00C278F0" w:rsidP="00BE64AA">
            <w:pPr>
              <w:pStyle w:val="TableText0"/>
              <w:jc w:val="center"/>
            </w:pPr>
            <w:r w:rsidRPr="00A0281F">
              <w:t>542.0</w:t>
            </w:r>
          </w:p>
        </w:tc>
        <w:tc>
          <w:tcPr>
            <w:tcW w:w="657" w:type="pct"/>
            <w:vAlign w:val="center"/>
          </w:tcPr>
          <w:p w:rsidR="00C278F0" w:rsidRPr="00A0281F" w:rsidRDefault="00C278F0" w:rsidP="00BE64AA">
            <w:pPr>
              <w:pStyle w:val="TableText0"/>
              <w:jc w:val="center"/>
            </w:pPr>
            <w:r w:rsidRPr="00A0281F">
              <w:t>$</w:t>
            </w:r>
            <w:r w:rsidR="008E64BA">
              <w:rPr>
                <w:noProof/>
                <w:color w:val="000000"/>
                <w:highlight w:val="black"/>
              </w:rPr>
              <w:t>'''''''''''''''</w:t>
            </w:r>
          </w:p>
        </w:tc>
        <w:tc>
          <w:tcPr>
            <w:tcW w:w="676" w:type="pct"/>
            <w:vAlign w:val="center"/>
          </w:tcPr>
          <w:p w:rsidR="00C278F0" w:rsidRPr="00A0281F" w:rsidRDefault="00C278F0" w:rsidP="00BE64AA">
            <w:pPr>
              <w:pStyle w:val="TableText0"/>
              <w:jc w:val="center"/>
            </w:pPr>
            <w:r w:rsidRPr="00A0281F">
              <w:t>$</w:t>
            </w:r>
            <w:r w:rsidR="00614C0A">
              <w:rPr>
                <w:noProof/>
                <w:color w:val="000000"/>
                <w:highlight w:val="black"/>
              </w:rPr>
              <w:t>''''''''''''''</w:t>
            </w:r>
          </w:p>
        </w:tc>
      </w:tr>
    </w:tbl>
    <w:p w:rsidR="00C278F0" w:rsidRPr="00A0281F" w:rsidRDefault="00C278F0" w:rsidP="00BE64AA">
      <w:pPr>
        <w:pStyle w:val="TableFigureFooter"/>
      </w:pPr>
      <w:r w:rsidRPr="00A0281F">
        <w:t>Source: Table compiled during the evaluation using the Excel workbook ‘Zejula (niraparib) BRCAm CMA’</w:t>
      </w:r>
    </w:p>
    <w:p w:rsidR="00C278F0" w:rsidRDefault="00C278F0" w:rsidP="00BE64AA">
      <w:pPr>
        <w:pStyle w:val="TableFigureFooter"/>
      </w:pPr>
      <w:r>
        <w:t>AEMP = approved ex-manufacturer price.</w:t>
      </w:r>
    </w:p>
    <w:p w:rsidR="00C278F0" w:rsidRDefault="00C278F0" w:rsidP="00BE64AA">
      <w:pPr>
        <w:pStyle w:val="TableFigureFooter"/>
      </w:pPr>
      <w:r>
        <w:rPr>
          <w:vertAlign w:val="superscript"/>
        </w:rPr>
        <w:t>a</w:t>
      </w:r>
      <w:r>
        <w:t xml:space="preserve"> Base case: weighted cost per mg, assuming a relative use of 100 mg and 150 mg tablets of 26.1% to 73.9%.</w:t>
      </w:r>
    </w:p>
    <w:p w:rsidR="00F14642" w:rsidRPr="00563DDF" w:rsidRDefault="00F14642" w:rsidP="00BE64AA">
      <w:pPr>
        <w:pStyle w:val="TableFigureFooter"/>
      </w:pPr>
      <w:r>
        <w:t>*Note that the mean dose of treatment stated in Table 15 was provided for the purposes of informing the PBAC consideration. Interpretation of the results and their application should therefore be limited to seeking to understand the basis for the PBAC outcome and should not be used for any other purpose</w:t>
      </w:r>
    </w:p>
    <w:p w:rsidR="00C278F0" w:rsidRDefault="00C278F0" w:rsidP="00BE64AA">
      <w:pPr>
        <w:pStyle w:val="4-SubsectionHeading"/>
      </w:pPr>
      <w:bookmarkStart w:id="49" w:name="_Toc61962147"/>
      <w:bookmarkStart w:id="50" w:name="_Toc22897649"/>
      <w:bookmarkStart w:id="51" w:name="_Toc22898861"/>
      <w:bookmarkStart w:id="52" w:name="_Toc57994548"/>
      <w:bookmarkEnd w:id="33"/>
      <w:bookmarkEnd w:id="34"/>
      <w:bookmarkEnd w:id="35"/>
      <w:r>
        <w:t>Drug cost/patient/</w:t>
      </w:r>
      <w:r w:rsidRPr="002C2775">
        <w:t>cours</w:t>
      </w:r>
      <w:r>
        <w:t>e</w:t>
      </w:r>
      <w:bookmarkEnd w:id="49"/>
    </w:p>
    <w:p w:rsidR="00C278F0" w:rsidRPr="00A0281F" w:rsidRDefault="00C278F0" w:rsidP="00BE64AA">
      <w:pPr>
        <w:pStyle w:val="3-BodyText"/>
        <w:ind w:left="709"/>
      </w:pPr>
      <w:r w:rsidRPr="00A0281F">
        <w:t xml:space="preserve">Due to the approach used in the financial estimates, it was difficult to reliably determine the average cost/patient/course for niraparib in each of the two populations. The estimates presented in the following tables were calculated during the evaluation based on the time on treatment each year and the estimated scripts per patient per year. Similarly, the estimated cost/patient/course for olaparib in the BRCAm population could only be estimated using the weighted average price per mg, as derived in </w:t>
      </w:r>
      <w:r w:rsidR="00681899">
        <w:t xml:space="preserve">Table </w:t>
      </w:r>
      <w:r w:rsidR="00681899">
        <w:rPr>
          <w:noProof/>
        </w:rPr>
        <w:t>14</w:t>
      </w:r>
      <w:r w:rsidRPr="00A0281F">
        <w:t>.</w:t>
      </w:r>
    </w:p>
    <w:p w:rsidR="00C278F0" w:rsidRPr="00A6635A" w:rsidRDefault="00C278F0" w:rsidP="00BE64AA">
      <w:pPr>
        <w:pStyle w:val="3-BodyText"/>
        <w:ind w:left="709"/>
      </w:pPr>
      <w:r>
        <w:t>The estimated cost/patient/course of niraparib for patients with non-BRCAm PSR HGSOC across the sections of the submission is summarised in</w:t>
      </w:r>
      <w:r w:rsidR="00A27FCC">
        <w:t xml:space="preserve"> </w:t>
      </w:r>
      <w:r w:rsidR="00681899" w:rsidRPr="00EE1CF1">
        <w:t xml:space="preserve">Table </w:t>
      </w:r>
      <w:r w:rsidR="00681899">
        <w:rPr>
          <w:noProof/>
        </w:rPr>
        <w:t>16</w:t>
      </w:r>
      <w:r>
        <w:t>. The costs have been derived based on the proposed weighted effective price, as per the requested SPA, rather than the cost-effective price for the non-BRCAm population used in the economic model.</w:t>
      </w:r>
    </w:p>
    <w:p w:rsidR="00C278F0" w:rsidRPr="00EE1CF1" w:rsidRDefault="00C278F0" w:rsidP="00BE64AA">
      <w:pPr>
        <w:pStyle w:val="TableFigureHeading"/>
        <w:rPr>
          <w:rStyle w:val="CommentReference"/>
          <w:b/>
          <w:szCs w:val="24"/>
        </w:rPr>
      </w:pPr>
      <w:bookmarkStart w:id="53" w:name="_Ref58510647"/>
      <w:r w:rsidRPr="00EE1CF1">
        <w:t xml:space="preserve">Table </w:t>
      </w:r>
      <w:r w:rsidR="00681899">
        <w:rPr>
          <w:noProof/>
        </w:rPr>
        <w:t>16</w:t>
      </w:r>
      <w:bookmarkEnd w:id="53"/>
      <w:r w:rsidRPr="00765262">
        <w:t xml:space="preserve">: </w:t>
      </w:r>
      <w:r w:rsidRPr="00EE1CF1">
        <w:rPr>
          <w:rStyle w:val="CommentReference"/>
          <w:b/>
          <w:szCs w:val="24"/>
        </w:rPr>
        <w:t>Drug cost per patient for niraparib – non-BRCAm PSR HGSOC (requested effective</w:t>
      </w:r>
      <w:r w:rsidR="00AD1492">
        <w:rPr>
          <w:rStyle w:val="CommentReference"/>
          <w:b/>
          <w:szCs w:val="24"/>
        </w:rPr>
        <w:t xml:space="preserve"> </w:t>
      </w:r>
      <w:r>
        <w:rPr>
          <w:rStyle w:val="CommentReference"/>
          <w:b/>
          <w:szCs w:val="24"/>
        </w:rPr>
        <w:t>DPMQ</w:t>
      </w:r>
      <w:r w:rsidRPr="00EE1CF1">
        <w:rPr>
          <w:rStyle w:val="CommentReference"/>
          <w:b/>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529"/>
        <w:gridCol w:w="2162"/>
        <w:gridCol w:w="2160"/>
        <w:gridCol w:w="2166"/>
      </w:tblGrid>
      <w:tr w:rsidR="00C278F0" w:rsidRPr="00A0281F" w:rsidTr="00C278F0">
        <w:trPr>
          <w:cantSplit/>
          <w:tblHeader/>
          <w:jc w:val="center"/>
        </w:trPr>
        <w:tc>
          <w:tcPr>
            <w:tcW w:w="1402" w:type="pct"/>
            <w:shd w:val="clear" w:color="auto" w:fill="auto"/>
            <w:vAlign w:val="center"/>
          </w:tcPr>
          <w:p w:rsidR="00C278F0" w:rsidRPr="00A0281F" w:rsidRDefault="00C278F0" w:rsidP="00BE64AA">
            <w:pPr>
              <w:pStyle w:val="In-tableHeading"/>
              <w:jc w:val="center"/>
            </w:pPr>
          </w:p>
        </w:tc>
        <w:tc>
          <w:tcPr>
            <w:tcW w:w="1199" w:type="pct"/>
            <w:shd w:val="clear" w:color="auto" w:fill="auto"/>
            <w:vAlign w:val="center"/>
          </w:tcPr>
          <w:p w:rsidR="00C278F0" w:rsidRPr="00A0281F" w:rsidRDefault="00C278F0" w:rsidP="00BE64AA">
            <w:pPr>
              <w:pStyle w:val="In-tableHeading"/>
              <w:jc w:val="center"/>
            </w:pPr>
            <w:r w:rsidRPr="00A0281F">
              <w:t>Trial dose and duration</w:t>
            </w:r>
          </w:p>
        </w:tc>
        <w:tc>
          <w:tcPr>
            <w:tcW w:w="1198" w:type="pct"/>
            <w:shd w:val="clear" w:color="auto" w:fill="auto"/>
            <w:vAlign w:val="center"/>
          </w:tcPr>
          <w:p w:rsidR="00C278F0" w:rsidRPr="00A0281F" w:rsidRDefault="00C278F0" w:rsidP="00BE64AA">
            <w:pPr>
              <w:pStyle w:val="In-tableHeading"/>
              <w:jc w:val="center"/>
            </w:pPr>
            <w:r w:rsidRPr="00A0281F">
              <w:t>Model</w:t>
            </w:r>
          </w:p>
        </w:tc>
        <w:tc>
          <w:tcPr>
            <w:tcW w:w="1201" w:type="pct"/>
            <w:shd w:val="clear" w:color="auto" w:fill="auto"/>
            <w:vAlign w:val="center"/>
          </w:tcPr>
          <w:p w:rsidR="00C278F0" w:rsidRPr="00A0281F" w:rsidRDefault="00C278F0" w:rsidP="00BE64AA">
            <w:pPr>
              <w:pStyle w:val="In-tableHeading"/>
              <w:jc w:val="center"/>
            </w:pPr>
            <w:r w:rsidRPr="00A0281F">
              <w:t>Financial estimates</w:t>
            </w:r>
          </w:p>
        </w:tc>
      </w:tr>
      <w:tr w:rsidR="00C278F0" w:rsidRPr="00A0281F" w:rsidTr="00C278F0">
        <w:trPr>
          <w:cantSplit/>
          <w:jc w:val="center"/>
        </w:trPr>
        <w:tc>
          <w:tcPr>
            <w:tcW w:w="1402" w:type="pct"/>
            <w:shd w:val="clear" w:color="auto" w:fill="auto"/>
            <w:vAlign w:val="center"/>
          </w:tcPr>
          <w:p w:rsidR="00C278F0" w:rsidRPr="00A0281F" w:rsidRDefault="00C278F0" w:rsidP="00BE64AA">
            <w:pPr>
              <w:pStyle w:val="TableText0"/>
              <w:rPr>
                <w:lang w:val="en-US"/>
              </w:rPr>
            </w:pPr>
            <w:r w:rsidRPr="00A0281F">
              <w:rPr>
                <w:lang w:val="en-US"/>
              </w:rPr>
              <w:t>Mean dose</w:t>
            </w:r>
            <w:r w:rsidR="009D699A">
              <w:rPr>
                <w:lang w:val="en-US"/>
              </w:rPr>
              <w:t>**</w:t>
            </w:r>
          </w:p>
        </w:tc>
        <w:tc>
          <w:tcPr>
            <w:tcW w:w="1199" w:type="pct"/>
            <w:shd w:val="clear" w:color="auto" w:fill="auto"/>
            <w:vAlign w:val="center"/>
          </w:tcPr>
          <w:p w:rsidR="00C278F0" w:rsidRPr="00A0281F" w:rsidRDefault="00435B99">
            <w:pPr>
              <w:pStyle w:val="TableText0"/>
              <w:jc w:val="center"/>
              <w:rPr>
                <w:lang w:val="en-US"/>
              </w:rPr>
            </w:pPr>
            <w:r>
              <w:rPr>
                <w:lang w:val="en-US"/>
              </w:rPr>
              <w:t>F</w:t>
            </w:r>
            <w:r w:rsidR="00C278F0" w:rsidRPr="00A0281F">
              <w:rPr>
                <w:lang w:val="en-US"/>
              </w:rPr>
              <w:t>ixed starting dose</w:t>
            </w:r>
            <w:r>
              <w:rPr>
                <w:lang w:val="en-US"/>
              </w:rPr>
              <w:t>,</w:t>
            </w:r>
            <w:r w:rsidRPr="00A0281F" w:rsidDel="00435B99">
              <w:rPr>
                <w:lang w:val="en-US"/>
              </w:rPr>
              <w:t xml:space="preserve"> </w:t>
            </w:r>
            <w:r w:rsidRPr="009211D8">
              <w:t>180.7</w:t>
            </w:r>
            <w:r w:rsidR="00DD4011">
              <w:t xml:space="preserve"> m</w:t>
            </w:r>
            <w:r>
              <w:t>g</w:t>
            </w:r>
            <w:r w:rsidR="00DD4011">
              <w:t>/day</w:t>
            </w:r>
          </w:p>
        </w:tc>
        <w:tc>
          <w:tcPr>
            <w:tcW w:w="1198" w:type="pct"/>
            <w:shd w:val="clear" w:color="auto" w:fill="auto"/>
            <w:vAlign w:val="center"/>
          </w:tcPr>
          <w:p w:rsidR="00C278F0" w:rsidRPr="00A0281F" w:rsidRDefault="00435B99" w:rsidP="00681899">
            <w:pPr>
              <w:pStyle w:val="TableText0"/>
              <w:jc w:val="center"/>
              <w:rPr>
                <w:lang w:val="en-US"/>
              </w:rPr>
            </w:pPr>
            <w:r>
              <w:rPr>
                <w:lang w:val="en-US"/>
              </w:rPr>
              <w:t>E</w:t>
            </w:r>
            <w:r w:rsidR="00C278F0" w:rsidRPr="00A0281F">
              <w:rPr>
                <w:lang w:val="en-US"/>
              </w:rPr>
              <w:t>stimated individualised dose</w:t>
            </w:r>
            <w:r>
              <w:rPr>
                <w:lang w:val="en-US"/>
              </w:rPr>
              <w:t xml:space="preserve">, </w:t>
            </w:r>
            <w:r w:rsidRPr="009211D8">
              <w:t>161.5</w:t>
            </w:r>
            <w:r w:rsidR="00DD4011">
              <w:t xml:space="preserve"> mg/day</w:t>
            </w:r>
          </w:p>
        </w:tc>
        <w:tc>
          <w:tcPr>
            <w:tcW w:w="1201" w:type="pct"/>
            <w:shd w:val="clear" w:color="auto" w:fill="auto"/>
            <w:vAlign w:val="center"/>
          </w:tcPr>
          <w:p w:rsidR="00C278F0" w:rsidRPr="00A0281F" w:rsidRDefault="00681899" w:rsidP="00681899">
            <w:pPr>
              <w:pStyle w:val="TableText0"/>
              <w:jc w:val="center"/>
              <w:rPr>
                <w:lang w:val="en-US"/>
              </w:rPr>
            </w:pPr>
            <w:r>
              <w:rPr>
                <w:lang w:val="en-US"/>
              </w:rPr>
              <w:t>Varied by year of treatment</w:t>
            </w:r>
          </w:p>
        </w:tc>
      </w:tr>
      <w:tr w:rsidR="00C278F0" w:rsidRPr="00A0281F" w:rsidTr="00C278F0">
        <w:trPr>
          <w:cantSplit/>
          <w:jc w:val="center"/>
        </w:trPr>
        <w:tc>
          <w:tcPr>
            <w:tcW w:w="1402" w:type="pct"/>
            <w:shd w:val="clear" w:color="auto" w:fill="auto"/>
            <w:vAlign w:val="center"/>
          </w:tcPr>
          <w:p w:rsidR="00C278F0" w:rsidRPr="00A0281F" w:rsidRDefault="00C278F0" w:rsidP="00BE64AA">
            <w:pPr>
              <w:pStyle w:val="TableText0"/>
              <w:rPr>
                <w:lang w:val="en-US"/>
              </w:rPr>
            </w:pPr>
            <w:r w:rsidRPr="00A0281F">
              <w:rPr>
                <w:lang w:val="en-US"/>
              </w:rPr>
              <w:t>Mean duration</w:t>
            </w:r>
          </w:p>
        </w:tc>
        <w:tc>
          <w:tcPr>
            <w:tcW w:w="1199" w:type="pct"/>
            <w:shd w:val="clear" w:color="auto" w:fill="auto"/>
            <w:vAlign w:val="center"/>
          </w:tcPr>
          <w:p w:rsidR="00C278F0" w:rsidRPr="00A0281F" w:rsidRDefault="00C278F0" w:rsidP="00BE64AA">
            <w:pPr>
              <w:pStyle w:val="TableText0"/>
              <w:jc w:val="center"/>
              <w:rPr>
                <w:vertAlign w:val="superscript"/>
                <w:lang w:val="en-US"/>
              </w:rPr>
            </w:pPr>
            <w:r w:rsidRPr="00A0281F">
              <w:rPr>
                <w:lang w:val="en-US"/>
              </w:rPr>
              <w:t>1.1 years</w:t>
            </w:r>
            <w:r w:rsidRPr="00A0281F">
              <w:rPr>
                <w:vertAlign w:val="superscript"/>
                <w:lang w:val="en-US"/>
              </w:rPr>
              <w:t>a</w:t>
            </w:r>
          </w:p>
        </w:tc>
        <w:tc>
          <w:tcPr>
            <w:tcW w:w="1198" w:type="pct"/>
            <w:shd w:val="clear" w:color="auto" w:fill="auto"/>
            <w:vAlign w:val="center"/>
          </w:tcPr>
          <w:p w:rsidR="00C278F0" w:rsidRPr="00A0281F" w:rsidRDefault="00C278F0" w:rsidP="00BE64AA">
            <w:pPr>
              <w:pStyle w:val="TableText0"/>
              <w:jc w:val="center"/>
              <w:rPr>
                <w:vertAlign w:val="superscript"/>
                <w:lang w:val="en-US"/>
              </w:rPr>
            </w:pPr>
            <w:r w:rsidRPr="00A0281F">
              <w:rPr>
                <w:lang w:val="en-US"/>
              </w:rPr>
              <w:t>1.1 years</w:t>
            </w:r>
            <w:r w:rsidRPr="00A0281F">
              <w:rPr>
                <w:vertAlign w:val="superscript"/>
                <w:lang w:val="en-US"/>
              </w:rPr>
              <w:t>a</w:t>
            </w:r>
          </w:p>
        </w:tc>
        <w:tc>
          <w:tcPr>
            <w:tcW w:w="1201" w:type="pct"/>
            <w:shd w:val="clear" w:color="auto" w:fill="auto"/>
            <w:vAlign w:val="center"/>
          </w:tcPr>
          <w:p w:rsidR="00C278F0" w:rsidRPr="00A0281F" w:rsidRDefault="00C278F0" w:rsidP="00BE64AA">
            <w:pPr>
              <w:pStyle w:val="TableText0"/>
              <w:jc w:val="center"/>
              <w:rPr>
                <w:vertAlign w:val="superscript"/>
                <w:lang w:val="en-US"/>
              </w:rPr>
            </w:pPr>
            <w:r w:rsidRPr="00A0281F">
              <w:rPr>
                <w:lang w:val="en-US"/>
              </w:rPr>
              <w:t>1.1 years</w:t>
            </w:r>
            <w:r w:rsidRPr="00A0281F">
              <w:rPr>
                <w:vertAlign w:val="superscript"/>
                <w:lang w:val="en-US"/>
              </w:rPr>
              <w:t>a</w:t>
            </w:r>
          </w:p>
        </w:tc>
      </w:tr>
      <w:tr w:rsidR="00C278F0" w:rsidRPr="00A0281F" w:rsidTr="00C278F0">
        <w:trPr>
          <w:cantSplit/>
          <w:jc w:val="center"/>
        </w:trPr>
        <w:tc>
          <w:tcPr>
            <w:tcW w:w="1402" w:type="pct"/>
            <w:shd w:val="clear" w:color="auto" w:fill="auto"/>
            <w:vAlign w:val="center"/>
          </w:tcPr>
          <w:p w:rsidR="00C278F0" w:rsidRPr="00A0281F" w:rsidRDefault="00C278F0" w:rsidP="00BE64AA">
            <w:pPr>
              <w:pStyle w:val="TableText0"/>
              <w:rPr>
                <w:lang w:val="en-US"/>
              </w:rPr>
            </w:pPr>
            <w:r w:rsidRPr="00A0281F">
              <w:rPr>
                <w:lang w:val="en-US"/>
              </w:rPr>
              <w:t>Cost/patient/course</w:t>
            </w:r>
          </w:p>
        </w:tc>
        <w:tc>
          <w:tcPr>
            <w:tcW w:w="1199" w:type="pct"/>
            <w:shd w:val="clear" w:color="auto" w:fill="auto"/>
            <w:vAlign w:val="center"/>
          </w:tcPr>
          <w:p w:rsidR="00C278F0" w:rsidRPr="00A0281F" w:rsidRDefault="00C278F0" w:rsidP="00BE64AA">
            <w:pPr>
              <w:pStyle w:val="TableText0"/>
              <w:jc w:val="center"/>
              <w:rPr>
                <w:vertAlign w:val="superscript"/>
                <w:lang w:val="en-US"/>
              </w:rPr>
            </w:pPr>
            <w:r w:rsidRPr="00A0281F">
              <w:rPr>
                <w:lang w:val="en-US"/>
              </w:rPr>
              <w:t>$</w:t>
            </w:r>
            <w:r w:rsidR="00614C0A">
              <w:rPr>
                <w:noProof/>
                <w:color w:val="000000"/>
                <w:highlight w:val="black"/>
                <w:lang w:val="en-US"/>
              </w:rPr>
              <w:t>''''''''''''''''''</w:t>
            </w:r>
            <w:r w:rsidRPr="00A0281F">
              <w:rPr>
                <w:vertAlign w:val="superscript"/>
                <w:lang w:val="en-US"/>
              </w:rPr>
              <w:t>b</w:t>
            </w:r>
          </w:p>
        </w:tc>
        <w:tc>
          <w:tcPr>
            <w:tcW w:w="1198" w:type="pct"/>
            <w:shd w:val="clear" w:color="auto" w:fill="auto"/>
            <w:vAlign w:val="center"/>
          </w:tcPr>
          <w:p w:rsidR="00C278F0" w:rsidRPr="00A0281F" w:rsidRDefault="00C278F0" w:rsidP="00BE64AA">
            <w:pPr>
              <w:pStyle w:val="TableText0"/>
              <w:jc w:val="center"/>
              <w:rPr>
                <w:vertAlign w:val="superscript"/>
                <w:lang w:val="en-US"/>
              </w:rPr>
            </w:pPr>
            <w:r w:rsidRPr="00A0281F">
              <w:rPr>
                <w:lang w:val="en-US"/>
              </w:rPr>
              <w:t>$</w:t>
            </w:r>
            <w:r w:rsidR="00614C0A">
              <w:rPr>
                <w:noProof/>
                <w:color w:val="000000"/>
                <w:highlight w:val="black"/>
                <w:lang w:val="en-US"/>
              </w:rPr>
              <w:t>''''''''''''''''</w:t>
            </w:r>
            <w:r w:rsidRPr="00A0281F">
              <w:rPr>
                <w:vertAlign w:val="superscript"/>
                <w:lang w:val="en-US"/>
              </w:rPr>
              <w:t>c</w:t>
            </w:r>
          </w:p>
        </w:tc>
        <w:tc>
          <w:tcPr>
            <w:tcW w:w="1201" w:type="pct"/>
            <w:shd w:val="clear" w:color="auto" w:fill="auto"/>
            <w:vAlign w:val="center"/>
          </w:tcPr>
          <w:p w:rsidR="00C278F0" w:rsidRPr="00A0281F" w:rsidRDefault="00C278F0" w:rsidP="00BE64AA">
            <w:pPr>
              <w:pStyle w:val="TableText0"/>
              <w:jc w:val="center"/>
              <w:rPr>
                <w:vertAlign w:val="superscript"/>
                <w:lang w:val="en-US"/>
              </w:rPr>
            </w:pPr>
            <w:r w:rsidRPr="00A0281F">
              <w:rPr>
                <w:lang w:val="en-US"/>
              </w:rPr>
              <w:t>$</w:t>
            </w:r>
            <w:r w:rsidR="00614C0A">
              <w:rPr>
                <w:noProof/>
                <w:color w:val="000000"/>
                <w:highlight w:val="black"/>
                <w:lang w:val="en-US"/>
              </w:rPr>
              <w:t>'''''''''''''''</w:t>
            </w:r>
            <w:r w:rsidRPr="00A0281F">
              <w:rPr>
                <w:vertAlign w:val="superscript"/>
                <w:lang w:val="en-US"/>
              </w:rPr>
              <w:t>d</w:t>
            </w:r>
          </w:p>
        </w:tc>
      </w:tr>
    </w:tbl>
    <w:p w:rsidR="00C278F0" w:rsidRDefault="00C278F0" w:rsidP="00BE64AA">
      <w:pPr>
        <w:pStyle w:val="TableFigureFooter"/>
      </w:pPr>
      <w:r>
        <w:t>Source: Table 163, p198 of the submission; Spreadsheet ‘Trace-Niraparib, Excel workbook ‘Zejula (niraparib) non-BRCAm CEA’’; Excel workbook ‘Zejula (niraparib) BIM’</w:t>
      </w:r>
    </w:p>
    <w:p w:rsidR="00C278F0" w:rsidRDefault="00C278F0" w:rsidP="00BE64AA">
      <w:pPr>
        <w:pStyle w:val="TableFigureFooter"/>
      </w:pPr>
      <w:r>
        <w:t>CUA = cost-utility analysis; DPMQ = dispensed price for maximum quantity; PSR HGSOC = platinum-sensitive relapsed high grade serous ovarian cancer.</w:t>
      </w:r>
    </w:p>
    <w:p w:rsidR="00C278F0" w:rsidRDefault="00C278F0" w:rsidP="00BE64AA">
      <w:pPr>
        <w:pStyle w:val="TableFigureFooter"/>
      </w:pPr>
      <w:r>
        <w:rPr>
          <w:vertAlign w:val="superscript"/>
        </w:rPr>
        <w:t>a</w:t>
      </w:r>
      <w:r>
        <w:t xml:space="preserve"> Extrapolated NOVA time to treatment discontinuation data from CUA </w:t>
      </w:r>
    </w:p>
    <w:p w:rsidR="00C278F0" w:rsidRDefault="00C278F0" w:rsidP="00BE64AA">
      <w:pPr>
        <w:pStyle w:val="TableFigureFooter"/>
      </w:pPr>
      <w:r>
        <w:rPr>
          <w:vertAlign w:val="superscript"/>
        </w:rPr>
        <w:t xml:space="preserve">b </w:t>
      </w:r>
      <w:r>
        <w:t>NOVA dosing data - fixed starting dose regimen (Step 4 of the CUA)</w:t>
      </w:r>
    </w:p>
    <w:p w:rsidR="00C278F0" w:rsidRDefault="00C278F0" w:rsidP="00BE64AA">
      <w:pPr>
        <w:pStyle w:val="TableFigureFooter"/>
      </w:pPr>
      <w:r>
        <w:rPr>
          <w:vertAlign w:val="superscript"/>
        </w:rPr>
        <w:t xml:space="preserve">c </w:t>
      </w:r>
      <w:r>
        <w:t>Translated dosing data adjusted for proposed individualised starting dose regimen (Step 5 of the CUA).</w:t>
      </w:r>
    </w:p>
    <w:p w:rsidR="00C278F0" w:rsidRDefault="00C278F0" w:rsidP="00BE64AA">
      <w:pPr>
        <w:pStyle w:val="TableFigureFooter"/>
      </w:pPr>
      <w:r>
        <w:t>* DPMQ niraparib: 84-capsule pack $</w:t>
      </w:r>
      <w:r w:rsidR="00614C0A">
        <w:rPr>
          <w:noProof/>
          <w:color w:val="000000"/>
          <w:highlight w:val="black"/>
        </w:rPr>
        <w:t>''''''''''''''''''''</w:t>
      </w:r>
      <w:r>
        <w:t>, 56-capsule pack $</w:t>
      </w:r>
      <w:r w:rsidR="00614C0A">
        <w:rPr>
          <w:noProof/>
          <w:color w:val="000000"/>
          <w:highlight w:val="black"/>
        </w:rPr>
        <w:t>''''''''''''''''''''''</w:t>
      </w:r>
      <w:r>
        <w:t>.</w:t>
      </w:r>
    </w:p>
    <w:p w:rsidR="009D699A" w:rsidRPr="008D1118" w:rsidRDefault="009D699A" w:rsidP="00BE64AA">
      <w:pPr>
        <w:pStyle w:val="TableFigureFooter"/>
      </w:pPr>
      <w:r>
        <w:t>**Note that the mean dose of treatment stated in Table 16 was provided for the purposes of informing the PBAC consideration. Interpretation of the results and their application should therefore be limited to seeking to understand the basis for the PBAC outcome and should not be used for any other purpose</w:t>
      </w:r>
    </w:p>
    <w:p w:rsidR="00C278F0" w:rsidRPr="00A0281F" w:rsidRDefault="00C278F0" w:rsidP="00BE64AA">
      <w:pPr>
        <w:pStyle w:val="3-BodyText"/>
        <w:ind w:left="709"/>
      </w:pPr>
      <w:r w:rsidRPr="00A0281F">
        <w:lastRenderedPageBreak/>
        <w:t xml:space="preserve">In contrast to the </w:t>
      </w:r>
      <w:r w:rsidR="00DD4011">
        <w:t xml:space="preserve">NOVA </w:t>
      </w:r>
      <w:r w:rsidRPr="00A0281F">
        <w:t xml:space="preserve">trial, in which niraparib was initiated at a fixed dose of 300 mg/day, the cost/patient/course of niraparib in the model and the financial estimates was based on the translated individualised starting dose data. </w:t>
      </w:r>
    </w:p>
    <w:p w:rsidR="00C278F0" w:rsidRDefault="00C278F0" w:rsidP="00BE64AA">
      <w:pPr>
        <w:pStyle w:val="3-BodyText"/>
        <w:ind w:left="709"/>
      </w:pPr>
      <w:r>
        <w:t xml:space="preserve">The estimated cost/patient/course of niraparib for patients with BRCAm PSR HGSOC across the sections of the submission is summarised in </w:t>
      </w:r>
      <w:r w:rsidR="00681899" w:rsidRPr="00EE1CF1">
        <w:t xml:space="preserve">Table </w:t>
      </w:r>
      <w:r w:rsidR="00681899">
        <w:rPr>
          <w:noProof/>
        </w:rPr>
        <w:t>17</w:t>
      </w:r>
      <w:r>
        <w:t xml:space="preserve">. </w:t>
      </w:r>
      <w:r w:rsidR="00DD4011">
        <w:t>T</w:t>
      </w:r>
      <w:r>
        <w:t xml:space="preserve">he cost of niraparib is based on the requested weighted effective price, rather than the price derived in the CMA. </w:t>
      </w:r>
    </w:p>
    <w:p w:rsidR="00C278F0" w:rsidRPr="00EE1CF1" w:rsidRDefault="00C278F0" w:rsidP="00BE64AA">
      <w:pPr>
        <w:pStyle w:val="TableFigureHeading"/>
        <w:rPr>
          <w:rStyle w:val="CommentReference"/>
          <w:b/>
          <w:szCs w:val="24"/>
        </w:rPr>
      </w:pPr>
      <w:bookmarkStart w:id="54" w:name="_Ref58563771"/>
      <w:r w:rsidRPr="00EE1CF1">
        <w:t xml:space="preserve">Table </w:t>
      </w:r>
      <w:r w:rsidR="00681899">
        <w:rPr>
          <w:noProof/>
        </w:rPr>
        <w:t>17</w:t>
      </w:r>
      <w:bookmarkEnd w:id="54"/>
      <w:r w:rsidRPr="00EE1CF1">
        <w:rPr>
          <w:rStyle w:val="CommentReference"/>
          <w:b/>
          <w:szCs w:val="24"/>
        </w:rPr>
        <w:t xml:space="preserve">: Drug cost per patient for niraparib and olaparib – BRCAm PSR HGSOC (effective </w:t>
      </w:r>
      <w:r>
        <w:rPr>
          <w:rStyle w:val="CommentReference"/>
          <w:b/>
          <w:szCs w:val="24"/>
        </w:rPr>
        <w:t xml:space="preserve">DPMQ </w:t>
      </w:r>
      <w:r w:rsidRPr="00EE1CF1">
        <w:rPr>
          <w:rStyle w:val="CommentReference"/>
          <w:b/>
          <w:szCs w:val="24"/>
        </w:rPr>
        <w:t>for niraparib)*</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469"/>
        <w:gridCol w:w="1257"/>
        <w:gridCol w:w="1255"/>
        <w:gridCol w:w="1259"/>
        <w:gridCol w:w="1255"/>
        <w:gridCol w:w="1261"/>
        <w:gridCol w:w="1261"/>
      </w:tblGrid>
      <w:tr w:rsidR="00C278F0" w:rsidRPr="00A0281F" w:rsidTr="00C278F0">
        <w:trPr>
          <w:cantSplit/>
          <w:tblHeader/>
          <w:jc w:val="center"/>
        </w:trPr>
        <w:tc>
          <w:tcPr>
            <w:tcW w:w="815" w:type="pct"/>
            <w:shd w:val="clear" w:color="auto" w:fill="auto"/>
            <w:vAlign w:val="center"/>
          </w:tcPr>
          <w:p w:rsidR="00C278F0" w:rsidRPr="00A0281F" w:rsidRDefault="00C278F0" w:rsidP="00BE64AA">
            <w:pPr>
              <w:pStyle w:val="In-tableHeading"/>
              <w:jc w:val="center"/>
            </w:pPr>
          </w:p>
        </w:tc>
        <w:tc>
          <w:tcPr>
            <w:tcW w:w="697" w:type="pct"/>
            <w:shd w:val="clear" w:color="auto" w:fill="auto"/>
            <w:vAlign w:val="center"/>
          </w:tcPr>
          <w:p w:rsidR="00C278F0" w:rsidRPr="00A0281F" w:rsidRDefault="00C278F0" w:rsidP="00BE64AA">
            <w:pPr>
              <w:pStyle w:val="In-tableHeading"/>
              <w:jc w:val="center"/>
            </w:pPr>
            <w:r w:rsidRPr="00A0281F">
              <w:t xml:space="preserve">Niraparib </w:t>
            </w:r>
          </w:p>
          <w:p w:rsidR="00C278F0" w:rsidRPr="00A0281F" w:rsidRDefault="00C278F0" w:rsidP="00BE64AA">
            <w:pPr>
              <w:pStyle w:val="In-tableHeading"/>
              <w:jc w:val="center"/>
            </w:pPr>
            <w:r w:rsidRPr="00A0281F">
              <w:t>Trial dose and duration</w:t>
            </w:r>
          </w:p>
        </w:tc>
        <w:tc>
          <w:tcPr>
            <w:tcW w:w="696" w:type="pct"/>
            <w:shd w:val="clear" w:color="auto" w:fill="auto"/>
            <w:vAlign w:val="center"/>
          </w:tcPr>
          <w:p w:rsidR="00C278F0" w:rsidRPr="00A0281F" w:rsidRDefault="00C278F0" w:rsidP="00BE64AA">
            <w:pPr>
              <w:pStyle w:val="In-tableHeading"/>
              <w:jc w:val="center"/>
            </w:pPr>
            <w:r w:rsidRPr="00A0281F">
              <w:t xml:space="preserve">Niraparib </w:t>
            </w:r>
          </w:p>
          <w:p w:rsidR="00C278F0" w:rsidRPr="00A0281F" w:rsidRDefault="00C278F0" w:rsidP="00BE64AA">
            <w:pPr>
              <w:pStyle w:val="In-tableHeading"/>
              <w:jc w:val="center"/>
            </w:pPr>
            <w:r w:rsidRPr="00A0281F">
              <w:t>CMA</w:t>
            </w:r>
          </w:p>
        </w:tc>
        <w:tc>
          <w:tcPr>
            <w:tcW w:w="698" w:type="pct"/>
            <w:shd w:val="clear" w:color="auto" w:fill="auto"/>
            <w:vAlign w:val="center"/>
          </w:tcPr>
          <w:p w:rsidR="00C278F0" w:rsidRPr="00A0281F" w:rsidRDefault="00C278F0" w:rsidP="00BE64AA">
            <w:pPr>
              <w:pStyle w:val="In-tableHeading"/>
              <w:jc w:val="center"/>
            </w:pPr>
            <w:r w:rsidRPr="00A0281F">
              <w:t xml:space="preserve">Niraparib </w:t>
            </w:r>
          </w:p>
          <w:p w:rsidR="00C278F0" w:rsidRPr="00A0281F" w:rsidRDefault="00C278F0" w:rsidP="00BE64AA">
            <w:pPr>
              <w:pStyle w:val="In-tableHeading"/>
              <w:jc w:val="center"/>
            </w:pPr>
            <w:r w:rsidRPr="00A0281F">
              <w:t>Financial estimates</w:t>
            </w:r>
          </w:p>
        </w:tc>
        <w:tc>
          <w:tcPr>
            <w:tcW w:w="696" w:type="pct"/>
            <w:shd w:val="clear" w:color="auto" w:fill="auto"/>
            <w:vAlign w:val="center"/>
          </w:tcPr>
          <w:p w:rsidR="00C278F0" w:rsidRPr="00A0281F" w:rsidRDefault="00C278F0" w:rsidP="00BE64AA">
            <w:pPr>
              <w:pStyle w:val="In-tableHeading"/>
              <w:jc w:val="center"/>
            </w:pPr>
            <w:r w:rsidRPr="00A0281F">
              <w:t xml:space="preserve">Olaparib </w:t>
            </w:r>
          </w:p>
          <w:p w:rsidR="00C278F0" w:rsidRPr="00A0281F" w:rsidRDefault="00C278F0" w:rsidP="00BE64AA">
            <w:pPr>
              <w:pStyle w:val="In-tableHeading"/>
              <w:jc w:val="center"/>
            </w:pPr>
            <w:r w:rsidRPr="00A0281F">
              <w:t>Trial dose and duration</w:t>
            </w:r>
          </w:p>
        </w:tc>
        <w:tc>
          <w:tcPr>
            <w:tcW w:w="699" w:type="pct"/>
            <w:shd w:val="clear" w:color="auto" w:fill="auto"/>
            <w:vAlign w:val="center"/>
          </w:tcPr>
          <w:p w:rsidR="00C278F0" w:rsidRPr="00A0281F" w:rsidRDefault="00C278F0" w:rsidP="00BE64AA">
            <w:pPr>
              <w:pStyle w:val="In-tableHeading"/>
              <w:jc w:val="center"/>
            </w:pPr>
            <w:r w:rsidRPr="00A0281F">
              <w:t xml:space="preserve">Olaparib </w:t>
            </w:r>
          </w:p>
          <w:p w:rsidR="00C278F0" w:rsidRPr="00A0281F" w:rsidRDefault="00C278F0" w:rsidP="00BE64AA">
            <w:pPr>
              <w:pStyle w:val="In-tableHeading"/>
              <w:jc w:val="center"/>
            </w:pPr>
            <w:r w:rsidRPr="00A0281F">
              <w:t>CMA</w:t>
            </w:r>
          </w:p>
        </w:tc>
        <w:tc>
          <w:tcPr>
            <w:tcW w:w="699" w:type="pct"/>
          </w:tcPr>
          <w:p w:rsidR="00C278F0" w:rsidRPr="00A0281F" w:rsidRDefault="00C278F0" w:rsidP="00BE64AA">
            <w:pPr>
              <w:pStyle w:val="In-tableHeading"/>
              <w:jc w:val="center"/>
            </w:pPr>
            <w:r w:rsidRPr="00A0281F">
              <w:t xml:space="preserve">Olaparib </w:t>
            </w:r>
          </w:p>
          <w:p w:rsidR="00C278F0" w:rsidRPr="00A0281F" w:rsidRDefault="00C278F0" w:rsidP="00BE64AA">
            <w:pPr>
              <w:pStyle w:val="In-tableHeading"/>
              <w:jc w:val="center"/>
            </w:pPr>
            <w:r w:rsidRPr="00A0281F">
              <w:t>Financial estimates</w:t>
            </w:r>
          </w:p>
        </w:tc>
      </w:tr>
      <w:tr w:rsidR="00C278F0" w:rsidRPr="00A0281F" w:rsidTr="00C278F0">
        <w:trPr>
          <w:cantSplit/>
          <w:jc w:val="center"/>
        </w:trPr>
        <w:tc>
          <w:tcPr>
            <w:tcW w:w="815" w:type="pct"/>
            <w:shd w:val="clear" w:color="auto" w:fill="auto"/>
            <w:vAlign w:val="center"/>
          </w:tcPr>
          <w:p w:rsidR="00C278F0" w:rsidRPr="00A0281F" w:rsidRDefault="00C278F0" w:rsidP="00BE64AA">
            <w:pPr>
              <w:pStyle w:val="TableText0"/>
              <w:rPr>
                <w:lang w:val="en-US"/>
              </w:rPr>
            </w:pPr>
            <w:r w:rsidRPr="00A0281F">
              <w:rPr>
                <w:lang w:val="en-US"/>
              </w:rPr>
              <w:t>Mean dose</w:t>
            </w:r>
            <w:r w:rsidR="00DB6ED9">
              <w:rPr>
                <w:lang w:val="en-US"/>
              </w:rPr>
              <w:t>**</w:t>
            </w:r>
          </w:p>
        </w:tc>
        <w:tc>
          <w:tcPr>
            <w:tcW w:w="697" w:type="pct"/>
            <w:shd w:val="clear" w:color="auto" w:fill="auto"/>
            <w:vAlign w:val="center"/>
          </w:tcPr>
          <w:p w:rsidR="00C278F0" w:rsidRPr="00A0281F" w:rsidRDefault="00C278F0" w:rsidP="00BE64AA">
            <w:pPr>
              <w:pStyle w:val="TableText0"/>
              <w:jc w:val="center"/>
              <w:rPr>
                <w:vertAlign w:val="superscript"/>
                <w:lang w:val="en-US"/>
              </w:rPr>
            </w:pPr>
            <w:r w:rsidRPr="00A0281F">
              <w:rPr>
                <w:lang w:val="en-US"/>
              </w:rPr>
              <w:t>180.7 mg/day</w:t>
            </w:r>
            <w:r w:rsidRPr="00A0281F">
              <w:rPr>
                <w:vertAlign w:val="superscript"/>
                <w:lang w:val="en-US"/>
              </w:rPr>
              <w:t>a</w:t>
            </w:r>
          </w:p>
        </w:tc>
        <w:tc>
          <w:tcPr>
            <w:tcW w:w="696" w:type="pct"/>
            <w:shd w:val="clear" w:color="auto" w:fill="auto"/>
            <w:vAlign w:val="center"/>
          </w:tcPr>
          <w:p w:rsidR="00C278F0" w:rsidRPr="00A0281F" w:rsidRDefault="00C278F0" w:rsidP="00BE64AA">
            <w:pPr>
              <w:pStyle w:val="TableText0"/>
              <w:jc w:val="center"/>
              <w:rPr>
                <w:vertAlign w:val="superscript"/>
                <w:lang w:val="en-US"/>
              </w:rPr>
            </w:pPr>
            <w:r w:rsidRPr="00A0281F">
              <w:rPr>
                <w:lang w:val="en-US"/>
              </w:rPr>
              <w:t>161.5 mg/day</w:t>
            </w:r>
            <w:r w:rsidRPr="00A0281F">
              <w:rPr>
                <w:vertAlign w:val="superscript"/>
                <w:lang w:val="en-US"/>
              </w:rPr>
              <w:t>b</w:t>
            </w:r>
          </w:p>
        </w:tc>
        <w:tc>
          <w:tcPr>
            <w:tcW w:w="698" w:type="pct"/>
            <w:shd w:val="clear" w:color="auto" w:fill="auto"/>
            <w:vAlign w:val="center"/>
          </w:tcPr>
          <w:p w:rsidR="00C278F0" w:rsidRPr="00A0281F" w:rsidRDefault="00D3708F" w:rsidP="00BE64AA">
            <w:pPr>
              <w:pStyle w:val="TableText0"/>
              <w:jc w:val="center"/>
              <w:rPr>
                <w:lang w:val="en-US"/>
              </w:rPr>
            </w:pPr>
            <w:r w:rsidRPr="002B72D8">
              <w:rPr>
                <w:lang w:val="en-US"/>
              </w:rPr>
              <w:t>Varied by year of treatment</w:t>
            </w:r>
          </w:p>
        </w:tc>
        <w:tc>
          <w:tcPr>
            <w:tcW w:w="696" w:type="pct"/>
            <w:shd w:val="clear" w:color="auto" w:fill="auto"/>
            <w:vAlign w:val="center"/>
          </w:tcPr>
          <w:p w:rsidR="00C278F0" w:rsidRPr="00A0281F" w:rsidRDefault="00C278F0" w:rsidP="00BE64AA">
            <w:pPr>
              <w:pStyle w:val="TableText0"/>
              <w:jc w:val="center"/>
              <w:rPr>
                <w:lang w:val="en-US"/>
              </w:rPr>
            </w:pPr>
            <w:r w:rsidRPr="00A0281F">
              <w:rPr>
                <w:lang w:val="en-US"/>
              </w:rPr>
              <w:t>542 mg/day</w:t>
            </w:r>
          </w:p>
        </w:tc>
        <w:tc>
          <w:tcPr>
            <w:tcW w:w="699" w:type="pct"/>
            <w:shd w:val="clear" w:color="auto" w:fill="auto"/>
            <w:vAlign w:val="center"/>
          </w:tcPr>
          <w:p w:rsidR="00C278F0" w:rsidRPr="00A0281F" w:rsidRDefault="00C278F0" w:rsidP="00BE64AA">
            <w:pPr>
              <w:pStyle w:val="TableText0"/>
              <w:jc w:val="center"/>
              <w:rPr>
                <w:lang w:val="en-US"/>
              </w:rPr>
            </w:pPr>
            <w:r w:rsidRPr="00A0281F">
              <w:rPr>
                <w:lang w:val="en-US"/>
              </w:rPr>
              <w:t>542 mg/day</w:t>
            </w:r>
          </w:p>
        </w:tc>
        <w:tc>
          <w:tcPr>
            <w:tcW w:w="699" w:type="pct"/>
          </w:tcPr>
          <w:p w:rsidR="00C278F0" w:rsidRPr="00A0281F" w:rsidRDefault="00C278F0" w:rsidP="00BE64AA">
            <w:pPr>
              <w:pStyle w:val="TableText0"/>
              <w:jc w:val="center"/>
              <w:rPr>
                <w:lang w:val="en-US"/>
              </w:rPr>
            </w:pPr>
            <w:r w:rsidRPr="00A0281F">
              <w:rPr>
                <w:lang w:val="en-US"/>
              </w:rPr>
              <w:t>542 mg/day</w:t>
            </w:r>
          </w:p>
        </w:tc>
      </w:tr>
      <w:tr w:rsidR="00C278F0" w:rsidRPr="00A0281F" w:rsidTr="00C278F0">
        <w:trPr>
          <w:cantSplit/>
          <w:jc w:val="center"/>
        </w:trPr>
        <w:tc>
          <w:tcPr>
            <w:tcW w:w="815" w:type="pct"/>
            <w:shd w:val="clear" w:color="auto" w:fill="auto"/>
            <w:vAlign w:val="center"/>
          </w:tcPr>
          <w:p w:rsidR="00C278F0" w:rsidRPr="00A0281F" w:rsidRDefault="00C278F0" w:rsidP="00BE64AA">
            <w:pPr>
              <w:pStyle w:val="TableText0"/>
              <w:rPr>
                <w:lang w:val="en-US"/>
              </w:rPr>
            </w:pPr>
            <w:r w:rsidRPr="00A0281F">
              <w:rPr>
                <w:lang w:val="en-US"/>
              </w:rPr>
              <w:t>Mean duration</w:t>
            </w:r>
          </w:p>
        </w:tc>
        <w:tc>
          <w:tcPr>
            <w:tcW w:w="697" w:type="pct"/>
            <w:shd w:val="clear" w:color="auto" w:fill="auto"/>
            <w:vAlign w:val="center"/>
          </w:tcPr>
          <w:p w:rsidR="00C278F0" w:rsidRPr="00A0281F" w:rsidRDefault="00C278F0" w:rsidP="00BE64AA">
            <w:pPr>
              <w:pStyle w:val="TableText0"/>
              <w:jc w:val="center"/>
              <w:rPr>
                <w:vertAlign w:val="superscript"/>
                <w:lang w:val="en-US"/>
              </w:rPr>
            </w:pPr>
            <w:r w:rsidRPr="00A0281F">
              <w:rPr>
                <w:lang w:val="en-US"/>
              </w:rPr>
              <w:t>11.6 months</w:t>
            </w:r>
            <w:r w:rsidRPr="00A0281F">
              <w:rPr>
                <w:vertAlign w:val="superscript"/>
                <w:lang w:val="en-US"/>
              </w:rPr>
              <w:t>c</w:t>
            </w:r>
          </w:p>
        </w:tc>
        <w:tc>
          <w:tcPr>
            <w:tcW w:w="696" w:type="pct"/>
            <w:shd w:val="clear" w:color="auto" w:fill="auto"/>
            <w:vAlign w:val="center"/>
          </w:tcPr>
          <w:p w:rsidR="00C278F0" w:rsidRPr="00A0281F" w:rsidRDefault="00C278F0" w:rsidP="00BE64AA">
            <w:pPr>
              <w:pStyle w:val="TableText0"/>
              <w:jc w:val="center"/>
              <w:rPr>
                <w:vertAlign w:val="superscript"/>
                <w:lang w:val="en-US"/>
              </w:rPr>
            </w:pPr>
            <w:r w:rsidRPr="00A0281F">
              <w:rPr>
                <w:lang w:val="en-US"/>
              </w:rPr>
              <w:t>NA</w:t>
            </w:r>
            <w:r w:rsidRPr="00A0281F">
              <w:rPr>
                <w:vertAlign w:val="superscript"/>
                <w:lang w:val="en-US"/>
              </w:rPr>
              <w:t>d</w:t>
            </w:r>
          </w:p>
        </w:tc>
        <w:tc>
          <w:tcPr>
            <w:tcW w:w="698" w:type="pct"/>
            <w:shd w:val="clear" w:color="auto" w:fill="auto"/>
            <w:vAlign w:val="center"/>
          </w:tcPr>
          <w:p w:rsidR="00C278F0" w:rsidRPr="00A0281F" w:rsidRDefault="00C278F0" w:rsidP="00BE64AA">
            <w:pPr>
              <w:pStyle w:val="TableText0"/>
              <w:jc w:val="center"/>
              <w:rPr>
                <w:vertAlign w:val="superscript"/>
                <w:lang w:val="en-US"/>
              </w:rPr>
            </w:pPr>
            <w:r w:rsidRPr="00A0281F">
              <w:rPr>
                <w:lang w:val="en-US"/>
              </w:rPr>
              <w:t>29.1 months</w:t>
            </w:r>
            <w:r w:rsidRPr="00A0281F">
              <w:rPr>
                <w:vertAlign w:val="superscript"/>
                <w:lang w:val="en-US"/>
              </w:rPr>
              <w:t>e</w:t>
            </w:r>
          </w:p>
        </w:tc>
        <w:tc>
          <w:tcPr>
            <w:tcW w:w="696" w:type="pct"/>
            <w:shd w:val="clear" w:color="auto" w:fill="auto"/>
            <w:vAlign w:val="center"/>
          </w:tcPr>
          <w:p w:rsidR="00C278F0" w:rsidRPr="00A0281F" w:rsidRDefault="00C278F0" w:rsidP="00BE64AA">
            <w:pPr>
              <w:pStyle w:val="TableText0"/>
              <w:jc w:val="center"/>
              <w:rPr>
                <w:vertAlign w:val="superscript"/>
                <w:lang w:val="en-US"/>
              </w:rPr>
            </w:pPr>
            <w:r w:rsidRPr="00A0281F">
              <w:rPr>
                <w:lang w:val="en-US"/>
              </w:rPr>
              <w:t>29.1 months</w:t>
            </w:r>
            <w:r w:rsidRPr="00A0281F">
              <w:rPr>
                <w:vertAlign w:val="superscript"/>
                <w:lang w:val="en-US"/>
              </w:rPr>
              <w:t>e</w:t>
            </w:r>
          </w:p>
        </w:tc>
        <w:tc>
          <w:tcPr>
            <w:tcW w:w="699" w:type="pct"/>
            <w:shd w:val="clear" w:color="auto" w:fill="auto"/>
            <w:vAlign w:val="center"/>
          </w:tcPr>
          <w:p w:rsidR="00C278F0" w:rsidRPr="00A0281F" w:rsidRDefault="00C278F0" w:rsidP="00BE64AA">
            <w:pPr>
              <w:pStyle w:val="TableText0"/>
              <w:jc w:val="center"/>
              <w:rPr>
                <w:vertAlign w:val="superscript"/>
                <w:lang w:val="en-US"/>
              </w:rPr>
            </w:pPr>
            <w:r w:rsidRPr="00A0281F">
              <w:rPr>
                <w:lang w:val="en-US"/>
              </w:rPr>
              <w:t>NA</w:t>
            </w:r>
            <w:r w:rsidRPr="00A0281F">
              <w:rPr>
                <w:vertAlign w:val="superscript"/>
                <w:lang w:val="en-US"/>
              </w:rPr>
              <w:t>d</w:t>
            </w:r>
          </w:p>
        </w:tc>
        <w:tc>
          <w:tcPr>
            <w:tcW w:w="699" w:type="pct"/>
          </w:tcPr>
          <w:p w:rsidR="00C278F0" w:rsidRPr="00A0281F" w:rsidRDefault="00C278F0" w:rsidP="00BE64AA">
            <w:pPr>
              <w:pStyle w:val="TableText0"/>
              <w:jc w:val="center"/>
              <w:rPr>
                <w:vertAlign w:val="superscript"/>
                <w:lang w:val="en-US"/>
              </w:rPr>
            </w:pPr>
            <w:r w:rsidRPr="00A0281F">
              <w:rPr>
                <w:lang w:val="en-US"/>
              </w:rPr>
              <w:t>29.1 months</w:t>
            </w:r>
          </w:p>
        </w:tc>
      </w:tr>
      <w:tr w:rsidR="00C278F0" w:rsidRPr="00A0281F" w:rsidTr="00C278F0">
        <w:trPr>
          <w:cantSplit/>
          <w:jc w:val="center"/>
        </w:trPr>
        <w:tc>
          <w:tcPr>
            <w:tcW w:w="815" w:type="pct"/>
            <w:shd w:val="clear" w:color="auto" w:fill="auto"/>
            <w:vAlign w:val="center"/>
          </w:tcPr>
          <w:p w:rsidR="00C278F0" w:rsidRPr="00A0281F" w:rsidRDefault="00C278F0" w:rsidP="00BE64AA">
            <w:pPr>
              <w:pStyle w:val="TableText0"/>
              <w:rPr>
                <w:lang w:val="en-US"/>
              </w:rPr>
            </w:pPr>
            <w:r w:rsidRPr="00A0281F">
              <w:rPr>
                <w:lang w:val="en-US"/>
              </w:rPr>
              <w:t>Cost/patient /course</w:t>
            </w:r>
          </w:p>
        </w:tc>
        <w:tc>
          <w:tcPr>
            <w:tcW w:w="697" w:type="pct"/>
            <w:shd w:val="clear" w:color="auto" w:fill="auto"/>
            <w:vAlign w:val="center"/>
          </w:tcPr>
          <w:p w:rsidR="00C278F0" w:rsidRPr="00A0281F" w:rsidRDefault="00C278F0" w:rsidP="00BE64AA">
            <w:pPr>
              <w:pStyle w:val="TableText0"/>
              <w:jc w:val="center"/>
              <w:rPr>
                <w:vertAlign w:val="superscript"/>
                <w:lang w:val="en-US"/>
              </w:rPr>
            </w:pPr>
            <w:r w:rsidRPr="00A0281F">
              <w:rPr>
                <w:lang w:val="en-US"/>
              </w:rPr>
              <w:t>$</w:t>
            </w:r>
            <w:r w:rsidR="00614C0A">
              <w:rPr>
                <w:noProof/>
                <w:color w:val="000000"/>
                <w:highlight w:val="black"/>
                <w:lang w:val="en-US"/>
              </w:rPr>
              <w:t>''''''''''''''''</w:t>
            </w:r>
            <w:r w:rsidRPr="00A0281F">
              <w:rPr>
                <w:vertAlign w:val="superscript"/>
                <w:lang w:val="en-US"/>
              </w:rPr>
              <w:t>f</w:t>
            </w:r>
          </w:p>
        </w:tc>
        <w:tc>
          <w:tcPr>
            <w:tcW w:w="696" w:type="pct"/>
            <w:shd w:val="clear" w:color="auto" w:fill="auto"/>
            <w:vAlign w:val="center"/>
          </w:tcPr>
          <w:p w:rsidR="00C278F0" w:rsidRPr="00A0281F" w:rsidRDefault="00C278F0" w:rsidP="00BE64AA">
            <w:pPr>
              <w:pStyle w:val="TableText0"/>
              <w:jc w:val="center"/>
              <w:rPr>
                <w:lang w:val="en-US"/>
              </w:rPr>
            </w:pPr>
            <w:r w:rsidRPr="00A0281F">
              <w:rPr>
                <w:lang w:val="en-US"/>
              </w:rPr>
              <w:t>-</w:t>
            </w:r>
          </w:p>
        </w:tc>
        <w:tc>
          <w:tcPr>
            <w:tcW w:w="698" w:type="pct"/>
            <w:shd w:val="clear" w:color="auto" w:fill="auto"/>
            <w:vAlign w:val="center"/>
          </w:tcPr>
          <w:p w:rsidR="00C278F0" w:rsidRPr="00A0281F" w:rsidRDefault="00C278F0" w:rsidP="00D3708F">
            <w:pPr>
              <w:pStyle w:val="TableText0"/>
              <w:jc w:val="center"/>
              <w:rPr>
                <w:vertAlign w:val="superscript"/>
                <w:lang w:val="en-US"/>
              </w:rPr>
            </w:pPr>
            <w:r w:rsidRPr="00A0281F">
              <w:rPr>
                <w:lang w:val="en-US"/>
              </w:rPr>
              <w:t>$</w:t>
            </w:r>
            <w:r w:rsidR="00614C0A">
              <w:rPr>
                <w:noProof/>
                <w:color w:val="000000"/>
                <w:highlight w:val="black"/>
                <w:lang w:val="en-US"/>
              </w:rPr>
              <w:t>''''''''''''''''''''</w:t>
            </w:r>
          </w:p>
        </w:tc>
        <w:tc>
          <w:tcPr>
            <w:tcW w:w="696" w:type="pct"/>
            <w:shd w:val="clear" w:color="auto" w:fill="auto"/>
            <w:vAlign w:val="center"/>
          </w:tcPr>
          <w:p w:rsidR="00C278F0" w:rsidRPr="00A0281F" w:rsidRDefault="00C278F0" w:rsidP="00BE64AA">
            <w:pPr>
              <w:pStyle w:val="TableText0"/>
              <w:jc w:val="center"/>
              <w:rPr>
                <w:vertAlign w:val="superscript"/>
                <w:lang w:val="en-US"/>
              </w:rPr>
            </w:pPr>
            <w:r w:rsidRPr="00A0281F">
              <w:rPr>
                <w:lang w:val="en-US"/>
              </w:rPr>
              <w:t>$</w:t>
            </w:r>
            <w:r w:rsidRPr="00577016">
              <w:rPr>
                <w:lang w:val="en-US"/>
              </w:rPr>
              <w:t>221,020</w:t>
            </w:r>
            <w:r w:rsidRPr="00A0281F">
              <w:rPr>
                <w:vertAlign w:val="superscript"/>
                <w:lang w:val="en-US"/>
              </w:rPr>
              <w:t>h</w:t>
            </w:r>
          </w:p>
        </w:tc>
        <w:tc>
          <w:tcPr>
            <w:tcW w:w="699" w:type="pct"/>
            <w:shd w:val="clear" w:color="auto" w:fill="auto"/>
            <w:vAlign w:val="center"/>
          </w:tcPr>
          <w:p w:rsidR="00C278F0" w:rsidRPr="00A0281F" w:rsidRDefault="00C278F0" w:rsidP="00BE64AA">
            <w:pPr>
              <w:pStyle w:val="TableText0"/>
              <w:jc w:val="center"/>
              <w:rPr>
                <w:lang w:val="en-US"/>
              </w:rPr>
            </w:pPr>
            <w:r w:rsidRPr="00A0281F">
              <w:rPr>
                <w:lang w:val="en-US"/>
              </w:rPr>
              <w:t>-</w:t>
            </w:r>
          </w:p>
        </w:tc>
        <w:tc>
          <w:tcPr>
            <w:tcW w:w="699" w:type="pct"/>
            <w:vAlign w:val="center"/>
          </w:tcPr>
          <w:p w:rsidR="00C278F0" w:rsidRPr="00A0281F" w:rsidRDefault="00C278F0" w:rsidP="00BE64AA">
            <w:pPr>
              <w:pStyle w:val="TableText0"/>
              <w:jc w:val="center"/>
              <w:rPr>
                <w:vertAlign w:val="superscript"/>
                <w:lang w:val="en-US"/>
              </w:rPr>
            </w:pPr>
            <w:r w:rsidRPr="00A0281F">
              <w:rPr>
                <w:lang w:val="en-US"/>
              </w:rPr>
              <w:t>$</w:t>
            </w:r>
            <w:r w:rsidRPr="00577016">
              <w:rPr>
                <w:lang w:val="en-US"/>
              </w:rPr>
              <w:t>218,720</w:t>
            </w:r>
            <w:r w:rsidRPr="00A0281F">
              <w:rPr>
                <w:vertAlign w:val="superscript"/>
                <w:lang w:val="en-US"/>
              </w:rPr>
              <w:t>i</w:t>
            </w:r>
          </w:p>
        </w:tc>
      </w:tr>
    </w:tbl>
    <w:p w:rsidR="00C278F0" w:rsidRPr="00A0281F" w:rsidRDefault="00C278F0" w:rsidP="00BE64AA">
      <w:pPr>
        <w:pStyle w:val="TableFigureFooter"/>
      </w:pPr>
      <w:r w:rsidRPr="00A0281F">
        <w:t>Source: Table 29 and Table 163 of the submission; Excel workbook ‘Zejula (niraparib) BRCAm CMA’; Excel workbook ‘Zejula (niraparib) BIM’.</w:t>
      </w:r>
    </w:p>
    <w:p w:rsidR="00C278F0" w:rsidRPr="00A0281F" w:rsidRDefault="00C278F0" w:rsidP="00BE64AA">
      <w:pPr>
        <w:pStyle w:val="TableFigureFooter"/>
      </w:pPr>
      <w:r w:rsidRPr="00A0281F">
        <w:t>CMA = cost-minimisation analysis; DPMQ = dispensed price for maximum quantity; NA = not applicable; PSR HGSOC = platinum-sensitive relapsed high grade serous ovarian cancer.</w:t>
      </w:r>
    </w:p>
    <w:p w:rsidR="00C278F0" w:rsidRPr="00A0281F" w:rsidRDefault="00C278F0" w:rsidP="00BE64AA">
      <w:pPr>
        <w:pStyle w:val="TableFigureFooter"/>
      </w:pPr>
      <w:r w:rsidRPr="00A0281F">
        <w:rPr>
          <w:vertAlign w:val="superscript"/>
        </w:rPr>
        <w:t>a</w:t>
      </w:r>
      <w:r w:rsidRPr="00A0281F">
        <w:t xml:space="preserve"> NOVA dosing data - fixed starting dose regimen (Table 29 of the submission)</w:t>
      </w:r>
    </w:p>
    <w:p w:rsidR="00C278F0" w:rsidRPr="00A0281F" w:rsidRDefault="00C278F0" w:rsidP="00BE64AA">
      <w:pPr>
        <w:pStyle w:val="TableFigureFooter"/>
      </w:pPr>
      <w:r w:rsidRPr="00A0281F">
        <w:rPr>
          <w:vertAlign w:val="superscript"/>
        </w:rPr>
        <w:t xml:space="preserve">b </w:t>
      </w:r>
      <w:r w:rsidRPr="00A0281F">
        <w:t>Translated dosing data adjusted for proposed individualised starting dose regimen</w:t>
      </w:r>
    </w:p>
    <w:p w:rsidR="00C278F0" w:rsidRPr="00A0281F" w:rsidRDefault="00C278F0" w:rsidP="00BE64AA">
      <w:pPr>
        <w:pStyle w:val="TableFigureFooter"/>
      </w:pPr>
      <w:r w:rsidRPr="00A0281F">
        <w:rPr>
          <w:vertAlign w:val="superscript"/>
        </w:rPr>
        <w:t>c</w:t>
      </w:r>
      <w:r w:rsidRPr="00A0281F">
        <w:t xml:space="preserve"> Truncated mean dose. 35.5% of patients still on treatment (Table 15 NOVA CSR).</w:t>
      </w:r>
    </w:p>
    <w:p w:rsidR="00C278F0" w:rsidRPr="00A0281F" w:rsidRDefault="00C278F0" w:rsidP="00BE64AA">
      <w:pPr>
        <w:pStyle w:val="TableFigureFooter"/>
      </w:pPr>
      <w:r w:rsidRPr="00A0281F">
        <w:rPr>
          <w:vertAlign w:val="superscript"/>
        </w:rPr>
        <w:t>d</w:t>
      </w:r>
      <w:r w:rsidRPr="00A0281F">
        <w:t xml:space="preserve"> No specific duration of therapy was defined in the CMA. </w:t>
      </w:r>
    </w:p>
    <w:p w:rsidR="00C278F0" w:rsidRPr="00A0281F" w:rsidRDefault="00C278F0" w:rsidP="00BE64AA">
      <w:pPr>
        <w:pStyle w:val="TableFigureFooter"/>
      </w:pPr>
      <w:r w:rsidRPr="00A0281F">
        <w:rPr>
          <w:vertAlign w:val="superscript"/>
        </w:rPr>
        <w:t>e</w:t>
      </w:r>
      <w:r w:rsidRPr="00A0281F">
        <w:t xml:space="preserve"> SOLO-2 dosing data from Povedo 2020 (median follow-up 65 months). Assumed equal duration of treatment for niraparib and olaparib.</w:t>
      </w:r>
    </w:p>
    <w:p w:rsidR="00C278F0" w:rsidRPr="00A0281F" w:rsidRDefault="00C278F0" w:rsidP="00BE64AA">
      <w:pPr>
        <w:pStyle w:val="TableFigureFooter"/>
      </w:pPr>
      <w:r w:rsidRPr="00A0281F">
        <w:rPr>
          <w:vertAlign w:val="superscript"/>
        </w:rPr>
        <w:t xml:space="preserve">f </w:t>
      </w:r>
      <w:r w:rsidRPr="00A0281F">
        <w:t>Estimation only for comparative purposes, assuming dose distribution of 16.3% 300mg, 48.1% 200mg, 35.6% 100mg, as for Month 6 in NOVA (Table 14.3.5.17 of the CSR). Weighted DPMQ = (16.3% x $</w:t>
      </w:r>
      <w:r w:rsidR="00614C0A">
        <w:rPr>
          <w:noProof/>
          <w:color w:val="000000"/>
          <w:highlight w:val="black"/>
        </w:rPr>
        <w:t>''''''''''''''''''''''</w:t>
      </w:r>
      <w:r w:rsidRPr="00A0281F">
        <w:t>) + (48.1% x 1 + 35.6% x 0.5) x $</w:t>
      </w:r>
      <w:r w:rsidR="00614C0A">
        <w:rPr>
          <w:noProof/>
          <w:color w:val="000000"/>
          <w:highlight w:val="black"/>
        </w:rPr>
        <w:t>''''''''''''''''''</w:t>
      </w:r>
      <w:r w:rsidRPr="00A0281F">
        <w:t xml:space="preserve"> = $</w:t>
      </w:r>
      <w:r w:rsidR="00614C0A">
        <w:rPr>
          <w:noProof/>
          <w:color w:val="000000"/>
          <w:highlight w:val="black"/>
        </w:rPr>
        <w:t>''''''''''''''''''''</w:t>
      </w:r>
      <w:r w:rsidRPr="00A0281F">
        <w:t>. Cost per patient over 11.6 months = $</w:t>
      </w:r>
      <w:r w:rsidR="00614C0A">
        <w:rPr>
          <w:noProof/>
          <w:color w:val="000000"/>
          <w:highlight w:val="black"/>
        </w:rPr>
        <w:t>'''''''''''''''''''''</w:t>
      </w:r>
      <w:r w:rsidRPr="00A0281F">
        <w:t>/28 x (365.25/12) x 11.6.</w:t>
      </w:r>
    </w:p>
    <w:p w:rsidR="00C278F0" w:rsidRPr="00A0281F" w:rsidRDefault="00C278F0" w:rsidP="00BE64AA">
      <w:pPr>
        <w:pStyle w:val="TableFigureFooter"/>
      </w:pPr>
      <w:r w:rsidRPr="00A0281F">
        <w:rPr>
          <w:vertAlign w:val="superscript"/>
        </w:rPr>
        <w:t xml:space="preserve">h </w:t>
      </w:r>
      <w:r w:rsidRPr="00A0281F">
        <w:t>Calculated as $</w:t>
      </w:r>
      <w:r w:rsidRPr="00577016">
        <w:t>6,986.96</w:t>
      </w:r>
      <w:r w:rsidRPr="00A0281F">
        <w:t>/28 x (365.25/12) x 29.1.</w:t>
      </w:r>
    </w:p>
    <w:p w:rsidR="00C278F0" w:rsidRPr="00A0281F" w:rsidRDefault="00C278F0" w:rsidP="00BE64AA">
      <w:pPr>
        <w:pStyle w:val="TableFigureFooter"/>
      </w:pPr>
      <w:r w:rsidRPr="00A0281F">
        <w:rPr>
          <w:vertAlign w:val="superscript"/>
        </w:rPr>
        <w:t xml:space="preserve">i </w:t>
      </w:r>
      <w:r w:rsidRPr="00A0281F">
        <w:t>Cost per mg $</w:t>
      </w:r>
      <w:r w:rsidRPr="00577016">
        <w:t>0.46</w:t>
      </w:r>
      <w:r w:rsidRPr="00A0281F">
        <w:t xml:space="preserve"> (derived from DMPQ as for EMP in </w:t>
      </w:r>
      <w:r w:rsidR="00681899">
        <w:t xml:space="preserve">Table </w:t>
      </w:r>
      <w:r w:rsidR="00681899">
        <w:rPr>
          <w:noProof/>
        </w:rPr>
        <w:t>14</w:t>
      </w:r>
      <w:r w:rsidRPr="00A0281F">
        <w:t>). Calculated as 542 mg x $</w:t>
      </w:r>
      <w:r w:rsidRPr="00577016">
        <w:t>0.46</w:t>
      </w:r>
      <w:r w:rsidRPr="00A0281F">
        <w:t xml:space="preserve"> x (365.25/12) x 29.1.</w:t>
      </w:r>
    </w:p>
    <w:p w:rsidR="00C278F0" w:rsidRDefault="00C278F0" w:rsidP="00BE64AA">
      <w:pPr>
        <w:pStyle w:val="TableFigureFooter"/>
      </w:pPr>
      <w:r w:rsidRPr="00A0281F">
        <w:t>* DPMQ niraparib: 84-capsule pack $</w:t>
      </w:r>
      <w:r w:rsidR="00614C0A">
        <w:rPr>
          <w:noProof/>
          <w:color w:val="000000"/>
          <w:highlight w:val="black"/>
        </w:rPr>
        <w:t>'''''''''''''''''''''</w:t>
      </w:r>
      <w:r w:rsidRPr="00A0281F">
        <w:t>, 56-capsule pack $</w:t>
      </w:r>
      <w:r w:rsidR="00614C0A">
        <w:rPr>
          <w:noProof/>
          <w:color w:val="000000"/>
          <w:highlight w:val="black"/>
        </w:rPr>
        <w:t>''''''''''''''''''''</w:t>
      </w:r>
      <w:r w:rsidRPr="00A0281F">
        <w:t>. DPMQ olaparib: $6,986.96.</w:t>
      </w:r>
    </w:p>
    <w:p w:rsidR="00DB6ED9" w:rsidRPr="00A0281F" w:rsidRDefault="00DB6ED9" w:rsidP="00BE64AA">
      <w:pPr>
        <w:pStyle w:val="TableFigureFooter"/>
      </w:pPr>
      <w:r>
        <w:t>**Note that the mean dose of treatment stated in Table 17 was provided for the purposes of informing the PBAC consideration. Interpretation of the results and their application should therefore be limited to seeking to understand the basis for the PBAC outcome and should not be used for any other purpose</w:t>
      </w:r>
    </w:p>
    <w:p w:rsidR="00C278F0" w:rsidRPr="00A0281F" w:rsidRDefault="00C278F0" w:rsidP="00BE64AA">
      <w:pPr>
        <w:pStyle w:val="3-BodyText"/>
        <w:ind w:left="709"/>
        <w:rPr>
          <w:snapToGrid/>
          <w:color w:val="000000" w:themeColor="text1"/>
          <w:lang w:val="en-US"/>
        </w:rPr>
      </w:pPr>
      <w:r w:rsidRPr="00A0281F">
        <w:rPr>
          <w:snapToGrid/>
          <w:color w:val="000000" w:themeColor="text1"/>
          <w:lang w:val="en-US"/>
        </w:rPr>
        <w:t>For niraparib, the cost/patient/course based on the NOVA trial data will be an underestimate, as 35.5% of BRCAm patients were still receiving niraparib at the data cut-off. The niraparib cost/patient/course in the financial estimates is likely to be overestimated, as it was derived based on the duration of treatment with olaparib in the SOLO-2 trial (see below). As the cost of olaparib in the financial estimates is considerably higher than the cost of niraparib based on the requested weighted effective price, the cost offsets from substitution of niraparib for olaparib have considerable impact on the financial estimates to the PBS/RPBS.</w:t>
      </w:r>
    </w:p>
    <w:p w:rsidR="008E27D3" w:rsidRPr="008E27D3" w:rsidRDefault="00C278F0" w:rsidP="008E27D3">
      <w:pPr>
        <w:pStyle w:val="4-SubsectionHeading"/>
      </w:pPr>
      <w:bookmarkStart w:id="55" w:name="_Toc22897647"/>
      <w:bookmarkStart w:id="56" w:name="_Toc22898859"/>
      <w:bookmarkStart w:id="57" w:name="_Toc57994546"/>
      <w:bookmarkStart w:id="58" w:name="_Toc61962148"/>
      <w:r w:rsidRPr="00C9624D">
        <w:t>Estimated PBS usage &amp; financial implication</w:t>
      </w:r>
      <w:bookmarkEnd w:id="55"/>
      <w:bookmarkEnd w:id="56"/>
      <w:bookmarkEnd w:id="57"/>
      <w:bookmarkEnd w:id="58"/>
      <w:r w:rsidR="008E27D3">
        <w:t>s</w:t>
      </w:r>
    </w:p>
    <w:p w:rsidR="008E27D3" w:rsidRPr="0086620A" w:rsidRDefault="008E27D3" w:rsidP="008E27D3">
      <w:pPr>
        <w:pStyle w:val="3-BodyText"/>
        <w:ind w:left="709"/>
        <w:rPr>
          <w:color w:val="000000" w:themeColor="text1"/>
        </w:rPr>
      </w:pPr>
      <w:r w:rsidRPr="0086620A">
        <w:rPr>
          <w:color w:val="000000" w:themeColor="text1"/>
        </w:rPr>
        <w:t>This submission w</w:t>
      </w:r>
      <w:r>
        <w:rPr>
          <w:color w:val="000000" w:themeColor="text1"/>
        </w:rPr>
        <w:t xml:space="preserve">as </w:t>
      </w:r>
      <w:r w:rsidRPr="0086620A">
        <w:rPr>
          <w:color w:val="000000" w:themeColor="text1"/>
        </w:rPr>
        <w:t xml:space="preserve">considered by DUSC. The submission used an epidemiological approach to estimate the number of patients </w:t>
      </w:r>
      <w:r>
        <w:rPr>
          <w:color w:val="000000" w:themeColor="text1"/>
        </w:rPr>
        <w:t>l</w:t>
      </w:r>
      <w:r w:rsidRPr="0086620A">
        <w:rPr>
          <w:color w:val="000000" w:themeColor="text1"/>
        </w:rPr>
        <w:t>ikely to be treated with niraparib</w:t>
      </w:r>
      <w:r>
        <w:rPr>
          <w:color w:val="000000" w:themeColor="text1"/>
        </w:rPr>
        <w:t>, based on Australian Institute of Health and Welfare incidence data for ovarian, fallopian tube and primary peritoneal cancer, and applying epidemiological data from the literature</w:t>
      </w:r>
      <w:r w:rsidRPr="0086620A">
        <w:rPr>
          <w:color w:val="000000" w:themeColor="text1"/>
        </w:rPr>
        <w:t xml:space="preserve">. </w:t>
      </w:r>
      <w:r w:rsidRPr="00032C5B">
        <w:rPr>
          <w:color w:val="000000" w:themeColor="text1"/>
        </w:rPr>
        <w:t xml:space="preserve">As olaparib tablets were only listed on the PBS in December 2018, there are limited </w:t>
      </w:r>
      <w:r w:rsidRPr="00032C5B">
        <w:rPr>
          <w:color w:val="000000" w:themeColor="text1"/>
        </w:rPr>
        <w:lastRenderedPageBreak/>
        <w:t>PBS utilisation data on which to base a market share approach for the BRCAm population.</w:t>
      </w:r>
    </w:p>
    <w:p w:rsidR="008E27D3" w:rsidRPr="000E2404" w:rsidRDefault="008E27D3" w:rsidP="008E27D3">
      <w:pPr>
        <w:pStyle w:val="3-BodyText"/>
        <w:ind w:left="709"/>
        <w:rPr>
          <w:color w:val="000000" w:themeColor="text1"/>
        </w:rPr>
      </w:pPr>
      <w:r>
        <w:rPr>
          <w:color w:val="000000" w:themeColor="text1"/>
        </w:rPr>
        <w:t xml:space="preserve">The submission estimated the following populations: incident cases of HGSOC, the prevalent patient pool, and patients switching to niraparib from olaparib. </w:t>
      </w:r>
      <w:r>
        <w:t xml:space="preserve">The prevalent patient pool consisted of patients with non-BRCAm PSR HGSOC who met the eligibility criteria for niraparib prior to its availability on the PBS, and who remained eligible at the time of listing. Patients in the sponsor’s patient access program would form part of the prevalent pool. </w:t>
      </w:r>
    </w:p>
    <w:p w:rsidR="008E27D3" w:rsidRPr="0064258E" w:rsidRDefault="008E27D3" w:rsidP="008E27D3">
      <w:pPr>
        <w:pStyle w:val="3-BodyText"/>
        <w:ind w:left="709"/>
      </w:pPr>
      <w:r w:rsidRPr="000E2404">
        <w:rPr>
          <w:color w:val="000000" w:themeColor="text1"/>
        </w:rPr>
        <w:t xml:space="preserve">The key inputs relied on in the financial estimates are summarised in </w:t>
      </w:r>
      <w:r w:rsidR="00681899" w:rsidRPr="00EE1CF1">
        <w:t xml:space="preserve">Table </w:t>
      </w:r>
      <w:r w:rsidR="00681899">
        <w:rPr>
          <w:noProof/>
        </w:rPr>
        <w:t>18</w:t>
      </w:r>
      <w:r w:rsidRPr="000E2404">
        <w:rPr>
          <w:color w:val="000000" w:themeColor="text1"/>
        </w:rPr>
        <w:t>.</w:t>
      </w:r>
    </w:p>
    <w:p w:rsidR="008E27D3" w:rsidRPr="00EE1CF1" w:rsidRDefault="008E27D3" w:rsidP="00526B7B">
      <w:pPr>
        <w:pStyle w:val="TableFigureHeading"/>
        <w:keepNext w:val="0"/>
        <w:rPr>
          <w:rStyle w:val="CommentReference"/>
          <w:b/>
          <w:szCs w:val="24"/>
        </w:rPr>
      </w:pPr>
      <w:bookmarkStart w:id="59" w:name="_Ref58501199"/>
      <w:r w:rsidRPr="00EE1CF1">
        <w:t xml:space="preserve">Table </w:t>
      </w:r>
      <w:r w:rsidR="00681899">
        <w:rPr>
          <w:noProof/>
        </w:rPr>
        <w:t>18</w:t>
      </w:r>
      <w:bookmarkEnd w:id="59"/>
      <w:r w:rsidRPr="009210EE">
        <w:t xml:space="preserve">: </w:t>
      </w:r>
      <w:r w:rsidRPr="00EE1CF1">
        <w:rPr>
          <w:rStyle w:val="CommentReference"/>
          <w:b/>
          <w:szCs w:val="24"/>
        </w:rPr>
        <w:t>Key inputs for financial estimates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679"/>
        <w:gridCol w:w="3176"/>
        <w:gridCol w:w="4162"/>
      </w:tblGrid>
      <w:tr w:rsidR="008E27D3" w:rsidRPr="003D1DE4" w:rsidTr="00FD78E4">
        <w:trPr>
          <w:tblHeader/>
        </w:trPr>
        <w:tc>
          <w:tcPr>
            <w:tcW w:w="931" w:type="pct"/>
            <w:shd w:val="clear" w:color="auto" w:fill="auto"/>
            <w:vAlign w:val="center"/>
          </w:tcPr>
          <w:p w:rsidR="008E27D3" w:rsidRPr="003D1DE4" w:rsidRDefault="008E27D3" w:rsidP="00526B7B">
            <w:pPr>
              <w:pStyle w:val="In-tableHeading"/>
              <w:keepNext w:val="0"/>
            </w:pPr>
            <w:r>
              <w:t>Parameter</w:t>
            </w:r>
          </w:p>
        </w:tc>
        <w:tc>
          <w:tcPr>
            <w:tcW w:w="1761" w:type="pct"/>
            <w:shd w:val="clear" w:color="auto" w:fill="auto"/>
            <w:vAlign w:val="center"/>
          </w:tcPr>
          <w:p w:rsidR="008E27D3" w:rsidRPr="003D1DE4" w:rsidRDefault="008E27D3" w:rsidP="00526B7B">
            <w:pPr>
              <w:pStyle w:val="In-tableHeading"/>
              <w:keepNext w:val="0"/>
            </w:pPr>
            <w:r>
              <w:t>Value applied and source</w:t>
            </w:r>
          </w:p>
        </w:tc>
        <w:tc>
          <w:tcPr>
            <w:tcW w:w="2308" w:type="pct"/>
            <w:shd w:val="clear" w:color="auto" w:fill="auto"/>
            <w:vAlign w:val="center"/>
          </w:tcPr>
          <w:p w:rsidR="008E27D3" w:rsidRPr="00032C5B" w:rsidRDefault="008E27D3" w:rsidP="00526B7B">
            <w:pPr>
              <w:pStyle w:val="In-tableHeading"/>
              <w:keepNext w:val="0"/>
            </w:pPr>
            <w:r w:rsidRPr="00032C5B">
              <w:t>Comment</w:t>
            </w:r>
          </w:p>
        </w:tc>
      </w:tr>
      <w:tr w:rsidR="008E27D3" w:rsidRPr="00E2771E" w:rsidTr="00FD78E4">
        <w:tc>
          <w:tcPr>
            <w:tcW w:w="931" w:type="pct"/>
            <w:shd w:val="clear" w:color="auto" w:fill="auto"/>
            <w:vAlign w:val="center"/>
          </w:tcPr>
          <w:p w:rsidR="008E27D3" w:rsidRPr="00E2771E" w:rsidRDefault="008E27D3" w:rsidP="00526B7B">
            <w:pPr>
              <w:pStyle w:val="TableText0"/>
              <w:keepNext w:val="0"/>
              <w:rPr>
                <w:lang w:val="en-US"/>
              </w:rPr>
            </w:pPr>
            <w:r>
              <w:t>Incident of ovarian, fallopian tube and primary peritoneal cancer</w:t>
            </w:r>
          </w:p>
        </w:tc>
        <w:tc>
          <w:tcPr>
            <w:tcW w:w="1761" w:type="pct"/>
            <w:shd w:val="clear" w:color="auto" w:fill="auto"/>
          </w:tcPr>
          <w:p w:rsidR="008E27D3" w:rsidRPr="0083701E" w:rsidRDefault="008E27D3" w:rsidP="00526B7B">
            <w:pPr>
              <w:pStyle w:val="TableText0"/>
              <w:keepNext w:val="0"/>
              <w:widowControl w:val="0"/>
            </w:pPr>
            <w:r>
              <w:t>AIHW ICD-10 codes C48, C56 and C57 (2000-2016) and NZ Ministry of Health (MoH) 4 character ICD code data</w:t>
            </w:r>
            <w:r w:rsidRPr="007317F5">
              <w:rPr>
                <w:i/>
              </w:rPr>
              <w:t>.</w:t>
            </w:r>
          </w:p>
        </w:tc>
        <w:tc>
          <w:tcPr>
            <w:tcW w:w="2308" w:type="pct"/>
            <w:shd w:val="clear" w:color="auto" w:fill="auto"/>
          </w:tcPr>
          <w:p w:rsidR="008E27D3" w:rsidRPr="00032C5B" w:rsidRDefault="008E27D3" w:rsidP="00526B7B">
            <w:pPr>
              <w:pStyle w:val="TableText0"/>
              <w:keepNext w:val="0"/>
              <w:rPr>
                <w:lang w:val="en-US"/>
              </w:rPr>
            </w:pPr>
            <w:r w:rsidRPr="00032C5B">
              <w:t xml:space="preserve">The use of AIHW data was appropriate. The NZ MoH data was used to determine the proportion of each ICD-10 code that was applicable to the population of interest. </w:t>
            </w:r>
          </w:p>
        </w:tc>
      </w:tr>
      <w:tr w:rsidR="008E27D3" w:rsidRPr="00E2771E" w:rsidTr="00FD78E4">
        <w:tc>
          <w:tcPr>
            <w:tcW w:w="931" w:type="pct"/>
            <w:shd w:val="clear" w:color="auto" w:fill="auto"/>
            <w:vAlign w:val="center"/>
          </w:tcPr>
          <w:p w:rsidR="008E27D3" w:rsidRDefault="008E27D3" w:rsidP="00526B7B">
            <w:pPr>
              <w:pStyle w:val="TableText0"/>
              <w:keepNext w:val="0"/>
              <w:rPr>
                <w:lang w:val="en-US"/>
              </w:rPr>
            </w:pPr>
            <w:r>
              <w:rPr>
                <w:lang w:val="en-US"/>
              </w:rPr>
              <w:t>% with high grade carcinoma and % of these that are serous</w:t>
            </w:r>
          </w:p>
        </w:tc>
        <w:tc>
          <w:tcPr>
            <w:tcW w:w="1761" w:type="pct"/>
            <w:shd w:val="clear" w:color="auto" w:fill="auto"/>
            <w:vAlign w:val="center"/>
          </w:tcPr>
          <w:p w:rsidR="008E27D3" w:rsidRDefault="008E27D3" w:rsidP="00526B7B">
            <w:pPr>
              <w:pStyle w:val="TableText0"/>
              <w:keepNext w:val="0"/>
              <w:rPr>
                <w:lang w:val="en-US"/>
              </w:rPr>
            </w:pPr>
            <w:r>
              <w:rPr>
                <w:lang w:val="en-US"/>
              </w:rPr>
              <w:t>93.6%, of which 74.1% are serous</w:t>
            </w:r>
          </w:p>
          <w:p w:rsidR="008E27D3" w:rsidRPr="008A14C9" w:rsidRDefault="008E27D3" w:rsidP="00526B7B">
            <w:pPr>
              <w:pStyle w:val="TableText0"/>
              <w:keepNext w:val="0"/>
              <w:rPr>
                <w:vertAlign w:val="superscript"/>
                <w:lang w:val="en-US"/>
              </w:rPr>
            </w:pPr>
            <w:r>
              <w:rPr>
                <w:lang w:val="en-US"/>
              </w:rPr>
              <w:t>Australian Ovarian Cancer Study (AOCS),</w:t>
            </w:r>
            <w:r>
              <w:t xml:space="preserve"> Alsop 2012 and Lindemann 2018</w:t>
            </w:r>
            <w:r>
              <w:rPr>
                <w:vertAlign w:val="superscript"/>
              </w:rPr>
              <w:t>a</w:t>
            </w:r>
          </w:p>
        </w:tc>
        <w:tc>
          <w:tcPr>
            <w:tcW w:w="2308" w:type="pct"/>
            <w:shd w:val="clear" w:color="auto" w:fill="auto"/>
            <w:vAlign w:val="center"/>
          </w:tcPr>
          <w:p w:rsidR="008E27D3" w:rsidRPr="00032C5B" w:rsidRDefault="008E27D3" w:rsidP="00526B7B">
            <w:pPr>
              <w:pStyle w:val="TableText0"/>
              <w:keepNext w:val="0"/>
              <w:widowControl w:val="0"/>
            </w:pPr>
            <w:r w:rsidRPr="00032C5B">
              <w:t xml:space="preserve">It was not clear why the submission based the </w:t>
            </w:r>
            <w:r w:rsidR="00DD4011">
              <w:t>proportion</w:t>
            </w:r>
            <w:r w:rsidR="00DD4011" w:rsidRPr="00032C5B">
              <w:t xml:space="preserve"> </w:t>
            </w:r>
            <w:r w:rsidRPr="00032C5B">
              <w:t>with serous histology only on those with a PFI &gt;6 months after first-line chemotherapy. The proportion with serous histology in all patients was 77%.</w:t>
            </w:r>
            <w:r w:rsidR="00D3708F" w:rsidRPr="00D3708F">
              <w:t xml:space="preserve"> </w:t>
            </w:r>
            <w:r w:rsidR="00D3708F" w:rsidRPr="002B72D8">
              <w:rPr>
                <w:rFonts w:cs="Times New Roman"/>
              </w:rPr>
              <w:t>The PSCR noted there are updated WHO classification guidelines and suggested this estimate be changed to 85.8% to account for tumours with serous or endometrioid histology.</w:t>
            </w:r>
          </w:p>
        </w:tc>
      </w:tr>
      <w:tr w:rsidR="008E27D3" w:rsidRPr="00E2771E" w:rsidTr="00FD78E4">
        <w:tc>
          <w:tcPr>
            <w:tcW w:w="931" w:type="pct"/>
            <w:shd w:val="clear" w:color="auto" w:fill="auto"/>
            <w:vAlign w:val="center"/>
          </w:tcPr>
          <w:p w:rsidR="008E27D3" w:rsidRPr="00E2771E" w:rsidRDefault="008E27D3" w:rsidP="00526B7B">
            <w:pPr>
              <w:pStyle w:val="TableText0"/>
              <w:keepNext w:val="0"/>
              <w:rPr>
                <w:lang w:val="en-US"/>
              </w:rPr>
            </w:pPr>
            <w:r>
              <w:t>% of HGSOC patients who have PS relapsed disease</w:t>
            </w:r>
          </w:p>
        </w:tc>
        <w:tc>
          <w:tcPr>
            <w:tcW w:w="1761" w:type="pct"/>
            <w:shd w:val="clear" w:color="auto" w:fill="auto"/>
            <w:vAlign w:val="center"/>
          </w:tcPr>
          <w:p w:rsidR="008E27D3" w:rsidRDefault="008E27D3" w:rsidP="00526B7B">
            <w:pPr>
              <w:pStyle w:val="TableText0"/>
              <w:keepNext w:val="0"/>
              <w:rPr>
                <w:lang w:val="en-US"/>
              </w:rPr>
            </w:pPr>
            <w:r>
              <w:rPr>
                <w:lang w:val="en-US"/>
              </w:rPr>
              <w:t>43.1%</w:t>
            </w:r>
          </w:p>
          <w:p w:rsidR="008E27D3" w:rsidRDefault="008E27D3" w:rsidP="00526B7B">
            <w:pPr>
              <w:pStyle w:val="TableText0"/>
              <w:keepNext w:val="0"/>
            </w:pPr>
            <w:r>
              <w:t xml:space="preserve">Total of those eligible at second (37.5%), third (4.3%) and fourth line (1.3%). </w:t>
            </w:r>
          </w:p>
          <w:p w:rsidR="008E27D3" w:rsidRPr="00E2771E" w:rsidRDefault="008E27D3" w:rsidP="00526B7B">
            <w:pPr>
              <w:pStyle w:val="TableText0"/>
              <w:keepNext w:val="0"/>
              <w:rPr>
                <w:lang w:val="en-US"/>
              </w:rPr>
            </w:pPr>
            <w:r>
              <w:t>Based on data from the AOCS (Alsop 2012, Lindemann 2018) and Nishio 2009.</w:t>
            </w:r>
            <w:r>
              <w:rPr>
                <w:rStyle w:val="FootnoteReference"/>
              </w:rPr>
              <w:footnoteReference w:id="7"/>
            </w:r>
          </w:p>
        </w:tc>
        <w:tc>
          <w:tcPr>
            <w:tcW w:w="2308" w:type="pct"/>
            <w:shd w:val="clear" w:color="auto" w:fill="auto"/>
            <w:vAlign w:val="center"/>
          </w:tcPr>
          <w:p w:rsidR="008E27D3" w:rsidRPr="00032C5B" w:rsidRDefault="008E27D3" w:rsidP="00526B7B">
            <w:pPr>
              <w:pStyle w:val="TableText0"/>
              <w:keepNext w:val="0"/>
              <w:widowControl w:val="0"/>
            </w:pPr>
            <w:r w:rsidRPr="00032C5B">
              <w:t>The applicability of the data to current clinical practice was potentially limited by the age of the studies (patients recruited between 1999 and 2006).</w:t>
            </w:r>
          </w:p>
          <w:p w:rsidR="008E27D3" w:rsidRPr="00032C5B" w:rsidRDefault="008E27D3" w:rsidP="00526B7B">
            <w:pPr>
              <w:pStyle w:val="TableText0"/>
              <w:keepNext w:val="0"/>
            </w:pPr>
            <w:r w:rsidRPr="00032C5B">
              <w:t xml:space="preserve">The treatment algorithm </w:t>
            </w:r>
            <w:r w:rsidR="00DD4011">
              <w:t>did not</w:t>
            </w:r>
            <w:r w:rsidRPr="00032C5B">
              <w:t xml:space="preserve"> incorporate the recent listing of olaparib for maintenance treatment for BRCAm patients in the first-line setting, and will have overestimated the proportion of BRCAm patients eligible for niraparib.</w:t>
            </w:r>
          </w:p>
          <w:p w:rsidR="008E27D3" w:rsidRPr="00032C5B" w:rsidRDefault="008E27D3" w:rsidP="00526B7B">
            <w:pPr>
              <w:pStyle w:val="TableText0"/>
              <w:keepNext w:val="0"/>
              <w:rPr>
                <w:lang w:val="en-US"/>
              </w:rPr>
            </w:pPr>
            <w:r w:rsidRPr="00032C5B">
              <w:t>This input does not take into account that the proportion of patients remaining platinum sensitive at second and subsequent lines is likely to differ by BRCA mutation status.</w:t>
            </w:r>
          </w:p>
        </w:tc>
      </w:tr>
      <w:tr w:rsidR="008E27D3" w:rsidRPr="00E2771E" w:rsidTr="00FD78E4">
        <w:tc>
          <w:tcPr>
            <w:tcW w:w="931" w:type="pct"/>
            <w:shd w:val="clear" w:color="auto" w:fill="auto"/>
            <w:vAlign w:val="center"/>
          </w:tcPr>
          <w:p w:rsidR="008E27D3" w:rsidRDefault="008E27D3" w:rsidP="00526B7B">
            <w:pPr>
              <w:pStyle w:val="TableText0"/>
              <w:keepNext w:val="0"/>
              <w:rPr>
                <w:lang w:val="en-US"/>
              </w:rPr>
            </w:pPr>
            <w:r>
              <w:rPr>
                <w:lang w:val="en-US"/>
              </w:rPr>
              <w:t xml:space="preserve">% BRCAm </w:t>
            </w:r>
          </w:p>
        </w:tc>
        <w:tc>
          <w:tcPr>
            <w:tcW w:w="1761" w:type="pct"/>
            <w:shd w:val="clear" w:color="auto" w:fill="auto"/>
            <w:vAlign w:val="center"/>
          </w:tcPr>
          <w:p w:rsidR="008E27D3" w:rsidRDefault="008E27D3" w:rsidP="00526B7B">
            <w:pPr>
              <w:pStyle w:val="TableText0"/>
              <w:keepNext w:val="0"/>
            </w:pPr>
            <w:r>
              <w:t>Prevalence of gBRCAm: 22.6% (Alsop 2012)</w:t>
            </w:r>
          </w:p>
          <w:p w:rsidR="008E27D3" w:rsidRPr="003A0F04" w:rsidRDefault="008E27D3" w:rsidP="00526B7B">
            <w:pPr>
              <w:pStyle w:val="TableText0"/>
              <w:keepNext w:val="0"/>
            </w:pPr>
            <w:r>
              <w:t>Prevalence of sBRCAm: 6.3% (CGARN 2011)</w:t>
            </w:r>
            <w:r>
              <w:rPr>
                <w:rStyle w:val="FootnoteReference"/>
              </w:rPr>
              <w:footnoteReference w:id="8"/>
            </w:r>
          </w:p>
        </w:tc>
        <w:tc>
          <w:tcPr>
            <w:tcW w:w="2308" w:type="pct"/>
            <w:shd w:val="clear" w:color="auto" w:fill="auto"/>
            <w:vAlign w:val="center"/>
          </w:tcPr>
          <w:p w:rsidR="008E27D3" w:rsidRPr="00032C5B" w:rsidRDefault="008E27D3" w:rsidP="00526B7B">
            <w:pPr>
              <w:pStyle w:val="TableText0"/>
              <w:keepNext w:val="0"/>
              <w:rPr>
                <w:lang w:val="en-US"/>
              </w:rPr>
            </w:pPr>
            <w:r w:rsidRPr="00032C5B">
              <w:rPr>
                <w:iCs/>
              </w:rPr>
              <w:t>The PBAC previously accepted a prevalence of 20.3% for gBRCAm and 5% for sBRCAm (para 7.21, olaparib PSD, November 2019 PBAC Meeting and para 6.46 olaparib PSD, July 2020 PBAC Meeting).</w:t>
            </w:r>
          </w:p>
        </w:tc>
      </w:tr>
      <w:tr w:rsidR="008E27D3" w:rsidRPr="00E2771E" w:rsidTr="00FD78E4">
        <w:tc>
          <w:tcPr>
            <w:tcW w:w="931" w:type="pct"/>
            <w:shd w:val="clear" w:color="auto" w:fill="auto"/>
            <w:vAlign w:val="center"/>
          </w:tcPr>
          <w:p w:rsidR="008E27D3" w:rsidRPr="00E2771E" w:rsidRDefault="008E27D3" w:rsidP="00526B7B">
            <w:pPr>
              <w:pStyle w:val="TableText0"/>
              <w:keepNext w:val="0"/>
              <w:rPr>
                <w:lang w:val="en-US"/>
              </w:rPr>
            </w:pPr>
            <w:r>
              <w:rPr>
                <w:lang w:val="en-US"/>
              </w:rPr>
              <w:lastRenderedPageBreak/>
              <w:t>Patients continuing treatment in subsequent years</w:t>
            </w:r>
          </w:p>
        </w:tc>
        <w:tc>
          <w:tcPr>
            <w:tcW w:w="1761" w:type="pct"/>
            <w:shd w:val="clear" w:color="auto" w:fill="auto"/>
            <w:vAlign w:val="center"/>
          </w:tcPr>
          <w:p w:rsidR="008E27D3" w:rsidRDefault="008E27D3" w:rsidP="00526B7B">
            <w:pPr>
              <w:pStyle w:val="TableText0"/>
              <w:keepNext w:val="0"/>
              <w:widowControl w:val="0"/>
            </w:pPr>
            <w:r>
              <w:t>Non-BRCAm: based on modelled TTD from NOVA</w:t>
            </w:r>
          </w:p>
          <w:p w:rsidR="008E27D3" w:rsidRPr="00E2771E" w:rsidRDefault="008E27D3" w:rsidP="00526B7B">
            <w:pPr>
              <w:pStyle w:val="TableText0"/>
              <w:keepNext w:val="0"/>
              <w:rPr>
                <w:lang w:val="en-US"/>
              </w:rPr>
            </w:pPr>
            <w:r>
              <w:t>BRCAm: based on dosing data from SOLO-2</w:t>
            </w:r>
          </w:p>
        </w:tc>
        <w:tc>
          <w:tcPr>
            <w:tcW w:w="2308" w:type="pct"/>
            <w:shd w:val="clear" w:color="auto" w:fill="auto"/>
            <w:vAlign w:val="center"/>
          </w:tcPr>
          <w:p w:rsidR="008E27D3" w:rsidRPr="00032C5B" w:rsidRDefault="008E27D3" w:rsidP="00526B7B">
            <w:pPr>
              <w:pStyle w:val="TableText0"/>
              <w:keepNext w:val="0"/>
              <w:rPr>
                <w:lang w:val="en-US"/>
              </w:rPr>
            </w:pPr>
            <w:r w:rsidRPr="00032C5B">
              <w:rPr>
                <w:iCs/>
              </w:rPr>
              <w:t>The use of the SOLO-2 dosing data in the BRCAm population, rather than data from NOVA, was not appropriate, and is likely to have overestimated the duration of treatment in BRCAm patients (see below).</w:t>
            </w:r>
          </w:p>
        </w:tc>
      </w:tr>
      <w:tr w:rsidR="008E27D3" w:rsidRPr="00E2771E" w:rsidTr="00FD78E4">
        <w:tc>
          <w:tcPr>
            <w:tcW w:w="931" w:type="pct"/>
            <w:shd w:val="clear" w:color="auto" w:fill="auto"/>
            <w:vAlign w:val="center"/>
          </w:tcPr>
          <w:p w:rsidR="008E27D3" w:rsidRDefault="008E27D3" w:rsidP="00526B7B">
            <w:pPr>
              <w:pStyle w:val="TableText0"/>
              <w:keepNext w:val="0"/>
              <w:rPr>
                <w:lang w:val="en-US"/>
              </w:rPr>
            </w:pPr>
            <w:r>
              <w:rPr>
                <w:lang w:val="en-US"/>
              </w:rPr>
              <w:t xml:space="preserve">Scripts dispensed </w:t>
            </w:r>
          </w:p>
        </w:tc>
        <w:tc>
          <w:tcPr>
            <w:tcW w:w="1761" w:type="pct"/>
            <w:shd w:val="clear" w:color="auto" w:fill="auto"/>
            <w:vAlign w:val="center"/>
          </w:tcPr>
          <w:p w:rsidR="008E27D3" w:rsidRDefault="008E27D3" w:rsidP="00526B7B">
            <w:pPr>
              <w:pStyle w:val="TableText0"/>
              <w:keepNext w:val="0"/>
              <w:widowControl w:val="0"/>
            </w:pPr>
            <w:r>
              <w:t>The distribution of doses and compliance rates applied for niraparib in the CUA of niraparib versus SMM in non-BRCAm patients, with adjustment for the proposed individualised starting dose regimen, was applied to both non-BRCAm and BRCAm patients.</w:t>
            </w:r>
          </w:p>
        </w:tc>
        <w:tc>
          <w:tcPr>
            <w:tcW w:w="2308" w:type="pct"/>
            <w:shd w:val="clear" w:color="auto" w:fill="auto"/>
            <w:vAlign w:val="center"/>
          </w:tcPr>
          <w:p w:rsidR="008E27D3" w:rsidRPr="00032C5B" w:rsidRDefault="008E27D3" w:rsidP="00526B7B">
            <w:pPr>
              <w:pStyle w:val="TableText0"/>
              <w:keepNext w:val="0"/>
              <w:rPr>
                <w:iCs/>
              </w:rPr>
            </w:pPr>
            <w:r w:rsidRPr="00032C5B">
              <w:rPr>
                <w:iCs/>
              </w:rPr>
              <w:t>The limitations inherent in the submission’s approach to adjusting the exposure data for niraparib to account for the proposed individualised starting dose regimen were discussed above.</w:t>
            </w:r>
          </w:p>
        </w:tc>
      </w:tr>
      <w:tr w:rsidR="008E27D3" w:rsidRPr="00E2771E" w:rsidTr="00FD78E4">
        <w:tc>
          <w:tcPr>
            <w:tcW w:w="931" w:type="pct"/>
            <w:shd w:val="clear" w:color="auto" w:fill="auto"/>
            <w:vAlign w:val="center"/>
          </w:tcPr>
          <w:p w:rsidR="008E27D3" w:rsidRDefault="008E27D3" w:rsidP="00526B7B">
            <w:pPr>
              <w:pStyle w:val="TableText0"/>
              <w:keepNext w:val="0"/>
              <w:rPr>
                <w:lang w:val="en-US"/>
              </w:rPr>
            </w:pPr>
            <w:r>
              <w:rPr>
                <w:lang w:val="en-US"/>
              </w:rPr>
              <w:t>Cost of olaparib</w:t>
            </w:r>
          </w:p>
          <w:p w:rsidR="008E27D3" w:rsidRDefault="008E27D3" w:rsidP="00526B7B">
            <w:pPr>
              <w:pStyle w:val="TableText0"/>
              <w:keepNext w:val="0"/>
              <w:widowControl w:val="0"/>
            </w:pPr>
            <w:r>
              <w:t>84-capsule pack</w:t>
            </w:r>
          </w:p>
          <w:p w:rsidR="008E27D3" w:rsidRDefault="008E27D3" w:rsidP="00526B7B">
            <w:pPr>
              <w:pStyle w:val="TableText0"/>
              <w:keepNext w:val="0"/>
              <w:rPr>
                <w:lang w:val="en-US"/>
              </w:rPr>
            </w:pPr>
            <w:r>
              <w:t>56-capsule pack</w:t>
            </w:r>
          </w:p>
        </w:tc>
        <w:tc>
          <w:tcPr>
            <w:tcW w:w="1761" w:type="pct"/>
            <w:shd w:val="clear" w:color="auto" w:fill="auto"/>
            <w:vAlign w:val="center"/>
          </w:tcPr>
          <w:p w:rsidR="008E27D3" w:rsidRDefault="008E27D3" w:rsidP="00526B7B">
            <w:pPr>
              <w:pStyle w:val="TableText0"/>
              <w:keepNext w:val="0"/>
              <w:widowControl w:val="0"/>
            </w:pPr>
            <w:r>
              <w:t>Effective DPMQ</w:t>
            </w:r>
          </w:p>
          <w:p w:rsidR="008E27D3" w:rsidRDefault="008E27D3" w:rsidP="00526B7B">
            <w:pPr>
              <w:pStyle w:val="TableText0"/>
              <w:keepNext w:val="0"/>
              <w:widowControl w:val="0"/>
            </w:pPr>
            <w:r>
              <w:t>$</w:t>
            </w:r>
            <w:r w:rsidR="00614C0A">
              <w:rPr>
                <w:noProof/>
                <w:color w:val="000000"/>
                <w:highlight w:val="black"/>
              </w:rPr>
              <w:t>''''''''''''''''''''''</w:t>
            </w:r>
          </w:p>
          <w:p w:rsidR="008E27D3" w:rsidRDefault="008E27D3" w:rsidP="00526B7B">
            <w:pPr>
              <w:pStyle w:val="TableText0"/>
              <w:keepNext w:val="0"/>
              <w:widowControl w:val="0"/>
            </w:pPr>
            <w:r>
              <w:t>$</w:t>
            </w:r>
            <w:r w:rsidR="00614C0A">
              <w:rPr>
                <w:noProof/>
                <w:color w:val="000000"/>
                <w:highlight w:val="black"/>
              </w:rPr>
              <w:t>''''''''''''''''''''''</w:t>
            </w:r>
          </w:p>
        </w:tc>
        <w:tc>
          <w:tcPr>
            <w:tcW w:w="2308" w:type="pct"/>
            <w:shd w:val="clear" w:color="auto" w:fill="auto"/>
            <w:vAlign w:val="center"/>
          </w:tcPr>
          <w:p w:rsidR="008E27D3" w:rsidRPr="00032C5B" w:rsidRDefault="008E27D3" w:rsidP="00526B7B">
            <w:pPr>
              <w:pStyle w:val="TableText0"/>
              <w:keepNext w:val="0"/>
              <w:rPr>
                <w:iCs/>
              </w:rPr>
            </w:pPr>
            <w:r w:rsidRPr="00032C5B">
              <w:rPr>
                <w:iCs/>
              </w:rPr>
              <w:t xml:space="preserve">This was based on the weighted price for non-BRCAm (71.1%) and BRCAm (28.9%) patients. This </w:t>
            </w:r>
            <w:r w:rsidR="00DD4011">
              <w:rPr>
                <w:iCs/>
              </w:rPr>
              <w:t>did not</w:t>
            </w:r>
            <w:r w:rsidRPr="00032C5B">
              <w:rPr>
                <w:iCs/>
              </w:rPr>
              <w:t xml:space="preserve"> account for the reduced use in BRCAm patients due to the listing of olaparib for first line maintenance treatment.</w:t>
            </w:r>
          </w:p>
        </w:tc>
      </w:tr>
      <w:tr w:rsidR="008E27D3" w:rsidRPr="00E2771E" w:rsidTr="00FD78E4">
        <w:tc>
          <w:tcPr>
            <w:tcW w:w="931" w:type="pct"/>
            <w:shd w:val="clear" w:color="auto" w:fill="auto"/>
            <w:vAlign w:val="center"/>
          </w:tcPr>
          <w:p w:rsidR="008E27D3" w:rsidRPr="00E2771E" w:rsidRDefault="008E27D3" w:rsidP="00526B7B">
            <w:pPr>
              <w:pStyle w:val="TableText0"/>
              <w:keepNext w:val="0"/>
              <w:rPr>
                <w:lang w:val="en-US"/>
              </w:rPr>
            </w:pPr>
            <w:r>
              <w:rPr>
                <w:lang w:val="en-US"/>
              </w:rPr>
              <w:t>Offsets for olaparib</w:t>
            </w:r>
          </w:p>
        </w:tc>
        <w:tc>
          <w:tcPr>
            <w:tcW w:w="1761" w:type="pct"/>
            <w:shd w:val="clear" w:color="auto" w:fill="auto"/>
            <w:vAlign w:val="center"/>
          </w:tcPr>
          <w:p w:rsidR="008E27D3" w:rsidRPr="00E2771E" w:rsidRDefault="008E27D3" w:rsidP="00526B7B">
            <w:pPr>
              <w:pStyle w:val="TableText0"/>
              <w:keepNext w:val="0"/>
              <w:rPr>
                <w:lang w:val="en-US"/>
              </w:rPr>
            </w:pPr>
            <w:r>
              <w:rPr>
                <w:lang w:val="en-US"/>
              </w:rPr>
              <w:t xml:space="preserve">Assumed all use of </w:t>
            </w:r>
            <w:r w:rsidR="007E217E">
              <w:rPr>
                <w:lang w:val="en-US"/>
              </w:rPr>
              <w:t xml:space="preserve">niraparib </w:t>
            </w:r>
            <w:r>
              <w:rPr>
                <w:lang w:val="en-US"/>
              </w:rPr>
              <w:t>in patients BRCAm HGSOC would substitute for olaparib.</w:t>
            </w:r>
          </w:p>
        </w:tc>
        <w:tc>
          <w:tcPr>
            <w:tcW w:w="2308" w:type="pct"/>
            <w:shd w:val="clear" w:color="auto" w:fill="auto"/>
            <w:vAlign w:val="center"/>
          </w:tcPr>
          <w:p w:rsidR="008E27D3" w:rsidRPr="00032C5B" w:rsidRDefault="008E27D3" w:rsidP="00526B7B">
            <w:pPr>
              <w:pStyle w:val="TableText0"/>
              <w:keepNext w:val="0"/>
              <w:rPr>
                <w:lang w:val="en-US"/>
              </w:rPr>
            </w:pPr>
            <w:r w:rsidRPr="00032C5B">
              <w:rPr>
                <w:lang w:val="en-US"/>
              </w:rPr>
              <w:t xml:space="preserve">Likely to be overestimated as the submission </w:t>
            </w:r>
            <w:r w:rsidR="00DD4011">
              <w:rPr>
                <w:lang w:val="en-US"/>
              </w:rPr>
              <w:t>did not</w:t>
            </w:r>
            <w:r w:rsidRPr="00032C5B">
              <w:rPr>
                <w:lang w:val="en-US"/>
              </w:rPr>
              <w:t xml:space="preserve"> account for the listing of olaparib for first line maintenance treatment.</w:t>
            </w:r>
          </w:p>
        </w:tc>
      </w:tr>
      <w:tr w:rsidR="008E27D3" w:rsidRPr="00E2771E" w:rsidTr="00FD78E4">
        <w:tc>
          <w:tcPr>
            <w:tcW w:w="931" w:type="pct"/>
            <w:shd w:val="clear" w:color="auto" w:fill="auto"/>
            <w:vAlign w:val="center"/>
          </w:tcPr>
          <w:p w:rsidR="008E27D3" w:rsidRPr="00E2771E" w:rsidRDefault="008E27D3" w:rsidP="00526B7B">
            <w:pPr>
              <w:pStyle w:val="TableText0"/>
              <w:keepNext w:val="0"/>
              <w:rPr>
                <w:lang w:val="en-US"/>
              </w:rPr>
            </w:pPr>
            <w:r>
              <w:rPr>
                <w:lang w:val="en-US"/>
              </w:rPr>
              <w:t>CBC</w:t>
            </w:r>
          </w:p>
        </w:tc>
        <w:tc>
          <w:tcPr>
            <w:tcW w:w="1761" w:type="pct"/>
            <w:shd w:val="clear" w:color="auto" w:fill="auto"/>
            <w:vAlign w:val="center"/>
          </w:tcPr>
          <w:p w:rsidR="008E27D3" w:rsidRPr="00E2771E" w:rsidRDefault="008E27D3" w:rsidP="00526B7B">
            <w:pPr>
              <w:pStyle w:val="TableText0"/>
              <w:keepNext w:val="0"/>
              <w:rPr>
                <w:lang w:val="en-US"/>
              </w:rPr>
            </w:pPr>
            <w:r>
              <w:rPr>
                <w:lang w:val="en-US"/>
              </w:rPr>
              <w:t>MBS item 65070 (0.8 scheduled fee $13.56)</w:t>
            </w:r>
          </w:p>
        </w:tc>
        <w:tc>
          <w:tcPr>
            <w:tcW w:w="2308" w:type="pct"/>
            <w:vMerge w:val="restart"/>
            <w:shd w:val="clear" w:color="auto" w:fill="auto"/>
            <w:vAlign w:val="center"/>
          </w:tcPr>
          <w:p w:rsidR="008E27D3" w:rsidRPr="00032C5B" w:rsidRDefault="008E27D3" w:rsidP="00526B7B">
            <w:pPr>
              <w:pStyle w:val="TableText0"/>
              <w:keepNext w:val="0"/>
              <w:rPr>
                <w:lang w:val="en-US"/>
              </w:rPr>
            </w:pPr>
            <w:r w:rsidRPr="00032C5B">
              <w:rPr>
                <w:lang w:val="en-US"/>
              </w:rPr>
              <w:t>While the appropriateness of including GP consultations was uncertain, these cost</w:t>
            </w:r>
            <w:r w:rsidR="007E217E">
              <w:rPr>
                <w:lang w:val="en-US"/>
              </w:rPr>
              <w:t>s</w:t>
            </w:r>
            <w:r w:rsidRPr="00032C5B">
              <w:rPr>
                <w:lang w:val="en-US"/>
              </w:rPr>
              <w:t xml:space="preserve"> had minimal impact on the overall cost to the Australian Government health budget.</w:t>
            </w:r>
          </w:p>
        </w:tc>
      </w:tr>
      <w:tr w:rsidR="008E27D3" w:rsidRPr="00E2771E" w:rsidTr="00FD78E4">
        <w:tc>
          <w:tcPr>
            <w:tcW w:w="931" w:type="pct"/>
            <w:shd w:val="clear" w:color="auto" w:fill="auto"/>
            <w:vAlign w:val="center"/>
          </w:tcPr>
          <w:p w:rsidR="008E27D3" w:rsidRDefault="008E27D3" w:rsidP="00526B7B">
            <w:pPr>
              <w:pStyle w:val="TableText0"/>
              <w:keepNext w:val="0"/>
              <w:rPr>
                <w:lang w:val="en-US"/>
              </w:rPr>
            </w:pPr>
            <w:r>
              <w:rPr>
                <w:lang w:val="en-US"/>
              </w:rPr>
              <w:t>GP consultation</w:t>
            </w:r>
          </w:p>
        </w:tc>
        <w:tc>
          <w:tcPr>
            <w:tcW w:w="1761" w:type="pct"/>
            <w:shd w:val="clear" w:color="auto" w:fill="auto"/>
            <w:vAlign w:val="center"/>
          </w:tcPr>
          <w:p w:rsidR="008E27D3" w:rsidRDefault="008E27D3" w:rsidP="00526B7B">
            <w:pPr>
              <w:pStyle w:val="TableText0"/>
              <w:keepNext w:val="0"/>
              <w:rPr>
                <w:lang w:val="en-US"/>
              </w:rPr>
            </w:pPr>
            <w:r>
              <w:rPr>
                <w:lang w:val="en-US"/>
              </w:rPr>
              <w:t>MBS item 23 (0.8 scheduled fee $31.00)</w:t>
            </w:r>
          </w:p>
        </w:tc>
        <w:tc>
          <w:tcPr>
            <w:tcW w:w="2308" w:type="pct"/>
            <w:vMerge/>
            <w:shd w:val="clear" w:color="auto" w:fill="auto"/>
            <w:vAlign w:val="center"/>
          </w:tcPr>
          <w:p w:rsidR="008E27D3" w:rsidRPr="002B72D8" w:rsidRDefault="008E27D3" w:rsidP="00526B7B">
            <w:pPr>
              <w:pStyle w:val="TableText0"/>
              <w:keepNext w:val="0"/>
              <w:rPr>
                <w:lang w:val="en-US"/>
              </w:rPr>
            </w:pPr>
          </w:p>
        </w:tc>
      </w:tr>
    </w:tbl>
    <w:p w:rsidR="008E27D3" w:rsidRDefault="008E27D3" w:rsidP="00526B7B">
      <w:pPr>
        <w:pStyle w:val="TableFigureFooter"/>
      </w:pPr>
      <w:r w:rsidRPr="007925DF">
        <w:t xml:space="preserve">Source: </w:t>
      </w:r>
      <w:r>
        <w:t>Table 135, p172 and Section 4.1 of the submission; Excel workbook ‘Zejula (niraparib) BIM’.</w:t>
      </w:r>
    </w:p>
    <w:p w:rsidR="008E27D3" w:rsidRDefault="008E27D3" w:rsidP="00526B7B">
      <w:pPr>
        <w:pStyle w:val="TableFigureFooter"/>
      </w:pPr>
      <w:r>
        <w:t>AIHW = Australian Institute of Health and Welfare; CBC = complete blood count; CGARN = Cancer Genome Atlas Research Network; CUA = cost-utility analysis; DPMQ = dispensed price for maximum quantity; gBRCAm = germline BRCA1/2 pathogenic and likely pathogenic variants; GP = general practitioner; HGSOC = high grade serous ovarian cancer; ICD-10 = International Classification of Disease 10</w:t>
      </w:r>
      <w:r w:rsidRPr="004A49BC">
        <w:rPr>
          <w:vertAlign w:val="superscript"/>
        </w:rPr>
        <w:t>th</w:t>
      </w:r>
      <w:r>
        <w:t xml:space="preserve"> revision; NZ = New Zealand; PFI = platinum-free interval; PSD = Public Summary Document; sBRCAm = somatic BRCA pathogenic and likely pathogenic variants; SMM = standard medical management; TTD = time to treatment discontinuation.</w:t>
      </w:r>
    </w:p>
    <w:p w:rsidR="008E27D3" w:rsidRDefault="008E27D3" w:rsidP="00526B7B">
      <w:pPr>
        <w:pStyle w:val="TableFigureFooter"/>
        <w:rPr>
          <w:i/>
        </w:rPr>
      </w:pPr>
      <w:r>
        <w:rPr>
          <w:i/>
          <w:vertAlign w:val="superscript"/>
        </w:rPr>
        <w:t xml:space="preserve">a </w:t>
      </w:r>
      <w:r>
        <w:rPr>
          <w:i/>
        </w:rPr>
        <w:t>The calculations for the % serous histology in the PFI subgroups in Table 143, p181 of the submission do not take into account that only 654 patients received second-line chemotherapy (Figure 1, Lindemann et al (2018)).</w:t>
      </w:r>
    </w:p>
    <w:p w:rsidR="008E27D3" w:rsidRPr="00D76999" w:rsidRDefault="008E27D3" w:rsidP="008E27D3"/>
    <w:p w:rsidR="008E27D3" w:rsidRPr="00C02502" w:rsidRDefault="008E27D3" w:rsidP="008E27D3">
      <w:pPr>
        <w:pStyle w:val="3-BodyText"/>
        <w:ind w:left="709"/>
        <w:rPr>
          <w:color w:val="000000" w:themeColor="text1"/>
        </w:rPr>
      </w:pPr>
      <w:r>
        <w:t xml:space="preserve">The estimated total incidence of ovarian, fallopian tube and peritoneal cancer was linearly extrapolated over the 6 years of the financial estimates. The number of patients with ovarian, fallopian tube and peritoneal cancer who have high-grade carcinoma of serous histology was derived using data from the Australian Ovarian Cancer Study (AOCS). </w:t>
      </w:r>
    </w:p>
    <w:p w:rsidR="008E27D3" w:rsidRPr="00C02502" w:rsidRDefault="008E27D3" w:rsidP="008E27D3">
      <w:pPr>
        <w:pStyle w:val="3-BodyText"/>
        <w:ind w:left="709"/>
        <w:rPr>
          <w:color w:val="000000" w:themeColor="text1"/>
        </w:rPr>
      </w:pPr>
      <w:r>
        <w:t xml:space="preserve">The submission estimated the proportion of HGSOC patients eligible for niraparib as maintenance therapy in the second-, third- and fourth-line settings, by applying conditional probabilities of receiving platinum-based treatment and of response to treatment at each line of therapy. </w:t>
      </w:r>
      <w:r w:rsidRPr="00032C5B">
        <w:t>The uncertainty inherent in each estimate of the proportion of patients receiving platinum-based treatment and the proportion of patients progressing at each line of treatment, was compounded by the multiple calculations required to derive the overall proportion of HGSOC patients who would be eligible for niraparib.</w:t>
      </w:r>
    </w:p>
    <w:p w:rsidR="008E27D3" w:rsidRPr="001332CB" w:rsidRDefault="008E27D3" w:rsidP="008E27D3">
      <w:pPr>
        <w:pStyle w:val="3-BodyText"/>
        <w:ind w:left="709"/>
        <w:rPr>
          <w:i/>
          <w:color w:val="000000" w:themeColor="text1"/>
        </w:rPr>
      </w:pPr>
      <w:r w:rsidRPr="001332CB">
        <w:t xml:space="preserve">The submission assumed that </w:t>
      </w:r>
      <w:r>
        <w:t>all</w:t>
      </w:r>
      <w:r w:rsidRPr="001332CB">
        <w:t xml:space="preserve"> patients with incident </w:t>
      </w:r>
      <w:r>
        <w:t xml:space="preserve">BRCAm </w:t>
      </w:r>
      <w:r w:rsidRPr="001332CB">
        <w:t xml:space="preserve">PSR HGSOC would </w:t>
      </w:r>
      <w:r>
        <w:t>be eligible for niraparib</w:t>
      </w:r>
      <w:r w:rsidRPr="001332CB">
        <w:t>.</w:t>
      </w:r>
      <w:r>
        <w:rPr>
          <w:i/>
        </w:rPr>
        <w:t xml:space="preserve"> </w:t>
      </w:r>
      <w:r w:rsidRPr="00032C5B">
        <w:t xml:space="preserve">This </w:t>
      </w:r>
      <w:r w:rsidR="00DD4011">
        <w:t>did not</w:t>
      </w:r>
      <w:r w:rsidRPr="00032C5B">
        <w:t xml:space="preserve"> account for the recent listing of olaparib on the PBS for first line maintenance treatment in patients with BRCAm platinum-sensitive high grade stage III/IV epithelial ovarian, fallopian tube or primary peritoneal cancer </w:t>
      </w:r>
      <w:r w:rsidRPr="00032C5B">
        <w:lastRenderedPageBreak/>
        <w:t>(HGEOC). The approach resulted in an overestimate of the number of BRCAm HGSOC patients who would be eligible for niraparib, the extent of substitution for use of olaparib in the second and later line setting, and the number of patients likely to switch to niraparib due to intolerance to olaparib.</w:t>
      </w:r>
      <w:r w:rsidR="007E217E">
        <w:t xml:space="preserve"> The pre-PBAC response presented revised estimates </w:t>
      </w:r>
      <w:r w:rsidR="007C2079">
        <w:rPr>
          <w:color w:val="000000"/>
          <w:lang w:val="en-GB"/>
        </w:rPr>
        <w:t>a</w:t>
      </w:r>
      <w:r w:rsidR="007C2079" w:rsidRPr="00D61129">
        <w:rPr>
          <w:color w:val="000000"/>
          <w:lang w:val="en-GB"/>
        </w:rPr>
        <w:t xml:space="preserve">ssuming </w:t>
      </w:r>
      <w:r w:rsidR="007C2079">
        <w:rPr>
          <w:color w:val="000000"/>
          <w:lang w:val="en-GB"/>
        </w:rPr>
        <w:t>uptake of o</w:t>
      </w:r>
      <w:r w:rsidR="007C2079" w:rsidRPr="00D61129">
        <w:rPr>
          <w:color w:val="000000"/>
          <w:lang w:val="en-GB"/>
        </w:rPr>
        <w:t xml:space="preserve">laparib 1L (Yr 1: 60%, Yr 2: 70%, Yr 3-6: 80%), reducing the eligible 2L BRCAm population by 64%, from </w:t>
      </w:r>
      <w:r w:rsidR="00DB6ED9">
        <w:rPr>
          <w:color w:val="000000"/>
          <w:lang w:val="en-GB"/>
        </w:rPr>
        <w:t>500 to 5000</w:t>
      </w:r>
      <w:r w:rsidR="00DB6ED9" w:rsidRPr="00D61129">
        <w:rPr>
          <w:color w:val="000000"/>
          <w:lang w:val="en-GB"/>
        </w:rPr>
        <w:t xml:space="preserve"> </w:t>
      </w:r>
      <w:r w:rsidR="007C2079" w:rsidRPr="00D61129">
        <w:rPr>
          <w:color w:val="000000"/>
          <w:lang w:val="en-GB"/>
        </w:rPr>
        <w:t xml:space="preserve">to </w:t>
      </w:r>
      <w:r w:rsidR="00DB6ED9">
        <w:rPr>
          <w:color w:val="000000"/>
          <w:lang w:val="en-GB"/>
        </w:rPr>
        <w:t>&lt; 500</w:t>
      </w:r>
      <w:r w:rsidR="00DB6ED9" w:rsidRPr="00D61129">
        <w:rPr>
          <w:color w:val="000000"/>
          <w:lang w:val="en-GB"/>
        </w:rPr>
        <w:t xml:space="preserve"> </w:t>
      </w:r>
      <w:r w:rsidR="007C2079" w:rsidRPr="00D61129">
        <w:rPr>
          <w:color w:val="000000"/>
          <w:lang w:val="en-GB"/>
        </w:rPr>
        <w:t>patients over the first six years of listing</w:t>
      </w:r>
      <w:r w:rsidR="007C2079">
        <w:rPr>
          <w:color w:val="000000"/>
          <w:lang w:val="en-GB"/>
        </w:rPr>
        <w:t>. This increased the net costs to the PBS/RPBS by 26% due to reduced substitution of 2L olaparib.</w:t>
      </w:r>
    </w:p>
    <w:p w:rsidR="008E27D3" w:rsidRPr="0069565F" w:rsidRDefault="008E27D3" w:rsidP="008E27D3">
      <w:pPr>
        <w:pStyle w:val="3-BodyText"/>
        <w:ind w:left="709"/>
        <w:rPr>
          <w:i/>
          <w:color w:val="000000" w:themeColor="text1"/>
        </w:rPr>
      </w:pPr>
      <w:r>
        <w:t xml:space="preserve">The submission assumed that there would be a prevalent pool of non-BRCAm patients (approximately </w:t>
      </w:r>
      <w:r w:rsidR="00DB6ED9">
        <w:t xml:space="preserve">&lt; 500 </w:t>
      </w:r>
      <w:r>
        <w:t xml:space="preserve">patients), as no maintenance treatment is currently available for these patients. </w:t>
      </w:r>
      <w:r w:rsidRPr="00032C5B">
        <w:rPr>
          <w:iCs/>
        </w:rPr>
        <w:t>These calculations were highly uncertain as they rely on a number of poorly supported assumptions.</w:t>
      </w:r>
    </w:p>
    <w:p w:rsidR="008E27D3" w:rsidRPr="0069565F" w:rsidRDefault="008E27D3" w:rsidP="008E27D3">
      <w:pPr>
        <w:pStyle w:val="3-BodyText"/>
        <w:ind w:left="709"/>
      </w:pPr>
      <w:r>
        <w:t xml:space="preserve">The number of initiating non-BRCAm HGSOC patients continuing treatment in subsequent years (continuing patients) was estimated using TTD data from NOVA. </w:t>
      </w:r>
      <w:r w:rsidRPr="00032C5B">
        <w:t xml:space="preserve">This was appropriate, as a considerable proportion of patients continued treatment beyond 12 months. </w:t>
      </w:r>
      <w:r>
        <w:t>For BRCAm patients, the submission used treatment duration data from SOLO-2, due to the extended follow-up in this trial compared with NOVA.</w:t>
      </w:r>
      <w:r w:rsidRPr="0069565F">
        <w:t xml:space="preserve"> </w:t>
      </w:r>
      <w:r>
        <w:t xml:space="preserve">On the basis of the non-inferiority claim, the submission assumed that the same duration treatment would apply to niraparib. </w:t>
      </w:r>
      <w:r w:rsidRPr="00032C5B">
        <w:t xml:space="preserve">As discussed above, the use of the SOLO-2 data may have overestimated the mean duration of treatment with niraparib in this patient cohort. </w:t>
      </w:r>
    </w:p>
    <w:p w:rsidR="008E27D3" w:rsidRDefault="008E27D3" w:rsidP="008E27D3">
      <w:pPr>
        <w:pStyle w:val="3-BodyText"/>
        <w:ind w:left="709"/>
      </w:pPr>
      <w:r>
        <w:t>For non-BRCAm patients, the distribution of doses and compliance rates were the same as those used in the economic model, with adjustment for the proposed individualised starting dose regimen</w:t>
      </w:r>
      <w:r w:rsidR="00163F5D">
        <w:t>.</w:t>
      </w:r>
      <w:r>
        <w:t xml:space="preserve"> It was assumed that the same distribution of doses and compliance rates would apply to BRCAm patients. </w:t>
      </w:r>
      <w:r w:rsidRPr="00032C5B">
        <w:rPr>
          <w:iCs/>
        </w:rPr>
        <w:t>The limitations inherent in the submission’s approach to adjusting the exposure data for niraparib to account for the proposed individualised starting dose regimen were discussed above.</w:t>
      </w:r>
    </w:p>
    <w:p w:rsidR="008E27D3" w:rsidRPr="00032C5B" w:rsidRDefault="008E27D3" w:rsidP="008E27D3">
      <w:pPr>
        <w:pStyle w:val="3-BodyText"/>
        <w:ind w:left="709"/>
      </w:pPr>
      <w:r w:rsidRPr="00032C5B">
        <w:t>The methodology used to estimate the number of patients likely to be treated and the number of scripts was unnecessarily complex, and added to the uncertainty in the estimates</w:t>
      </w:r>
      <w:r w:rsidR="0060145B">
        <w:t>.</w:t>
      </w:r>
      <w:r w:rsidRPr="00032C5B">
        <w:t xml:space="preserve"> </w:t>
      </w:r>
    </w:p>
    <w:p w:rsidR="008E27D3" w:rsidRDefault="008E27D3" w:rsidP="008E27D3">
      <w:pPr>
        <w:pStyle w:val="3-BodyText"/>
        <w:ind w:left="709"/>
        <w:rPr>
          <w:i/>
        </w:rPr>
      </w:pPr>
      <w:r w:rsidRPr="00EC0BE8">
        <w:t xml:space="preserve">All use of niraparib in incident patients with BRCAm HGSOC was assumed to substitute </w:t>
      </w:r>
      <w:r w:rsidRPr="00EA7EEF">
        <w:t>for use of olaparib</w:t>
      </w:r>
      <w:r w:rsidRPr="00032C5B">
        <w:t>. The estimates were dependent on the nominated equi-effective doses, which, as discussed above, were highly uncertain.</w:t>
      </w:r>
    </w:p>
    <w:p w:rsidR="008E27D3" w:rsidRPr="00032C5B" w:rsidRDefault="008E27D3" w:rsidP="00E62035">
      <w:pPr>
        <w:pStyle w:val="3-BodyText"/>
      </w:pPr>
      <w:r w:rsidRPr="00AC1B67">
        <w:t>The submission presented a validation of the estimated number of substituted olaparib scripts based on PBS statistics</w:t>
      </w:r>
      <w:r w:rsidR="00FE4E66">
        <w:t>, however t</w:t>
      </w:r>
      <w:r w:rsidRPr="00032C5B">
        <w:t>he approach used in the submission was not appropriate, as</w:t>
      </w:r>
      <w:r w:rsidR="00FE4E66">
        <w:t xml:space="preserve"> it was </w:t>
      </w:r>
      <w:r w:rsidRPr="00032C5B">
        <w:t>based predominantly on utilisation data for the 50 mg capsule, which the PBAC previously considered was not bioequivalent to the olaparib tablets (para 7.3, olaparib PSD, March 2018 PBAC meeting). The estimates were also highly uncertain, given that the extrapolations were based on only 3 yearly script totals.</w:t>
      </w:r>
    </w:p>
    <w:p w:rsidR="008E27D3" w:rsidRPr="00EC0BE8" w:rsidRDefault="008E27D3" w:rsidP="008E27D3">
      <w:pPr>
        <w:pStyle w:val="3-BodyText"/>
        <w:ind w:left="709"/>
        <w:rPr>
          <w:i/>
        </w:rPr>
      </w:pPr>
      <w:r>
        <w:lastRenderedPageBreak/>
        <w:t xml:space="preserve">The estimated net financial implications for the PBS/RPBS are presented in </w:t>
      </w:r>
      <w:r w:rsidR="00681899" w:rsidRPr="00571838">
        <w:t xml:space="preserve">Table </w:t>
      </w:r>
      <w:r w:rsidR="00681899">
        <w:rPr>
          <w:noProof/>
        </w:rPr>
        <w:t>19</w:t>
      </w:r>
      <w:r>
        <w:t>.</w:t>
      </w:r>
    </w:p>
    <w:p w:rsidR="008E27D3" w:rsidRPr="00571838" w:rsidRDefault="008E27D3" w:rsidP="008E27D3">
      <w:pPr>
        <w:pStyle w:val="TableFigureHeading"/>
      </w:pPr>
      <w:bookmarkStart w:id="60" w:name="_Ref58508626"/>
      <w:r w:rsidRPr="00571838">
        <w:t xml:space="preserve">Table </w:t>
      </w:r>
      <w:r w:rsidR="00681899">
        <w:rPr>
          <w:noProof/>
        </w:rPr>
        <w:t>19</w:t>
      </w:r>
      <w:bookmarkEnd w:id="60"/>
      <w:r w:rsidRPr="00EE1CF1">
        <w:rPr>
          <w:rStyle w:val="CommentReference"/>
          <w:b/>
          <w:szCs w:val="24"/>
        </w:rPr>
        <w:t>: Estimated use and financial implications (proposed effective DPMQ of niraparib)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012"/>
        <w:gridCol w:w="1167"/>
        <w:gridCol w:w="1167"/>
        <w:gridCol w:w="1167"/>
        <w:gridCol w:w="1167"/>
        <w:gridCol w:w="1167"/>
        <w:gridCol w:w="1170"/>
      </w:tblGrid>
      <w:tr w:rsidR="008E27D3" w:rsidRPr="00032C5B" w:rsidTr="00FD78E4">
        <w:trPr>
          <w:tblHeader/>
        </w:trPr>
        <w:tc>
          <w:tcPr>
            <w:tcW w:w="1116" w:type="pct"/>
            <w:shd w:val="clear" w:color="auto" w:fill="auto"/>
            <w:vAlign w:val="center"/>
          </w:tcPr>
          <w:p w:rsidR="008E27D3" w:rsidRPr="00032C5B" w:rsidRDefault="008E27D3" w:rsidP="00FD78E4">
            <w:pPr>
              <w:pStyle w:val="In-tableHeading"/>
              <w:jc w:val="center"/>
            </w:pPr>
          </w:p>
        </w:tc>
        <w:tc>
          <w:tcPr>
            <w:tcW w:w="647" w:type="pct"/>
            <w:shd w:val="clear" w:color="auto" w:fill="auto"/>
            <w:vAlign w:val="center"/>
          </w:tcPr>
          <w:p w:rsidR="008E27D3" w:rsidRPr="00032C5B" w:rsidRDefault="008E27D3" w:rsidP="00FD78E4">
            <w:pPr>
              <w:pStyle w:val="In-tableHeading"/>
              <w:jc w:val="center"/>
            </w:pPr>
            <w:r w:rsidRPr="00032C5B">
              <w:t>Year 1</w:t>
            </w:r>
          </w:p>
        </w:tc>
        <w:tc>
          <w:tcPr>
            <w:tcW w:w="647" w:type="pct"/>
            <w:shd w:val="clear" w:color="auto" w:fill="auto"/>
            <w:vAlign w:val="center"/>
          </w:tcPr>
          <w:p w:rsidR="008E27D3" w:rsidRPr="00032C5B" w:rsidRDefault="008E27D3" w:rsidP="00FD78E4">
            <w:pPr>
              <w:pStyle w:val="In-tableHeading"/>
              <w:jc w:val="center"/>
            </w:pPr>
            <w:r w:rsidRPr="00032C5B">
              <w:t>Year 2</w:t>
            </w:r>
          </w:p>
        </w:tc>
        <w:tc>
          <w:tcPr>
            <w:tcW w:w="647" w:type="pct"/>
            <w:shd w:val="clear" w:color="auto" w:fill="auto"/>
            <w:vAlign w:val="center"/>
          </w:tcPr>
          <w:p w:rsidR="008E27D3" w:rsidRPr="00032C5B" w:rsidRDefault="008E27D3" w:rsidP="00FD78E4">
            <w:pPr>
              <w:pStyle w:val="In-tableHeading"/>
              <w:jc w:val="center"/>
            </w:pPr>
            <w:r w:rsidRPr="00032C5B">
              <w:t>Year 3</w:t>
            </w:r>
          </w:p>
        </w:tc>
        <w:tc>
          <w:tcPr>
            <w:tcW w:w="647" w:type="pct"/>
            <w:shd w:val="clear" w:color="auto" w:fill="auto"/>
            <w:vAlign w:val="center"/>
          </w:tcPr>
          <w:p w:rsidR="008E27D3" w:rsidRPr="00032C5B" w:rsidRDefault="008E27D3" w:rsidP="00FD78E4">
            <w:pPr>
              <w:pStyle w:val="In-tableHeading"/>
              <w:jc w:val="center"/>
            </w:pPr>
            <w:r w:rsidRPr="00032C5B">
              <w:t>Year 4</w:t>
            </w:r>
          </w:p>
        </w:tc>
        <w:tc>
          <w:tcPr>
            <w:tcW w:w="647" w:type="pct"/>
            <w:shd w:val="clear" w:color="auto" w:fill="auto"/>
            <w:vAlign w:val="center"/>
          </w:tcPr>
          <w:p w:rsidR="008E27D3" w:rsidRPr="00032C5B" w:rsidRDefault="008E27D3" w:rsidP="00FD78E4">
            <w:pPr>
              <w:pStyle w:val="In-tableHeading"/>
              <w:jc w:val="center"/>
            </w:pPr>
            <w:r w:rsidRPr="00032C5B">
              <w:t>Year 5</w:t>
            </w:r>
          </w:p>
        </w:tc>
        <w:tc>
          <w:tcPr>
            <w:tcW w:w="649" w:type="pct"/>
          </w:tcPr>
          <w:p w:rsidR="008E27D3" w:rsidRPr="00032C5B" w:rsidRDefault="008E27D3" w:rsidP="00FD78E4">
            <w:pPr>
              <w:pStyle w:val="In-tableHeading"/>
              <w:jc w:val="center"/>
            </w:pPr>
            <w:r w:rsidRPr="00032C5B">
              <w:t>Year 6</w:t>
            </w:r>
          </w:p>
        </w:tc>
      </w:tr>
      <w:tr w:rsidR="008E27D3" w:rsidRPr="00032C5B" w:rsidTr="00FD78E4">
        <w:tc>
          <w:tcPr>
            <w:tcW w:w="5000" w:type="pct"/>
            <w:gridSpan w:val="7"/>
            <w:shd w:val="clear" w:color="auto" w:fill="auto"/>
            <w:vAlign w:val="center"/>
          </w:tcPr>
          <w:p w:rsidR="008E27D3" w:rsidRPr="00032C5B" w:rsidRDefault="008E27D3" w:rsidP="00FD78E4">
            <w:pPr>
              <w:pStyle w:val="In-tableHeading"/>
              <w:rPr>
                <w:bCs/>
                <w:color w:val="000000"/>
              </w:rPr>
            </w:pPr>
            <w:r w:rsidRPr="00032C5B">
              <w:rPr>
                <w:bCs/>
                <w:color w:val="000000"/>
              </w:rPr>
              <w:t>Estimated extent of use</w:t>
            </w:r>
          </w:p>
        </w:tc>
      </w:tr>
      <w:tr w:rsidR="008E27D3" w:rsidRPr="00032C5B" w:rsidTr="00FD78E4">
        <w:tc>
          <w:tcPr>
            <w:tcW w:w="5000" w:type="pct"/>
            <w:gridSpan w:val="7"/>
            <w:shd w:val="clear" w:color="auto" w:fill="auto"/>
            <w:vAlign w:val="center"/>
          </w:tcPr>
          <w:p w:rsidR="008E27D3" w:rsidRPr="00032C5B" w:rsidRDefault="008E27D3" w:rsidP="00FD78E4">
            <w:pPr>
              <w:pStyle w:val="TableText0"/>
              <w:rPr>
                <w:color w:val="000000"/>
              </w:rPr>
            </w:pPr>
            <w:r w:rsidRPr="00032C5B">
              <w:t>Number of patients treated</w:t>
            </w:r>
            <w:r w:rsidRPr="00032C5B">
              <w:rPr>
                <w:vertAlign w:val="superscript"/>
              </w:rPr>
              <w:t>a</w:t>
            </w:r>
          </w:p>
        </w:tc>
      </w:tr>
      <w:tr w:rsidR="008E27D3" w:rsidRPr="00032C5B" w:rsidTr="00FD78E4">
        <w:tc>
          <w:tcPr>
            <w:tcW w:w="1116" w:type="pct"/>
            <w:shd w:val="clear" w:color="auto" w:fill="auto"/>
            <w:vAlign w:val="center"/>
          </w:tcPr>
          <w:p w:rsidR="008E27D3" w:rsidRPr="00614C0A" w:rsidRDefault="008E27D3">
            <w:pPr>
              <w:pStyle w:val="TableText0"/>
              <w:ind w:left="111"/>
              <w:rPr>
                <w:vertAlign w:val="superscript"/>
              </w:rPr>
            </w:pPr>
            <w:r w:rsidRPr="00032C5B">
              <w:t>BRCAm</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1</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1</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1</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1</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1</w:t>
            </w:r>
          </w:p>
        </w:tc>
        <w:tc>
          <w:tcPr>
            <w:tcW w:w="649" w:type="pct"/>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1</w:t>
            </w:r>
          </w:p>
        </w:tc>
      </w:tr>
      <w:tr w:rsidR="008E27D3" w:rsidRPr="00032C5B" w:rsidTr="00FD78E4">
        <w:tc>
          <w:tcPr>
            <w:tcW w:w="1116" w:type="pct"/>
            <w:shd w:val="clear" w:color="auto" w:fill="auto"/>
            <w:vAlign w:val="center"/>
          </w:tcPr>
          <w:p w:rsidR="008E27D3" w:rsidRPr="00032C5B" w:rsidRDefault="008E27D3" w:rsidP="00FD78E4">
            <w:pPr>
              <w:pStyle w:val="TableText0"/>
              <w:ind w:left="111"/>
            </w:pPr>
            <w:r w:rsidRPr="00032C5B">
              <w:t>non-BRCAm</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1</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1</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1</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1</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1</w:t>
            </w:r>
          </w:p>
        </w:tc>
        <w:tc>
          <w:tcPr>
            <w:tcW w:w="649" w:type="pct"/>
            <w:vAlign w:val="center"/>
          </w:tcPr>
          <w:p w:rsidR="008E27D3" w:rsidRPr="00614C0A" w:rsidRDefault="00614C0A" w:rsidP="00FD78E4">
            <w:pPr>
              <w:pStyle w:val="TableText0"/>
              <w:jc w:val="center"/>
              <w:rPr>
                <w:color w:val="000000"/>
              </w:rPr>
            </w:pPr>
            <w:r>
              <w:rPr>
                <w:noProof/>
                <w:color w:val="000000"/>
                <w:highlight w:val="black"/>
              </w:rPr>
              <w:t>'''''''''</w:t>
            </w:r>
            <w:r w:rsidR="00A204AE">
              <w:rPr>
                <w:vertAlign w:val="superscript"/>
              </w:rPr>
              <w:t>2</w:t>
            </w:r>
          </w:p>
        </w:tc>
      </w:tr>
      <w:tr w:rsidR="008E27D3" w:rsidRPr="00032C5B" w:rsidTr="00FD78E4">
        <w:tc>
          <w:tcPr>
            <w:tcW w:w="1116" w:type="pct"/>
            <w:shd w:val="clear" w:color="auto" w:fill="auto"/>
            <w:vAlign w:val="center"/>
          </w:tcPr>
          <w:p w:rsidR="008E27D3" w:rsidRPr="00032C5B" w:rsidRDefault="008E27D3" w:rsidP="00FD78E4">
            <w:pPr>
              <w:pStyle w:val="TableText0"/>
            </w:pPr>
            <w:r w:rsidRPr="00032C5B">
              <w:t>Total</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1</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2</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2</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2</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2</w:t>
            </w:r>
          </w:p>
        </w:tc>
        <w:tc>
          <w:tcPr>
            <w:tcW w:w="649" w:type="pct"/>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2</w:t>
            </w:r>
          </w:p>
        </w:tc>
      </w:tr>
      <w:tr w:rsidR="008E27D3" w:rsidRPr="00032C5B" w:rsidTr="00FD78E4">
        <w:tc>
          <w:tcPr>
            <w:tcW w:w="5000" w:type="pct"/>
            <w:gridSpan w:val="7"/>
            <w:shd w:val="clear" w:color="auto" w:fill="auto"/>
            <w:vAlign w:val="center"/>
          </w:tcPr>
          <w:p w:rsidR="008E27D3" w:rsidRPr="00032C5B" w:rsidRDefault="008E27D3" w:rsidP="00FD78E4">
            <w:pPr>
              <w:pStyle w:val="TableText0"/>
              <w:rPr>
                <w:color w:val="000000"/>
                <w:vertAlign w:val="superscript"/>
              </w:rPr>
            </w:pPr>
            <w:r w:rsidRPr="00032C5B">
              <w:t>Number of scripts dispensed</w:t>
            </w:r>
          </w:p>
        </w:tc>
      </w:tr>
      <w:tr w:rsidR="008E27D3" w:rsidRPr="00032C5B" w:rsidTr="00FD78E4">
        <w:tc>
          <w:tcPr>
            <w:tcW w:w="1116" w:type="pct"/>
            <w:shd w:val="clear" w:color="auto" w:fill="auto"/>
            <w:vAlign w:val="center"/>
          </w:tcPr>
          <w:p w:rsidR="008E27D3" w:rsidRPr="00032C5B" w:rsidRDefault="008E27D3" w:rsidP="00FD78E4">
            <w:pPr>
              <w:pStyle w:val="TableText0"/>
              <w:ind w:left="111"/>
            </w:pPr>
            <w:r w:rsidRPr="00032C5B">
              <w:t>84 capsule packs</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2</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2</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2</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2</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2</w:t>
            </w:r>
          </w:p>
        </w:tc>
        <w:tc>
          <w:tcPr>
            <w:tcW w:w="649" w:type="pct"/>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2</w:t>
            </w:r>
          </w:p>
        </w:tc>
      </w:tr>
      <w:tr w:rsidR="008E27D3" w:rsidRPr="00032C5B" w:rsidTr="00FD78E4">
        <w:tc>
          <w:tcPr>
            <w:tcW w:w="1116" w:type="pct"/>
            <w:shd w:val="clear" w:color="auto" w:fill="auto"/>
            <w:vAlign w:val="center"/>
          </w:tcPr>
          <w:p w:rsidR="008E27D3" w:rsidRPr="00032C5B" w:rsidRDefault="008E27D3" w:rsidP="00FD78E4">
            <w:pPr>
              <w:pStyle w:val="TableText0"/>
              <w:ind w:left="111"/>
            </w:pPr>
            <w:r w:rsidRPr="00032C5B">
              <w:t>56 capsule packs</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2</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2</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2</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2</w:t>
            </w:r>
          </w:p>
        </w:tc>
        <w:tc>
          <w:tcPr>
            <w:tcW w:w="647" w:type="pct"/>
            <w:shd w:val="clear" w:color="auto" w:fill="auto"/>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2</w:t>
            </w:r>
          </w:p>
        </w:tc>
        <w:tc>
          <w:tcPr>
            <w:tcW w:w="649" w:type="pct"/>
            <w:vAlign w:val="center"/>
          </w:tcPr>
          <w:p w:rsidR="008E27D3" w:rsidRPr="00614C0A" w:rsidRDefault="00614C0A" w:rsidP="00FD78E4">
            <w:pPr>
              <w:pStyle w:val="TableText0"/>
              <w:jc w:val="center"/>
              <w:rPr>
                <w:color w:val="000000"/>
              </w:rPr>
            </w:pPr>
            <w:r>
              <w:rPr>
                <w:noProof/>
                <w:color w:val="000000"/>
                <w:highlight w:val="black"/>
              </w:rPr>
              <w:t>'''''''''''''''</w:t>
            </w:r>
            <w:r w:rsidR="001E0429">
              <w:rPr>
                <w:vertAlign w:val="superscript"/>
              </w:rPr>
              <w:t>2</w:t>
            </w:r>
          </w:p>
        </w:tc>
      </w:tr>
      <w:tr w:rsidR="008E27D3" w:rsidRPr="00032C5B" w:rsidTr="00FD78E4">
        <w:tc>
          <w:tcPr>
            <w:tcW w:w="5000" w:type="pct"/>
            <w:gridSpan w:val="7"/>
            <w:shd w:val="clear" w:color="auto" w:fill="auto"/>
            <w:vAlign w:val="center"/>
          </w:tcPr>
          <w:p w:rsidR="008E27D3" w:rsidRPr="00032C5B" w:rsidRDefault="008E27D3" w:rsidP="00FD78E4">
            <w:pPr>
              <w:pStyle w:val="In-tableHeading"/>
            </w:pPr>
            <w:r w:rsidRPr="00032C5B">
              <w:t>Estimated financial implications niraparib</w:t>
            </w:r>
          </w:p>
        </w:tc>
      </w:tr>
      <w:tr w:rsidR="008E27D3" w:rsidRPr="00032C5B" w:rsidTr="00FD78E4">
        <w:tc>
          <w:tcPr>
            <w:tcW w:w="1116" w:type="pct"/>
            <w:shd w:val="clear" w:color="auto" w:fill="auto"/>
            <w:vAlign w:val="center"/>
          </w:tcPr>
          <w:p w:rsidR="008E27D3" w:rsidRPr="00032C5B" w:rsidRDefault="008E27D3" w:rsidP="00FD78E4">
            <w:pPr>
              <w:pStyle w:val="TableText0"/>
              <w:ind w:left="112"/>
              <w:rPr>
                <w:sz w:val="19"/>
                <w:szCs w:val="19"/>
              </w:rPr>
            </w:pPr>
            <w:r w:rsidRPr="00032C5B">
              <w:rPr>
                <w:sz w:val="19"/>
                <w:szCs w:val="19"/>
              </w:rPr>
              <w:t>BRCAm population</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E62035">
              <w:rPr>
                <w:iCs/>
                <w:color w:val="000000" w:themeColor="text1"/>
              </w:rPr>
              <w:t>$</w:t>
            </w:r>
            <w:r w:rsidR="00614C0A">
              <w:rPr>
                <w:iCs/>
                <w:noProof/>
                <w:color w:val="000000"/>
                <w:highlight w:val="black"/>
              </w:rPr>
              <w:t>'''''''''''''''''''''''''</w:t>
            </w:r>
            <w:r w:rsidR="00577016">
              <w:rPr>
                <w:vertAlign w:val="superscript"/>
              </w:rPr>
              <w:t>3</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E62035">
              <w:rPr>
                <w:iCs/>
                <w:color w:val="000000" w:themeColor="text1"/>
              </w:rPr>
              <w:t>$</w:t>
            </w:r>
            <w:r w:rsidR="00614C0A">
              <w:rPr>
                <w:iCs/>
                <w:noProof/>
                <w:color w:val="000000"/>
                <w:highlight w:val="black"/>
              </w:rPr>
              <w:t>'''''''''''''''''''''''''</w:t>
            </w:r>
            <w:r w:rsidR="00577016">
              <w:rPr>
                <w:vertAlign w:val="superscript"/>
              </w:rPr>
              <w:t>3</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E62035">
              <w:rPr>
                <w:iCs/>
                <w:color w:val="000000" w:themeColor="text1"/>
              </w:rPr>
              <w:t>$</w:t>
            </w:r>
            <w:r w:rsidR="00614C0A">
              <w:rPr>
                <w:iCs/>
                <w:noProof/>
                <w:color w:val="000000"/>
                <w:highlight w:val="black"/>
              </w:rPr>
              <w:t>'''''''''''''''''''''''</w:t>
            </w:r>
            <w:r w:rsidR="00577016">
              <w:rPr>
                <w:vertAlign w:val="superscript"/>
              </w:rPr>
              <w:t>3</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E62035">
              <w:rPr>
                <w:iCs/>
                <w:color w:val="000000" w:themeColor="text1"/>
              </w:rPr>
              <w:t>$</w:t>
            </w:r>
            <w:r w:rsidR="00614C0A">
              <w:rPr>
                <w:iCs/>
                <w:noProof/>
                <w:color w:val="000000"/>
                <w:highlight w:val="black"/>
              </w:rPr>
              <w:t>'''''''''''''''''''''''</w:t>
            </w:r>
            <w:r w:rsidR="00577016">
              <w:rPr>
                <w:vertAlign w:val="superscript"/>
              </w:rPr>
              <w:t>3</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E62035">
              <w:rPr>
                <w:iCs/>
                <w:color w:val="000000" w:themeColor="text1"/>
              </w:rPr>
              <w:t>$</w:t>
            </w:r>
            <w:r w:rsidR="00614C0A">
              <w:rPr>
                <w:iCs/>
                <w:noProof/>
                <w:color w:val="000000"/>
                <w:highlight w:val="black"/>
              </w:rPr>
              <w:t>''''''''''''''''''''''</w:t>
            </w:r>
            <w:r w:rsidR="00577016">
              <w:rPr>
                <w:vertAlign w:val="superscript"/>
              </w:rPr>
              <w:t>3</w:t>
            </w:r>
          </w:p>
        </w:tc>
        <w:tc>
          <w:tcPr>
            <w:tcW w:w="649" w:type="pct"/>
            <w:vAlign w:val="center"/>
          </w:tcPr>
          <w:p w:rsidR="008E27D3" w:rsidRPr="00614C0A" w:rsidRDefault="008E27D3" w:rsidP="00FD78E4">
            <w:pPr>
              <w:pStyle w:val="TableText0"/>
              <w:ind w:right="38"/>
              <w:jc w:val="right"/>
              <w:rPr>
                <w:color w:val="000000" w:themeColor="text1"/>
              </w:rPr>
            </w:pPr>
            <w:r w:rsidRPr="00E62035">
              <w:rPr>
                <w:iCs/>
                <w:color w:val="000000" w:themeColor="text1"/>
              </w:rPr>
              <w:t>$</w:t>
            </w:r>
            <w:r w:rsidR="00614C0A">
              <w:rPr>
                <w:iCs/>
                <w:noProof/>
                <w:color w:val="000000"/>
                <w:highlight w:val="black"/>
              </w:rPr>
              <w:t>'''''''''''''''''''''''</w:t>
            </w:r>
            <w:r w:rsidR="00577016">
              <w:rPr>
                <w:vertAlign w:val="superscript"/>
              </w:rPr>
              <w:t>3</w:t>
            </w:r>
          </w:p>
        </w:tc>
      </w:tr>
      <w:tr w:rsidR="008E27D3" w:rsidRPr="00032C5B" w:rsidTr="00FD78E4">
        <w:tc>
          <w:tcPr>
            <w:tcW w:w="1116" w:type="pct"/>
            <w:shd w:val="clear" w:color="auto" w:fill="auto"/>
            <w:vAlign w:val="center"/>
          </w:tcPr>
          <w:p w:rsidR="008E27D3" w:rsidRPr="00032C5B" w:rsidRDefault="008E27D3" w:rsidP="00FD78E4">
            <w:pPr>
              <w:pStyle w:val="TableText0"/>
              <w:ind w:left="112"/>
              <w:rPr>
                <w:sz w:val="19"/>
                <w:szCs w:val="19"/>
              </w:rPr>
            </w:pPr>
            <w:r w:rsidRPr="00032C5B">
              <w:rPr>
                <w:sz w:val="19"/>
                <w:szCs w:val="19"/>
              </w:rPr>
              <w:t>Non-BRCAm population</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E62035">
              <w:rPr>
                <w:iCs/>
                <w:color w:val="000000" w:themeColor="text1"/>
              </w:rPr>
              <w:t>$</w:t>
            </w:r>
            <w:r w:rsidR="00614C0A">
              <w:rPr>
                <w:iCs/>
                <w:noProof/>
                <w:color w:val="000000"/>
                <w:highlight w:val="black"/>
              </w:rPr>
              <w:t>''''''''''''''''''''''''</w:t>
            </w:r>
            <w:r w:rsidR="00577016">
              <w:rPr>
                <w:vertAlign w:val="superscript"/>
              </w:rPr>
              <w:t>4</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E62035">
              <w:rPr>
                <w:iCs/>
                <w:color w:val="000000" w:themeColor="text1"/>
              </w:rPr>
              <w:t>$</w:t>
            </w:r>
            <w:r w:rsidR="00614C0A">
              <w:rPr>
                <w:iCs/>
                <w:noProof/>
                <w:color w:val="000000"/>
                <w:highlight w:val="black"/>
              </w:rPr>
              <w:t>''''''''''''''''''''''''''</w:t>
            </w:r>
            <w:r w:rsidR="00577016">
              <w:rPr>
                <w:vertAlign w:val="superscript"/>
              </w:rPr>
              <w:t>4</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E62035">
              <w:rPr>
                <w:iCs/>
                <w:color w:val="000000" w:themeColor="text1"/>
              </w:rPr>
              <w:t>$</w:t>
            </w:r>
            <w:r w:rsidR="00614C0A">
              <w:rPr>
                <w:iCs/>
                <w:noProof/>
                <w:color w:val="000000"/>
                <w:highlight w:val="black"/>
              </w:rPr>
              <w:t>''''''''''''''''''''''''''</w:t>
            </w:r>
            <w:r w:rsidR="00577016">
              <w:rPr>
                <w:vertAlign w:val="superscript"/>
              </w:rPr>
              <w:t>4</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E62035">
              <w:rPr>
                <w:iCs/>
                <w:color w:val="000000" w:themeColor="text1"/>
              </w:rPr>
              <w:t>$</w:t>
            </w:r>
            <w:r w:rsidR="00614C0A">
              <w:rPr>
                <w:iCs/>
                <w:noProof/>
                <w:color w:val="000000"/>
                <w:highlight w:val="black"/>
              </w:rPr>
              <w:t>'''''''''''''''''''''''''</w:t>
            </w:r>
            <w:r w:rsidR="00577016">
              <w:rPr>
                <w:vertAlign w:val="superscript"/>
              </w:rPr>
              <w:t>4</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E62035">
              <w:rPr>
                <w:iCs/>
                <w:color w:val="000000" w:themeColor="text1"/>
              </w:rPr>
              <w:t>$</w:t>
            </w:r>
            <w:r w:rsidR="00614C0A">
              <w:rPr>
                <w:iCs/>
                <w:noProof/>
                <w:color w:val="000000"/>
                <w:highlight w:val="black"/>
              </w:rPr>
              <w:t>''''''''''''''''''''''''''''</w:t>
            </w:r>
            <w:r w:rsidR="00577016">
              <w:rPr>
                <w:vertAlign w:val="superscript"/>
              </w:rPr>
              <w:t>4</w:t>
            </w:r>
          </w:p>
        </w:tc>
        <w:tc>
          <w:tcPr>
            <w:tcW w:w="649" w:type="pct"/>
            <w:vAlign w:val="center"/>
          </w:tcPr>
          <w:p w:rsidR="008E27D3" w:rsidRPr="00614C0A" w:rsidRDefault="008E27D3" w:rsidP="00FD78E4">
            <w:pPr>
              <w:pStyle w:val="TableText0"/>
              <w:ind w:right="38"/>
              <w:jc w:val="right"/>
              <w:rPr>
                <w:color w:val="000000" w:themeColor="text1"/>
              </w:rPr>
            </w:pPr>
            <w:r w:rsidRPr="00E62035">
              <w:rPr>
                <w:iCs/>
                <w:color w:val="000000" w:themeColor="text1"/>
              </w:rPr>
              <w:t>$</w:t>
            </w:r>
            <w:r w:rsidR="00614C0A">
              <w:rPr>
                <w:iCs/>
                <w:noProof/>
                <w:color w:val="000000"/>
                <w:highlight w:val="black"/>
              </w:rPr>
              <w:t>'''''''''''''''''''''''''</w:t>
            </w:r>
            <w:r w:rsidR="00577016">
              <w:rPr>
                <w:vertAlign w:val="superscript"/>
              </w:rPr>
              <w:t>4</w:t>
            </w:r>
          </w:p>
        </w:tc>
      </w:tr>
      <w:tr w:rsidR="008E27D3" w:rsidRPr="00032C5B" w:rsidTr="00FD78E4">
        <w:tc>
          <w:tcPr>
            <w:tcW w:w="1116" w:type="pct"/>
            <w:shd w:val="clear" w:color="auto" w:fill="auto"/>
            <w:vAlign w:val="center"/>
          </w:tcPr>
          <w:p w:rsidR="008E27D3" w:rsidRPr="00032C5B" w:rsidRDefault="008E27D3" w:rsidP="00FD78E4">
            <w:pPr>
              <w:pStyle w:val="TableText0"/>
              <w:rPr>
                <w:sz w:val="19"/>
                <w:szCs w:val="19"/>
              </w:rPr>
            </w:pPr>
            <w:r w:rsidRPr="00032C5B">
              <w:rPr>
                <w:sz w:val="19"/>
                <w:szCs w:val="19"/>
              </w:rPr>
              <w:t>Total cost to PBS/RPBS less copayments</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4</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4</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4</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5</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5</w:t>
            </w:r>
          </w:p>
        </w:tc>
        <w:tc>
          <w:tcPr>
            <w:tcW w:w="649" w:type="pct"/>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5</w:t>
            </w:r>
          </w:p>
        </w:tc>
      </w:tr>
      <w:tr w:rsidR="008E27D3" w:rsidRPr="00032C5B" w:rsidTr="00FD78E4">
        <w:tc>
          <w:tcPr>
            <w:tcW w:w="5000" w:type="pct"/>
            <w:gridSpan w:val="7"/>
            <w:shd w:val="clear" w:color="auto" w:fill="auto"/>
            <w:vAlign w:val="center"/>
          </w:tcPr>
          <w:p w:rsidR="008E27D3" w:rsidRPr="00032C5B" w:rsidRDefault="008E27D3" w:rsidP="00FD78E4">
            <w:pPr>
              <w:pStyle w:val="TableText0"/>
              <w:rPr>
                <w:b/>
              </w:rPr>
            </w:pPr>
            <w:r w:rsidRPr="00032C5B">
              <w:rPr>
                <w:b/>
              </w:rPr>
              <w:t>Estimated financial implications for olaparib</w:t>
            </w:r>
          </w:p>
        </w:tc>
      </w:tr>
      <w:tr w:rsidR="008E27D3" w:rsidRPr="00032C5B" w:rsidTr="00FD78E4">
        <w:tc>
          <w:tcPr>
            <w:tcW w:w="1116" w:type="pct"/>
            <w:shd w:val="clear" w:color="auto" w:fill="auto"/>
            <w:vAlign w:val="center"/>
          </w:tcPr>
          <w:p w:rsidR="008E27D3" w:rsidRPr="00032C5B" w:rsidRDefault="008E27D3" w:rsidP="00FD78E4">
            <w:pPr>
              <w:pStyle w:val="TableText0"/>
              <w:rPr>
                <w:sz w:val="19"/>
                <w:szCs w:val="19"/>
              </w:rPr>
            </w:pPr>
            <w:r w:rsidRPr="00032C5B">
              <w:rPr>
                <w:sz w:val="19"/>
                <w:szCs w:val="19"/>
              </w:rPr>
              <w:t>Cost to PBS/RPBS less copayments</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3</w:t>
            </w:r>
            <w:r w:rsidR="00614C0A">
              <w:rPr>
                <w:noProof/>
                <w:color w:val="000000"/>
                <w:highlight w:val="black"/>
              </w:rPr>
              <w:t xml:space="preserve"> </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3</w:t>
            </w:r>
            <w:r w:rsidR="00614C0A">
              <w:rPr>
                <w:noProof/>
                <w:color w:val="000000"/>
                <w:highlight w:val="black"/>
              </w:rPr>
              <w:t xml:space="preserve"> </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3</w:t>
            </w:r>
            <w:r w:rsidR="00614C0A">
              <w:rPr>
                <w:noProof/>
                <w:color w:val="000000"/>
                <w:highlight w:val="black"/>
              </w:rPr>
              <w:t xml:space="preserve"> </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4</w:t>
            </w:r>
            <w:r w:rsidR="00614C0A">
              <w:rPr>
                <w:noProof/>
                <w:color w:val="000000"/>
                <w:highlight w:val="black"/>
              </w:rPr>
              <w:t xml:space="preserve"> </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4</w:t>
            </w:r>
            <w:r w:rsidR="00614C0A">
              <w:rPr>
                <w:noProof/>
                <w:color w:val="000000"/>
                <w:highlight w:val="black"/>
              </w:rPr>
              <w:t xml:space="preserve"> </w:t>
            </w:r>
          </w:p>
        </w:tc>
        <w:tc>
          <w:tcPr>
            <w:tcW w:w="649" w:type="pct"/>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4</w:t>
            </w:r>
            <w:r w:rsidR="00614C0A">
              <w:rPr>
                <w:noProof/>
                <w:color w:val="000000"/>
                <w:highlight w:val="black"/>
              </w:rPr>
              <w:t xml:space="preserve"> </w:t>
            </w:r>
          </w:p>
        </w:tc>
      </w:tr>
      <w:tr w:rsidR="008E27D3" w:rsidRPr="00032C5B" w:rsidTr="00FD78E4">
        <w:tc>
          <w:tcPr>
            <w:tcW w:w="5000" w:type="pct"/>
            <w:gridSpan w:val="7"/>
            <w:shd w:val="clear" w:color="auto" w:fill="auto"/>
            <w:vAlign w:val="center"/>
          </w:tcPr>
          <w:p w:rsidR="008E27D3" w:rsidRPr="00032C5B" w:rsidRDefault="008E27D3" w:rsidP="00FD78E4">
            <w:pPr>
              <w:pStyle w:val="In-tableHeading"/>
            </w:pPr>
            <w:r w:rsidRPr="00032C5B">
              <w:t>Net financial implications</w:t>
            </w:r>
          </w:p>
        </w:tc>
      </w:tr>
      <w:tr w:rsidR="008E27D3" w:rsidRPr="00032C5B" w:rsidTr="00FD78E4">
        <w:tc>
          <w:tcPr>
            <w:tcW w:w="1116" w:type="pct"/>
            <w:shd w:val="clear" w:color="auto" w:fill="auto"/>
            <w:vAlign w:val="center"/>
          </w:tcPr>
          <w:p w:rsidR="008E27D3" w:rsidRPr="00032C5B" w:rsidRDefault="008E27D3" w:rsidP="00FD78E4">
            <w:pPr>
              <w:pStyle w:val="TableText0"/>
              <w:rPr>
                <w:sz w:val="19"/>
                <w:szCs w:val="19"/>
              </w:rPr>
            </w:pPr>
            <w:r w:rsidRPr="00032C5B">
              <w:rPr>
                <w:sz w:val="19"/>
                <w:szCs w:val="19"/>
              </w:rPr>
              <w:t>Net cost to PBS/RPBS</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4</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4</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3</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3</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3</w:t>
            </w:r>
          </w:p>
        </w:tc>
        <w:tc>
          <w:tcPr>
            <w:tcW w:w="649" w:type="pct"/>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3</w:t>
            </w:r>
          </w:p>
        </w:tc>
      </w:tr>
      <w:tr w:rsidR="008E27D3" w:rsidRPr="00032C5B" w:rsidTr="00FD78E4">
        <w:tc>
          <w:tcPr>
            <w:tcW w:w="1116" w:type="pct"/>
            <w:shd w:val="clear" w:color="auto" w:fill="auto"/>
            <w:vAlign w:val="center"/>
          </w:tcPr>
          <w:p w:rsidR="008E27D3" w:rsidRPr="00032C5B" w:rsidRDefault="008E27D3" w:rsidP="00FD78E4">
            <w:pPr>
              <w:pStyle w:val="TableText0"/>
              <w:rPr>
                <w:rFonts w:ascii="Times" w:hAnsi="Times"/>
              </w:rPr>
            </w:pPr>
            <w:r w:rsidRPr="00032C5B">
              <w:rPr>
                <w:sz w:val="19"/>
                <w:szCs w:val="19"/>
              </w:rPr>
              <w:t>Net cost to MBS</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3</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3</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3</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3</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3</w:t>
            </w:r>
          </w:p>
        </w:tc>
        <w:tc>
          <w:tcPr>
            <w:tcW w:w="649" w:type="pct"/>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3</w:t>
            </w:r>
          </w:p>
        </w:tc>
      </w:tr>
      <w:tr w:rsidR="008E27D3" w:rsidRPr="00032C5B" w:rsidTr="00FD78E4">
        <w:tc>
          <w:tcPr>
            <w:tcW w:w="1116" w:type="pct"/>
            <w:shd w:val="clear" w:color="auto" w:fill="auto"/>
            <w:vAlign w:val="center"/>
          </w:tcPr>
          <w:p w:rsidR="008E27D3" w:rsidRPr="00032C5B" w:rsidRDefault="008E27D3" w:rsidP="00FD78E4">
            <w:pPr>
              <w:pStyle w:val="TableText0"/>
              <w:rPr>
                <w:sz w:val="19"/>
                <w:szCs w:val="19"/>
              </w:rPr>
            </w:pPr>
            <w:r w:rsidRPr="00032C5B">
              <w:rPr>
                <w:sz w:val="19"/>
                <w:szCs w:val="19"/>
              </w:rPr>
              <w:t>Net cost to PBS/RPBS/MBS</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4</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4</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3</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3</w:t>
            </w:r>
          </w:p>
        </w:tc>
        <w:tc>
          <w:tcPr>
            <w:tcW w:w="647" w:type="pct"/>
            <w:shd w:val="clear" w:color="auto" w:fill="auto"/>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3</w:t>
            </w:r>
          </w:p>
        </w:tc>
        <w:tc>
          <w:tcPr>
            <w:tcW w:w="649" w:type="pct"/>
            <w:vAlign w:val="center"/>
          </w:tcPr>
          <w:p w:rsidR="008E27D3" w:rsidRPr="00614C0A" w:rsidRDefault="008E27D3" w:rsidP="00FD78E4">
            <w:pPr>
              <w:pStyle w:val="TableText0"/>
              <w:ind w:right="38"/>
              <w:jc w:val="right"/>
              <w:rPr>
                <w:color w:val="000000" w:themeColor="text1"/>
              </w:rPr>
            </w:pPr>
            <w:r w:rsidRPr="00B64A61">
              <w:rPr>
                <w:iCs/>
                <w:color w:val="000000" w:themeColor="text1"/>
              </w:rPr>
              <w:t>$</w:t>
            </w:r>
            <w:r w:rsidR="00614C0A">
              <w:rPr>
                <w:noProof/>
                <w:color w:val="000000"/>
                <w:highlight w:val="black"/>
              </w:rPr>
              <w:t>'''''''''''''''''''''''''</w:t>
            </w:r>
            <w:r w:rsidR="00577016">
              <w:rPr>
                <w:vertAlign w:val="superscript"/>
              </w:rPr>
              <w:t>3</w:t>
            </w:r>
          </w:p>
        </w:tc>
      </w:tr>
    </w:tbl>
    <w:p w:rsidR="008E27D3" w:rsidRDefault="008E27D3" w:rsidP="008E27D3">
      <w:pPr>
        <w:pStyle w:val="TableFigureFooter"/>
      </w:pPr>
      <w:r w:rsidRPr="00EF07E0">
        <w:t>Source: Table 164, Table 168 and Table 184 of the submission; Spreadsheet ‘7. Net changes – MBS’ Excel workbook ‘Zejula (niraparib) BIM’.</w:t>
      </w:r>
    </w:p>
    <w:p w:rsidR="008E27D3" w:rsidRPr="00EF07E0" w:rsidRDefault="008E27D3" w:rsidP="008E27D3">
      <w:pPr>
        <w:pStyle w:val="TableFigureFooter"/>
        <w:rPr>
          <w:rStyle w:val="CommentReference"/>
        </w:rPr>
      </w:pPr>
      <w:r>
        <w:t>DPMQ = dispensed price for maximum volume.</w:t>
      </w:r>
    </w:p>
    <w:p w:rsidR="008E27D3" w:rsidRDefault="008E27D3" w:rsidP="008E27D3">
      <w:pPr>
        <w:pStyle w:val="TableFigureFooter"/>
      </w:pPr>
      <w:r w:rsidRPr="00EF07E0">
        <w:rPr>
          <w:vertAlign w:val="superscript"/>
        </w:rPr>
        <w:t>a</w:t>
      </w:r>
      <w:r w:rsidRPr="00EF07E0">
        <w:t xml:space="preserve"> Includes patients initiating treatment and</w:t>
      </w:r>
      <w:r>
        <w:t xml:space="preserve"> patients continuing treatment from previous years.</w:t>
      </w:r>
    </w:p>
    <w:p w:rsidR="001E0429" w:rsidRDefault="001E0429" w:rsidP="008E27D3">
      <w:pPr>
        <w:pStyle w:val="TableFigureFooter"/>
        <w:rPr>
          <w:i/>
        </w:rPr>
      </w:pPr>
      <w:r w:rsidRPr="009868C4">
        <w:rPr>
          <w:i/>
        </w:rPr>
        <w:t>The redacted values correspond to the following ranges</w:t>
      </w:r>
      <w:r>
        <w:rPr>
          <w:i/>
        </w:rPr>
        <w:t>:</w:t>
      </w:r>
    </w:p>
    <w:p w:rsidR="001E0429" w:rsidRPr="00614C0A" w:rsidRDefault="001E0429" w:rsidP="001E0429">
      <w:pPr>
        <w:pStyle w:val="TableFigureFooter"/>
        <w:rPr>
          <w:i/>
        </w:rPr>
      </w:pPr>
      <w:r>
        <w:rPr>
          <w:i/>
          <w:vertAlign w:val="superscript"/>
        </w:rPr>
        <w:t xml:space="preserve">1 </w:t>
      </w:r>
      <w:r w:rsidRPr="00614C0A">
        <w:rPr>
          <w:i/>
        </w:rPr>
        <w:t>&lt; 500</w:t>
      </w:r>
    </w:p>
    <w:p w:rsidR="001E0429" w:rsidRDefault="001E0429" w:rsidP="001E0429">
      <w:pPr>
        <w:pStyle w:val="TableFigureFooter"/>
        <w:rPr>
          <w:i/>
        </w:rPr>
      </w:pPr>
      <w:r>
        <w:rPr>
          <w:i/>
          <w:vertAlign w:val="superscript"/>
        </w:rPr>
        <w:t xml:space="preserve">2 </w:t>
      </w:r>
      <w:r w:rsidRPr="00614C0A">
        <w:rPr>
          <w:i/>
        </w:rPr>
        <w:t>500 to &lt; 5,000</w:t>
      </w:r>
    </w:p>
    <w:p w:rsidR="001E0429" w:rsidRPr="001E0429" w:rsidRDefault="001E0429" w:rsidP="001E0429">
      <w:pPr>
        <w:pStyle w:val="TableFigureFooter"/>
        <w:rPr>
          <w:i/>
        </w:rPr>
      </w:pPr>
      <w:r>
        <w:rPr>
          <w:i/>
          <w:vertAlign w:val="superscript"/>
        </w:rPr>
        <w:t xml:space="preserve">3 </w:t>
      </w:r>
      <w:r w:rsidRPr="001E0429">
        <w:rPr>
          <w:i/>
        </w:rPr>
        <w:t>$0 to &lt; $10 million</w:t>
      </w:r>
    </w:p>
    <w:p w:rsidR="001E0429" w:rsidRPr="001E0429" w:rsidRDefault="001E0429" w:rsidP="001E0429">
      <w:pPr>
        <w:pStyle w:val="TableFigureFooter"/>
        <w:rPr>
          <w:i/>
        </w:rPr>
      </w:pPr>
      <w:r>
        <w:rPr>
          <w:i/>
          <w:vertAlign w:val="superscript"/>
        </w:rPr>
        <w:t xml:space="preserve">4 </w:t>
      </w:r>
      <w:r w:rsidRPr="001E0429">
        <w:rPr>
          <w:i/>
        </w:rPr>
        <w:t>$10 million to &lt; $20 million</w:t>
      </w:r>
    </w:p>
    <w:p w:rsidR="001E0429" w:rsidRPr="00614C0A" w:rsidRDefault="001E0429" w:rsidP="001E0429">
      <w:pPr>
        <w:pStyle w:val="TableFigureFooter"/>
        <w:rPr>
          <w:i/>
        </w:rPr>
      </w:pPr>
      <w:r>
        <w:rPr>
          <w:i/>
          <w:vertAlign w:val="superscript"/>
        </w:rPr>
        <w:t xml:space="preserve">5 </w:t>
      </w:r>
      <w:r w:rsidRPr="001E0429">
        <w:rPr>
          <w:i/>
        </w:rPr>
        <w:t>$20 million to &lt; $30 million</w:t>
      </w:r>
    </w:p>
    <w:p w:rsidR="008E27D3" w:rsidRPr="00032C5B" w:rsidRDefault="008E27D3" w:rsidP="003125A9">
      <w:pPr>
        <w:pStyle w:val="3-BodyText"/>
      </w:pPr>
      <w:r w:rsidRPr="00032C5B">
        <w:t xml:space="preserve">The results of the sensitivity analyses presented in </w:t>
      </w:r>
      <w:r w:rsidR="00681899">
        <w:t xml:space="preserve">Table </w:t>
      </w:r>
      <w:r w:rsidR="00681899">
        <w:rPr>
          <w:noProof/>
        </w:rPr>
        <w:t>20</w:t>
      </w:r>
      <w:r w:rsidRPr="00032C5B">
        <w:t xml:space="preserve"> indicate that the estimated financial implications for the PBS/RPBS of listing niraparib were highly dependent on the extent of the cost offsets resulting from substitution of niraparib for use of olaparib as second and later line maintenance treatment. The cost of niraparib to the PBS/RPBS was also sensitive to the data used to estimate the mean exposure to niraparib. When the unadjusted fixed starting dose data from NOVA were applied, rather than the translated data for individualised dosing, the total cost of niraparib over the first 6 years of listing increased from approximately </w:t>
      </w:r>
      <w:r w:rsidR="003125A9" w:rsidRPr="003125A9">
        <w:t>$60 million to &lt; $70 million</w:t>
      </w:r>
      <w:r w:rsidR="003125A9">
        <w:t xml:space="preserve"> </w:t>
      </w:r>
      <w:r w:rsidRPr="00032C5B">
        <w:t xml:space="preserve">to approximately </w:t>
      </w:r>
      <w:r w:rsidR="003125A9" w:rsidRPr="003125A9">
        <w:t>$70 million to &lt; $80 million</w:t>
      </w:r>
      <w:r w:rsidRPr="00032C5B">
        <w:t xml:space="preserve">. </w:t>
      </w:r>
    </w:p>
    <w:p w:rsidR="008E27D3" w:rsidRDefault="008E27D3" w:rsidP="008E27D3">
      <w:pPr>
        <w:pStyle w:val="TableFigureHeading"/>
      </w:pPr>
      <w:bookmarkStart w:id="61" w:name="_Ref61445359"/>
      <w:r>
        <w:lastRenderedPageBreak/>
        <w:t xml:space="preserve">Table </w:t>
      </w:r>
      <w:r w:rsidR="00681899">
        <w:rPr>
          <w:noProof/>
        </w:rPr>
        <w:t>20</w:t>
      </w:r>
      <w:bookmarkEnd w:id="61"/>
      <w:r>
        <w:t>: Sensitivity analyses: net financial impact to the PBS/RPBS (proposed effective price of niraparib).</w:t>
      </w:r>
    </w:p>
    <w:tbl>
      <w:tblPr>
        <w:tblStyle w:val="TableGrid"/>
        <w:tblW w:w="5000" w:type="pct"/>
        <w:tblLook w:val="04A0" w:firstRow="1" w:lastRow="0" w:firstColumn="1" w:lastColumn="0" w:noHBand="0" w:noVBand="1"/>
        <w:tblCaption w:val="Table 20: Sensitivity analyses: net financial impact to the PBS/RPBS (proposed effective price of niraparib)."/>
      </w:tblPr>
      <w:tblGrid>
        <w:gridCol w:w="468"/>
        <w:gridCol w:w="5592"/>
        <w:gridCol w:w="1279"/>
        <w:gridCol w:w="1678"/>
      </w:tblGrid>
      <w:tr w:rsidR="008E27D3" w:rsidRPr="00032C5B" w:rsidTr="00C64862">
        <w:trPr>
          <w:tblHeader/>
        </w:trPr>
        <w:tc>
          <w:tcPr>
            <w:tcW w:w="274" w:type="pct"/>
          </w:tcPr>
          <w:p w:rsidR="008E27D3" w:rsidRPr="00032C5B" w:rsidRDefault="008E27D3" w:rsidP="00FD78E4">
            <w:pPr>
              <w:pStyle w:val="In-tableHeading"/>
            </w:pPr>
            <w:r w:rsidRPr="00032C5B">
              <w:t>SA</w:t>
            </w:r>
          </w:p>
        </w:tc>
        <w:tc>
          <w:tcPr>
            <w:tcW w:w="3115" w:type="pct"/>
          </w:tcPr>
          <w:p w:rsidR="008E27D3" w:rsidRPr="00032C5B" w:rsidRDefault="008E27D3" w:rsidP="00FD78E4">
            <w:pPr>
              <w:pStyle w:val="In-tableHeading"/>
            </w:pPr>
          </w:p>
        </w:tc>
        <w:tc>
          <w:tcPr>
            <w:tcW w:w="666" w:type="pct"/>
          </w:tcPr>
          <w:p w:rsidR="008E27D3" w:rsidRPr="00032C5B" w:rsidRDefault="008E27D3" w:rsidP="00FD78E4">
            <w:pPr>
              <w:pStyle w:val="In-tableHeading"/>
              <w:jc w:val="center"/>
            </w:pPr>
            <w:r w:rsidRPr="00032C5B">
              <w:t xml:space="preserve">Total cost </w:t>
            </w:r>
            <w:r w:rsidRPr="00032C5B">
              <w:br/>
              <w:t>Year 1-6</w:t>
            </w:r>
          </w:p>
        </w:tc>
        <w:tc>
          <w:tcPr>
            <w:tcW w:w="945" w:type="pct"/>
          </w:tcPr>
          <w:p w:rsidR="008E27D3" w:rsidRPr="00032C5B" w:rsidRDefault="008E27D3" w:rsidP="00FD78E4">
            <w:pPr>
              <w:pStyle w:val="In-tableHeading"/>
              <w:jc w:val="center"/>
            </w:pPr>
            <w:r w:rsidRPr="00032C5B">
              <w:t>% change</w:t>
            </w:r>
          </w:p>
        </w:tc>
      </w:tr>
      <w:tr w:rsidR="008E27D3" w:rsidRPr="00032C5B" w:rsidTr="00FD78E4">
        <w:tc>
          <w:tcPr>
            <w:tcW w:w="274" w:type="pct"/>
          </w:tcPr>
          <w:p w:rsidR="008E27D3" w:rsidRPr="00032C5B" w:rsidRDefault="008E27D3" w:rsidP="00FD78E4">
            <w:pPr>
              <w:pStyle w:val="TableText0"/>
            </w:pPr>
          </w:p>
        </w:tc>
        <w:tc>
          <w:tcPr>
            <w:tcW w:w="3115" w:type="pct"/>
          </w:tcPr>
          <w:p w:rsidR="008E27D3" w:rsidRPr="00032C5B" w:rsidRDefault="008E27D3" w:rsidP="00FD78E4">
            <w:pPr>
              <w:pStyle w:val="TableText0"/>
            </w:pPr>
            <w:r w:rsidRPr="00032C5B">
              <w:t>Base case</w:t>
            </w:r>
          </w:p>
        </w:tc>
        <w:tc>
          <w:tcPr>
            <w:tcW w:w="666" w:type="pct"/>
            <w:vAlign w:val="center"/>
          </w:tcPr>
          <w:p w:rsidR="008E27D3" w:rsidRPr="00614C0A" w:rsidRDefault="008E27D3" w:rsidP="00FD78E4">
            <w:pPr>
              <w:pStyle w:val="TableText0"/>
              <w:jc w:val="right"/>
            </w:pPr>
            <w:r w:rsidRPr="00E62035">
              <w:rPr>
                <w:rFonts w:cs="Times New Roman"/>
              </w:rPr>
              <w:t>$</w:t>
            </w:r>
            <w:r w:rsidR="00614C0A">
              <w:rPr>
                <w:rFonts w:cs="Times New Roman"/>
                <w:noProof/>
                <w:color w:val="000000"/>
                <w:highlight w:val="black"/>
              </w:rPr>
              <w:t>''''''''''''''''''''''''''</w:t>
            </w:r>
            <w:r w:rsidR="003125A9">
              <w:rPr>
                <w:vertAlign w:val="superscript"/>
              </w:rPr>
              <w:t>1</w:t>
            </w:r>
          </w:p>
        </w:tc>
        <w:tc>
          <w:tcPr>
            <w:tcW w:w="945" w:type="pct"/>
            <w:vAlign w:val="center"/>
          </w:tcPr>
          <w:p w:rsidR="008E27D3" w:rsidRPr="00032C5B" w:rsidRDefault="008E27D3" w:rsidP="00FD78E4">
            <w:pPr>
              <w:pStyle w:val="TableText0"/>
              <w:jc w:val="center"/>
            </w:pPr>
          </w:p>
        </w:tc>
      </w:tr>
      <w:tr w:rsidR="008E27D3" w:rsidRPr="00032C5B" w:rsidTr="00FD78E4">
        <w:tc>
          <w:tcPr>
            <w:tcW w:w="274" w:type="pct"/>
          </w:tcPr>
          <w:p w:rsidR="008E27D3" w:rsidRPr="00032C5B" w:rsidRDefault="008E27D3" w:rsidP="00FD78E4">
            <w:pPr>
              <w:pStyle w:val="TableText0"/>
            </w:pPr>
            <w:r w:rsidRPr="00032C5B">
              <w:t>#1</w:t>
            </w:r>
          </w:p>
        </w:tc>
        <w:tc>
          <w:tcPr>
            <w:tcW w:w="3115" w:type="pct"/>
          </w:tcPr>
          <w:p w:rsidR="008E27D3" w:rsidRPr="00032C5B" w:rsidRDefault="008E27D3" w:rsidP="00FD78E4">
            <w:pPr>
              <w:pStyle w:val="TableText0"/>
            </w:pPr>
            <w:r w:rsidRPr="00032C5B">
              <w:t>Niraparib dose data from NOVA (unadjusted)</w:t>
            </w:r>
          </w:p>
          <w:p w:rsidR="008E27D3" w:rsidRPr="00032C5B" w:rsidRDefault="008E27D3" w:rsidP="00FD78E4">
            <w:pPr>
              <w:pStyle w:val="TableText0"/>
            </w:pPr>
            <w:r w:rsidRPr="00032C5B">
              <w:t>Base case: Dosing data adjusted for proposed individualised dosing.</w:t>
            </w:r>
          </w:p>
        </w:tc>
        <w:tc>
          <w:tcPr>
            <w:tcW w:w="666" w:type="pct"/>
            <w:vAlign w:val="center"/>
          </w:tcPr>
          <w:p w:rsidR="008E27D3" w:rsidRPr="00614C0A" w:rsidRDefault="008E27D3" w:rsidP="00FD78E4">
            <w:pPr>
              <w:pStyle w:val="TableText0"/>
              <w:jc w:val="right"/>
              <w:rPr>
                <w:rFonts w:cs="Times New Roman"/>
              </w:rPr>
            </w:pPr>
            <w:r w:rsidRPr="00E62035">
              <w:rPr>
                <w:rFonts w:cs="Times New Roman"/>
              </w:rPr>
              <w:t>$</w:t>
            </w:r>
            <w:r w:rsidR="00614C0A">
              <w:rPr>
                <w:rFonts w:cs="Times New Roman"/>
                <w:noProof/>
                <w:color w:val="000000"/>
                <w:highlight w:val="black"/>
              </w:rPr>
              <w:t>'''''''''''''''''''''''''</w:t>
            </w:r>
            <w:r w:rsidR="003125A9">
              <w:rPr>
                <w:vertAlign w:val="superscript"/>
              </w:rPr>
              <w:t>2</w:t>
            </w:r>
          </w:p>
        </w:tc>
        <w:tc>
          <w:tcPr>
            <w:tcW w:w="945" w:type="pct"/>
            <w:vAlign w:val="center"/>
          </w:tcPr>
          <w:p w:rsidR="008E27D3" w:rsidRPr="00614C0A" w:rsidRDefault="008E27D3">
            <w:pPr>
              <w:pStyle w:val="TableText0"/>
              <w:jc w:val="center"/>
              <w:rPr>
                <w:vertAlign w:val="superscript"/>
              </w:rPr>
            </w:pPr>
            <w:r w:rsidRPr="00032C5B">
              <w:t>+23%</w:t>
            </w:r>
          </w:p>
        </w:tc>
      </w:tr>
      <w:tr w:rsidR="008E27D3" w:rsidRPr="00032C5B" w:rsidTr="00FD78E4">
        <w:tc>
          <w:tcPr>
            <w:tcW w:w="274" w:type="pct"/>
            <w:tcBorders>
              <w:bottom w:val="single" w:sz="4" w:space="0" w:color="auto"/>
            </w:tcBorders>
          </w:tcPr>
          <w:p w:rsidR="008E27D3" w:rsidRPr="00032C5B" w:rsidRDefault="008E27D3" w:rsidP="00FD78E4">
            <w:pPr>
              <w:pStyle w:val="TableText0"/>
              <w:rPr>
                <w:iCs/>
              </w:rPr>
            </w:pPr>
            <w:r w:rsidRPr="00032C5B">
              <w:rPr>
                <w:iCs/>
              </w:rPr>
              <w:t>#2</w:t>
            </w:r>
          </w:p>
        </w:tc>
        <w:tc>
          <w:tcPr>
            <w:tcW w:w="3115" w:type="pct"/>
            <w:tcBorders>
              <w:bottom w:val="single" w:sz="4" w:space="0" w:color="auto"/>
            </w:tcBorders>
          </w:tcPr>
          <w:p w:rsidR="008E27D3" w:rsidRPr="00032C5B" w:rsidRDefault="008E27D3" w:rsidP="00FD78E4">
            <w:pPr>
              <w:pStyle w:val="TableText0"/>
              <w:rPr>
                <w:iCs/>
              </w:rPr>
            </w:pPr>
            <w:r w:rsidRPr="00032C5B">
              <w:rPr>
                <w:iCs/>
              </w:rPr>
              <w:t>Assuming 20.3% gBRCAm, 5% sBRCAm</w:t>
            </w:r>
          </w:p>
          <w:p w:rsidR="008E27D3" w:rsidRPr="00032C5B" w:rsidRDefault="008E27D3" w:rsidP="00FD78E4">
            <w:pPr>
              <w:pStyle w:val="TableText0"/>
              <w:rPr>
                <w:iCs/>
              </w:rPr>
            </w:pPr>
            <w:r w:rsidRPr="00032C5B">
              <w:rPr>
                <w:iCs/>
              </w:rPr>
              <w:t>Base case: 22.6% gBRCAm, 6.3% sBRCAm</w:t>
            </w:r>
          </w:p>
        </w:tc>
        <w:tc>
          <w:tcPr>
            <w:tcW w:w="666" w:type="pct"/>
            <w:tcBorders>
              <w:bottom w:val="single" w:sz="4" w:space="0" w:color="auto"/>
            </w:tcBorders>
            <w:vAlign w:val="center"/>
          </w:tcPr>
          <w:p w:rsidR="008E27D3" w:rsidRPr="00614C0A" w:rsidRDefault="008E27D3" w:rsidP="00FD78E4">
            <w:pPr>
              <w:pStyle w:val="TableText0"/>
              <w:jc w:val="right"/>
              <w:rPr>
                <w:iCs/>
              </w:rPr>
            </w:pPr>
            <w:r w:rsidRPr="00E62035">
              <w:rPr>
                <w:iCs/>
              </w:rPr>
              <w:t>$</w:t>
            </w:r>
            <w:r w:rsidR="00614C0A">
              <w:rPr>
                <w:iCs/>
                <w:noProof/>
                <w:color w:val="000000"/>
                <w:highlight w:val="black"/>
              </w:rPr>
              <w:t>''''''''''''''''''''''''</w:t>
            </w:r>
            <w:r w:rsidR="003125A9">
              <w:rPr>
                <w:vertAlign w:val="superscript"/>
              </w:rPr>
              <w:t>1</w:t>
            </w:r>
          </w:p>
        </w:tc>
        <w:tc>
          <w:tcPr>
            <w:tcW w:w="945" w:type="pct"/>
            <w:tcBorders>
              <w:bottom w:val="single" w:sz="4" w:space="0" w:color="auto"/>
            </w:tcBorders>
            <w:vAlign w:val="center"/>
          </w:tcPr>
          <w:p w:rsidR="008E27D3" w:rsidRPr="00032C5B" w:rsidRDefault="008E27D3" w:rsidP="00FD78E4">
            <w:pPr>
              <w:pStyle w:val="TableText0"/>
              <w:jc w:val="center"/>
              <w:rPr>
                <w:iCs/>
              </w:rPr>
            </w:pPr>
            <w:r w:rsidRPr="00032C5B">
              <w:rPr>
                <w:iCs/>
              </w:rPr>
              <w:t>+12%</w:t>
            </w:r>
          </w:p>
        </w:tc>
      </w:tr>
      <w:tr w:rsidR="008E27D3" w:rsidRPr="00032C5B" w:rsidTr="00FD78E4">
        <w:tc>
          <w:tcPr>
            <w:tcW w:w="5000" w:type="pct"/>
            <w:gridSpan w:val="4"/>
          </w:tcPr>
          <w:p w:rsidR="008E27D3" w:rsidRPr="00032C5B" w:rsidRDefault="008E27D3" w:rsidP="00FD78E4">
            <w:pPr>
              <w:pStyle w:val="TableText0"/>
              <w:rPr>
                <w:iCs/>
              </w:rPr>
            </w:pPr>
            <w:r w:rsidRPr="00032C5B">
              <w:rPr>
                <w:iCs/>
              </w:rPr>
              <w:t>Use of first line olaparib maintenance treatment in BRCAm patients (base case: none)</w:t>
            </w:r>
          </w:p>
        </w:tc>
      </w:tr>
      <w:tr w:rsidR="008E27D3" w:rsidRPr="00032C5B" w:rsidTr="00FD78E4">
        <w:tc>
          <w:tcPr>
            <w:tcW w:w="274" w:type="pct"/>
          </w:tcPr>
          <w:p w:rsidR="008E27D3" w:rsidRPr="00032C5B" w:rsidRDefault="008E27D3" w:rsidP="00FD78E4">
            <w:pPr>
              <w:pStyle w:val="TableText0"/>
              <w:rPr>
                <w:iCs/>
              </w:rPr>
            </w:pPr>
            <w:r w:rsidRPr="00032C5B">
              <w:rPr>
                <w:iCs/>
              </w:rPr>
              <w:t>#3</w:t>
            </w:r>
          </w:p>
        </w:tc>
        <w:tc>
          <w:tcPr>
            <w:tcW w:w="3115" w:type="pct"/>
          </w:tcPr>
          <w:p w:rsidR="008E27D3" w:rsidRPr="00032C5B" w:rsidRDefault="008E27D3" w:rsidP="00FD78E4">
            <w:pPr>
              <w:pStyle w:val="TableText0"/>
              <w:rPr>
                <w:iCs/>
                <w:vertAlign w:val="superscript"/>
              </w:rPr>
            </w:pPr>
            <w:r w:rsidRPr="00032C5B">
              <w:rPr>
                <w:iCs/>
              </w:rPr>
              <w:t>Assuming 50% of BRCAm patients with platinum-sensitive HGSOC receive olaparib first-line</w:t>
            </w:r>
            <w:r w:rsidRPr="00032C5B">
              <w:rPr>
                <w:iCs/>
                <w:vertAlign w:val="superscript"/>
              </w:rPr>
              <w:t>a, b, c</w:t>
            </w:r>
          </w:p>
        </w:tc>
        <w:tc>
          <w:tcPr>
            <w:tcW w:w="666" w:type="pct"/>
            <w:vAlign w:val="center"/>
          </w:tcPr>
          <w:p w:rsidR="008E27D3" w:rsidRPr="00614C0A" w:rsidRDefault="008E27D3" w:rsidP="00FD78E4">
            <w:pPr>
              <w:pStyle w:val="TableText0"/>
              <w:jc w:val="right"/>
              <w:rPr>
                <w:iCs/>
              </w:rPr>
            </w:pPr>
            <w:r w:rsidRPr="00E62035">
              <w:rPr>
                <w:iCs/>
              </w:rPr>
              <w:t>$</w:t>
            </w:r>
            <w:r w:rsidR="00614C0A">
              <w:rPr>
                <w:iCs/>
                <w:noProof/>
                <w:color w:val="000000"/>
                <w:highlight w:val="black"/>
              </w:rPr>
              <w:t>''''''''''''''''''''''''</w:t>
            </w:r>
            <w:r w:rsidR="003125A9">
              <w:rPr>
                <w:vertAlign w:val="superscript"/>
              </w:rPr>
              <w:t>3</w:t>
            </w:r>
          </w:p>
        </w:tc>
        <w:tc>
          <w:tcPr>
            <w:tcW w:w="945" w:type="pct"/>
            <w:vAlign w:val="center"/>
          </w:tcPr>
          <w:p w:rsidR="008E27D3" w:rsidRPr="00032C5B" w:rsidRDefault="008E27D3" w:rsidP="00FD78E4">
            <w:pPr>
              <w:pStyle w:val="TableText0"/>
              <w:jc w:val="center"/>
              <w:rPr>
                <w:iCs/>
              </w:rPr>
            </w:pPr>
            <w:r w:rsidRPr="00032C5B">
              <w:rPr>
                <w:iCs/>
              </w:rPr>
              <w:t>+42%</w:t>
            </w:r>
          </w:p>
        </w:tc>
      </w:tr>
      <w:tr w:rsidR="008E27D3" w:rsidRPr="00032C5B" w:rsidTr="00FD78E4">
        <w:tc>
          <w:tcPr>
            <w:tcW w:w="274" w:type="pct"/>
          </w:tcPr>
          <w:p w:rsidR="008E27D3" w:rsidRPr="00032C5B" w:rsidRDefault="008E27D3" w:rsidP="00FD78E4">
            <w:pPr>
              <w:pStyle w:val="TableText0"/>
              <w:rPr>
                <w:iCs/>
              </w:rPr>
            </w:pPr>
            <w:r w:rsidRPr="00032C5B">
              <w:rPr>
                <w:iCs/>
              </w:rPr>
              <w:t>#4</w:t>
            </w:r>
          </w:p>
        </w:tc>
        <w:tc>
          <w:tcPr>
            <w:tcW w:w="3115" w:type="pct"/>
          </w:tcPr>
          <w:p w:rsidR="008E27D3" w:rsidRPr="00032C5B" w:rsidRDefault="008E27D3" w:rsidP="00FD78E4">
            <w:pPr>
              <w:pStyle w:val="TableText0"/>
              <w:rPr>
                <w:iCs/>
              </w:rPr>
            </w:pPr>
            <w:r w:rsidRPr="00032C5B">
              <w:rPr>
                <w:iCs/>
              </w:rPr>
              <w:t>Assuming 70% of BRCAm patients with platinum-sensitive HGSOC receive olaparib first-line</w:t>
            </w:r>
            <w:r w:rsidRPr="00032C5B">
              <w:rPr>
                <w:iCs/>
                <w:vertAlign w:val="superscript"/>
              </w:rPr>
              <w:t>a, b, c</w:t>
            </w:r>
          </w:p>
        </w:tc>
        <w:tc>
          <w:tcPr>
            <w:tcW w:w="666" w:type="pct"/>
            <w:vAlign w:val="center"/>
          </w:tcPr>
          <w:p w:rsidR="008E27D3" w:rsidRPr="00614C0A" w:rsidRDefault="008E27D3" w:rsidP="00FD78E4">
            <w:pPr>
              <w:pStyle w:val="TableText0"/>
              <w:jc w:val="right"/>
              <w:rPr>
                <w:iCs/>
              </w:rPr>
            </w:pPr>
            <w:r w:rsidRPr="00E62035">
              <w:rPr>
                <w:iCs/>
              </w:rPr>
              <w:t>$</w:t>
            </w:r>
            <w:r w:rsidR="00614C0A">
              <w:rPr>
                <w:iCs/>
                <w:noProof/>
                <w:color w:val="000000"/>
                <w:highlight w:val="black"/>
              </w:rPr>
              <w:t>''''''''''''''''''''''''''''</w:t>
            </w:r>
            <w:r w:rsidR="003125A9">
              <w:rPr>
                <w:vertAlign w:val="superscript"/>
              </w:rPr>
              <w:t>4</w:t>
            </w:r>
          </w:p>
        </w:tc>
        <w:tc>
          <w:tcPr>
            <w:tcW w:w="945" w:type="pct"/>
            <w:vAlign w:val="center"/>
          </w:tcPr>
          <w:p w:rsidR="008E27D3" w:rsidRPr="00032C5B" w:rsidRDefault="008E27D3" w:rsidP="00FD78E4">
            <w:pPr>
              <w:pStyle w:val="TableText0"/>
              <w:jc w:val="center"/>
            </w:pPr>
            <w:r w:rsidRPr="00032C5B">
              <w:rPr>
                <w:iCs/>
              </w:rPr>
              <w:t>+59%</w:t>
            </w:r>
          </w:p>
        </w:tc>
      </w:tr>
      <w:tr w:rsidR="008E27D3" w:rsidRPr="00032C5B" w:rsidTr="00FD78E4">
        <w:tc>
          <w:tcPr>
            <w:tcW w:w="274" w:type="pct"/>
          </w:tcPr>
          <w:p w:rsidR="008E27D3" w:rsidRPr="00032C5B" w:rsidRDefault="008E27D3" w:rsidP="00FD78E4">
            <w:pPr>
              <w:pStyle w:val="TableText0"/>
              <w:rPr>
                <w:iCs/>
              </w:rPr>
            </w:pPr>
            <w:r w:rsidRPr="00032C5B">
              <w:rPr>
                <w:iCs/>
              </w:rPr>
              <w:t>#5</w:t>
            </w:r>
          </w:p>
        </w:tc>
        <w:tc>
          <w:tcPr>
            <w:tcW w:w="3115" w:type="pct"/>
          </w:tcPr>
          <w:p w:rsidR="008E27D3" w:rsidRPr="00032C5B" w:rsidRDefault="008E27D3" w:rsidP="00FD78E4">
            <w:pPr>
              <w:pStyle w:val="TableText0"/>
              <w:rPr>
                <w:iCs/>
              </w:rPr>
            </w:pPr>
            <w:r w:rsidRPr="00032C5B">
              <w:rPr>
                <w:iCs/>
              </w:rPr>
              <w:t>SA  #3, and weighting the price of niraparib assuming the consequent treated population is 18.2% BRCAm and 81.8% non-BRCAm</w:t>
            </w:r>
          </w:p>
        </w:tc>
        <w:tc>
          <w:tcPr>
            <w:tcW w:w="666" w:type="pct"/>
            <w:vAlign w:val="center"/>
          </w:tcPr>
          <w:p w:rsidR="008E27D3" w:rsidRPr="00614C0A" w:rsidRDefault="008E27D3" w:rsidP="00FD78E4">
            <w:pPr>
              <w:pStyle w:val="TableText0"/>
              <w:jc w:val="center"/>
              <w:rPr>
                <w:iCs/>
              </w:rPr>
            </w:pPr>
            <w:r w:rsidRPr="00E62035">
              <w:rPr>
                <w:bCs w:val="0"/>
                <w:iCs/>
              </w:rPr>
              <w:t>$</w:t>
            </w:r>
            <w:r w:rsidR="00614C0A">
              <w:rPr>
                <w:bCs w:val="0"/>
                <w:iCs/>
                <w:noProof/>
                <w:color w:val="000000"/>
                <w:highlight w:val="black"/>
              </w:rPr>
              <w:t>'''''''''''''''''''''''''''</w:t>
            </w:r>
            <w:r w:rsidR="003125A9">
              <w:rPr>
                <w:vertAlign w:val="superscript"/>
              </w:rPr>
              <w:t>1</w:t>
            </w:r>
          </w:p>
        </w:tc>
        <w:tc>
          <w:tcPr>
            <w:tcW w:w="945" w:type="pct"/>
            <w:vAlign w:val="center"/>
          </w:tcPr>
          <w:p w:rsidR="008E27D3" w:rsidRPr="00032C5B" w:rsidRDefault="008E27D3" w:rsidP="00FD78E4">
            <w:pPr>
              <w:pStyle w:val="TableText0"/>
              <w:jc w:val="center"/>
              <w:rPr>
                <w:iCs/>
              </w:rPr>
            </w:pPr>
            <w:r w:rsidRPr="00032C5B">
              <w:rPr>
                <w:iCs/>
              </w:rPr>
              <w:t>+12%</w:t>
            </w:r>
          </w:p>
        </w:tc>
      </w:tr>
      <w:tr w:rsidR="008E27D3" w:rsidRPr="00032C5B" w:rsidTr="00FD78E4">
        <w:tc>
          <w:tcPr>
            <w:tcW w:w="274" w:type="pct"/>
          </w:tcPr>
          <w:p w:rsidR="008E27D3" w:rsidRPr="00032C5B" w:rsidRDefault="008E27D3" w:rsidP="00FD78E4">
            <w:pPr>
              <w:pStyle w:val="TableText0"/>
              <w:rPr>
                <w:iCs/>
              </w:rPr>
            </w:pPr>
            <w:r w:rsidRPr="00032C5B">
              <w:rPr>
                <w:iCs/>
              </w:rPr>
              <w:t>#6</w:t>
            </w:r>
          </w:p>
        </w:tc>
        <w:tc>
          <w:tcPr>
            <w:tcW w:w="3115" w:type="pct"/>
          </w:tcPr>
          <w:p w:rsidR="008E27D3" w:rsidRPr="00032C5B" w:rsidRDefault="008E27D3" w:rsidP="00FD78E4">
            <w:pPr>
              <w:pStyle w:val="TableText0"/>
              <w:rPr>
                <w:iCs/>
              </w:rPr>
            </w:pPr>
            <w:r w:rsidRPr="00032C5B">
              <w:rPr>
                <w:iCs/>
              </w:rPr>
              <w:t>SA #4, and weighting the price of niraparib assuming the consequent treated population is 12.9% BRCAm and 87.1% non-BRCAm</w:t>
            </w:r>
          </w:p>
        </w:tc>
        <w:tc>
          <w:tcPr>
            <w:tcW w:w="666" w:type="pct"/>
            <w:vAlign w:val="center"/>
          </w:tcPr>
          <w:p w:rsidR="008E27D3" w:rsidRPr="00614C0A" w:rsidRDefault="008E27D3" w:rsidP="00FD78E4">
            <w:pPr>
              <w:pStyle w:val="TableText0"/>
              <w:jc w:val="center"/>
              <w:rPr>
                <w:iCs/>
              </w:rPr>
            </w:pPr>
            <w:r w:rsidRPr="00E62035">
              <w:rPr>
                <w:bCs w:val="0"/>
                <w:iCs/>
              </w:rPr>
              <w:t>$</w:t>
            </w:r>
            <w:r w:rsidR="00614C0A">
              <w:rPr>
                <w:bCs w:val="0"/>
                <w:iCs/>
                <w:noProof/>
                <w:color w:val="000000"/>
                <w:highlight w:val="black"/>
              </w:rPr>
              <w:t>'''''''''''''''''''''''''''''</w:t>
            </w:r>
            <w:r w:rsidR="003125A9">
              <w:rPr>
                <w:vertAlign w:val="superscript"/>
              </w:rPr>
              <w:t>1</w:t>
            </w:r>
          </w:p>
        </w:tc>
        <w:tc>
          <w:tcPr>
            <w:tcW w:w="945" w:type="pct"/>
            <w:vAlign w:val="center"/>
          </w:tcPr>
          <w:p w:rsidR="008E27D3" w:rsidRPr="00032C5B" w:rsidRDefault="008E27D3" w:rsidP="00FD78E4">
            <w:pPr>
              <w:pStyle w:val="TableText0"/>
              <w:jc w:val="center"/>
              <w:rPr>
                <w:iCs/>
              </w:rPr>
            </w:pPr>
            <w:r w:rsidRPr="00032C5B">
              <w:rPr>
                <w:iCs/>
              </w:rPr>
              <w:t>+14%</w:t>
            </w:r>
          </w:p>
        </w:tc>
      </w:tr>
    </w:tbl>
    <w:p w:rsidR="008E27D3" w:rsidRDefault="008E27D3" w:rsidP="008E27D3">
      <w:pPr>
        <w:pStyle w:val="TableFigureFooter"/>
      </w:pPr>
      <w:r>
        <w:t>Source: Table 195, p221 of the submission;</w:t>
      </w:r>
      <w:r w:rsidRPr="002A603B">
        <w:t xml:space="preserve"> </w:t>
      </w:r>
      <w:r>
        <w:t>Excel workbook ‘Zejula (niraparib) BIM’.</w:t>
      </w:r>
    </w:p>
    <w:p w:rsidR="008E27D3" w:rsidRDefault="008E27D3" w:rsidP="008E27D3">
      <w:pPr>
        <w:pStyle w:val="TableFigureFooter"/>
      </w:pPr>
      <w:r>
        <w:t>HGSOC = high grade serous ovarian cancer; SA = sensitivity analysis.</w:t>
      </w:r>
    </w:p>
    <w:p w:rsidR="008E27D3" w:rsidRPr="00032C5B" w:rsidRDefault="008E27D3" w:rsidP="008E27D3">
      <w:pPr>
        <w:pStyle w:val="TableFigureFooter"/>
        <w:ind w:left="142" w:hanging="142"/>
        <w:rPr>
          <w:iCs/>
        </w:rPr>
      </w:pPr>
      <w:r w:rsidRPr="00032C5B">
        <w:rPr>
          <w:vertAlign w:val="superscript"/>
        </w:rPr>
        <w:t xml:space="preserve">a </w:t>
      </w:r>
      <w:r w:rsidRPr="00032C5B">
        <w:rPr>
          <w:iCs/>
        </w:rPr>
        <w:t xml:space="preserve">Assuming 90.8% ([38%+1%+0%]/43.1%) of patients who qualify for niraparib were sensitive to first line platinum.  If x% of platinum-sensitive BRCAm patients receive olaparib 1L, the proportion of eligible BRCAm is 90.8% x (1 – x%) + (1 – 90.8%) = y%. This was applied to the proportion of the population who are BRCAm (28.9% x y%) in cell D570 of the spreadsheet ‘2a. Patients – incident’, while maintaining the non-BRCAm population at 71.1%. </w:t>
      </w:r>
    </w:p>
    <w:p w:rsidR="008E27D3" w:rsidRPr="00032C5B" w:rsidRDefault="008E27D3" w:rsidP="008E27D3">
      <w:pPr>
        <w:pStyle w:val="TableFigureFooter"/>
        <w:ind w:left="142" w:hanging="142"/>
        <w:rPr>
          <w:iCs/>
        </w:rPr>
      </w:pPr>
      <w:r w:rsidRPr="00032C5B">
        <w:rPr>
          <w:iCs/>
          <w:vertAlign w:val="superscript"/>
        </w:rPr>
        <w:t>b</w:t>
      </w:r>
      <w:r w:rsidRPr="00032C5B">
        <w:rPr>
          <w:iCs/>
        </w:rPr>
        <w:t xml:space="preserve"> If 50% of BRCAm patients receive first line olaparib (i.e. x = 50% in the equation above), then y = 10.5% (see note a). If x = 70%, y = 10.5%. </w:t>
      </w:r>
    </w:p>
    <w:p w:rsidR="008E27D3" w:rsidRDefault="008E27D3" w:rsidP="008E27D3">
      <w:pPr>
        <w:pStyle w:val="TableFigureFooter"/>
        <w:ind w:left="142" w:hanging="142"/>
        <w:rPr>
          <w:iCs/>
        </w:rPr>
      </w:pPr>
      <w:r w:rsidRPr="00032C5B">
        <w:rPr>
          <w:iCs/>
          <w:vertAlign w:val="superscript"/>
        </w:rPr>
        <w:t>c</w:t>
      </w:r>
      <w:r w:rsidRPr="00032C5B">
        <w:rPr>
          <w:iCs/>
        </w:rPr>
        <w:t xml:space="preserve"> Analyses #3 and #4 applied the weighted price of niraparib derived using the weighting proposed in the submission (28.9% BRCAm and 71.1% non-BRCAm)</w:t>
      </w:r>
    </w:p>
    <w:p w:rsidR="003125A9" w:rsidRPr="009868C4" w:rsidRDefault="003125A9" w:rsidP="003125A9">
      <w:pPr>
        <w:pStyle w:val="TableFigureFooter"/>
        <w:spacing w:after="0"/>
        <w:contextualSpacing w:val="0"/>
      </w:pPr>
      <w:r w:rsidRPr="009868C4">
        <w:rPr>
          <w:i/>
        </w:rPr>
        <w:t>The redacted values correspond to the following ranges</w:t>
      </w:r>
      <w:r>
        <w:rPr>
          <w:i/>
        </w:rPr>
        <w:t xml:space="preserve">: </w:t>
      </w:r>
    </w:p>
    <w:p w:rsidR="003125A9" w:rsidRPr="00614C0A" w:rsidRDefault="003125A9" w:rsidP="003125A9">
      <w:pPr>
        <w:pStyle w:val="TableFigureFooter"/>
        <w:ind w:left="142" w:hanging="142"/>
        <w:rPr>
          <w:i/>
          <w:iCs/>
        </w:rPr>
      </w:pPr>
      <w:r>
        <w:rPr>
          <w:i/>
          <w:iCs/>
          <w:vertAlign w:val="superscript"/>
        </w:rPr>
        <w:t xml:space="preserve">1 </w:t>
      </w:r>
      <w:r w:rsidRPr="00614C0A">
        <w:rPr>
          <w:i/>
          <w:iCs/>
        </w:rPr>
        <w:t>$60 million to &lt; $70 million</w:t>
      </w:r>
    </w:p>
    <w:p w:rsidR="003125A9" w:rsidRPr="00614C0A" w:rsidRDefault="003125A9" w:rsidP="003125A9">
      <w:pPr>
        <w:pStyle w:val="TableFigureFooter"/>
        <w:ind w:left="142" w:hanging="142"/>
        <w:rPr>
          <w:i/>
          <w:iCs/>
        </w:rPr>
      </w:pPr>
      <w:r>
        <w:rPr>
          <w:i/>
          <w:iCs/>
          <w:vertAlign w:val="superscript"/>
        </w:rPr>
        <w:t xml:space="preserve">2 </w:t>
      </w:r>
      <w:r w:rsidRPr="00614C0A">
        <w:rPr>
          <w:i/>
          <w:iCs/>
        </w:rPr>
        <w:t>$70 million to &lt; $80 million</w:t>
      </w:r>
    </w:p>
    <w:p w:rsidR="003125A9" w:rsidRPr="00614C0A" w:rsidRDefault="003125A9" w:rsidP="003125A9">
      <w:pPr>
        <w:pStyle w:val="TableFigureFooter"/>
        <w:ind w:left="142" w:hanging="142"/>
        <w:rPr>
          <w:i/>
          <w:iCs/>
        </w:rPr>
      </w:pPr>
      <w:r>
        <w:rPr>
          <w:i/>
          <w:iCs/>
          <w:vertAlign w:val="superscript"/>
        </w:rPr>
        <w:t xml:space="preserve">3 </w:t>
      </w:r>
      <w:r w:rsidRPr="00614C0A">
        <w:rPr>
          <w:i/>
          <w:iCs/>
        </w:rPr>
        <w:t>$80 million to &lt; $90 million</w:t>
      </w:r>
    </w:p>
    <w:p w:rsidR="003125A9" w:rsidRPr="00614C0A" w:rsidRDefault="003125A9" w:rsidP="003125A9">
      <w:pPr>
        <w:pStyle w:val="TableFigureFooter"/>
        <w:ind w:left="142" w:hanging="142"/>
        <w:rPr>
          <w:i/>
          <w:iCs/>
        </w:rPr>
      </w:pPr>
      <w:r>
        <w:rPr>
          <w:i/>
          <w:iCs/>
          <w:vertAlign w:val="superscript"/>
        </w:rPr>
        <w:t xml:space="preserve">4 </w:t>
      </w:r>
      <w:r w:rsidRPr="00614C0A">
        <w:rPr>
          <w:i/>
          <w:iCs/>
        </w:rPr>
        <w:t>$90 million to &lt; $100 million</w:t>
      </w:r>
    </w:p>
    <w:p w:rsidR="008E27D3" w:rsidRPr="0008321F" w:rsidRDefault="008E27D3" w:rsidP="002B72D8">
      <w:pPr>
        <w:pStyle w:val="3-BodyText"/>
        <w:ind w:left="709"/>
      </w:pPr>
      <w:bookmarkStart w:id="62" w:name="_Toc61962149"/>
      <w:r w:rsidRPr="0008321F">
        <w:t>DUSC consider</w:t>
      </w:r>
      <w:r w:rsidR="00FE4E66">
        <w:t>ed</w:t>
      </w:r>
      <w:r w:rsidRPr="0008321F">
        <w:t xml:space="preserve"> the </w:t>
      </w:r>
      <w:r>
        <w:t xml:space="preserve">patient </w:t>
      </w:r>
      <w:r w:rsidRPr="0008321F">
        <w:t xml:space="preserve">estimates </w:t>
      </w:r>
      <w:r w:rsidRPr="007227AB">
        <w:t>presented in the submission to be overestimated and the cost to be underestimated. The m</w:t>
      </w:r>
      <w:r w:rsidRPr="0008321F">
        <w:t xml:space="preserve">ain issues </w:t>
      </w:r>
      <w:r w:rsidR="00FE4E66">
        <w:t>were</w:t>
      </w:r>
      <w:r w:rsidRPr="0008321F">
        <w:t>:</w:t>
      </w:r>
    </w:p>
    <w:p w:rsidR="008E27D3" w:rsidRPr="00DF33A6" w:rsidRDefault="008E27D3" w:rsidP="00FE4E66">
      <w:pPr>
        <w:pStyle w:val="ListParagraph"/>
        <w:numPr>
          <w:ilvl w:val="0"/>
          <w:numId w:val="17"/>
        </w:numPr>
        <w:spacing w:after="0"/>
        <w:ind w:left="993"/>
        <w:contextualSpacing/>
      </w:pPr>
      <w:r w:rsidRPr="00DF33A6">
        <w:t xml:space="preserve">The financial estimates did not consider the impact of the recent listing of olaparib for first line maintenance treatment in patients with BRCAm platinum-sensitive high grade stage III/IV epithelial ovarian, fallopian tube or primary peritoneal cancer. As a result, the assumed prevalence of BRCAm in the eligible population (28.9%) was likely to be considerably overestimated because an increasing majority of patients with BRCA pathogenic variants are likely to have been treated with olaparib as first line maintenance. </w:t>
      </w:r>
    </w:p>
    <w:p w:rsidR="008E27D3" w:rsidRPr="002D2DD4" w:rsidRDefault="008E27D3" w:rsidP="00FE4E66">
      <w:pPr>
        <w:pStyle w:val="ListParagraph"/>
        <w:numPr>
          <w:ilvl w:val="0"/>
          <w:numId w:val="17"/>
        </w:numPr>
        <w:spacing w:after="0"/>
        <w:ind w:left="993"/>
        <w:contextualSpacing/>
      </w:pPr>
      <w:r w:rsidRPr="002D2DD4">
        <w:t>The number of patients switching from olaparib to niraparib is likely to be very small and these patients could reasonably be removed from the estimates.</w:t>
      </w:r>
    </w:p>
    <w:p w:rsidR="008E27D3" w:rsidRDefault="008E27D3" w:rsidP="00FE4E66">
      <w:pPr>
        <w:pStyle w:val="ListParagraph"/>
        <w:numPr>
          <w:ilvl w:val="0"/>
          <w:numId w:val="17"/>
        </w:numPr>
        <w:spacing w:after="0"/>
        <w:ind w:left="993"/>
        <w:contextualSpacing/>
      </w:pPr>
      <w:r w:rsidRPr="00DF33A6">
        <w:t>The cost offsets resulting from substitution of niraparib for use of olaparib as second and later line maintenance treatment were likely to be considerably overestimated.</w:t>
      </w:r>
    </w:p>
    <w:p w:rsidR="00E13718" w:rsidRPr="00C9624D" w:rsidRDefault="00E13718" w:rsidP="00BE64AA">
      <w:pPr>
        <w:pStyle w:val="4-SubsectionHeading"/>
      </w:pPr>
      <w:r w:rsidRPr="00C9624D">
        <w:t>Financial Management – Risk Sharing Arrangements</w:t>
      </w:r>
      <w:bookmarkEnd w:id="50"/>
      <w:bookmarkEnd w:id="51"/>
      <w:bookmarkEnd w:id="52"/>
      <w:bookmarkEnd w:id="62"/>
    </w:p>
    <w:p w:rsidR="00E13718" w:rsidRPr="00A737CF" w:rsidRDefault="00E13718" w:rsidP="00BE64AA">
      <w:pPr>
        <w:pStyle w:val="3-BodyText"/>
        <w:ind w:left="709"/>
        <w:rPr>
          <w:color w:val="000000" w:themeColor="text1"/>
        </w:rPr>
      </w:pPr>
      <w:r>
        <w:t xml:space="preserve">The submission stated that, given the requested restriction for niraparib, it is inappropriate for a broader PARP inhibitor agreement to be entered into with olaparib </w:t>
      </w:r>
      <w:r>
        <w:lastRenderedPageBreak/>
        <w:t>due to the inability to delineate use of niraparib in BRCAm and non-BRCAm populations via PBS items.</w:t>
      </w:r>
    </w:p>
    <w:p w:rsidR="008E27D3" w:rsidRPr="00A637A0" w:rsidRDefault="008E27D3" w:rsidP="00681899">
      <w:pPr>
        <w:pStyle w:val="2-SectionHeading"/>
      </w:pPr>
      <w:bookmarkStart w:id="63" w:name="_Toc22898863"/>
      <w:bookmarkStart w:id="64" w:name="_Toc57994550"/>
      <w:bookmarkEnd w:id="36"/>
      <w:bookmarkEnd w:id="37"/>
      <w:r w:rsidRPr="00A637A0">
        <w:t>PBAC Outcome</w:t>
      </w:r>
    </w:p>
    <w:p w:rsidR="004E42BD" w:rsidRPr="00681899" w:rsidRDefault="004E42BD" w:rsidP="00681899">
      <w:pPr>
        <w:widowControl w:val="0"/>
        <w:numPr>
          <w:ilvl w:val="1"/>
          <w:numId w:val="1"/>
        </w:numPr>
        <w:spacing w:after="120"/>
        <w:ind w:left="720"/>
        <w:rPr>
          <w:rFonts w:asciiTheme="minorHAnsi" w:hAnsiTheme="minorHAnsi"/>
          <w:bCs/>
          <w:lang w:val="en-GB"/>
        </w:rPr>
      </w:pPr>
      <w:r w:rsidRPr="00681899">
        <w:rPr>
          <w:rFonts w:asciiTheme="minorHAnsi" w:hAnsiTheme="minorHAnsi"/>
          <w:bCs/>
          <w:snapToGrid w:val="0"/>
          <w:lang w:val="en-GB"/>
        </w:rPr>
        <w:t>The PBAC did not recommend niraparib, for platinum-sensitive, relapsed, high grade serous ovarian, fallopian tube, or primary peritoneal cancer. The PBAC considered that for patients with BRCA1/2 pathogenic gene variants the most appropriate treatment is in the first line maintenance setting so the proposed second line listing would have diminishing clinical relevance over time. More importantly, the PBAC considered that the claim of non-inferior efficacy and safety compared with olaparib was not supported by the data presented, for the 300 mg TGA-approved dose. The PBAC considered that for patients without a BRCA1/2 pathogenic variant</w:t>
      </w:r>
      <w:r w:rsidR="00A24B6A">
        <w:rPr>
          <w:rFonts w:asciiTheme="minorHAnsi" w:hAnsiTheme="minorHAnsi"/>
          <w:bCs/>
          <w:snapToGrid w:val="0"/>
          <w:lang w:val="en-GB"/>
        </w:rPr>
        <w:t>,</w:t>
      </w:r>
      <w:r w:rsidRPr="00681899">
        <w:rPr>
          <w:rFonts w:asciiTheme="minorHAnsi" w:hAnsiTheme="minorHAnsi"/>
          <w:bCs/>
          <w:snapToGrid w:val="0"/>
          <w:lang w:val="en-GB"/>
        </w:rPr>
        <w:t xml:space="preserve"> the PFS benefit over standard medical management </w:t>
      </w:r>
      <w:r w:rsidR="00C3250F">
        <w:rPr>
          <w:rFonts w:asciiTheme="minorHAnsi" w:hAnsiTheme="minorHAnsi"/>
          <w:bCs/>
          <w:snapToGrid w:val="0"/>
          <w:lang w:val="en-GB"/>
        </w:rPr>
        <w:t xml:space="preserve">was difficult to interpret, given the missing long-term </w:t>
      </w:r>
      <w:r w:rsidR="0025770D">
        <w:rPr>
          <w:rFonts w:asciiTheme="minorHAnsi" w:hAnsiTheme="minorHAnsi"/>
          <w:bCs/>
          <w:snapToGrid w:val="0"/>
          <w:lang w:val="en-GB"/>
        </w:rPr>
        <w:t>data on overall survival</w:t>
      </w:r>
      <w:r w:rsidR="00971424">
        <w:rPr>
          <w:rFonts w:asciiTheme="minorHAnsi" w:hAnsiTheme="minorHAnsi"/>
          <w:bCs/>
          <w:snapToGrid w:val="0"/>
          <w:lang w:val="en-GB"/>
        </w:rPr>
        <w:t xml:space="preserve"> in the pivotal NOVA trial</w:t>
      </w:r>
      <w:r w:rsidR="0025770D">
        <w:rPr>
          <w:rFonts w:asciiTheme="minorHAnsi" w:hAnsiTheme="minorHAnsi"/>
          <w:bCs/>
          <w:snapToGrid w:val="0"/>
          <w:lang w:val="en-GB"/>
        </w:rPr>
        <w:t>. The cost utility model claimed a benefit on overall survival which was not established by the final DCO (1 Oct 2020)</w:t>
      </w:r>
      <w:r w:rsidR="009D28D1">
        <w:rPr>
          <w:rFonts w:asciiTheme="minorHAnsi" w:hAnsiTheme="minorHAnsi"/>
          <w:bCs/>
          <w:snapToGrid w:val="0"/>
          <w:lang w:val="en-GB"/>
        </w:rPr>
        <w:t xml:space="preserve"> </w:t>
      </w:r>
      <w:r w:rsidR="00971424">
        <w:rPr>
          <w:rFonts w:asciiTheme="minorHAnsi" w:hAnsiTheme="minorHAnsi"/>
          <w:bCs/>
          <w:snapToGrid w:val="0"/>
          <w:lang w:val="en-GB"/>
        </w:rPr>
        <w:t xml:space="preserve">for NOVA </w:t>
      </w:r>
      <w:r w:rsidR="009D28D1">
        <w:rPr>
          <w:rFonts w:asciiTheme="minorHAnsi" w:hAnsiTheme="minorHAnsi"/>
          <w:bCs/>
          <w:snapToGrid w:val="0"/>
          <w:lang w:val="en-GB"/>
        </w:rPr>
        <w:t>on either the unadjusted or the adjusted analysis (adjusted for subsequent PARPi use in the control group)</w:t>
      </w:r>
      <w:r w:rsidR="0025770D">
        <w:rPr>
          <w:rFonts w:asciiTheme="minorHAnsi" w:hAnsiTheme="minorHAnsi"/>
          <w:bCs/>
          <w:snapToGrid w:val="0"/>
          <w:lang w:val="en-GB"/>
        </w:rPr>
        <w:t>.</w:t>
      </w:r>
    </w:p>
    <w:p w:rsidR="008E27D3" w:rsidRPr="004736BC" w:rsidRDefault="0018692C">
      <w:pPr>
        <w:widowControl w:val="0"/>
        <w:numPr>
          <w:ilvl w:val="1"/>
          <w:numId w:val="1"/>
        </w:numPr>
        <w:spacing w:after="120"/>
        <w:ind w:left="720"/>
        <w:rPr>
          <w:rFonts w:asciiTheme="minorHAnsi" w:hAnsiTheme="minorHAnsi"/>
          <w:bCs/>
          <w:snapToGrid w:val="0"/>
          <w:lang w:val="en-GB"/>
        </w:rPr>
      </w:pPr>
      <w:r w:rsidRPr="00681899">
        <w:rPr>
          <w:rFonts w:asciiTheme="minorHAnsi" w:hAnsiTheme="minorHAnsi"/>
          <w:bCs/>
          <w:snapToGrid w:val="0"/>
          <w:lang w:val="en-GB"/>
        </w:rPr>
        <w:t xml:space="preserve">For patients with BRCAm, the PBAC considered the nominated comparator, olaparib, was appropriate. For patients without BRCA pathogenic variants (non-BRCAm), </w:t>
      </w:r>
      <w:r w:rsidRPr="007A5DAF">
        <w:rPr>
          <w:rFonts w:asciiTheme="minorHAnsi" w:hAnsiTheme="minorHAnsi"/>
          <w:bCs/>
          <w:snapToGrid w:val="0"/>
          <w:lang w:val="en-GB"/>
        </w:rPr>
        <w:t xml:space="preserve">PBAC considered the nominated comparator, </w:t>
      </w:r>
      <w:r>
        <w:rPr>
          <w:rFonts w:asciiTheme="minorHAnsi" w:hAnsiTheme="minorHAnsi"/>
          <w:bCs/>
          <w:snapToGrid w:val="0"/>
          <w:lang w:val="en-GB"/>
        </w:rPr>
        <w:t xml:space="preserve">standard medical management </w:t>
      </w:r>
      <w:r w:rsidRPr="00ED0174">
        <w:rPr>
          <w:rFonts w:asciiTheme="minorHAnsi" w:hAnsiTheme="minorHAnsi"/>
          <w:bCs/>
          <w:snapToGrid w:val="0"/>
          <w:lang w:val="en-GB"/>
        </w:rPr>
        <w:t xml:space="preserve">(follow-up or </w:t>
      </w:r>
      <w:r w:rsidRPr="004736BC">
        <w:rPr>
          <w:rFonts w:asciiTheme="minorHAnsi" w:hAnsiTheme="minorHAnsi"/>
          <w:bCs/>
          <w:snapToGrid w:val="0"/>
          <w:lang w:val="en-GB"/>
        </w:rPr>
        <w:t>no active treatment), was appropriate.</w:t>
      </w:r>
    </w:p>
    <w:p w:rsidR="004736BC" w:rsidRPr="0099362A" w:rsidRDefault="004736BC" w:rsidP="00681899">
      <w:pPr>
        <w:pStyle w:val="3-BodyText"/>
        <w:ind w:left="709"/>
      </w:pPr>
      <w:r w:rsidRPr="0099362A">
        <w:t xml:space="preserve">The </w:t>
      </w:r>
      <w:r w:rsidR="001E4A19">
        <w:t xml:space="preserve">PBAC noted that the </w:t>
      </w:r>
      <w:r w:rsidRPr="0099362A">
        <w:t xml:space="preserve">evidence presented </w:t>
      </w:r>
      <w:r>
        <w:t>in the submission was based on a</w:t>
      </w:r>
      <w:r w:rsidRPr="0099362A">
        <w:t xml:space="preserve"> direct comparison of niraparib versus placebo</w:t>
      </w:r>
      <w:r>
        <w:t xml:space="preserve"> from the </w:t>
      </w:r>
      <w:r w:rsidRPr="0099362A">
        <w:t>NOVA trial in patients with non-</w:t>
      </w:r>
      <w:r>
        <w:t xml:space="preserve">gBRCAm and a </w:t>
      </w:r>
      <w:r w:rsidRPr="0099362A">
        <w:t xml:space="preserve">one-step </w:t>
      </w:r>
      <w:r w:rsidR="00C3250F">
        <w:t xml:space="preserve">anchored </w:t>
      </w:r>
      <w:r w:rsidRPr="0099362A">
        <w:t xml:space="preserve">indirect comparison </w:t>
      </w:r>
      <w:r>
        <w:t>between</w:t>
      </w:r>
      <w:r w:rsidRPr="0099362A">
        <w:t xml:space="preserve"> niraparib</w:t>
      </w:r>
      <w:r>
        <w:t xml:space="preserve"> (NOVA trial)</w:t>
      </w:r>
      <w:r w:rsidRPr="0099362A">
        <w:t xml:space="preserve"> versus olaparib</w:t>
      </w:r>
      <w:r>
        <w:t xml:space="preserve"> (SOLO-2 trial)</w:t>
      </w:r>
      <w:r w:rsidRPr="0099362A">
        <w:t xml:space="preserve"> in patients with </w:t>
      </w:r>
      <w:r>
        <w:t>g</w:t>
      </w:r>
      <w:r w:rsidR="000D120C">
        <w:t xml:space="preserve">BRCAm </w:t>
      </w:r>
      <w:r w:rsidRPr="0099362A">
        <w:t xml:space="preserve">with placebo as a common comparator. </w:t>
      </w:r>
      <w:r>
        <w:t xml:space="preserve">The PBAC noted that </w:t>
      </w:r>
      <w:r w:rsidR="00F04E34">
        <w:t xml:space="preserve">both comparisons were based on the </w:t>
      </w:r>
      <w:r>
        <w:t>first data cut</w:t>
      </w:r>
      <w:r w:rsidR="001E4A19">
        <w:noBreakHyphen/>
        <w:t>o</w:t>
      </w:r>
      <w:r>
        <w:t xml:space="preserve">ff (2016) </w:t>
      </w:r>
      <w:r w:rsidR="00F04E34">
        <w:t xml:space="preserve">for NOVA </w:t>
      </w:r>
      <w:r>
        <w:t xml:space="preserve">and </w:t>
      </w:r>
      <w:r w:rsidR="00F04E34">
        <w:t xml:space="preserve">the pre-PBAC response provided updated </w:t>
      </w:r>
      <w:r w:rsidR="005F50BD">
        <w:t xml:space="preserve">overall survival </w:t>
      </w:r>
      <w:r w:rsidR="00F04E34">
        <w:t xml:space="preserve">efficacy results for NOVA with a data cut-off of </w:t>
      </w:r>
      <w:r w:rsidR="0083459B">
        <w:t>October 2020</w:t>
      </w:r>
      <w:r w:rsidR="00F04E34">
        <w:t>.</w:t>
      </w:r>
      <w:r w:rsidR="006A04A7">
        <w:t xml:space="preserve"> The PBAC noted that </w:t>
      </w:r>
      <w:r w:rsidR="00BB29B2">
        <w:t xml:space="preserve">overall </w:t>
      </w:r>
      <w:r w:rsidR="006A04A7">
        <w:t xml:space="preserve">discontinuation from the NOVA trial was &gt;80% in both arms of the trial, with early withdrawals </w:t>
      </w:r>
      <w:r w:rsidR="008B4119">
        <w:t xml:space="preserve">for reasons other than death (23-43%) </w:t>
      </w:r>
      <w:r w:rsidR="006A04A7">
        <w:t xml:space="preserve">limiting the survival status data and information regarding subsequent treatments. </w:t>
      </w:r>
    </w:p>
    <w:p w:rsidR="003C2322" w:rsidRDefault="000D120C" w:rsidP="003C2322">
      <w:pPr>
        <w:pStyle w:val="3-BodyText"/>
        <w:ind w:left="709"/>
      </w:pPr>
      <w:r>
        <w:t xml:space="preserve">The PBAC noted that patients in NOVA were stratified by germline BRCA status and the non-gBRCAm </w:t>
      </w:r>
      <w:r w:rsidR="006A04A7">
        <w:t>cohort</w:t>
      </w:r>
      <w:r>
        <w:t xml:space="preserve"> therefore included patients with somatic BRCAm (13%</w:t>
      </w:r>
      <w:r w:rsidR="00F74BC4">
        <w:t>)</w:t>
      </w:r>
      <w:r w:rsidR="003C2322" w:rsidRPr="00681899">
        <w:t xml:space="preserve">. As patients with </w:t>
      </w:r>
      <w:r w:rsidR="003C2322" w:rsidRPr="002B72D8">
        <w:t xml:space="preserve">germline or somatic BRCAm had a better response to treatment than patients in the non-gBRCAm cohort, </w:t>
      </w:r>
      <w:r w:rsidR="00F74BC4">
        <w:t xml:space="preserve">the </w:t>
      </w:r>
      <w:r w:rsidR="006A04A7">
        <w:t xml:space="preserve">PBAC considered that </w:t>
      </w:r>
      <w:r w:rsidR="003C2322" w:rsidRPr="002B72D8">
        <w:t>inclusion of sBRCAm patients in this group is likely to overestimate the clinical benefit for the true non-BRCAm group.</w:t>
      </w:r>
    </w:p>
    <w:p w:rsidR="006912A4" w:rsidRPr="002B72D8" w:rsidRDefault="006912A4" w:rsidP="002B72D8">
      <w:pPr>
        <w:pStyle w:val="3-BodyText"/>
        <w:ind w:left="709"/>
      </w:pPr>
      <w:r>
        <w:t xml:space="preserve">The submission proposed an individualised </w:t>
      </w:r>
      <w:r w:rsidR="00BE70CD">
        <w:t xml:space="preserve">starting </w:t>
      </w:r>
      <w:r>
        <w:t xml:space="preserve">dosage (200 mg or 300 mg based on patient weight and platelet count), which differed from the starting dose in NOVA (300 mg) and is not consistent with the </w:t>
      </w:r>
      <w:r w:rsidR="00BE70CD">
        <w:t xml:space="preserve">current </w:t>
      </w:r>
      <w:r>
        <w:t xml:space="preserve">Australian PI. The </w:t>
      </w:r>
      <w:r w:rsidR="00BE70CD">
        <w:t xml:space="preserve">PBAC considered the </w:t>
      </w:r>
      <w:r>
        <w:lastRenderedPageBreak/>
        <w:t xml:space="preserve">efficacy and safety of this individualised dose regimen </w:t>
      </w:r>
      <w:r w:rsidR="00BE70CD" w:rsidRPr="00D476BB">
        <w:t>has not been sufficiently established in the relevant population for this submission</w:t>
      </w:r>
      <w:r w:rsidR="00BE70CD">
        <w:t xml:space="preserve">. </w:t>
      </w:r>
    </w:p>
    <w:p w:rsidR="00C86720" w:rsidRPr="009400B2" w:rsidRDefault="006912A4" w:rsidP="00C86720">
      <w:pPr>
        <w:widowControl w:val="0"/>
        <w:numPr>
          <w:ilvl w:val="1"/>
          <w:numId w:val="1"/>
        </w:numPr>
        <w:spacing w:after="120"/>
        <w:ind w:left="720"/>
        <w:rPr>
          <w:bCs/>
          <w:lang w:val="en-GB"/>
        </w:rPr>
      </w:pPr>
      <w:r w:rsidRPr="002B72D8">
        <w:rPr>
          <w:b/>
        </w:rPr>
        <w:t>With regard to the BRCAm population</w:t>
      </w:r>
      <w:r>
        <w:t>, i</w:t>
      </w:r>
      <w:r w:rsidR="00C86720">
        <w:t xml:space="preserve">n both </w:t>
      </w:r>
      <w:r w:rsidR="00F74BC4">
        <w:t xml:space="preserve">the </w:t>
      </w:r>
      <w:r w:rsidR="00F74BC4" w:rsidRPr="009400B2">
        <w:rPr>
          <w:rFonts w:asciiTheme="minorHAnsi" w:hAnsiTheme="minorHAnsi"/>
          <w:bCs/>
          <w:snapToGrid w:val="0"/>
          <w:lang w:val="en-GB"/>
        </w:rPr>
        <w:t xml:space="preserve">NOVA trial and SOLO-2 trial </w:t>
      </w:r>
      <w:r w:rsidR="00C86720">
        <w:t xml:space="preserve">there was a statistically significant PFS benefit in favour of the </w:t>
      </w:r>
      <w:r w:rsidR="00C86720" w:rsidRPr="009400B2">
        <w:rPr>
          <w:rFonts w:asciiTheme="minorHAnsi" w:hAnsiTheme="minorHAnsi"/>
          <w:bCs/>
          <w:snapToGrid w:val="0"/>
          <w:lang w:val="en-GB"/>
        </w:rPr>
        <w:t>active arms (compared to placebo), with a similar median PFS in the placebo arms in both the NOVA trial and SOLO-2 trial (5.5 months). No statistically significant difference in PFS was observed in the indirect comparison between niraparib versus olaparib</w:t>
      </w:r>
      <w:r>
        <w:rPr>
          <w:rFonts w:asciiTheme="minorHAnsi" w:hAnsiTheme="minorHAnsi"/>
          <w:bCs/>
          <w:snapToGrid w:val="0"/>
          <w:lang w:val="en-GB"/>
        </w:rPr>
        <w:t>, however the non-inferiority margin proposed was not appropriate</w:t>
      </w:r>
      <w:r w:rsidR="00C86720" w:rsidRPr="009400B2">
        <w:rPr>
          <w:rFonts w:asciiTheme="minorHAnsi" w:hAnsiTheme="minorHAnsi"/>
          <w:bCs/>
          <w:snapToGrid w:val="0"/>
          <w:lang w:val="en-GB"/>
        </w:rPr>
        <w:t>.</w:t>
      </w:r>
    </w:p>
    <w:p w:rsidR="00C86720" w:rsidRPr="009400B2" w:rsidRDefault="00C86720" w:rsidP="00C86720">
      <w:pPr>
        <w:widowControl w:val="0"/>
        <w:numPr>
          <w:ilvl w:val="1"/>
          <w:numId w:val="1"/>
        </w:numPr>
        <w:spacing w:after="120"/>
        <w:ind w:left="720"/>
        <w:rPr>
          <w:rFonts w:asciiTheme="minorHAnsi" w:hAnsiTheme="minorHAnsi"/>
          <w:bCs/>
          <w:snapToGrid w:val="0"/>
          <w:lang w:val="en-GB"/>
        </w:rPr>
      </w:pPr>
      <w:r w:rsidRPr="009400B2">
        <w:rPr>
          <w:rFonts w:asciiTheme="minorHAnsi" w:hAnsiTheme="minorHAnsi"/>
          <w:bCs/>
          <w:snapToGrid w:val="0"/>
          <w:lang w:val="en-GB"/>
        </w:rPr>
        <w:t xml:space="preserve">The </w:t>
      </w:r>
      <w:r w:rsidR="006912A4">
        <w:rPr>
          <w:rFonts w:asciiTheme="minorHAnsi" w:hAnsiTheme="minorHAnsi"/>
          <w:bCs/>
          <w:snapToGrid w:val="0"/>
          <w:lang w:val="en-GB"/>
        </w:rPr>
        <w:t xml:space="preserve">PBAC noted that </w:t>
      </w:r>
      <w:r w:rsidRPr="009400B2">
        <w:rPr>
          <w:rFonts w:asciiTheme="minorHAnsi" w:hAnsiTheme="minorHAnsi"/>
          <w:bCs/>
          <w:snapToGrid w:val="0"/>
          <w:lang w:val="en-GB"/>
        </w:rPr>
        <w:t xml:space="preserve">updated OS results of SOLO-2 showed borderline </w:t>
      </w:r>
      <w:r>
        <w:rPr>
          <w:rFonts w:asciiTheme="minorHAnsi" w:hAnsiTheme="minorHAnsi"/>
          <w:bCs/>
          <w:snapToGrid w:val="0"/>
          <w:lang w:val="en-GB"/>
        </w:rPr>
        <w:t xml:space="preserve">statistically </w:t>
      </w:r>
      <w:r w:rsidRPr="009400B2">
        <w:rPr>
          <w:rFonts w:asciiTheme="minorHAnsi" w:hAnsiTheme="minorHAnsi"/>
          <w:bCs/>
          <w:snapToGrid w:val="0"/>
          <w:lang w:val="en-GB"/>
        </w:rPr>
        <w:t>significant OS benefit with the use of olaparib compared to placebo (HR= 0.74, 95%CI: 0.54, 1.00)</w:t>
      </w:r>
      <w:r w:rsidR="00971424">
        <w:rPr>
          <w:rFonts w:asciiTheme="minorHAnsi" w:hAnsiTheme="minorHAnsi"/>
          <w:bCs/>
          <w:snapToGrid w:val="0"/>
          <w:lang w:val="en-GB"/>
        </w:rPr>
        <w:t>. F</w:t>
      </w:r>
      <w:r>
        <w:rPr>
          <w:rFonts w:asciiTheme="minorHAnsi" w:hAnsiTheme="minorHAnsi"/>
          <w:bCs/>
          <w:snapToGrid w:val="0"/>
          <w:lang w:val="en-GB"/>
        </w:rPr>
        <w:t xml:space="preserve">ollowing adjustment </w:t>
      </w:r>
      <w:r w:rsidRPr="009400B2">
        <w:rPr>
          <w:rFonts w:asciiTheme="minorHAnsi" w:hAnsiTheme="minorHAnsi"/>
          <w:bCs/>
          <w:snapToGrid w:val="0"/>
          <w:lang w:val="en-GB"/>
        </w:rPr>
        <w:t xml:space="preserve">for treatment switching using a </w:t>
      </w:r>
      <w:r w:rsidRPr="00A637A0">
        <w:rPr>
          <w:rFonts w:asciiTheme="minorHAnsi" w:hAnsiTheme="minorHAnsi"/>
          <w:bCs/>
          <w:snapToGrid w:val="0"/>
          <w:lang w:val="en-GB"/>
        </w:rPr>
        <w:t>RPSFT</w:t>
      </w:r>
      <w:r>
        <w:rPr>
          <w:rFonts w:asciiTheme="minorHAnsi" w:hAnsiTheme="minorHAnsi"/>
          <w:bCs/>
          <w:snapToGrid w:val="0"/>
          <w:lang w:val="en-GB"/>
        </w:rPr>
        <w:t xml:space="preserve"> model</w:t>
      </w:r>
      <w:r w:rsidRPr="009400B2">
        <w:rPr>
          <w:rFonts w:asciiTheme="minorHAnsi" w:hAnsiTheme="minorHAnsi"/>
          <w:bCs/>
          <w:snapToGrid w:val="0"/>
          <w:lang w:val="en-GB"/>
        </w:rPr>
        <w:t xml:space="preserve"> </w:t>
      </w:r>
      <w:r w:rsidR="00971424">
        <w:rPr>
          <w:rFonts w:asciiTheme="minorHAnsi" w:hAnsiTheme="minorHAnsi"/>
          <w:bCs/>
          <w:snapToGrid w:val="0"/>
          <w:lang w:val="en-GB"/>
        </w:rPr>
        <w:t xml:space="preserve">the treatment effect was larger </w:t>
      </w:r>
      <w:r>
        <w:rPr>
          <w:rFonts w:asciiTheme="minorHAnsi" w:hAnsiTheme="minorHAnsi"/>
          <w:bCs/>
          <w:snapToGrid w:val="0"/>
          <w:lang w:val="en-GB"/>
        </w:rPr>
        <w:t xml:space="preserve">(OS </w:t>
      </w:r>
      <w:r w:rsidR="00C84133">
        <w:rPr>
          <w:rFonts w:asciiTheme="minorHAnsi" w:hAnsiTheme="minorHAnsi"/>
          <w:bCs/>
          <w:snapToGrid w:val="0"/>
          <w:lang w:val="en-GB"/>
        </w:rPr>
        <w:t xml:space="preserve">HR </w:t>
      </w:r>
      <w:r>
        <w:rPr>
          <w:rFonts w:asciiTheme="minorHAnsi" w:hAnsiTheme="minorHAnsi"/>
          <w:bCs/>
          <w:snapToGrid w:val="0"/>
          <w:lang w:val="en-GB"/>
        </w:rPr>
        <w:t>= 0.56, 95%CI: 0.35, 0.97)</w:t>
      </w:r>
      <w:r w:rsidRPr="006C1768">
        <w:rPr>
          <w:rFonts w:asciiTheme="minorHAnsi" w:hAnsiTheme="minorHAnsi"/>
          <w:bCs/>
          <w:snapToGrid w:val="0"/>
          <w:lang w:val="en-GB"/>
        </w:rPr>
        <w:t xml:space="preserve">. </w:t>
      </w:r>
      <w:r w:rsidRPr="009400B2">
        <w:rPr>
          <w:rFonts w:asciiTheme="minorHAnsi" w:hAnsiTheme="minorHAnsi"/>
          <w:bCs/>
          <w:snapToGrid w:val="0"/>
          <w:lang w:val="en-GB"/>
        </w:rPr>
        <w:t>The PBAC noted that</w:t>
      </w:r>
      <w:r w:rsidR="00EB4556">
        <w:rPr>
          <w:rFonts w:asciiTheme="minorHAnsi" w:hAnsiTheme="minorHAnsi"/>
          <w:bCs/>
          <w:snapToGrid w:val="0"/>
          <w:lang w:val="en-GB"/>
        </w:rPr>
        <w:t xml:space="preserve"> </w:t>
      </w:r>
      <w:r w:rsidRPr="009400B2">
        <w:rPr>
          <w:rFonts w:asciiTheme="minorHAnsi" w:hAnsiTheme="minorHAnsi"/>
          <w:bCs/>
          <w:snapToGrid w:val="0"/>
          <w:lang w:val="en-GB"/>
        </w:rPr>
        <w:t xml:space="preserve">the final DCO of NOVA did not demonstrate a statistically significant difference for the unadjusted OS HR (0.93, 95%CI: 0.633, 1.355) and </w:t>
      </w:r>
      <w:r w:rsidR="007330F7">
        <w:rPr>
          <w:rFonts w:asciiTheme="minorHAnsi" w:hAnsiTheme="minorHAnsi"/>
          <w:bCs/>
          <w:snapToGrid w:val="0"/>
          <w:lang w:val="en-GB"/>
        </w:rPr>
        <w:t>the HR for OS after</w:t>
      </w:r>
      <w:r w:rsidRPr="009400B2">
        <w:rPr>
          <w:rFonts w:asciiTheme="minorHAnsi" w:hAnsiTheme="minorHAnsi"/>
          <w:bCs/>
          <w:snapToGrid w:val="0"/>
          <w:lang w:val="en-GB"/>
        </w:rPr>
        <w:t xml:space="preserve"> </w:t>
      </w:r>
      <w:r w:rsidR="007330F7">
        <w:rPr>
          <w:rFonts w:asciiTheme="minorHAnsi" w:hAnsiTheme="minorHAnsi"/>
          <w:bCs/>
          <w:snapToGrid w:val="0"/>
          <w:lang w:val="en-GB"/>
        </w:rPr>
        <w:t xml:space="preserve">adjusting </w:t>
      </w:r>
      <w:r w:rsidRPr="009400B2">
        <w:rPr>
          <w:rFonts w:asciiTheme="minorHAnsi" w:hAnsiTheme="minorHAnsi"/>
          <w:bCs/>
          <w:snapToGrid w:val="0"/>
          <w:lang w:val="en-GB"/>
        </w:rPr>
        <w:t xml:space="preserve">for subsequent treatment with PARPi (46%) </w:t>
      </w:r>
      <w:r w:rsidR="007330F7">
        <w:rPr>
          <w:rFonts w:asciiTheme="minorHAnsi" w:hAnsiTheme="minorHAnsi"/>
          <w:bCs/>
          <w:snapToGrid w:val="0"/>
          <w:lang w:val="en-GB"/>
        </w:rPr>
        <w:t>was</w:t>
      </w:r>
      <w:r w:rsidRPr="009400B2">
        <w:rPr>
          <w:rFonts w:asciiTheme="minorHAnsi" w:hAnsiTheme="minorHAnsi"/>
          <w:bCs/>
          <w:snapToGrid w:val="0"/>
          <w:lang w:val="en-GB"/>
        </w:rPr>
        <w:t xml:space="preserve"> HR= 0.66, 95%CI: 0.44, 0.99). The PBAC noted that the adjusted OS</w:t>
      </w:r>
      <w:r w:rsidR="006912A4">
        <w:rPr>
          <w:rFonts w:asciiTheme="minorHAnsi" w:hAnsiTheme="minorHAnsi"/>
          <w:bCs/>
          <w:snapToGrid w:val="0"/>
          <w:lang w:val="en-GB"/>
        </w:rPr>
        <w:t xml:space="preserve"> HR and the methodology applied</w:t>
      </w:r>
      <w:r w:rsidRPr="009400B2">
        <w:rPr>
          <w:rFonts w:asciiTheme="minorHAnsi" w:hAnsiTheme="minorHAnsi"/>
          <w:bCs/>
          <w:snapToGrid w:val="0"/>
          <w:lang w:val="en-GB"/>
        </w:rPr>
        <w:t xml:space="preserve"> had not been independently </w:t>
      </w:r>
      <w:r w:rsidR="006912A4">
        <w:rPr>
          <w:rFonts w:asciiTheme="minorHAnsi" w:hAnsiTheme="minorHAnsi"/>
          <w:bCs/>
          <w:snapToGrid w:val="0"/>
          <w:lang w:val="en-GB"/>
        </w:rPr>
        <w:t>evaluated</w:t>
      </w:r>
      <w:r w:rsidRPr="009400B2">
        <w:rPr>
          <w:rFonts w:asciiTheme="minorHAnsi" w:hAnsiTheme="minorHAnsi"/>
          <w:bCs/>
          <w:snapToGrid w:val="0"/>
          <w:lang w:val="en-GB"/>
        </w:rPr>
        <w:t xml:space="preserve"> as it was provided with the pre-PBAC response. The PBAC considered that it was unclear whether niraparib is non-inferior to olaparib in patients with BRCA1/2 pathogenic variants, especially given the lack of </w:t>
      </w:r>
      <w:r>
        <w:rPr>
          <w:rFonts w:asciiTheme="minorHAnsi" w:hAnsiTheme="minorHAnsi"/>
          <w:bCs/>
          <w:snapToGrid w:val="0"/>
          <w:lang w:val="en-GB"/>
        </w:rPr>
        <w:t xml:space="preserve">demonstrated </w:t>
      </w:r>
      <w:r w:rsidRPr="009400B2">
        <w:rPr>
          <w:rFonts w:asciiTheme="minorHAnsi" w:hAnsiTheme="minorHAnsi"/>
          <w:bCs/>
          <w:snapToGrid w:val="0"/>
          <w:lang w:val="en-GB"/>
        </w:rPr>
        <w:t>OS benefit for niraparib</w:t>
      </w:r>
      <w:r>
        <w:rPr>
          <w:rFonts w:asciiTheme="minorHAnsi" w:hAnsiTheme="minorHAnsi"/>
          <w:bCs/>
          <w:snapToGrid w:val="0"/>
          <w:lang w:val="en-GB"/>
        </w:rPr>
        <w:t xml:space="preserve"> compared with placebo</w:t>
      </w:r>
      <w:r w:rsidRPr="009400B2">
        <w:rPr>
          <w:rFonts w:asciiTheme="minorHAnsi" w:hAnsiTheme="minorHAnsi"/>
          <w:bCs/>
          <w:snapToGrid w:val="0"/>
          <w:lang w:val="en-GB"/>
        </w:rPr>
        <w:t xml:space="preserve">. </w:t>
      </w:r>
    </w:p>
    <w:p w:rsidR="00C86720" w:rsidRPr="00A637A0" w:rsidRDefault="00C86720" w:rsidP="00C86720">
      <w:pPr>
        <w:pStyle w:val="3-BodyText"/>
        <w:ind w:left="709"/>
      </w:pPr>
      <w:r>
        <w:t xml:space="preserve">The PBAC noted that niraparib had </w:t>
      </w:r>
      <w:r w:rsidRPr="00A0281F">
        <w:t>higher rat</w:t>
      </w:r>
      <w:r>
        <w:t xml:space="preserve">es of grade 3-4 adverse events </w:t>
      </w:r>
      <w:r w:rsidRPr="00A0281F">
        <w:t>compared to olapari</w:t>
      </w:r>
      <w:r>
        <w:t xml:space="preserve">b. The PBAC also noted the </w:t>
      </w:r>
      <w:r w:rsidRPr="00A0281F">
        <w:t xml:space="preserve">shorter median treatment duration </w:t>
      </w:r>
      <w:r>
        <w:t>for</w:t>
      </w:r>
      <w:r w:rsidRPr="00A0281F">
        <w:t xml:space="preserve"> niraparib (12 months) compared to olaparib (19.4 months)</w:t>
      </w:r>
      <w:r>
        <w:t xml:space="preserve"> which may also reflect additional toxicity for niraparib</w:t>
      </w:r>
      <w:r w:rsidRPr="00A0281F">
        <w:t>.</w:t>
      </w:r>
      <w:r>
        <w:t xml:space="preserve"> </w:t>
      </w:r>
      <w:r w:rsidRPr="00A637A0">
        <w:t xml:space="preserve">The PBAC considered that the safety of niraparib, using a starting dose of niraparib of 300 mg daily as in the NOVA trial, appeared inferior to olaparib based on the available data. </w:t>
      </w:r>
    </w:p>
    <w:p w:rsidR="0047525B" w:rsidRPr="002B72D8" w:rsidRDefault="00BE70CD" w:rsidP="00681899">
      <w:pPr>
        <w:pStyle w:val="3-BodyText"/>
        <w:widowControl w:val="0"/>
        <w:ind w:left="720"/>
        <w:rPr>
          <w:bCs/>
          <w:lang w:val="en-GB"/>
        </w:rPr>
      </w:pPr>
      <w:r>
        <w:rPr>
          <w:b/>
          <w:bCs/>
          <w:lang w:val="en-GB"/>
        </w:rPr>
        <w:t xml:space="preserve">With regard to the </w:t>
      </w:r>
      <w:r w:rsidR="007A038C">
        <w:rPr>
          <w:b/>
          <w:bCs/>
          <w:lang w:val="en-GB"/>
        </w:rPr>
        <w:t>non-</w:t>
      </w:r>
      <w:r w:rsidR="001E4A19" w:rsidRPr="002B72D8">
        <w:rPr>
          <w:b/>
        </w:rPr>
        <w:t>BRCA</w:t>
      </w:r>
      <w:r w:rsidR="007A038C">
        <w:rPr>
          <w:b/>
        </w:rPr>
        <w:t>m</w:t>
      </w:r>
      <w:r>
        <w:rPr>
          <w:b/>
        </w:rPr>
        <w:t xml:space="preserve"> population </w:t>
      </w:r>
      <w:r w:rsidRPr="00823D4A">
        <w:t>t</w:t>
      </w:r>
      <w:r w:rsidR="006A04A7">
        <w:t xml:space="preserve">he PBAC noted that compared to placebo, niraparib resulted in 5.4 months increase in median PFS with HR = 0.45 (95%CI: 0.34, 0.61). </w:t>
      </w:r>
      <w:r w:rsidR="0047525B" w:rsidRPr="00823D4A">
        <w:rPr>
          <w:bCs/>
          <w:lang w:val="en-GB"/>
        </w:rPr>
        <w:t>The PBAC considered that for patients with BRCAwt niraparib appeared superior in PFS</w:t>
      </w:r>
      <w:r w:rsidR="0047525B" w:rsidRPr="00D3708F">
        <w:rPr>
          <w:bCs/>
          <w:lang w:val="en-GB"/>
        </w:rPr>
        <w:t xml:space="preserve"> to no active treatment, however </w:t>
      </w:r>
      <w:r w:rsidR="0047525B" w:rsidRPr="002B72D8">
        <w:rPr>
          <w:bCs/>
          <w:lang w:val="en-GB"/>
        </w:rPr>
        <w:t xml:space="preserve">the </w:t>
      </w:r>
      <w:r w:rsidR="00ED513C">
        <w:rPr>
          <w:bCs/>
          <w:lang w:val="en-GB"/>
        </w:rPr>
        <w:t xml:space="preserve">PFS </w:t>
      </w:r>
      <w:r w:rsidR="0047525B" w:rsidRPr="002B72D8">
        <w:rPr>
          <w:bCs/>
          <w:lang w:val="en-GB"/>
        </w:rPr>
        <w:t xml:space="preserve">benefit </w:t>
      </w:r>
      <w:r w:rsidR="00971424">
        <w:rPr>
          <w:bCs/>
          <w:lang w:val="en-GB"/>
        </w:rPr>
        <w:t>was difficult to interpret</w:t>
      </w:r>
      <w:r w:rsidR="0047525B" w:rsidRPr="002B72D8">
        <w:rPr>
          <w:bCs/>
          <w:lang w:val="en-GB"/>
        </w:rPr>
        <w:t>, especially in HRD negative patients within the BRCAwt group</w:t>
      </w:r>
      <w:r w:rsidR="00971424">
        <w:rPr>
          <w:bCs/>
          <w:lang w:val="en-GB"/>
        </w:rPr>
        <w:t>, given the missing long-term data for overall survival in the NOVA trial</w:t>
      </w:r>
    </w:p>
    <w:p w:rsidR="006E322C" w:rsidRPr="00823D4A" w:rsidRDefault="0047525B" w:rsidP="002B72D8">
      <w:pPr>
        <w:widowControl w:val="0"/>
        <w:numPr>
          <w:ilvl w:val="1"/>
          <w:numId w:val="1"/>
        </w:numPr>
        <w:spacing w:after="120"/>
        <w:ind w:left="720"/>
        <w:rPr>
          <w:bCs/>
          <w:lang w:val="en-GB"/>
        </w:rPr>
      </w:pPr>
      <w:r w:rsidRPr="00681899">
        <w:rPr>
          <w:rFonts w:asciiTheme="minorHAnsi" w:hAnsiTheme="minorHAnsi"/>
          <w:bCs/>
          <w:snapToGrid w:val="0"/>
          <w:lang w:val="en-GB"/>
        </w:rPr>
        <w:t>The PBAC noted that at the final data cut (October 2020) a higher proportion of patients had died in the niraparib arm than the placebo arm and the unadjusted OS HR numerically favoured placebo, though there was no statistically significant difference. The PBAC noted that the</w:t>
      </w:r>
      <w:r w:rsidR="00F01DAA">
        <w:rPr>
          <w:rFonts w:asciiTheme="minorHAnsi" w:hAnsiTheme="minorHAnsi"/>
          <w:bCs/>
          <w:snapToGrid w:val="0"/>
          <w:lang w:val="en-GB"/>
        </w:rPr>
        <w:t xml:space="preserve"> NOVA</w:t>
      </w:r>
      <w:r w:rsidRPr="002B72D8">
        <w:rPr>
          <w:rFonts w:asciiTheme="minorHAnsi" w:hAnsiTheme="minorHAnsi"/>
          <w:bCs/>
          <w:snapToGrid w:val="0"/>
          <w:lang w:val="en-GB"/>
        </w:rPr>
        <w:t xml:space="preserve"> trial was not powered to detect differences in OS. Further</w:t>
      </w:r>
      <w:r w:rsidR="001E4A19">
        <w:rPr>
          <w:rFonts w:asciiTheme="minorHAnsi" w:hAnsiTheme="minorHAnsi"/>
          <w:bCs/>
          <w:snapToGrid w:val="0"/>
          <w:lang w:val="en-GB"/>
        </w:rPr>
        <w:t>,</w:t>
      </w:r>
      <w:r w:rsidRPr="002B72D8">
        <w:rPr>
          <w:rFonts w:asciiTheme="minorHAnsi" w:hAnsiTheme="minorHAnsi"/>
          <w:bCs/>
          <w:snapToGrid w:val="0"/>
          <w:lang w:val="en-GB"/>
        </w:rPr>
        <w:t xml:space="preserve"> the interpretation of OS outcomes in the final data cut were hindered by missing survival status data and information regarding subsequent treatments as a result of the high rates of discontinuations from the study.</w:t>
      </w:r>
      <w:r w:rsidR="00E74E47">
        <w:rPr>
          <w:rFonts w:asciiTheme="minorHAnsi" w:hAnsiTheme="minorHAnsi"/>
          <w:bCs/>
          <w:snapToGrid w:val="0"/>
          <w:lang w:val="en-GB"/>
        </w:rPr>
        <w:t xml:space="preserve"> </w:t>
      </w:r>
    </w:p>
    <w:p w:rsidR="006E322C" w:rsidRDefault="006E322C" w:rsidP="006E322C">
      <w:pPr>
        <w:pStyle w:val="3-BodyText"/>
        <w:ind w:left="709"/>
      </w:pPr>
      <w:r>
        <w:t xml:space="preserve">The PBAC noted that, compared to standard medical management, niraparib had </w:t>
      </w:r>
      <w:r w:rsidRPr="00A0281F">
        <w:t>higher rat</w:t>
      </w:r>
      <w:r>
        <w:t xml:space="preserve">es of grade 3-4 TEAEs (71% versus 23.7%), increased risk of SAEs (29.4% </w:t>
      </w:r>
      <w:r>
        <w:lastRenderedPageBreak/>
        <w:t xml:space="preserve">versus 17.5%) and increased risk of treatment discontinuation due to TEAEs (15.6% versus 2.6%). </w:t>
      </w:r>
      <w:r w:rsidR="002B67B4">
        <w:t xml:space="preserve">The PBAC also noted </w:t>
      </w:r>
      <w:r w:rsidR="00B55BB6">
        <w:t xml:space="preserve">the increased incidence of AML and MDS as a class effect of PARP inhibitors, </w:t>
      </w:r>
      <w:r w:rsidR="009F2197">
        <w:t xml:space="preserve">and </w:t>
      </w:r>
      <w:r w:rsidR="00C66291">
        <w:t xml:space="preserve">considered that long-term </w:t>
      </w:r>
      <w:r w:rsidR="009710AA">
        <w:t xml:space="preserve">safety data from the </w:t>
      </w:r>
      <w:r w:rsidR="00C66291">
        <w:t xml:space="preserve">NOVA trial </w:t>
      </w:r>
      <w:r w:rsidR="00B269C0">
        <w:t>was required</w:t>
      </w:r>
      <w:r w:rsidR="00384EA3">
        <w:t xml:space="preserve"> to evaluate this life-threate</w:t>
      </w:r>
      <w:r w:rsidR="005B608A">
        <w:t>n</w:t>
      </w:r>
      <w:r w:rsidR="00384EA3">
        <w:t xml:space="preserve">ing </w:t>
      </w:r>
      <w:r w:rsidR="00844686">
        <w:t>adverse event for niraparib.</w:t>
      </w:r>
      <w:r w:rsidR="00B269C0">
        <w:t xml:space="preserve"> </w:t>
      </w:r>
      <w:r w:rsidRPr="00A637A0">
        <w:t xml:space="preserve">The PBAC considered that the comparative safety for niraparib was inferior to </w:t>
      </w:r>
      <w:r>
        <w:t>SMM</w:t>
      </w:r>
      <w:r w:rsidRPr="00A637A0">
        <w:t>.</w:t>
      </w:r>
    </w:p>
    <w:p w:rsidR="0047525B" w:rsidRPr="007330F7" w:rsidRDefault="006E322C" w:rsidP="002B72D8">
      <w:pPr>
        <w:widowControl w:val="0"/>
        <w:numPr>
          <w:ilvl w:val="1"/>
          <w:numId w:val="1"/>
        </w:numPr>
        <w:spacing w:after="120"/>
        <w:ind w:left="720"/>
        <w:rPr>
          <w:bCs/>
          <w:lang w:val="en-GB"/>
        </w:rPr>
      </w:pPr>
      <w:r>
        <w:rPr>
          <w:rFonts w:asciiTheme="minorHAnsi" w:hAnsiTheme="minorHAnsi"/>
          <w:bCs/>
          <w:snapToGrid w:val="0"/>
          <w:lang w:val="en-GB"/>
        </w:rPr>
        <w:t xml:space="preserve">The PBAC noted that, compared with the BRCAm patients, the </w:t>
      </w:r>
      <w:r w:rsidR="00BE70CD">
        <w:rPr>
          <w:rFonts w:asciiTheme="minorHAnsi" w:hAnsiTheme="minorHAnsi"/>
          <w:bCs/>
          <w:snapToGrid w:val="0"/>
          <w:lang w:val="en-GB"/>
        </w:rPr>
        <w:t xml:space="preserve">PFS </w:t>
      </w:r>
      <w:r>
        <w:rPr>
          <w:rFonts w:asciiTheme="minorHAnsi" w:hAnsiTheme="minorHAnsi"/>
          <w:bCs/>
          <w:snapToGrid w:val="0"/>
          <w:lang w:val="en-GB"/>
        </w:rPr>
        <w:t xml:space="preserve">benefit appears to be reduced in the BRCAwt HRD positive population and further reduced in the BRCAwt HRD negative population. </w:t>
      </w:r>
      <w:r w:rsidR="00BE70CD">
        <w:rPr>
          <w:bCs/>
          <w:lang w:val="en-GB"/>
        </w:rPr>
        <w:t xml:space="preserve">The PBAC considered it is </w:t>
      </w:r>
      <w:r w:rsidR="00BE70CD" w:rsidRPr="00A0281F">
        <w:t>unknown if the observed PFS improvement will be translated into an OS benefit</w:t>
      </w:r>
      <w:r w:rsidR="00DA186F">
        <w:t xml:space="preserve"> and </w:t>
      </w:r>
      <w:r>
        <w:rPr>
          <w:rFonts w:asciiTheme="minorHAnsi" w:hAnsiTheme="minorHAnsi"/>
          <w:bCs/>
          <w:snapToGrid w:val="0"/>
          <w:lang w:val="en-GB"/>
        </w:rPr>
        <w:t>that to accept</w:t>
      </w:r>
      <w:r w:rsidR="00DA186F">
        <w:rPr>
          <w:rFonts w:asciiTheme="minorHAnsi" w:hAnsiTheme="minorHAnsi"/>
          <w:bCs/>
          <w:snapToGrid w:val="0"/>
          <w:lang w:val="en-GB"/>
        </w:rPr>
        <w:t xml:space="preserve"> the spon</w:t>
      </w:r>
      <w:r w:rsidR="00A24B6A">
        <w:rPr>
          <w:rFonts w:asciiTheme="minorHAnsi" w:hAnsiTheme="minorHAnsi"/>
          <w:bCs/>
          <w:snapToGrid w:val="0"/>
          <w:lang w:val="en-GB"/>
        </w:rPr>
        <w:t>s</w:t>
      </w:r>
      <w:r w:rsidR="00DA186F">
        <w:rPr>
          <w:rFonts w:asciiTheme="minorHAnsi" w:hAnsiTheme="minorHAnsi"/>
          <w:bCs/>
          <w:snapToGrid w:val="0"/>
          <w:lang w:val="en-GB"/>
        </w:rPr>
        <w:t>or’s CUA model for</w:t>
      </w:r>
      <w:r>
        <w:rPr>
          <w:rFonts w:asciiTheme="minorHAnsi" w:hAnsiTheme="minorHAnsi"/>
          <w:bCs/>
          <w:snapToGrid w:val="0"/>
          <w:lang w:val="en-GB"/>
        </w:rPr>
        <w:t xml:space="preserve"> niraparib </w:t>
      </w:r>
      <w:r w:rsidR="00E74E47">
        <w:rPr>
          <w:rFonts w:asciiTheme="minorHAnsi" w:hAnsiTheme="minorHAnsi"/>
          <w:bCs/>
          <w:snapToGrid w:val="0"/>
          <w:lang w:val="en-GB"/>
        </w:rPr>
        <w:t>it would be necessary to establish that there is an overall survival benefit for niraparib in the non-BRCAm population</w:t>
      </w:r>
      <w:r>
        <w:rPr>
          <w:rFonts w:asciiTheme="minorHAnsi" w:hAnsiTheme="minorHAnsi"/>
          <w:bCs/>
          <w:snapToGrid w:val="0"/>
          <w:lang w:val="en-GB"/>
        </w:rPr>
        <w:t>.</w:t>
      </w:r>
      <w:r w:rsidR="00E74E47">
        <w:rPr>
          <w:rFonts w:asciiTheme="minorHAnsi" w:hAnsiTheme="minorHAnsi"/>
          <w:bCs/>
          <w:snapToGrid w:val="0"/>
          <w:lang w:val="en-GB"/>
        </w:rPr>
        <w:t xml:space="preserve"> </w:t>
      </w:r>
    </w:p>
    <w:p w:rsidR="003C2322" w:rsidRPr="00525B39" w:rsidRDefault="00183697" w:rsidP="008E27D3">
      <w:pPr>
        <w:widowControl w:val="0"/>
        <w:numPr>
          <w:ilvl w:val="1"/>
          <w:numId w:val="1"/>
        </w:numPr>
        <w:spacing w:after="120"/>
        <w:ind w:left="720"/>
        <w:rPr>
          <w:rFonts w:asciiTheme="minorHAnsi" w:hAnsiTheme="minorHAnsi"/>
          <w:bCs/>
          <w:snapToGrid w:val="0"/>
          <w:lang w:val="en-GB"/>
        </w:rPr>
      </w:pPr>
      <w:r>
        <w:rPr>
          <w:rFonts w:asciiTheme="minorHAnsi" w:hAnsiTheme="minorHAnsi"/>
          <w:bCs/>
          <w:snapToGrid w:val="0"/>
          <w:lang w:val="en-GB"/>
        </w:rPr>
        <w:t xml:space="preserve">For both the economic analyses presented, </w:t>
      </w:r>
      <w:r>
        <w:t>t</w:t>
      </w:r>
      <w:r w:rsidR="00BE70CD">
        <w:t xml:space="preserve">he PBAC noted that there were problems with the methodology applied in translating dosing in NOVA based on </w:t>
      </w:r>
      <w:r w:rsidR="00BE70CD" w:rsidRPr="008576EA">
        <w:t>dosing data for the individualised starting dose cohort in PRIMA</w:t>
      </w:r>
      <w:r w:rsidR="00BE70CD">
        <w:t>.</w:t>
      </w:r>
      <w:r w:rsidR="00BE70CD">
        <w:rPr>
          <w:lang w:val="en-US"/>
        </w:rPr>
        <w:t xml:space="preserve"> The PBAC considered that r</w:t>
      </w:r>
      <w:r w:rsidR="003B1747" w:rsidRPr="007A5DAF">
        <w:rPr>
          <w:lang w:val="en-US"/>
        </w:rPr>
        <w:t xml:space="preserve">educing the dose in the </w:t>
      </w:r>
      <w:r>
        <w:rPr>
          <w:lang w:val="en-US"/>
        </w:rPr>
        <w:t xml:space="preserve">CUA </w:t>
      </w:r>
      <w:r w:rsidR="003B1747" w:rsidRPr="007A5DAF">
        <w:rPr>
          <w:lang w:val="en-US"/>
        </w:rPr>
        <w:t>economic model (without also adjusting the efficacy) was inappropriate and likely to result in a substantially lower ICER due to either underestimating of the cost of niraparib or overestimating the incremental benefit for niraparib.</w:t>
      </w:r>
      <w:r>
        <w:rPr>
          <w:lang w:val="en-US"/>
        </w:rPr>
        <w:t xml:space="preserve"> Similarly, reducing the dose for niraparib in the CMA, while assuming non-inferior efficacy is maintained was inappropriate and would lead to an inflated price for niraparib.</w:t>
      </w:r>
    </w:p>
    <w:p w:rsidR="00C9557E" w:rsidRDefault="00BE2DB0" w:rsidP="008E27D3">
      <w:pPr>
        <w:widowControl w:val="0"/>
        <w:numPr>
          <w:ilvl w:val="1"/>
          <w:numId w:val="1"/>
        </w:numPr>
        <w:spacing w:after="120"/>
        <w:ind w:left="720"/>
      </w:pPr>
      <w:r w:rsidRPr="00F31C82">
        <w:t>The proposed price of n</w:t>
      </w:r>
      <w:r>
        <w:t>iraparib wa</w:t>
      </w:r>
      <w:r w:rsidRPr="00F31C82">
        <w:t>s based on a weighted price for the CUA and CMA populations</w:t>
      </w:r>
      <w:r w:rsidRPr="00862904">
        <w:t>,</w:t>
      </w:r>
      <w:r>
        <w:t xml:space="preserve"> where the proposed cost in the non-BRCAm setting was less than </w:t>
      </w:r>
      <w:r w:rsidR="00614C0A">
        <w:rPr>
          <w:noProof/>
          <w:color w:val="000000"/>
          <w:highlight w:val="black"/>
        </w:rPr>
        <w:t>''' '''''''''</w:t>
      </w:r>
      <w:r>
        <w:t xml:space="preserve"> of the cost proposed in the BRCAm setting ($</w:t>
      </w:r>
      <w:r w:rsidR="00614C0A">
        <w:rPr>
          <w:noProof/>
          <w:color w:val="000000"/>
          <w:highlight w:val="black"/>
        </w:rPr>
        <w:t>'''''''''''''''''</w:t>
      </w:r>
      <w:r>
        <w:t xml:space="preserve"> versus $12,673.34 DPMQ per 84 capsule pack). Ther</w:t>
      </w:r>
      <w:r w:rsidRPr="00F31C82">
        <w:t xml:space="preserve">efore, the price of niraparib depends </w:t>
      </w:r>
      <w:r w:rsidR="002F06F4">
        <w:t xml:space="preserve">on </w:t>
      </w:r>
      <w:r w:rsidRPr="00F31C82">
        <w:t>the relative proportions of patients</w:t>
      </w:r>
      <w:r w:rsidRPr="00D476BB">
        <w:t xml:space="preserve"> in the 2L maintenance setting</w:t>
      </w:r>
      <w:r w:rsidRPr="00F31C82">
        <w:t xml:space="preserve"> who are BRCAm and non-BRCAm. </w:t>
      </w:r>
      <w:r w:rsidR="00C9557E">
        <w:t xml:space="preserve">The PBAC considered that </w:t>
      </w:r>
      <w:r>
        <w:t>2L utilisation of niraparib in BRCAm patients is likely to be low as the preferred place for PARP inhibitors is in 1L maintenance treatment.</w:t>
      </w:r>
      <w:r w:rsidRPr="00BE2DB0">
        <w:t xml:space="preserve"> </w:t>
      </w:r>
    </w:p>
    <w:p w:rsidR="00183697" w:rsidRPr="004665B0" w:rsidRDefault="00183697" w:rsidP="00183697">
      <w:pPr>
        <w:widowControl w:val="0"/>
        <w:numPr>
          <w:ilvl w:val="1"/>
          <w:numId w:val="1"/>
        </w:numPr>
        <w:spacing w:after="120"/>
        <w:ind w:left="720"/>
        <w:rPr>
          <w:rFonts w:asciiTheme="minorHAnsi" w:hAnsiTheme="minorHAnsi"/>
          <w:bCs/>
          <w:snapToGrid w:val="0"/>
          <w:lang w:val="en-GB"/>
        </w:rPr>
      </w:pPr>
      <w:bookmarkStart w:id="65" w:name="_Ref68126806"/>
      <w:r w:rsidRPr="004665B0">
        <w:rPr>
          <w:rFonts w:asciiTheme="minorHAnsi" w:hAnsiTheme="minorHAnsi"/>
          <w:b/>
          <w:bCs/>
          <w:snapToGrid w:val="0"/>
          <w:lang w:val="en-GB"/>
        </w:rPr>
        <w:t>For the BRCAm population</w:t>
      </w:r>
      <w:r>
        <w:rPr>
          <w:rFonts w:asciiTheme="minorHAnsi" w:hAnsiTheme="minorHAnsi"/>
          <w:bCs/>
          <w:snapToGrid w:val="0"/>
          <w:lang w:val="en-GB"/>
        </w:rPr>
        <w:t xml:space="preserve"> the submission presented a cost-minimisation </w:t>
      </w:r>
      <w:r w:rsidRPr="004665B0">
        <w:rPr>
          <w:rFonts w:asciiTheme="minorHAnsi" w:hAnsiTheme="minorHAnsi"/>
          <w:bCs/>
          <w:snapToGrid w:val="0"/>
          <w:lang w:val="en-GB"/>
        </w:rPr>
        <w:t>analysis comparing niraparib with olaparib</w:t>
      </w:r>
      <w:r w:rsidR="000C0D6F">
        <w:rPr>
          <w:rFonts w:asciiTheme="minorHAnsi" w:hAnsiTheme="minorHAnsi"/>
          <w:bCs/>
          <w:snapToGrid w:val="0"/>
          <w:lang w:val="en-GB"/>
        </w:rPr>
        <w:t>.</w:t>
      </w:r>
      <w:r w:rsidRPr="004665B0">
        <w:rPr>
          <w:rFonts w:asciiTheme="minorHAnsi" w:hAnsiTheme="minorHAnsi"/>
          <w:bCs/>
          <w:snapToGrid w:val="0"/>
          <w:lang w:val="en-GB"/>
        </w:rPr>
        <w:t xml:space="preserve"> </w:t>
      </w:r>
      <w:r>
        <w:t>The equi-effective doses were estimated as niraparib 161 mg</w:t>
      </w:r>
      <w:r w:rsidR="000C0D6F">
        <w:rPr>
          <w:rStyle w:val="FootnoteReference"/>
        </w:rPr>
        <w:footnoteReference w:id="9"/>
      </w:r>
      <w:r>
        <w:t xml:space="preserve"> and olaparib 542 mg. Due to the indirect nature of the comparison of mean dose intensities across the trials, and the considerable uncertainty regarding the validity of the translated mean dose for niraparib, the PBAC considered that the equi-effective doses of niraparib and olaparib were highly uncertain. More importantly, the PBAC considered that as non-inferiority to olaparib was not accepted the CMA was not appropriate.</w:t>
      </w:r>
      <w:bookmarkEnd w:id="65"/>
    </w:p>
    <w:p w:rsidR="008B5D64" w:rsidRPr="002B72D8" w:rsidRDefault="00183697" w:rsidP="008E27D3">
      <w:pPr>
        <w:widowControl w:val="0"/>
        <w:numPr>
          <w:ilvl w:val="1"/>
          <w:numId w:val="1"/>
        </w:numPr>
        <w:spacing w:after="120"/>
        <w:ind w:left="720"/>
      </w:pPr>
      <w:bookmarkStart w:id="66" w:name="_Ref68126808"/>
      <w:r w:rsidRPr="002B72D8">
        <w:rPr>
          <w:rFonts w:asciiTheme="minorHAnsi" w:hAnsiTheme="minorHAnsi"/>
          <w:b/>
          <w:bCs/>
          <w:snapToGrid w:val="0"/>
          <w:lang w:val="en-GB"/>
        </w:rPr>
        <w:t>For the non-BRCAm population</w:t>
      </w:r>
      <w:r>
        <w:rPr>
          <w:rFonts w:asciiTheme="minorHAnsi" w:hAnsiTheme="minorHAnsi"/>
          <w:bCs/>
          <w:snapToGrid w:val="0"/>
          <w:lang w:val="en-GB"/>
        </w:rPr>
        <w:t xml:space="preserve"> the submission presented a </w:t>
      </w:r>
      <w:r>
        <w:t>modelled economic evaluation comparing niraparib with SMM</w:t>
      </w:r>
      <w:r w:rsidR="008B5D64">
        <w:t xml:space="preserve"> based on outcomes from the NOVA trial. </w:t>
      </w:r>
      <w:r w:rsidR="00862BB8">
        <w:t xml:space="preserve">The PBAC noted that the outcomes used in the model for the non-BRCA population </w:t>
      </w:r>
      <w:r w:rsidR="00862BB8">
        <w:lastRenderedPageBreak/>
        <w:t xml:space="preserve">included patients with sBRCAm and therefore the cost-effectiveness may be overestimated. </w:t>
      </w:r>
      <w:r w:rsidR="008B5D64">
        <w:t xml:space="preserve">The </w:t>
      </w:r>
      <w:r w:rsidR="008B5D64" w:rsidRPr="00D3708F">
        <w:t xml:space="preserve">PBAC </w:t>
      </w:r>
      <w:r w:rsidR="00862BB8">
        <w:t xml:space="preserve">also </w:t>
      </w:r>
      <w:r w:rsidR="008B5D64" w:rsidRPr="00D3708F">
        <w:t>noted that d</w:t>
      </w:r>
      <w:r w:rsidR="008B5D64" w:rsidRPr="002B72D8">
        <w:rPr>
          <w:rFonts w:asciiTheme="minorHAnsi" w:hAnsiTheme="minorHAnsi"/>
          <w:bCs/>
          <w:iCs/>
          <w:snapToGrid w:val="0"/>
        </w:rPr>
        <w:t xml:space="preserve">ue to the immaturity of the </w:t>
      </w:r>
      <w:r w:rsidR="00DA186F">
        <w:rPr>
          <w:rFonts w:asciiTheme="minorHAnsi" w:hAnsiTheme="minorHAnsi"/>
          <w:bCs/>
          <w:iCs/>
          <w:snapToGrid w:val="0"/>
        </w:rPr>
        <w:t xml:space="preserve">2016 </w:t>
      </w:r>
      <w:r w:rsidR="008B5D64" w:rsidRPr="002B72D8">
        <w:rPr>
          <w:rFonts w:asciiTheme="minorHAnsi" w:hAnsiTheme="minorHAnsi"/>
          <w:bCs/>
          <w:iCs/>
          <w:snapToGrid w:val="0"/>
        </w:rPr>
        <w:t>OS data from NOVA, there were insufficient trial data to reliably determine the most appropriate parametric model to apply in the extrapolation</w:t>
      </w:r>
      <w:r w:rsidR="00862BB8">
        <w:rPr>
          <w:rFonts w:asciiTheme="minorHAnsi" w:hAnsiTheme="minorHAnsi"/>
          <w:bCs/>
          <w:iCs/>
          <w:snapToGrid w:val="0"/>
        </w:rPr>
        <w:t xml:space="preserve"> and considered that the time horizon of 10 years was too long for patients in the 2L maintenance setting</w:t>
      </w:r>
      <w:r w:rsidR="008B5D64" w:rsidRPr="002B72D8">
        <w:rPr>
          <w:rFonts w:asciiTheme="minorHAnsi" w:hAnsiTheme="minorHAnsi"/>
          <w:bCs/>
          <w:iCs/>
          <w:snapToGrid w:val="0"/>
        </w:rPr>
        <w:t>. In addition, the use of treatment-specific utilities, which were more divergent in the progressed disease health state, was inadequately justified. The</w:t>
      </w:r>
      <w:r w:rsidR="008B5D64" w:rsidRPr="00D3708F">
        <w:t xml:space="preserve"> PBAC also noted that the </w:t>
      </w:r>
      <w:r w:rsidR="008B5D64" w:rsidRPr="002B72D8">
        <w:rPr>
          <w:rFonts w:asciiTheme="minorHAnsi" w:hAnsiTheme="minorHAnsi"/>
          <w:bCs/>
          <w:iCs/>
          <w:snapToGrid w:val="0"/>
        </w:rPr>
        <w:t xml:space="preserve">economic model was sensitive to the use of the translated dosing data. </w:t>
      </w:r>
      <w:r w:rsidR="00862BB8">
        <w:rPr>
          <w:rFonts w:asciiTheme="minorHAnsi" w:hAnsiTheme="minorHAnsi"/>
          <w:bCs/>
          <w:iCs/>
          <w:snapToGrid w:val="0"/>
        </w:rPr>
        <w:t>More importantly, the PBAC considered that with the limitations in the interpretation and applicability of the clinical data and uncertainty regarding the clinical claim, the cost-effectiveness for niraparib in the non-BRCAm population could not be assessed.</w:t>
      </w:r>
      <w:bookmarkEnd w:id="66"/>
    </w:p>
    <w:p w:rsidR="006C650A" w:rsidRPr="002B72D8" w:rsidRDefault="006C650A" w:rsidP="00681899">
      <w:pPr>
        <w:widowControl w:val="0"/>
        <w:numPr>
          <w:ilvl w:val="1"/>
          <w:numId w:val="1"/>
        </w:numPr>
        <w:spacing w:after="120"/>
        <w:ind w:left="720"/>
        <w:rPr>
          <w:rFonts w:asciiTheme="minorHAnsi" w:hAnsiTheme="minorHAnsi"/>
          <w:bCs/>
          <w:snapToGrid w:val="0"/>
          <w:lang w:val="en-GB"/>
        </w:rPr>
      </w:pPr>
      <w:bookmarkStart w:id="67" w:name="_Ref68126990"/>
      <w:r>
        <w:rPr>
          <w:rFonts w:asciiTheme="minorHAnsi" w:hAnsiTheme="minorHAnsi"/>
          <w:bCs/>
          <w:snapToGrid w:val="0"/>
          <w:lang w:val="en-GB"/>
        </w:rPr>
        <w:t xml:space="preserve">The PBAC noted that </w:t>
      </w:r>
      <w:r w:rsidRPr="00681899">
        <w:rPr>
          <w:rFonts w:asciiTheme="minorHAnsi" w:hAnsiTheme="minorHAnsi"/>
          <w:bCs/>
          <w:snapToGrid w:val="0"/>
          <w:lang w:val="en-GB"/>
        </w:rPr>
        <w:t>DUSC considered</w:t>
      </w:r>
      <w:r w:rsidRPr="002B72D8">
        <w:rPr>
          <w:rFonts w:asciiTheme="minorHAnsi" w:hAnsiTheme="minorHAnsi"/>
          <w:bCs/>
          <w:snapToGrid w:val="0"/>
          <w:lang w:val="en-GB"/>
        </w:rPr>
        <w:t xml:space="preserve"> the patient estimates presented in the submission to be overestimated and the cost to be underestimated. </w:t>
      </w:r>
      <w:r>
        <w:rPr>
          <w:rFonts w:asciiTheme="minorHAnsi" w:hAnsiTheme="minorHAnsi"/>
          <w:bCs/>
          <w:snapToGrid w:val="0"/>
          <w:lang w:val="en-GB"/>
        </w:rPr>
        <w:t>PBAC agreed with DUSC that t</w:t>
      </w:r>
      <w:r w:rsidRPr="002B72D8">
        <w:rPr>
          <w:rFonts w:asciiTheme="minorHAnsi" w:hAnsiTheme="minorHAnsi"/>
          <w:bCs/>
          <w:snapToGrid w:val="0"/>
          <w:lang w:val="en-GB"/>
        </w:rPr>
        <w:t>he main issues are:</w:t>
      </w:r>
      <w:bookmarkEnd w:id="67"/>
    </w:p>
    <w:p w:rsidR="006C650A" w:rsidRPr="002B72D8" w:rsidRDefault="006C650A" w:rsidP="00681899">
      <w:pPr>
        <w:widowControl w:val="0"/>
        <w:numPr>
          <w:ilvl w:val="1"/>
          <w:numId w:val="47"/>
        </w:numPr>
        <w:spacing w:after="120"/>
        <w:ind w:left="993" w:hanging="284"/>
        <w:rPr>
          <w:rFonts w:asciiTheme="minorHAnsi" w:hAnsiTheme="minorHAnsi"/>
          <w:bCs/>
          <w:snapToGrid w:val="0"/>
          <w:lang w:val="en-GB"/>
        </w:rPr>
      </w:pPr>
      <w:r w:rsidRPr="002B72D8">
        <w:rPr>
          <w:rFonts w:asciiTheme="minorHAnsi" w:hAnsiTheme="minorHAnsi"/>
          <w:bCs/>
          <w:snapToGrid w:val="0"/>
          <w:lang w:val="en-GB"/>
        </w:rPr>
        <w:t xml:space="preserve">The financial estimates did not consider the impact of the recent listing of olaparib for first line maintenance treatment in patients with BRCAm. As a result, the assumed prevalence of BRCAm in the eligible population (28.9%) was likely to be considerably overestimated because an increasing majority of patients with BRCA pathogenic variants are likely to have been treated with olaparib as first line maintenance. </w:t>
      </w:r>
      <w:r>
        <w:rPr>
          <w:rFonts w:asciiTheme="minorHAnsi" w:hAnsiTheme="minorHAnsi"/>
          <w:bCs/>
          <w:snapToGrid w:val="0"/>
          <w:lang w:val="en-GB"/>
        </w:rPr>
        <w:t>The PBAC noted that this was revised in the pre-PBAC response.</w:t>
      </w:r>
    </w:p>
    <w:p w:rsidR="006C650A" w:rsidRPr="002B72D8" w:rsidRDefault="006C650A" w:rsidP="00681899">
      <w:pPr>
        <w:widowControl w:val="0"/>
        <w:numPr>
          <w:ilvl w:val="1"/>
          <w:numId w:val="47"/>
        </w:numPr>
        <w:spacing w:after="120"/>
        <w:ind w:left="993" w:hanging="284"/>
        <w:rPr>
          <w:rFonts w:asciiTheme="minorHAnsi" w:hAnsiTheme="minorHAnsi"/>
          <w:bCs/>
          <w:snapToGrid w:val="0"/>
          <w:lang w:val="en-GB"/>
        </w:rPr>
      </w:pPr>
      <w:r w:rsidRPr="002B72D8">
        <w:rPr>
          <w:rFonts w:asciiTheme="minorHAnsi" w:hAnsiTheme="minorHAnsi"/>
          <w:bCs/>
          <w:snapToGrid w:val="0"/>
          <w:lang w:val="en-GB"/>
        </w:rPr>
        <w:t>The number of patients switching from olaparib to niraparib is likely to be very small and t</w:t>
      </w:r>
      <w:r>
        <w:rPr>
          <w:rFonts w:asciiTheme="minorHAnsi" w:hAnsiTheme="minorHAnsi"/>
          <w:bCs/>
          <w:snapToGrid w:val="0"/>
          <w:lang w:val="en-GB"/>
        </w:rPr>
        <w:t>he PBAC agreed with DUSC that t</w:t>
      </w:r>
      <w:r w:rsidRPr="002B72D8">
        <w:rPr>
          <w:rFonts w:asciiTheme="minorHAnsi" w:hAnsiTheme="minorHAnsi"/>
          <w:bCs/>
          <w:snapToGrid w:val="0"/>
          <w:lang w:val="en-GB"/>
        </w:rPr>
        <w:t>hese patients could reasonably be removed from the estimates.</w:t>
      </w:r>
    </w:p>
    <w:p w:rsidR="006C650A" w:rsidRPr="002B72D8" w:rsidRDefault="006C650A" w:rsidP="00681899">
      <w:pPr>
        <w:widowControl w:val="0"/>
        <w:numPr>
          <w:ilvl w:val="1"/>
          <w:numId w:val="47"/>
        </w:numPr>
        <w:spacing w:after="120"/>
        <w:ind w:left="993" w:hanging="284"/>
        <w:rPr>
          <w:rFonts w:asciiTheme="minorHAnsi" w:hAnsiTheme="minorHAnsi"/>
          <w:bCs/>
          <w:snapToGrid w:val="0"/>
          <w:lang w:val="en-GB"/>
        </w:rPr>
      </w:pPr>
      <w:r w:rsidRPr="002B72D8">
        <w:rPr>
          <w:rFonts w:asciiTheme="minorHAnsi" w:hAnsiTheme="minorHAnsi"/>
          <w:bCs/>
          <w:snapToGrid w:val="0"/>
          <w:lang w:val="en-GB"/>
        </w:rPr>
        <w:t>The cost offsets resulting from substitution of niraparib for use of olaparib as second and later line maintenance treatment were likely to be considerably overestimated.</w:t>
      </w:r>
    </w:p>
    <w:p w:rsidR="002B72D8" w:rsidRPr="002B72D8" w:rsidRDefault="00681899" w:rsidP="000B477D">
      <w:pPr>
        <w:widowControl w:val="0"/>
        <w:numPr>
          <w:ilvl w:val="1"/>
          <w:numId w:val="1"/>
        </w:numPr>
        <w:spacing w:after="120"/>
        <w:ind w:left="720"/>
        <w:rPr>
          <w:rFonts w:asciiTheme="minorHAnsi" w:hAnsiTheme="minorHAnsi"/>
          <w:b/>
          <w:bCs/>
          <w:snapToGrid w:val="0"/>
          <w:lang w:val="en-GB"/>
        </w:rPr>
      </w:pPr>
      <w:r>
        <w:rPr>
          <w:rFonts w:asciiTheme="minorHAnsi" w:hAnsiTheme="minorHAnsi"/>
          <w:bCs/>
          <w:snapToGrid w:val="0"/>
          <w:lang w:val="en-GB"/>
        </w:rPr>
        <w:t>The PBAC considered that a</w:t>
      </w:r>
      <w:r w:rsidR="006C650A">
        <w:rPr>
          <w:rFonts w:asciiTheme="minorHAnsi" w:hAnsiTheme="minorHAnsi"/>
          <w:bCs/>
          <w:snapToGrid w:val="0"/>
          <w:lang w:val="en-GB"/>
        </w:rPr>
        <w:t xml:space="preserve"> resubmission would need to address the uncertainty in the clinical claims by demonstrating an overall survival benefit for niraparib compared with standard medical management. In addition, substantial revisions to the economic models (as per paragraphs </w:t>
      </w:r>
      <w:r>
        <w:rPr>
          <w:rFonts w:asciiTheme="minorHAnsi" w:hAnsiTheme="minorHAnsi"/>
          <w:bCs/>
          <w:snapToGrid w:val="0"/>
          <w:lang w:val="en-GB"/>
        </w:rPr>
        <w:t>7.15 and 7.16) and financial estimates would be required (as per paragraph 7.17).</w:t>
      </w:r>
      <w:r w:rsidRPr="00525B39" w:rsidDel="00681899">
        <w:rPr>
          <w:rFonts w:asciiTheme="minorHAnsi" w:hAnsiTheme="minorHAnsi"/>
          <w:bCs/>
          <w:snapToGrid w:val="0"/>
          <w:lang w:val="en-GB"/>
        </w:rPr>
        <w:t xml:space="preserve"> </w:t>
      </w:r>
    </w:p>
    <w:p w:rsidR="000B477D" w:rsidRPr="000B477D" w:rsidRDefault="008E27D3" w:rsidP="000B477D">
      <w:pPr>
        <w:widowControl w:val="0"/>
        <w:numPr>
          <w:ilvl w:val="1"/>
          <w:numId w:val="1"/>
        </w:numPr>
        <w:spacing w:after="120"/>
        <w:ind w:left="720"/>
        <w:rPr>
          <w:rFonts w:asciiTheme="minorHAnsi" w:hAnsiTheme="minorHAnsi"/>
          <w:b/>
          <w:bCs/>
          <w:snapToGrid w:val="0"/>
          <w:lang w:val="en-GB"/>
        </w:rPr>
      </w:pPr>
      <w:r w:rsidRPr="00525B39">
        <w:rPr>
          <w:rFonts w:asciiTheme="minorHAnsi" w:hAnsiTheme="minorHAnsi"/>
          <w:bCs/>
          <w:snapToGrid w:val="0"/>
          <w:lang w:val="en-GB"/>
        </w:rPr>
        <w:t xml:space="preserve">The PBAC noted that this submission is eligible for an Independent Review. </w:t>
      </w:r>
    </w:p>
    <w:p w:rsidR="000B477D" w:rsidRDefault="000B477D" w:rsidP="000B477D">
      <w:pPr>
        <w:widowControl w:val="0"/>
        <w:spacing w:after="120"/>
        <w:rPr>
          <w:rFonts w:asciiTheme="minorHAnsi" w:hAnsiTheme="minorHAnsi"/>
          <w:b/>
          <w:bCs/>
          <w:snapToGrid w:val="0"/>
          <w:lang w:val="en-GB"/>
        </w:rPr>
      </w:pPr>
    </w:p>
    <w:p w:rsidR="008E27D3" w:rsidRPr="00525B39" w:rsidRDefault="008E27D3" w:rsidP="000B477D">
      <w:pPr>
        <w:widowControl w:val="0"/>
        <w:spacing w:after="120"/>
        <w:rPr>
          <w:rFonts w:asciiTheme="minorHAnsi" w:hAnsiTheme="minorHAnsi"/>
          <w:b/>
          <w:bCs/>
          <w:snapToGrid w:val="0"/>
          <w:lang w:val="en-GB"/>
        </w:rPr>
      </w:pPr>
      <w:r w:rsidRPr="00525B39">
        <w:rPr>
          <w:rFonts w:asciiTheme="minorHAnsi" w:hAnsiTheme="minorHAnsi"/>
          <w:b/>
          <w:bCs/>
          <w:snapToGrid w:val="0"/>
          <w:lang w:val="en-GB"/>
        </w:rPr>
        <w:t>Outcome:</w:t>
      </w:r>
    </w:p>
    <w:p w:rsidR="00E13718" w:rsidRDefault="000B477D" w:rsidP="000F7806">
      <w:pPr>
        <w:rPr>
          <w:rFonts w:asciiTheme="minorHAnsi" w:hAnsiTheme="minorHAnsi"/>
          <w:bCs/>
          <w:snapToGrid w:val="0"/>
          <w:lang w:val="en-GB"/>
        </w:rPr>
      </w:pPr>
      <w:r>
        <w:rPr>
          <w:rFonts w:asciiTheme="minorHAnsi" w:hAnsiTheme="minorHAnsi"/>
          <w:bCs/>
          <w:snapToGrid w:val="0"/>
          <w:lang w:val="en-GB"/>
        </w:rPr>
        <w:t>Rejected</w:t>
      </w:r>
      <w:bookmarkEnd w:id="63"/>
      <w:bookmarkEnd w:id="64"/>
    </w:p>
    <w:p w:rsidR="000D1255" w:rsidRPr="000F7806" w:rsidRDefault="000D1255" w:rsidP="000F7806">
      <w:pPr>
        <w:rPr>
          <w:rFonts w:asciiTheme="minorHAnsi" w:hAnsiTheme="minorHAnsi"/>
          <w:bCs/>
          <w:snapToGrid w:val="0"/>
          <w:lang w:val="en-GB"/>
        </w:rPr>
      </w:pPr>
    </w:p>
    <w:p w:rsidR="000D1255" w:rsidRPr="00614C0A" w:rsidRDefault="000D1255" w:rsidP="00614C0A">
      <w:pPr>
        <w:pStyle w:val="2-SectionHeading"/>
      </w:pPr>
      <w:r w:rsidRPr="00C07617">
        <w:lastRenderedPageBreak/>
        <w:t>Context for Decision</w:t>
      </w:r>
    </w:p>
    <w:p w:rsidR="000D1255" w:rsidRPr="007129F2" w:rsidRDefault="000D1255" w:rsidP="00614C0A">
      <w:pPr>
        <w:spacing w:after="120"/>
        <w:ind w:left="720"/>
        <w:rPr>
          <w:bCs/>
          <w:lang w:val="en-GB"/>
        </w:rPr>
      </w:pPr>
      <w:r w:rsidRPr="007129F2">
        <w:rPr>
          <w:bCs/>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rsidR="000D1255" w:rsidRPr="00614C0A" w:rsidRDefault="000D1255" w:rsidP="00614C0A">
      <w:pPr>
        <w:pStyle w:val="2-SectionHeading"/>
        <w:rPr>
          <w:b w:val="0"/>
        </w:rPr>
      </w:pPr>
      <w:r>
        <w:t>Sponsor’s Comment</w:t>
      </w:r>
    </w:p>
    <w:p w:rsidR="00603289" w:rsidRDefault="00486624" w:rsidP="00614C0A">
      <w:pPr>
        <w:ind w:left="720"/>
        <w:jc w:val="left"/>
        <w:rPr>
          <w:color w:val="3366FF"/>
        </w:rPr>
      </w:pPr>
      <w:r w:rsidRPr="00486624">
        <w:rPr>
          <w:bCs/>
          <w:lang w:val="en-GB"/>
        </w:rPr>
        <w:t xml:space="preserve">GSK is disappointed by the PBAC’s decision to not recommend niraparib (Zejula), for platinum-sensitive relapsed, high grade serous ovarian, fallopian tube, or primary peritoneal cancer in which there are limited maintenance treatment options. However, we remain committed to working with the PBAC to ensure Australian women with ovarian cancer have timely access to Zejula. </w:t>
      </w:r>
    </w:p>
    <w:sectPr w:rsidR="00603289" w:rsidSect="00603289">
      <w:headerReference w:type="even" r:id="rId16"/>
      <w:headerReference w:type="default" r:id="rId17"/>
      <w:footerReference w:type="even" r:id="rId18"/>
      <w:footerReference w:type="default" r:id="rId19"/>
      <w:headerReference w:type="first" r:id="rId20"/>
      <w:footerReference w:type="first" r:id="rId21"/>
      <w:pgSz w:w="11907" w:h="16840" w:code="9"/>
      <w:pgMar w:top="1440" w:right="1440" w:bottom="1440" w:left="1440" w:header="1440" w:footer="1440" w:gutter="0"/>
      <w:pgNumType w:start="1"/>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E7E42" w16cex:dateUtc="2021-04-11T22:07:00Z"/>
  <w16cex:commentExtensible w16cex:durableId="241DF12D" w16cex:dateUtc="2021-04-11T12: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045188E" w16cid:durableId="247C430E"/>
  <w16cid:commentId w16cid:paraId="4D63E6E4" w16cid:durableId="247C4314"/>
  <w16cid:commentId w16cid:paraId="52038B89" w16cid:durableId="247C4318"/>
  <w16cid:commentId w16cid:paraId="58B2ABEF" w16cid:durableId="247C47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64BA" w:rsidRDefault="008E64BA" w:rsidP="00E13718">
      <w:r>
        <w:separator/>
      </w:r>
    </w:p>
  </w:endnote>
  <w:endnote w:type="continuationSeparator" w:id="0">
    <w:p w:rsidR="008E64BA" w:rsidRDefault="008E64BA" w:rsidP="00E13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Segoe UI Semibold">
    <w:panose1 w:val="020B0702040204020203"/>
    <w:charset w:val="00"/>
    <w:family w:val="swiss"/>
    <w:pitch w:val="variable"/>
    <w:sig w:usb0="E4002EFF" w:usb1="C000E47F" w:usb2="00000009" w:usb3="00000000" w:csb0="000001FF" w:csb1="00000000"/>
  </w:font>
  <w:font w:name="CIDFont+F4">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C0A" w:rsidRDefault="00614C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68" w:rsidRDefault="000B1968" w:rsidP="00D95F01">
    <w:pPr>
      <w:ind w:left="709"/>
      <w:contextualSpacing/>
      <w:jc w:val="center"/>
      <w:rPr>
        <w:rFonts w:eastAsia="Calibri"/>
        <w:szCs w:val="22"/>
      </w:rPr>
    </w:pPr>
  </w:p>
  <w:p w:rsidR="000B1968" w:rsidRPr="00D476BB" w:rsidRDefault="000B1968" w:rsidP="00104C13">
    <w:pPr>
      <w:contextualSpacing/>
      <w:jc w:val="center"/>
      <w:rPr>
        <w:rFonts w:ascii="Arial" w:hAnsi="Arial"/>
        <w:b/>
        <w:bCs/>
        <w:sz w:val="22"/>
        <w:szCs w:val="22"/>
      </w:rPr>
    </w:pPr>
    <w:r w:rsidRPr="00D476BB">
      <w:rPr>
        <w:rFonts w:eastAsia="Calibri"/>
        <w:b/>
        <w:szCs w:val="22"/>
      </w:rPr>
      <w:fldChar w:fldCharType="begin"/>
    </w:r>
    <w:r w:rsidRPr="00D476BB">
      <w:rPr>
        <w:rFonts w:eastAsia="Calibri"/>
        <w:b/>
        <w:szCs w:val="22"/>
      </w:rPr>
      <w:instrText xml:space="preserve"> PAGE   \* MERGEFORMAT </w:instrText>
    </w:r>
    <w:r w:rsidRPr="00D476BB">
      <w:rPr>
        <w:rFonts w:eastAsia="Calibri"/>
        <w:b/>
        <w:szCs w:val="22"/>
      </w:rPr>
      <w:fldChar w:fldCharType="separate"/>
    </w:r>
    <w:r w:rsidR="00C31E6A">
      <w:rPr>
        <w:rFonts w:eastAsia="Calibri"/>
        <w:b/>
        <w:noProof/>
        <w:szCs w:val="22"/>
      </w:rPr>
      <w:t>47</w:t>
    </w:r>
    <w:r w:rsidRPr="00D476BB">
      <w:rPr>
        <w:rFonts w:eastAsia="Calibri"/>
        <w:b/>
        <w:noProof/>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C0A" w:rsidRDefault="00614C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64BA" w:rsidRDefault="008E64BA" w:rsidP="00E13718">
      <w:r>
        <w:separator/>
      </w:r>
    </w:p>
  </w:footnote>
  <w:footnote w:type="continuationSeparator" w:id="0">
    <w:p w:rsidR="008E64BA" w:rsidRDefault="008E64BA" w:rsidP="00E13718">
      <w:r>
        <w:continuationSeparator/>
      </w:r>
    </w:p>
  </w:footnote>
  <w:footnote w:id="1">
    <w:p w:rsidR="000B1968" w:rsidRPr="008E27D3" w:rsidRDefault="000B1968">
      <w:pPr>
        <w:pStyle w:val="FootnoteText"/>
      </w:pPr>
      <w:r w:rsidRPr="008E27D3">
        <w:rPr>
          <w:rStyle w:val="FootnoteReference"/>
        </w:rPr>
        <w:footnoteRef/>
      </w:r>
      <w:r w:rsidRPr="008E27D3">
        <w:t xml:space="preserve"> </w:t>
      </w:r>
      <w:r w:rsidRPr="008E27D3">
        <w:rPr>
          <w:rFonts w:asciiTheme="minorHAnsi" w:hAnsiTheme="minorHAnsi"/>
          <w:bCs/>
          <w:snapToGrid w:val="0"/>
        </w:rPr>
        <w:t>Cherny NI, Dafni U, Bogaerts J, et al: ESMO-Magnitude of Clinical Benefit Scale version 1.1. Annals</w:t>
      </w:r>
      <w:r>
        <w:rPr>
          <w:rFonts w:asciiTheme="minorHAnsi" w:hAnsiTheme="minorHAnsi"/>
          <w:bCs/>
          <w:snapToGrid w:val="0"/>
        </w:rPr>
        <w:t xml:space="preserve"> of Oncology 28:2340-2366, 2017.</w:t>
      </w:r>
    </w:p>
  </w:footnote>
  <w:footnote w:id="2">
    <w:p w:rsidR="000B1968" w:rsidRPr="00EE402E" w:rsidRDefault="000B1968" w:rsidP="00C278F0">
      <w:pPr>
        <w:pStyle w:val="FootnoteText"/>
        <w:ind w:left="142" w:hanging="142"/>
        <w:rPr>
          <w:lang w:val="en-US"/>
        </w:rPr>
      </w:pPr>
      <w:r>
        <w:rPr>
          <w:rStyle w:val="FootnoteReference"/>
          <w:rFonts w:eastAsiaTheme="majorEastAsia"/>
        </w:rPr>
        <w:footnoteRef/>
      </w:r>
      <w:r>
        <w:t xml:space="preserve"> </w:t>
      </w:r>
      <w:r w:rsidRPr="0047294D">
        <w:rPr>
          <w:noProof/>
        </w:rPr>
        <w:t>Norman R, Cronin P</w:t>
      </w:r>
      <w:r w:rsidRPr="0047294D">
        <w:rPr>
          <w:i/>
          <w:noProof/>
        </w:rPr>
        <w:t>, et al.</w:t>
      </w:r>
      <w:r w:rsidRPr="0047294D">
        <w:rPr>
          <w:noProof/>
        </w:rPr>
        <w:t xml:space="preserve"> A pilot discrete choice experiment to explore preferences for EQ-5D-5L health states. </w:t>
      </w:r>
      <w:r w:rsidRPr="0047294D">
        <w:rPr>
          <w:i/>
          <w:noProof/>
        </w:rPr>
        <w:t>Appl Health Econ Health Policy</w:t>
      </w:r>
      <w:r w:rsidRPr="0047294D">
        <w:rPr>
          <w:noProof/>
        </w:rPr>
        <w:t>. 2013; 11 (3):287-98.</w:t>
      </w:r>
    </w:p>
  </w:footnote>
  <w:footnote w:id="3">
    <w:p w:rsidR="000B1968" w:rsidRPr="00EE402E" w:rsidRDefault="000B1968" w:rsidP="00C278F0">
      <w:pPr>
        <w:pStyle w:val="FootnoteText"/>
        <w:ind w:left="142" w:hanging="142"/>
        <w:rPr>
          <w:lang w:val="en-US"/>
        </w:rPr>
      </w:pPr>
      <w:r>
        <w:rPr>
          <w:rStyle w:val="FootnoteReference"/>
          <w:rFonts w:eastAsiaTheme="majorEastAsia"/>
        </w:rPr>
        <w:footnoteRef/>
      </w:r>
      <w:r>
        <w:t xml:space="preserve"> </w:t>
      </w:r>
      <w:r w:rsidRPr="0047294D">
        <w:rPr>
          <w:noProof/>
        </w:rPr>
        <w:t>Oza AM, Matulonis UA</w:t>
      </w:r>
      <w:r w:rsidRPr="0047294D">
        <w:rPr>
          <w:i/>
          <w:noProof/>
        </w:rPr>
        <w:t>, et al.</w:t>
      </w:r>
      <w:r w:rsidRPr="0047294D">
        <w:rPr>
          <w:noProof/>
        </w:rPr>
        <w:t xml:space="preserve"> Quality of life in patients with recurrent ovarian cancer treated with niraparib versus placebo (ENGOT-OV16/NOVA): results from a double-blind, phase 3, randomised controlled trial. </w:t>
      </w:r>
      <w:r w:rsidRPr="0047294D">
        <w:rPr>
          <w:i/>
          <w:noProof/>
        </w:rPr>
        <w:t>The Lancet Oncology</w:t>
      </w:r>
      <w:r w:rsidRPr="0047294D">
        <w:rPr>
          <w:noProof/>
        </w:rPr>
        <w:t>. 2018; 19 (8):1117-25.</w:t>
      </w:r>
    </w:p>
  </w:footnote>
  <w:footnote w:id="4">
    <w:p w:rsidR="000B1968" w:rsidRPr="00A426CA" w:rsidRDefault="000B1968" w:rsidP="00C278F0">
      <w:pPr>
        <w:pStyle w:val="FootnoteText"/>
        <w:rPr>
          <w:lang w:val="en-US"/>
        </w:rPr>
      </w:pPr>
      <w:r>
        <w:rPr>
          <w:rStyle w:val="FootnoteReference"/>
          <w:rFonts w:eastAsiaTheme="majorEastAsia"/>
        </w:rPr>
        <w:footnoteRef/>
      </w:r>
      <w:r>
        <w:t xml:space="preserve"> </w:t>
      </w:r>
      <w:r w:rsidRPr="00A426CA">
        <w:rPr>
          <w:noProof/>
        </w:rPr>
        <w:t>Reeve R, Srasuebkul P</w:t>
      </w:r>
      <w:r w:rsidRPr="00A426CA">
        <w:rPr>
          <w:i/>
          <w:noProof/>
        </w:rPr>
        <w:t>, et al.</w:t>
      </w:r>
      <w:r w:rsidRPr="00A426CA">
        <w:rPr>
          <w:noProof/>
        </w:rPr>
        <w:t xml:space="preserve"> Health care use and costs at the end of life: a comparison of elderly Australian decedents with and without a cancer history. </w:t>
      </w:r>
      <w:r w:rsidRPr="00A426CA">
        <w:rPr>
          <w:i/>
          <w:noProof/>
        </w:rPr>
        <w:t>BMC Palliat Care</w:t>
      </w:r>
      <w:r w:rsidRPr="00A426CA">
        <w:rPr>
          <w:noProof/>
        </w:rPr>
        <w:t>. 2018; 17 (1):1.</w:t>
      </w:r>
    </w:p>
  </w:footnote>
  <w:footnote w:id="5">
    <w:p w:rsidR="000B1968" w:rsidRDefault="000B1968" w:rsidP="00614A9E">
      <w:pPr>
        <w:pStyle w:val="FootnoteText"/>
      </w:pPr>
      <w:r>
        <w:rPr>
          <w:rStyle w:val="FootnoteReference"/>
        </w:rPr>
        <w:footnoteRef/>
      </w:r>
      <w:r>
        <w:t xml:space="preserve"> Note that the mean dose of treatment was provided for the purposes of informing the PBAC consideration. Interpretation of the results and their application should therefore be limited to seeking to understand the basis for the PBAC outcome and should not be used for any other purpose</w:t>
      </w:r>
    </w:p>
  </w:footnote>
  <w:footnote w:id="6">
    <w:p w:rsidR="000B1968" w:rsidRDefault="000B1968">
      <w:pPr>
        <w:pStyle w:val="FootnoteText"/>
      </w:pPr>
      <w:r>
        <w:rPr>
          <w:rStyle w:val="FootnoteReference"/>
        </w:rPr>
        <w:footnoteRef/>
      </w:r>
      <w:r>
        <w:t xml:space="preserve"> Note that the mean dose of treatment was provided for the purposes of informing the PBAC consideration. Interpretation of the results and their application should therefore be limited to seeking to understand the basis for the PBAC outcome and should not be used for any other purpose</w:t>
      </w:r>
    </w:p>
  </w:footnote>
  <w:footnote w:id="7">
    <w:p w:rsidR="000B1968" w:rsidRDefault="000B1968" w:rsidP="008E27D3">
      <w:pPr>
        <w:pStyle w:val="FootnoteText"/>
      </w:pPr>
      <w:r>
        <w:rPr>
          <w:rStyle w:val="FootnoteReference"/>
          <w:rFonts w:eastAsiaTheme="majorEastAsia"/>
        </w:rPr>
        <w:footnoteRef/>
      </w:r>
      <w:r>
        <w:t xml:space="preserve"> </w:t>
      </w:r>
      <w:r w:rsidRPr="00351C4F">
        <w:t>Alsop K, Fereday S</w:t>
      </w:r>
      <w:r w:rsidRPr="00351C4F">
        <w:rPr>
          <w:i/>
        </w:rPr>
        <w:t>, et al.</w:t>
      </w:r>
      <w:r w:rsidRPr="00351C4F">
        <w:t xml:space="preserve"> BRCA mutation frequency and patterns of treatment response in BRCA mutation-positive women with ovarian cancer: a report from the Australian Ovarian Cancer Study Group. </w:t>
      </w:r>
      <w:r w:rsidRPr="00351C4F">
        <w:rPr>
          <w:i/>
        </w:rPr>
        <w:t>J Clin Oncol</w:t>
      </w:r>
      <w:r w:rsidRPr="00351C4F">
        <w:t>. 2012; 30 (21):2654-63.</w:t>
      </w:r>
    </w:p>
    <w:p w:rsidR="000B1968" w:rsidRDefault="000B1968" w:rsidP="008E27D3">
      <w:pPr>
        <w:pStyle w:val="FootnoteText"/>
      </w:pPr>
      <w:r w:rsidRPr="00351C4F">
        <w:t>Lindemann K, Gao B</w:t>
      </w:r>
      <w:r w:rsidRPr="00351C4F">
        <w:rPr>
          <w:i/>
        </w:rPr>
        <w:t>, et al.</w:t>
      </w:r>
      <w:r w:rsidRPr="00351C4F">
        <w:t xml:space="preserve"> Response rates to second-line platinum-based therapy in ovarian cancer patients challenge the clinical definition of platinum resistance. </w:t>
      </w:r>
      <w:r w:rsidRPr="00351C4F">
        <w:rPr>
          <w:i/>
        </w:rPr>
        <w:t>Gynecol Oncol</w:t>
      </w:r>
      <w:r w:rsidRPr="00351C4F">
        <w:t>. 2018; 150 (2):239-46.</w:t>
      </w:r>
    </w:p>
    <w:p w:rsidR="000B1968" w:rsidRPr="00986415" w:rsidRDefault="000B1968" w:rsidP="008E27D3">
      <w:pPr>
        <w:pStyle w:val="FootnoteText"/>
        <w:rPr>
          <w:lang w:val="en-US"/>
        </w:rPr>
      </w:pPr>
      <w:r w:rsidRPr="00CB4BEF">
        <w:rPr>
          <w:noProof/>
        </w:rPr>
        <w:t>Nishio S, Katsumata N</w:t>
      </w:r>
      <w:r w:rsidRPr="00CB4BEF">
        <w:rPr>
          <w:i/>
          <w:noProof/>
        </w:rPr>
        <w:t>, et al.</w:t>
      </w:r>
      <w:r w:rsidRPr="00CB4BEF">
        <w:rPr>
          <w:noProof/>
        </w:rPr>
        <w:t xml:space="preserve"> Usefulness of third-line chemotherapy for women with recurrent ovarian, fallopian tube, and primary peritoneal cancer who receive platinum/taxane regimens as first-line therapy. </w:t>
      </w:r>
      <w:r w:rsidRPr="00CB4BEF">
        <w:rPr>
          <w:i/>
          <w:noProof/>
        </w:rPr>
        <w:t>J Cancer Res Clin Oncol</w:t>
      </w:r>
      <w:r w:rsidRPr="00CB4BEF">
        <w:rPr>
          <w:noProof/>
        </w:rPr>
        <w:t>. 2009; 135 (4):551-7</w:t>
      </w:r>
    </w:p>
  </w:footnote>
  <w:footnote w:id="8">
    <w:p w:rsidR="000B1968" w:rsidRPr="00B41B82" w:rsidRDefault="000B1968" w:rsidP="008E27D3">
      <w:pPr>
        <w:pStyle w:val="FootnoteText"/>
        <w:rPr>
          <w:lang w:val="en-US"/>
        </w:rPr>
      </w:pPr>
      <w:r>
        <w:rPr>
          <w:rStyle w:val="FootnoteReference"/>
          <w:rFonts w:eastAsiaTheme="majorEastAsia"/>
        </w:rPr>
        <w:footnoteRef/>
      </w:r>
      <w:r>
        <w:t xml:space="preserve"> </w:t>
      </w:r>
      <w:r w:rsidRPr="00A426CA">
        <w:t xml:space="preserve">Cancer Genome Atlas Research Network. Integrated genomic analyses of ovarian carcinoma. </w:t>
      </w:r>
      <w:r w:rsidRPr="00A426CA">
        <w:rPr>
          <w:i/>
        </w:rPr>
        <w:t>Nature</w:t>
      </w:r>
      <w:r w:rsidRPr="00A426CA">
        <w:t>. 2011; 474 (7353):609-15.</w:t>
      </w:r>
    </w:p>
  </w:footnote>
  <w:footnote w:id="9">
    <w:p w:rsidR="000B1968" w:rsidRDefault="000B1968">
      <w:pPr>
        <w:pStyle w:val="FootnoteText"/>
      </w:pPr>
      <w:r>
        <w:rPr>
          <w:rStyle w:val="FootnoteReference"/>
        </w:rPr>
        <w:footnoteRef/>
      </w:r>
      <w:r>
        <w:t xml:space="preserve"> Note that the mean dose of treatment was provided for the purposes of informing the PBAC consideration. Interpretation of the results and their application should therefore be limited to seeking to understand the basis for the PBAC outcome and should not be used for any other purpose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C0A" w:rsidRDefault="00614C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1968" w:rsidRPr="00D476BB" w:rsidRDefault="000B1968" w:rsidP="00D476BB">
    <w:pPr>
      <w:jc w:val="center"/>
      <w:rPr>
        <w:i/>
      </w:rPr>
    </w:pPr>
    <w:r>
      <w:rPr>
        <w:i/>
      </w:rPr>
      <w:t xml:space="preserve">Public Summary Document </w:t>
    </w:r>
    <w:r w:rsidRPr="00D476BB">
      <w:rPr>
        <w:i/>
      </w:rPr>
      <w:t>– March 2021 PBAC Meeting</w:t>
    </w:r>
  </w:p>
  <w:p w:rsidR="000B1968" w:rsidRPr="00D476BB" w:rsidRDefault="000B1968" w:rsidP="00D476BB">
    <w:pPr>
      <w:jc w:val="center"/>
      <w:rPr>
        <w:i/>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C0A" w:rsidRDefault="00614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B237187"/>
    <w:multiLevelType w:val="hybridMultilevel"/>
    <w:tmpl w:val="87B0DE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 w15:restartNumberingAfterBreak="0">
    <w:nsid w:val="0B2547FA"/>
    <w:multiLevelType w:val="hybridMultilevel"/>
    <w:tmpl w:val="C2BAE728"/>
    <w:lvl w:ilvl="0" w:tplc="04090001">
      <w:start w:val="1"/>
      <w:numFmt w:val="bullet"/>
      <w:lvlText w:val=""/>
      <w:lvlJc w:val="left"/>
      <w:pPr>
        <w:ind w:left="1211"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383609"/>
    <w:multiLevelType w:val="hybridMultilevel"/>
    <w:tmpl w:val="E83030C6"/>
    <w:lvl w:ilvl="0" w:tplc="A6D6EF40">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2B53CBC"/>
    <w:multiLevelType w:val="hybridMultilevel"/>
    <w:tmpl w:val="63DC67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924B96"/>
    <w:multiLevelType w:val="hybridMultilevel"/>
    <w:tmpl w:val="FC18D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23B6274A"/>
    <w:multiLevelType w:val="hybridMultilevel"/>
    <w:tmpl w:val="834809EE"/>
    <w:lvl w:ilvl="0" w:tplc="3E36FBEA">
      <w:start w:val="1"/>
      <w:numFmt w:val="decimal"/>
      <w:lvlText w:val="%1."/>
      <w:lvlJc w:val="left"/>
      <w:pPr>
        <w:ind w:left="1778" w:hanging="360"/>
      </w:pPr>
      <w:rPr>
        <w:rFonts w:hint="default"/>
        <w:b w:val="0"/>
        <w:i w:val="0"/>
        <w:color w:val="auto"/>
        <w:sz w:val="24"/>
        <w:szCs w:val="24"/>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7575C58"/>
    <w:multiLevelType w:val="multilevel"/>
    <w:tmpl w:val="47D653C8"/>
    <w:lvl w:ilvl="0">
      <w:start w:val="1"/>
      <w:numFmt w:val="bullet"/>
      <w:pStyle w:val="InstructionBulletpoint"/>
      <w:lvlText w:val=""/>
      <w:lvlJc w:val="left"/>
      <w:pPr>
        <w:ind w:left="720" w:hanging="360"/>
      </w:pPr>
      <w:rPr>
        <w:rFonts w:ascii="Symbol" w:hAnsi="Symbol" w:hint="default"/>
        <w:color w:val="auto"/>
      </w:rPr>
    </w:lvl>
    <w:lvl w:ilvl="1">
      <w:start w:val="1"/>
      <w:numFmt w:val="bullet"/>
      <w:lvlText w:val=""/>
      <w:lvlJc w:val="left"/>
      <w:pPr>
        <w:ind w:left="1440" w:hanging="476"/>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99F686C"/>
    <w:multiLevelType w:val="hybridMultilevel"/>
    <w:tmpl w:val="835020E0"/>
    <w:lvl w:ilvl="0" w:tplc="04090001">
      <w:start w:val="1"/>
      <w:numFmt w:val="bullet"/>
      <w:lvlText w:val=""/>
      <w:lvlJc w:val="left"/>
      <w:pPr>
        <w:ind w:left="1211"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975E3F"/>
    <w:multiLevelType w:val="hybridMultilevel"/>
    <w:tmpl w:val="E624A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E8566F9"/>
    <w:multiLevelType w:val="hybridMultilevel"/>
    <w:tmpl w:val="311AF9C6"/>
    <w:lvl w:ilvl="0" w:tplc="DC8C897C">
      <w:start w:val="1"/>
      <w:numFmt w:val="bullet"/>
      <w:lvlText w:val="•"/>
      <w:lvlJc w:val="left"/>
      <w:pPr>
        <w:tabs>
          <w:tab w:val="num" w:pos="720"/>
        </w:tabs>
        <w:ind w:left="720" w:hanging="360"/>
      </w:pPr>
      <w:rPr>
        <w:rFonts w:ascii="Arial" w:hAnsi="Arial" w:hint="default"/>
      </w:rPr>
    </w:lvl>
    <w:lvl w:ilvl="1" w:tplc="C2EC546A" w:tentative="1">
      <w:start w:val="1"/>
      <w:numFmt w:val="bullet"/>
      <w:lvlText w:val="•"/>
      <w:lvlJc w:val="left"/>
      <w:pPr>
        <w:tabs>
          <w:tab w:val="num" w:pos="1440"/>
        </w:tabs>
        <w:ind w:left="1440" w:hanging="360"/>
      </w:pPr>
      <w:rPr>
        <w:rFonts w:ascii="Arial" w:hAnsi="Arial" w:hint="default"/>
      </w:rPr>
    </w:lvl>
    <w:lvl w:ilvl="2" w:tplc="C562E450" w:tentative="1">
      <w:start w:val="1"/>
      <w:numFmt w:val="bullet"/>
      <w:lvlText w:val="•"/>
      <w:lvlJc w:val="left"/>
      <w:pPr>
        <w:tabs>
          <w:tab w:val="num" w:pos="2160"/>
        </w:tabs>
        <w:ind w:left="2160" w:hanging="360"/>
      </w:pPr>
      <w:rPr>
        <w:rFonts w:ascii="Arial" w:hAnsi="Arial" w:hint="default"/>
      </w:rPr>
    </w:lvl>
    <w:lvl w:ilvl="3" w:tplc="87DA42E2" w:tentative="1">
      <w:start w:val="1"/>
      <w:numFmt w:val="bullet"/>
      <w:lvlText w:val="•"/>
      <w:lvlJc w:val="left"/>
      <w:pPr>
        <w:tabs>
          <w:tab w:val="num" w:pos="2880"/>
        </w:tabs>
        <w:ind w:left="2880" w:hanging="360"/>
      </w:pPr>
      <w:rPr>
        <w:rFonts w:ascii="Arial" w:hAnsi="Arial" w:hint="default"/>
      </w:rPr>
    </w:lvl>
    <w:lvl w:ilvl="4" w:tplc="26CA77CA" w:tentative="1">
      <w:start w:val="1"/>
      <w:numFmt w:val="bullet"/>
      <w:lvlText w:val="•"/>
      <w:lvlJc w:val="left"/>
      <w:pPr>
        <w:tabs>
          <w:tab w:val="num" w:pos="3600"/>
        </w:tabs>
        <w:ind w:left="3600" w:hanging="360"/>
      </w:pPr>
      <w:rPr>
        <w:rFonts w:ascii="Arial" w:hAnsi="Arial" w:hint="default"/>
      </w:rPr>
    </w:lvl>
    <w:lvl w:ilvl="5" w:tplc="1586388C" w:tentative="1">
      <w:start w:val="1"/>
      <w:numFmt w:val="bullet"/>
      <w:lvlText w:val="•"/>
      <w:lvlJc w:val="left"/>
      <w:pPr>
        <w:tabs>
          <w:tab w:val="num" w:pos="4320"/>
        </w:tabs>
        <w:ind w:left="4320" w:hanging="360"/>
      </w:pPr>
      <w:rPr>
        <w:rFonts w:ascii="Arial" w:hAnsi="Arial" w:hint="default"/>
      </w:rPr>
    </w:lvl>
    <w:lvl w:ilvl="6" w:tplc="9E48A00A" w:tentative="1">
      <w:start w:val="1"/>
      <w:numFmt w:val="bullet"/>
      <w:lvlText w:val="•"/>
      <w:lvlJc w:val="left"/>
      <w:pPr>
        <w:tabs>
          <w:tab w:val="num" w:pos="5040"/>
        </w:tabs>
        <w:ind w:left="5040" w:hanging="360"/>
      </w:pPr>
      <w:rPr>
        <w:rFonts w:ascii="Arial" w:hAnsi="Arial" w:hint="default"/>
      </w:rPr>
    </w:lvl>
    <w:lvl w:ilvl="7" w:tplc="1E5E59F4" w:tentative="1">
      <w:start w:val="1"/>
      <w:numFmt w:val="bullet"/>
      <w:lvlText w:val="•"/>
      <w:lvlJc w:val="left"/>
      <w:pPr>
        <w:tabs>
          <w:tab w:val="num" w:pos="5760"/>
        </w:tabs>
        <w:ind w:left="5760" w:hanging="360"/>
      </w:pPr>
      <w:rPr>
        <w:rFonts w:ascii="Arial" w:hAnsi="Arial" w:hint="default"/>
      </w:rPr>
    </w:lvl>
    <w:lvl w:ilvl="8" w:tplc="5686B19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237DE6"/>
    <w:multiLevelType w:val="multilevel"/>
    <w:tmpl w:val="5F025D9E"/>
    <w:lvl w:ilvl="0">
      <w:start w:val="1"/>
      <w:numFmt w:val="decimal"/>
      <w:lvlText w:val="%1"/>
      <w:lvlJc w:val="left"/>
      <w:pPr>
        <w:ind w:left="720" w:hanging="720"/>
      </w:pPr>
      <w:rPr>
        <w:rFonts w:hint="default"/>
        <w:b/>
      </w:rPr>
    </w:lvl>
    <w:lvl w:ilvl="1">
      <w:start w:val="1"/>
      <w:numFmt w:val="bullet"/>
      <w:lvlText w:val=""/>
      <w:lvlJc w:val="left"/>
      <w:pPr>
        <w:ind w:left="1288" w:hanging="720"/>
      </w:pPr>
      <w:rPr>
        <w:rFonts w:ascii="Symbol" w:hAnsi="Symbol" w:hint="default"/>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86C41CB"/>
    <w:multiLevelType w:val="hybridMultilevel"/>
    <w:tmpl w:val="7F94C816"/>
    <w:lvl w:ilvl="0" w:tplc="903248AE">
      <w:start w:val="1"/>
      <w:numFmt w:val="decimal"/>
      <w:pStyle w:val="NumberedList"/>
      <w:lvlText w:val="%1."/>
      <w:lvlJc w:val="left"/>
      <w:pPr>
        <w:ind w:left="720" w:hanging="360"/>
      </w:pPr>
      <w:rPr>
        <w:rFonts w:cs="Times New Roman"/>
      </w:rPr>
    </w:lvl>
    <w:lvl w:ilvl="1" w:tplc="ACD2A5C2" w:tentative="1">
      <w:start w:val="1"/>
      <w:numFmt w:val="lowerLetter"/>
      <w:lvlText w:val="%2."/>
      <w:lvlJc w:val="left"/>
      <w:pPr>
        <w:ind w:left="1440" w:hanging="360"/>
      </w:pPr>
      <w:rPr>
        <w:rFonts w:cs="Times New Roman"/>
      </w:rPr>
    </w:lvl>
    <w:lvl w:ilvl="2" w:tplc="81041AEE" w:tentative="1">
      <w:start w:val="1"/>
      <w:numFmt w:val="lowerRoman"/>
      <w:lvlText w:val="%3."/>
      <w:lvlJc w:val="right"/>
      <w:pPr>
        <w:ind w:left="2160" w:hanging="180"/>
      </w:pPr>
      <w:rPr>
        <w:rFonts w:cs="Times New Roman"/>
      </w:rPr>
    </w:lvl>
    <w:lvl w:ilvl="3" w:tplc="6F9E5ABC" w:tentative="1">
      <w:start w:val="1"/>
      <w:numFmt w:val="decimal"/>
      <w:lvlText w:val="%4."/>
      <w:lvlJc w:val="left"/>
      <w:pPr>
        <w:ind w:left="2880" w:hanging="360"/>
      </w:pPr>
      <w:rPr>
        <w:rFonts w:cs="Times New Roman"/>
      </w:rPr>
    </w:lvl>
    <w:lvl w:ilvl="4" w:tplc="79BE0738" w:tentative="1">
      <w:start w:val="1"/>
      <w:numFmt w:val="lowerLetter"/>
      <w:lvlText w:val="%5."/>
      <w:lvlJc w:val="left"/>
      <w:pPr>
        <w:ind w:left="3600" w:hanging="360"/>
      </w:pPr>
      <w:rPr>
        <w:rFonts w:cs="Times New Roman"/>
      </w:rPr>
    </w:lvl>
    <w:lvl w:ilvl="5" w:tplc="73E0EA72" w:tentative="1">
      <w:start w:val="1"/>
      <w:numFmt w:val="lowerRoman"/>
      <w:lvlText w:val="%6."/>
      <w:lvlJc w:val="right"/>
      <w:pPr>
        <w:ind w:left="4320" w:hanging="180"/>
      </w:pPr>
      <w:rPr>
        <w:rFonts w:cs="Times New Roman"/>
      </w:rPr>
    </w:lvl>
    <w:lvl w:ilvl="6" w:tplc="AF7840C6" w:tentative="1">
      <w:start w:val="1"/>
      <w:numFmt w:val="decimal"/>
      <w:lvlText w:val="%7."/>
      <w:lvlJc w:val="left"/>
      <w:pPr>
        <w:ind w:left="5040" w:hanging="360"/>
      </w:pPr>
      <w:rPr>
        <w:rFonts w:cs="Times New Roman"/>
      </w:rPr>
    </w:lvl>
    <w:lvl w:ilvl="7" w:tplc="72047760" w:tentative="1">
      <w:start w:val="1"/>
      <w:numFmt w:val="lowerLetter"/>
      <w:lvlText w:val="%8."/>
      <w:lvlJc w:val="left"/>
      <w:pPr>
        <w:ind w:left="5760" w:hanging="360"/>
      </w:pPr>
      <w:rPr>
        <w:rFonts w:cs="Times New Roman"/>
      </w:rPr>
    </w:lvl>
    <w:lvl w:ilvl="8" w:tplc="3C167224" w:tentative="1">
      <w:start w:val="1"/>
      <w:numFmt w:val="lowerRoman"/>
      <w:lvlText w:val="%9."/>
      <w:lvlJc w:val="right"/>
      <w:pPr>
        <w:ind w:left="6480" w:hanging="180"/>
      </w:pPr>
      <w:rPr>
        <w:rFonts w:cs="Times New Roman"/>
      </w:rPr>
    </w:lvl>
  </w:abstractNum>
  <w:abstractNum w:abstractNumId="15" w15:restartNumberingAfterBreak="0">
    <w:nsid w:val="39720272"/>
    <w:multiLevelType w:val="hybridMultilevel"/>
    <w:tmpl w:val="00BC73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D87E03"/>
    <w:multiLevelType w:val="hybridMultilevel"/>
    <w:tmpl w:val="00807A64"/>
    <w:lvl w:ilvl="0" w:tplc="04090001">
      <w:start w:val="1"/>
      <w:numFmt w:val="bullet"/>
      <w:lvlText w:val=""/>
      <w:lvlJc w:val="left"/>
      <w:pPr>
        <w:ind w:left="1211"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0B6ECC"/>
    <w:multiLevelType w:val="hybridMultilevel"/>
    <w:tmpl w:val="C23E7B90"/>
    <w:lvl w:ilvl="0" w:tplc="ED1E5F1E">
      <w:start w:val="1"/>
      <w:numFmt w:val="bullet"/>
      <w:pStyle w:val="BulletedList"/>
      <w:lvlText w:val=""/>
      <w:lvlJc w:val="left"/>
      <w:pPr>
        <w:ind w:left="720" w:hanging="360"/>
      </w:pPr>
      <w:rPr>
        <w:rFonts w:ascii="Symbol" w:hAnsi="Symbol" w:hint="default"/>
      </w:rPr>
    </w:lvl>
    <w:lvl w:ilvl="1" w:tplc="9452778A">
      <w:start w:val="1"/>
      <w:numFmt w:val="bullet"/>
      <w:lvlText w:val="o"/>
      <w:lvlJc w:val="left"/>
      <w:pPr>
        <w:ind w:left="1440" w:hanging="360"/>
      </w:pPr>
      <w:rPr>
        <w:rFonts w:ascii="Courier New" w:hAnsi="Courier New" w:hint="default"/>
      </w:rPr>
    </w:lvl>
    <w:lvl w:ilvl="2" w:tplc="87E4D1D6">
      <w:start w:val="1"/>
      <w:numFmt w:val="bullet"/>
      <w:lvlText w:val=""/>
      <w:lvlJc w:val="left"/>
      <w:pPr>
        <w:ind w:left="2160" w:hanging="360"/>
      </w:pPr>
      <w:rPr>
        <w:rFonts w:ascii="Wingdings" w:hAnsi="Wingdings" w:hint="default"/>
      </w:rPr>
    </w:lvl>
    <w:lvl w:ilvl="3" w:tplc="B26EBE3C">
      <w:start w:val="1"/>
      <w:numFmt w:val="bullet"/>
      <w:lvlText w:val=""/>
      <w:lvlJc w:val="left"/>
      <w:pPr>
        <w:ind w:left="2880" w:hanging="360"/>
      </w:pPr>
      <w:rPr>
        <w:rFonts w:ascii="Symbol" w:hAnsi="Symbol" w:hint="default"/>
      </w:rPr>
    </w:lvl>
    <w:lvl w:ilvl="4" w:tplc="AF3E72D2">
      <w:start w:val="1"/>
      <w:numFmt w:val="bullet"/>
      <w:lvlText w:val="o"/>
      <w:lvlJc w:val="left"/>
      <w:pPr>
        <w:ind w:left="3600" w:hanging="360"/>
      </w:pPr>
      <w:rPr>
        <w:rFonts w:ascii="Courier New" w:hAnsi="Courier New" w:hint="default"/>
      </w:rPr>
    </w:lvl>
    <w:lvl w:ilvl="5" w:tplc="79F2BED2" w:tentative="1">
      <w:start w:val="1"/>
      <w:numFmt w:val="bullet"/>
      <w:lvlText w:val=""/>
      <w:lvlJc w:val="left"/>
      <w:pPr>
        <w:ind w:left="4320" w:hanging="360"/>
      </w:pPr>
      <w:rPr>
        <w:rFonts w:ascii="Wingdings" w:hAnsi="Wingdings" w:hint="default"/>
      </w:rPr>
    </w:lvl>
    <w:lvl w:ilvl="6" w:tplc="19321076" w:tentative="1">
      <w:start w:val="1"/>
      <w:numFmt w:val="bullet"/>
      <w:lvlText w:val=""/>
      <w:lvlJc w:val="left"/>
      <w:pPr>
        <w:ind w:left="5040" w:hanging="360"/>
      </w:pPr>
      <w:rPr>
        <w:rFonts w:ascii="Symbol" w:hAnsi="Symbol" w:hint="default"/>
      </w:rPr>
    </w:lvl>
    <w:lvl w:ilvl="7" w:tplc="C7A826BC" w:tentative="1">
      <w:start w:val="1"/>
      <w:numFmt w:val="bullet"/>
      <w:lvlText w:val="o"/>
      <w:lvlJc w:val="left"/>
      <w:pPr>
        <w:ind w:left="5760" w:hanging="360"/>
      </w:pPr>
      <w:rPr>
        <w:rFonts w:ascii="Courier New" w:hAnsi="Courier New" w:hint="default"/>
      </w:rPr>
    </w:lvl>
    <w:lvl w:ilvl="8" w:tplc="6F3A9138" w:tentative="1">
      <w:start w:val="1"/>
      <w:numFmt w:val="bullet"/>
      <w:lvlText w:val=""/>
      <w:lvlJc w:val="left"/>
      <w:pPr>
        <w:ind w:left="6480" w:hanging="360"/>
      </w:pPr>
      <w:rPr>
        <w:rFonts w:ascii="Wingdings" w:hAnsi="Wingdings" w:hint="default"/>
      </w:rPr>
    </w:lvl>
  </w:abstractNum>
  <w:abstractNum w:abstractNumId="1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8D67A6"/>
    <w:multiLevelType w:val="hybridMultilevel"/>
    <w:tmpl w:val="51CA1480"/>
    <w:lvl w:ilvl="0" w:tplc="04090001">
      <w:start w:val="1"/>
      <w:numFmt w:val="bullet"/>
      <w:pStyle w:val="ListParagraph"/>
      <w:lvlText w:val=""/>
      <w:lvlJc w:val="left"/>
      <w:pPr>
        <w:ind w:left="1211" w:hanging="360"/>
      </w:pPr>
      <w:rPr>
        <w:rFonts w:ascii="Symbol" w:hAnsi="Symbol" w:hint="default"/>
      </w:rPr>
    </w:lvl>
    <w:lvl w:ilvl="1" w:tplc="04090003">
      <w:start w:val="1"/>
      <w:numFmt w:val="bullet"/>
      <w:lvlText w:val="o"/>
      <w:lvlJc w:val="left"/>
      <w:pPr>
        <w:ind w:left="928"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B5456"/>
    <w:multiLevelType w:val="hybridMultilevel"/>
    <w:tmpl w:val="76041942"/>
    <w:lvl w:ilvl="0" w:tplc="D8B07852">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1" w15:restartNumberingAfterBreak="0">
    <w:nsid w:val="4FA94EF0"/>
    <w:multiLevelType w:val="hybridMultilevel"/>
    <w:tmpl w:val="DAD822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AFA3C06"/>
    <w:multiLevelType w:val="hybridMultilevel"/>
    <w:tmpl w:val="C478C4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4D033C"/>
    <w:multiLevelType w:val="multilevel"/>
    <w:tmpl w:val="E9029E34"/>
    <w:lvl w:ilvl="0">
      <w:start w:val="1"/>
      <w:numFmt w:val="decimal"/>
      <w:pStyle w:val="2-SectionHeading"/>
      <w:lvlText w:val="%1"/>
      <w:lvlJc w:val="left"/>
      <w:pPr>
        <w:ind w:left="720" w:hanging="720"/>
      </w:pPr>
      <w:rPr>
        <w:rFonts w:hint="default"/>
        <w:b/>
      </w:rPr>
    </w:lvl>
    <w:lvl w:ilvl="1">
      <w:start w:val="1"/>
      <w:numFmt w:val="decimal"/>
      <w:pStyle w:val="3-BodyText"/>
      <w:lvlText w:val="%1.%2"/>
      <w:lvlJc w:val="left"/>
      <w:pPr>
        <w:ind w:left="1288" w:hanging="720"/>
      </w:pPr>
      <w:rPr>
        <w:b w:val="0"/>
        <w:bCs w:val="0"/>
        <w:i w:val="0"/>
        <w:iCs w:val="0"/>
        <w:caps w:val="0"/>
        <w:smallCaps w:val="0"/>
        <w:strike w:val="0"/>
        <w:dstrike w:val="0"/>
        <w:outline w:val="0"/>
        <w:shadow w:val="0"/>
        <w:emboss w:val="0"/>
        <w:imprint w:val="0"/>
        <w:noProof w:val="0"/>
        <w:snapToGrid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F53672A"/>
    <w:multiLevelType w:val="hybridMultilevel"/>
    <w:tmpl w:val="A4B43658"/>
    <w:lvl w:ilvl="0" w:tplc="1788446E">
      <w:start w:val="1"/>
      <w:numFmt w:val="decimal"/>
      <w:lvlText w:val="%1."/>
      <w:lvlJc w:val="left"/>
      <w:pPr>
        <w:ind w:left="829" w:hanging="360"/>
      </w:pPr>
      <w:rPr>
        <w:i/>
        <w:color w:val="auto"/>
      </w:rPr>
    </w:lvl>
    <w:lvl w:ilvl="1" w:tplc="0C090019" w:tentative="1">
      <w:start w:val="1"/>
      <w:numFmt w:val="lowerLetter"/>
      <w:lvlText w:val="%2."/>
      <w:lvlJc w:val="left"/>
      <w:pPr>
        <w:ind w:left="1549" w:hanging="360"/>
      </w:pPr>
    </w:lvl>
    <w:lvl w:ilvl="2" w:tplc="0C09001B" w:tentative="1">
      <w:start w:val="1"/>
      <w:numFmt w:val="lowerRoman"/>
      <w:lvlText w:val="%3."/>
      <w:lvlJc w:val="right"/>
      <w:pPr>
        <w:ind w:left="2269" w:hanging="180"/>
      </w:pPr>
    </w:lvl>
    <w:lvl w:ilvl="3" w:tplc="0C09000F" w:tentative="1">
      <w:start w:val="1"/>
      <w:numFmt w:val="decimal"/>
      <w:lvlText w:val="%4."/>
      <w:lvlJc w:val="left"/>
      <w:pPr>
        <w:ind w:left="2989" w:hanging="360"/>
      </w:pPr>
    </w:lvl>
    <w:lvl w:ilvl="4" w:tplc="0C090019" w:tentative="1">
      <w:start w:val="1"/>
      <w:numFmt w:val="lowerLetter"/>
      <w:lvlText w:val="%5."/>
      <w:lvlJc w:val="left"/>
      <w:pPr>
        <w:ind w:left="3709" w:hanging="360"/>
      </w:pPr>
    </w:lvl>
    <w:lvl w:ilvl="5" w:tplc="0C09001B" w:tentative="1">
      <w:start w:val="1"/>
      <w:numFmt w:val="lowerRoman"/>
      <w:lvlText w:val="%6."/>
      <w:lvlJc w:val="right"/>
      <w:pPr>
        <w:ind w:left="4429" w:hanging="180"/>
      </w:pPr>
    </w:lvl>
    <w:lvl w:ilvl="6" w:tplc="0C09000F" w:tentative="1">
      <w:start w:val="1"/>
      <w:numFmt w:val="decimal"/>
      <w:lvlText w:val="%7."/>
      <w:lvlJc w:val="left"/>
      <w:pPr>
        <w:ind w:left="5149" w:hanging="360"/>
      </w:pPr>
    </w:lvl>
    <w:lvl w:ilvl="7" w:tplc="0C090019" w:tentative="1">
      <w:start w:val="1"/>
      <w:numFmt w:val="lowerLetter"/>
      <w:lvlText w:val="%8."/>
      <w:lvlJc w:val="left"/>
      <w:pPr>
        <w:ind w:left="5869" w:hanging="360"/>
      </w:pPr>
    </w:lvl>
    <w:lvl w:ilvl="8" w:tplc="0C09001B" w:tentative="1">
      <w:start w:val="1"/>
      <w:numFmt w:val="lowerRoman"/>
      <w:lvlText w:val="%9."/>
      <w:lvlJc w:val="right"/>
      <w:pPr>
        <w:ind w:left="6589" w:hanging="180"/>
      </w:pPr>
    </w:lvl>
  </w:abstractNum>
  <w:num w:numId="1">
    <w:abstractNumId w:val="24"/>
  </w:num>
  <w:num w:numId="2">
    <w:abstractNumId w:val="18"/>
  </w:num>
  <w:num w:numId="3">
    <w:abstractNumId w:val="19"/>
  </w:num>
  <w:num w:numId="4">
    <w:abstractNumId w:val="20"/>
  </w:num>
  <w:num w:numId="5">
    <w:abstractNumId w:val="14"/>
  </w:num>
  <w:num w:numId="6">
    <w:abstractNumId w:val="4"/>
  </w:num>
  <w:num w:numId="7">
    <w:abstractNumId w:val="15"/>
  </w:num>
  <w:num w:numId="8">
    <w:abstractNumId w:val="21"/>
  </w:num>
  <w:num w:numId="9">
    <w:abstractNumId w:val="17"/>
  </w:num>
  <w:num w:numId="10">
    <w:abstractNumId w:val="3"/>
  </w:num>
  <w:num w:numId="11">
    <w:abstractNumId w:val="7"/>
  </w:num>
  <w:num w:numId="12">
    <w:abstractNumId w:val="25"/>
  </w:num>
  <w:num w:numId="13">
    <w:abstractNumId w:val="9"/>
  </w:num>
  <w:num w:numId="14">
    <w:abstractNumId w:val="16"/>
  </w:num>
  <w:num w:numId="15">
    <w:abstractNumId w:val="10"/>
  </w:num>
  <w:num w:numId="16">
    <w:abstractNumId w:val="24"/>
  </w:num>
  <w:num w:numId="17">
    <w:abstractNumId w:val="23"/>
  </w:num>
  <w:num w:numId="18">
    <w:abstractNumId w:val="22"/>
  </w:num>
  <w:num w:numId="19">
    <w:abstractNumId w:val="1"/>
  </w:num>
  <w:num w:numId="20">
    <w:abstractNumId w:val="0"/>
  </w:num>
  <w:num w:numId="21">
    <w:abstractNumId w:val="8"/>
  </w:num>
  <w:num w:numId="22">
    <w:abstractNumId w:val="11"/>
  </w:num>
  <w:num w:numId="23">
    <w:abstractNumId w:val="6"/>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19"/>
  </w:num>
  <w:num w:numId="27">
    <w:abstractNumId w:val="12"/>
  </w:num>
  <w:num w:numId="28">
    <w:abstractNumId w:val="24"/>
  </w:num>
  <w:num w:numId="29">
    <w:abstractNumId w:val="24"/>
  </w:num>
  <w:num w:numId="30">
    <w:abstractNumId w:val="24"/>
  </w:num>
  <w:num w:numId="31">
    <w:abstractNumId w:val="24"/>
  </w:num>
  <w:num w:numId="32">
    <w:abstractNumId w:val="24"/>
  </w:num>
  <w:num w:numId="33">
    <w:abstractNumId w:val="24"/>
  </w:num>
  <w:num w:numId="34">
    <w:abstractNumId w:val="24"/>
  </w:num>
  <w:num w:numId="35">
    <w:abstractNumId w:val="24"/>
  </w:num>
  <w:num w:numId="36">
    <w:abstractNumId w:val="24"/>
  </w:num>
  <w:num w:numId="37">
    <w:abstractNumId w:val="24"/>
  </w:num>
  <w:num w:numId="38">
    <w:abstractNumId w:val="24"/>
  </w:num>
  <w:num w:numId="39">
    <w:abstractNumId w:val="24"/>
  </w:num>
  <w:num w:numId="40">
    <w:abstractNumId w:val="24"/>
  </w:num>
  <w:num w:numId="41">
    <w:abstractNumId w:val="24"/>
  </w:num>
  <w:num w:numId="42">
    <w:abstractNumId w:val="24"/>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9"/>
  </w:num>
  <w:num w:numId="45">
    <w:abstractNumId w:val="20"/>
  </w:num>
  <w:num w:numId="46">
    <w:abstractNumId w:val="24"/>
  </w:num>
  <w:num w:numId="47">
    <w:abstractNumId w:val="13"/>
  </w:num>
  <w:num w:numId="48">
    <w:abstractNumId w:val="24"/>
  </w:num>
  <w:num w:numId="49">
    <w:abstractNumId w:val="24"/>
  </w:num>
  <w:num w:numId="50">
    <w:abstractNumId w:val="5"/>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removePersonalInformation/>
  <w:removeDateAndTime/>
  <w:hideSpellingErrors/>
  <w:activeWritingStyle w:appName="MSWord" w:lang="fr-FR" w:vendorID="64" w:dllVersion="6" w:nlCheck="1" w:checkStyle="0"/>
  <w:activeWritingStyle w:appName="MSWord" w:lang="en-AU" w:vendorID="64" w:dllVersion="6" w:nlCheck="1" w:checkStyle="1"/>
  <w:activeWritingStyle w:appName="MSWord" w:lang="en-US" w:vendorID="64" w:dllVersion="6" w:nlCheck="1" w:checkStyle="1"/>
  <w:activeWritingStyle w:appName="MSWord" w:lang="en-GB" w:vendorID="64" w:dllVersion="6" w:nlCheck="1" w:checkStyle="1"/>
  <w:activeWritingStyle w:appName="MSWord" w:lang="en-AU" w:vendorID="64" w:dllVersion="0" w:nlCheck="1" w:checkStyle="0"/>
  <w:activeWritingStyle w:appName="MSWord" w:lang="en-US" w:vendorID="64" w:dllVersion="0" w:nlCheck="1" w:checkStyle="0"/>
  <w:activeWritingStyle w:appName="MSWord" w:lang="en-GB"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3718"/>
    <w:rsid w:val="00005E22"/>
    <w:rsid w:val="0000637A"/>
    <w:rsid w:val="000066F0"/>
    <w:rsid w:val="00007AB7"/>
    <w:rsid w:val="00010A75"/>
    <w:rsid w:val="00011DD4"/>
    <w:rsid w:val="00012861"/>
    <w:rsid w:val="0002046C"/>
    <w:rsid w:val="000213E3"/>
    <w:rsid w:val="0002156F"/>
    <w:rsid w:val="000231A5"/>
    <w:rsid w:val="000235BE"/>
    <w:rsid w:val="000256BB"/>
    <w:rsid w:val="00026490"/>
    <w:rsid w:val="00031323"/>
    <w:rsid w:val="00031ADA"/>
    <w:rsid w:val="00032C5B"/>
    <w:rsid w:val="00036AB6"/>
    <w:rsid w:val="00036C2D"/>
    <w:rsid w:val="00037BD9"/>
    <w:rsid w:val="00043628"/>
    <w:rsid w:val="00043796"/>
    <w:rsid w:val="00050F90"/>
    <w:rsid w:val="00051C5A"/>
    <w:rsid w:val="000561D3"/>
    <w:rsid w:val="00060A16"/>
    <w:rsid w:val="00061448"/>
    <w:rsid w:val="00062669"/>
    <w:rsid w:val="00062F48"/>
    <w:rsid w:val="00063CC2"/>
    <w:rsid w:val="000753E6"/>
    <w:rsid w:val="00076FDB"/>
    <w:rsid w:val="00082191"/>
    <w:rsid w:val="00087E4F"/>
    <w:rsid w:val="000930F4"/>
    <w:rsid w:val="000939EE"/>
    <w:rsid w:val="000975F2"/>
    <w:rsid w:val="00097AB5"/>
    <w:rsid w:val="000A6E8F"/>
    <w:rsid w:val="000B1968"/>
    <w:rsid w:val="000B477D"/>
    <w:rsid w:val="000C0D6F"/>
    <w:rsid w:val="000C67C4"/>
    <w:rsid w:val="000D120C"/>
    <w:rsid w:val="000D1255"/>
    <w:rsid w:val="000D4D2C"/>
    <w:rsid w:val="000D78FE"/>
    <w:rsid w:val="000D7F5E"/>
    <w:rsid w:val="000E3626"/>
    <w:rsid w:val="000E556A"/>
    <w:rsid w:val="000E7196"/>
    <w:rsid w:val="000F120F"/>
    <w:rsid w:val="000F1539"/>
    <w:rsid w:val="000F1E05"/>
    <w:rsid w:val="000F7806"/>
    <w:rsid w:val="0010035A"/>
    <w:rsid w:val="00101153"/>
    <w:rsid w:val="00104C13"/>
    <w:rsid w:val="001059BF"/>
    <w:rsid w:val="00106735"/>
    <w:rsid w:val="001079E8"/>
    <w:rsid w:val="00113F81"/>
    <w:rsid w:val="001141B1"/>
    <w:rsid w:val="00123988"/>
    <w:rsid w:val="00124CC0"/>
    <w:rsid w:val="00133B5A"/>
    <w:rsid w:val="00134195"/>
    <w:rsid w:val="00136612"/>
    <w:rsid w:val="00141291"/>
    <w:rsid w:val="001468EC"/>
    <w:rsid w:val="00146D37"/>
    <w:rsid w:val="00146F4A"/>
    <w:rsid w:val="001509A7"/>
    <w:rsid w:val="00152AB9"/>
    <w:rsid w:val="00162277"/>
    <w:rsid w:val="00163F5D"/>
    <w:rsid w:val="0017024A"/>
    <w:rsid w:val="001717D0"/>
    <w:rsid w:val="00174085"/>
    <w:rsid w:val="00180C3C"/>
    <w:rsid w:val="00182D2D"/>
    <w:rsid w:val="00183697"/>
    <w:rsid w:val="00184489"/>
    <w:rsid w:val="0018692C"/>
    <w:rsid w:val="001873BD"/>
    <w:rsid w:val="00190812"/>
    <w:rsid w:val="001A1E4C"/>
    <w:rsid w:val="001A6182"/>
    <w:rsid w:val="001B23F5"/>
    <w:rsid w:val="001B3150"/>
    <w:rsid w:val="001B7BDE"/>
    <w:rsid w:val="001C2299"/>
    <w:rsid w:val="001C252C"/>
    <w:rsid w:val="001C3491"/>
    <w:rsid w:val="001C34DE"/>
    <w:rsid w:val="001C3BF6"/>
    <w:rsid w:val="001C6BAC"/>
    <w:rsid w:val="001C6E45"/>
    <w:rsid w:val="001D1730"/>
    <w:rsid w:val="001D5AD7"/>
    <w:rsid w:val="001E02B8"/>
    <w:rsid w:val="001E0429"/>
    <w:rsid w:val="001E436A"/>
    <w:rsid w:val="001E4810"/>
    <w:rsid w:val="001E4A19"/>
    <w:rsid w:val="001E4F3C"/>
    <w:rsid w:val="00210C36"/>
    <w:rsid w:val="00213475"/>
    <w:rsid w:val="00215E46"/>
    <w:rsid w:val="00221188"/>
    <w:rsid w:val="00221345"/>
    <w:rsid w:val="00221AD9"/>
    <w:rsid w:val="00224262"/>
    <w:rsid w:val="002249D4"/>
    <w:rsid w:val="002313FF"/>
    <w:rsid w:val="00237C13"/>
    <w:rsid w:val="0025592E"/>
    <w:rsid w:val="0025770D"/>
    <w:rsid w:val="00261171"/>
    <w:rsid w:val="00272633"/>
    <w:rsid w:val="0027466A"/>
    <w:rsid w:val="002A36EF"/>
    <w:rsid w:val="002A50F6"/>
    <w:rsid w:val="002A6B34"/>
    <w:rsid w:val="002B25A8"/>
    <w:rsid w:val="002B4FC5"/>
    <w:rsid w:val="002B67B4"/>
    <w:rsid w:val="002B6E2E"/>
    <w:rsid w:val="002B72D8"/>
    <w:rsid w:val="002C431E"/>
    <w:rsid w:val="002C5D3A"/>
    <w:rsid w:val="002D1482"/>
    <w:rsid w:val="002D2DD4"/>
    <w:rsid w:val="002D7FCA"/>
    <w:rsid w:val="002E1841"/>
    <w:rsid w:val="002F0668"/>
    <w:rsid w:val="002F06F4"/>
    <w:rsid w:val="002F4A45"/>
    <w:rsid w:val="002F7E69"/>
    <w:rsid w:val="00301A5A"/>
    <w:rsid w:val="003023F5"/>
    <w:rsid w:val="003114E2"/>
    <w:rsid w:val="003125A9"/>
    <w:rsid w:val="0031484B"/>
    <w:rsid w:val="00327559"/>
    <w:rsid w:val="00332DAF"/>
    <w:rsid w:val="00333B53"/>
    <w:rsid w:val="00337C9A"/>
    <w:rsid w:val="003415D2"/>
    <w:rsid w:val="00341CF7"/>
    <w:rsid w:val="00346A4D"/>
    <w:rsid w:val="00347BDA"/>
    <w:rsid w:val="003530A6"/>
    <w:rsid w:val="00354460"/>
    <w:rsid w:val="00355685"/>
    <w:rsid w:val="00360FEA"/>
    <w:rsid w:val="003637E6"/>
    <w:rsid w:val="00363C72"/>
    <w:rsid w:val="003734B2"/>
    <w:rsid w:val="00375701"/>
    <w:rsid w:val="00380FF7"/>
    <w:rsid w:val="00381439"/>
    <w:rsid w:val="00382FA7"/>
    <w:rsid w:val="00384EA3"/>
    <w:rsid w:val="00385C11"/>
    <w:rsid w:val="003930B0"/>
    <w:rsid w:val="00395AE8"/>
    <w:rsid w:val="00395DD7"/>
    <w:rsid w:val="00397867"/>
    <w:rsid w:val="003A1C96"/>
    <w:rsid w:val="003A3054"/>
    <w:rsid w:val="003B077F"/>
    <w:rsid w:val="003B1747"/>
    <w:rsid w:val="003B5994"/>
    <w:rsid w:val="003B79AF"/>
    <w:rsid w:val="003C0BCC"/>
    <w:rsid w:val="003C228F"/>
    <w:rsid w:val="003C2322"/>
    <w:rsid w:val="003C51F2"/>
    <w:rsid w:val="003D2B42"/>
    <w:rsid w:val="003D3EA7"/>
    <w:rsid w:val="003E6E4E"/>
    <w:rsid w:val="003F07F1"/>
    <w:rsid w:val="003F0C28"/>
    <w:rsid w:val="003F1995"/>
    <w:rsid w:val="004011F1"/>
    <w:rsid w:val="004129B6"/>
    <w:rsid w:val="00416D61"/>
    <w:rsid w:val="004176EA"/>
    <w:rsid w:val="00417FF3"/>
    <w:rsid w:val="004216F7"/>
    <w:rsid w:val="00422287"/>
    <w:rsid w:val="00427250"/>
    <w:rsid w:val="0043174B"/>
    <w:rsid w:val="0043263E"/>
    <w:rsid w:val="00435B99"/>
    <w:rsid w:val="004360C1"/>
    <w:rsid w:val="00447D92"/>
    <w:rsid w:val="00450082"/>
    <w:rsid w:val="00451151"/>
    <w:rsid w:val="004515C0"/>
    <w:rsid w:val="00453F88"/>
    <w:rsid w:val="00464BC2"/>
    <w:rsid w:val="00465D87"/>
    <w:rsid w:val="00470CF8"/>
    <w:rsid w:val="0047316F"/>
    <w:rsid w:val="004736BC"/>
    <w:rsid w:val="0047525B"/>
    <w:rsid w:val="00475E1F"/>
    <w:rsid w:val="0047603C"/>
    <w:rsid w:val="0047678F"/>
    <w:rsid w:val="00477F8B"/>
    <w:rsid w:val="00486624"/>
    <w:rsid w:val="00492EB1"/>
    <w:rsid w:val="004A059A"/>
    <w:rsid w:val="004A12E6"/>
    <w:rsid w:val="004A3768"/>
    <w:rsid w:val="004A479C"/>
    <w:rsid w:val="004A71D2"/>
    <w:rsid w:val="004B2D77"/>
    <w:rsid w:val="004B4E18"/>
    <w:rsid w:val="004B5D2E"/>
    <w:rsid w:val="004C40B7"/>
    <w:rsid w:val="004C5541"/>
    <w:rsid w:val="004D04C8"/>
    <w:rsid w:val="004D297B"/>
    <w:rsid w:val="004D4CA9"/>
    <w:rsid w:val="004D7A96"/>
    <w:rsid w:val="004E42BD"/>
    <w:rsid w:val="004E6E37"/>
    <w:rsid w:val="004E78C9"/>
    <w:rsid w:val="004F0F37"/>
    <w:rsid w:val="004F20C7"/>
    <w:rsid w:val="004F24A9"/>
    <w:rsid w:val="0050366D"/>
    <w:rsid w:val="00504BF4"/>
    <w:rsid w:val="00514BB6"/>
    <w:rsid w:val="0051561E"/>
    <w:rsid w:val="0051698D"/>
    <w:rsid w:val="005206AD"/>
    <w:rsid w:val="0052107F"/>
    <w:rsid w:val="0052316D"/>
    <w:rsid w:val="00526B7B"/>
    <w:rsid w:val="00527D8F"/>
    <w:rsid w:val="00542135"/>
    <w:rsid w:val="0054311F"/>
    <w:rsid w:val="005437AF"/>
    <w:rsid w:val="005474EB"/>
    <w:rsid w:val="005502B9"/>
    <w:rsid w:val="00557548"/>
    <w:rsid w:val="00557670"/>
    <w:rsid w:val="005614F3"/>
    <w:rsid w:val="00571838"/>
    <w:rsid w:val="00577016"/>
    <w:rsid w:val="00580B47"/>
    <w:rsid w:val="00590C7E"/>
    <w:rsid w:val="005A17A5"/>
    <w:rsid w:val="005A19FA"/>
    <w:rsid w:val="005A2118"/>
    <w:rsid w:val="005B191F"/>
    <w:rsid w:val="005B4F32"/>
    <w:rsid w:val="005B5E7B"/>
    <w:rsid w:val="005B608A"/>
    <w:rsid w:val="005C2A32"/>
    <w:rsid w:val="005C388F"/>
    <w:rsid w:val="005D00D0"/>
    <w:rsid w:val="005D4B31"/>
    <w:rsid w:val="005D5333"/>
    <w:rsid w:val="005F3A80"/>
    <w:rsid w:val="005F50BD"/>
    <w:rsid w:val="005F5AF5"/>
    <w:rsid w:val="005F6F35"/>
    <w:rsid w:val="0060145B"/>
    <w:rsid w:val="00603289"/>
    <w:rsid w:val="00605D1A"/>
    <w:rsid w:val="00610DEC"/>
    <w:rsid w:val="00614A9E"/>
    <w:rsid w:val="00614C0A"/>
    <w:rsid w:val="00617652"/>
    <w:rsid w:val="0062261B"/>
    <w:rsid w:val="00623C16"/>
    <w:rsid w:val="006254FB"/>
    <w:rsid w:val="006302D7"/>
    <w:rsid w:val="00635CB3"/>
    <w:rsid w:val="00643294"/>
    <w:rsid w:val="006553AD"/>
    <w:rsid w:val="00656E01"/>
    <w:rsid w:val="00662235"/>
    <w:rsid w:val="00663A2F"/>
    <w:rsid w:val="00670C42"/>
    <w:rsid w:val="006715E6"/>
    <w:rsid w:val="00675AFE"/>
    <w:rsid w:val="0068179E"/>
    <w:rsid w:val="00681899"/>
    <w:rsid w:val="0068504B"/>
    <w:rsid w:val="00686164"/>
    <w:rsid w:val="006912A4"/>
    <w:rsid w:val="00695F9E"/>
    <w:rsid w:val="006A04A7"/>
    <w:rsid w:val="006A19F4"/>
    <w:rsid w:val="006A2D35"/>
    <w:rsid w:val="006A30F8"/>
    <w:rsid w:val="006B3F19"/>
    <w:rsid w:val="006C650A"/>
    <w:rsid w:val="006C7BF5"/>
    <w:rsid w:val="006D63A4"/>
    <w:rsid w:val="006D7C4E"/>
    <w:rsid w:val="006E1377"/>
    <w:rsid w:val="006E322C"/>
    <w:rsid w:val="006E6E68"/>
    <w:rsid w:val="006E7EFD"/>
    <w:rsid w:val="006F418B"/>
    <w:rsid w:val="006F550A"/>
    <w:rsid w:val="006F718E"/>
    <w:rsid w:val="006F763E"/>
    <w:rsid w:val="00701BE1"/>
    <w:rsid w:val="0072399E"/>
    <w:rsid w:val="007240D0"/>
    <w:rsid w:val="00725692"/>
    <w:rsid w:val="0072629D"/>
    <w:rsid w:val="00726CE3"/>
    <w:rsid w:val="007311FE"/>
    <w:rsid w:val="007322BB"/>
    <w:rsid w:val="007330F7"/>
    <w:rsid w:val="00734380"/>
    <w:rsid w:val="007343D9"/>
    <w:rsid w:val="00740230"/>
    <w:rsid w:val="00741CC3"/>
    <w:rsid w:val="00743593"/>
    <w:rsid w:val="00744F35"/>
    <w:rsid w:val="007455CA"/>
    <w:rsid w:val="00745DA5"/>
    <w:rsid w:val="00751863"/>
    <w:rsid w:val="007539D0"/>
    <w:rsid w:val="00754D38"/>
    <w:rsid w:val="007554F5"/>
    <w:rsid w:val="007573A5"/>
    <w:rsid w:val="00763A28"/>
    <w:rsid w:val="00765262"/>
    <w:rsid w:val="007875FC"/>
    <w:rsid w:val="00787D05"/>
    <w:rsid w:val="00791A84"/>
    <w:rsid w:val="007926E8"/>
    <w:rsid w:val="00796C61"/>
    <w:rsid w:val="007A038C"/>
    <w:rsid w:val="007A0A34"/>
    <w:rsid w:val="007B099D"/>
    <w:rsid w:val="007B419B"/>
    <w:rsid w:val="007B6F21"/>
    <w:rsid w:val="007B7A21"/>
    <w:rsid w:val="007C14BF"/>
    <w:rsid w:val="007C17AA"/>
    <w:rsid w:val="007C2079"/>
    <w:rsid w:val="007C2BF4"/>
    <w:rsid w:val="007D09CF"/>
    <w:rsid w:val="007D5E26"/>
    <w:rsid w:val="007E0035"/>
    <w:rsid w:val="007E217E"/>
    <w:rsid w:val="007E2D4C"/>
    <w:rsid w:val="007E4076"/>
    <w:rsid w:val="007E4C78"/>
    <w:rsid w:val="007E62B5"/>
    <w:rsid w:val="007F026A"/>
    <w:rsid w:val="007F1154"/>
    <w:rsid w:val="007F4B4F"/>
    <w:rsid w:val="007F587D"/>
    <w:rsid w:val="00802A05"/>
    <w:rsid w:val="00805287"/>
    <w:rsid w:val="008076F0"/>
    <w:rsid w:val="0081564A"/>
    <w:rsid w:val="0082070D"/>
    <w:rsid w:val="00822CEC"/>
    <w:rsid w:val="00822E9E"/>
    <w:rsid w:val="00823D4A"/>
    <w:rsid w:val="008242AD"/>
    <w:rsid w:val="00825276"/>
    <w:rsid w:val="00825EFC"/>
    <w:rsid w:val="00832FE3"/>
    <w:rsid w:val="0083459B"/>
    <w:rsid w:val="0083723A"/>
    <w:rsid w:val="0083767B"/>
    <w:rsid w:val="00844686"/>
    <w:rsid w:val="00852984"/>
    <w:rsid w:val="00854C6A"/>
    <w:rsid w:val="00862904"/>
    <w:rsid w:val="008629FB"/>
    <w:rsid w:val="00862BB8"/>
    <w:rsid w:val="008635B7"/>
    <w:rsid w:val="008637FD"/>
    <w:rsid w:val="0086415B"/>
    <w:rsid w:val="00864925"/>
    <w:rsid w:val="00865DC1"/>
    <w:rsid w:val="008674B1"/>
    <w:rsid w:val="00867655"/>
    <w:rsid w:val="00867DE7"/>
    <w:rsid w:val="00874267"/>
    <w:rsid w:val="00874CC4"/>
    <w:rsid w:val="00874D02"/>
    <w:rsid w:val="00875A4E"/>
    <w:rsid w:val="008827D9"/>
    <w:rsid w:val="00883572"/>
    <w:rsid w:val="008845FB"/>
    <w:rsid w:val="0089191D"/>
    <w:rsid w:val="008B2544"/>
    <w:rsid w:val="008B4119"/>
    <w:rsid w:val="008B5B38"/>
    <w:rsid w:val="008B5D64"/>
    <w:rsid w:val="008C3401"/>
    <w:rsid w:val="008D1705"/>
    <w:rsid w:val="008D4BCE"/>
    <w:rsid w:val="008E27D3"/>
    <w:rsid w:val="008E317A"/>
    <w:rsid w:val="008E64BA"/>
    <w:rsid w:val="008E7D00"/>
    <w:rsid w:val="00900736"/>
    <w:rsid w:val="00906AF3"/>
    <w:rsid w:val="009210EE"/>
    <w:rsid w:val="00921A60"/>
    <w:rsid w:val="0092343E"/>
    <w:rsid w:val="0092431F"/>
    <w:rsid w:val="00925B12"/>
    <w:rsid w:val="00930EEB"/>
    <w:rsid w:val="00930FC1"/>
    <w:rsid w:val="00932D47"/>
    <w:rsid w:val="00933B0E"/>
    <w:rsid w:val="00934A5D"/>
    <w:rsid w:val="00934C55"/>
    <w:rsid w:val="00941380"/>
    <w:rsid w:val="00943080"/>
    <w:rsid w:val="00944195"/>
    <w:rsid w:val="00945147"/>
    <w:rsid w:val="00953393"/>
    <w:rsid w:val="00956271"/>
    <w:rsid w:val="00962058"/>
    <w:rsid w:val="00962A4E"/>
    <w:rsid w:val="00965DE8"/>
    <w:rsid w:val="00966E6A"/>
    <w:rsid w:val="009710AA"/>
    <w:rsid w:val="00971424"/>
    <w:rsid w:val="00973728"/>
    <w:rsid w:val="00990378"/>
    <w:rsid w:val="009935C8"/>
    <w:rsid w:val="009A4AC8"/>
    <w:rsid w:val="009B331B"/>
    <w:rsid w:val="009B7D73"/>
    <w:rsid w:val="009C4119"/>
    <w:rsid w:val="009C58ED"/>
    <w:rsid w:val="009D28D1"/>
    <w:rsid w:val="009D699A"/>
    <w:rsid w:val="009E63C4"/>
    <w:rsid w:val="009F2197"/>
    <w:rsid w:val="009F358F"/>
    <w:rsid w:val="00A00E75"/>
    <w:rsid w:val="00A0281F"/>
    <w:rsid w:val="00A05785"/>
    <w:rsid w:val="00A12407"/>
    <w:rsid w:val="00A204AE"/>
    <w:rsid w:val="00A22471"/>
    <w:rsid w:val="00A2362A"/>
    <w:rsid w:val="00A24B6A"/>
    <w:rsid w:val="00A25CFE"/>
    <w:rsid w:val="00A2654D"/>
    <w:rsid w:val="00A26F82"/>
    <w:rsid w:val="00A275FB"/>
    <w:rsid w:val="00A27FCC"/>
    <w:rsid w:val="00A30C11"/>
    <w:rsid w:val="00A334F3"/>
    <w:rsid w:val="00A3363F"/>
    <w:rsid w:val="00A41809"/>
    <w:rsid w:val="00A427EA"/>
    <w:rsid w:val="00A5231B"/>
    <w:rsid w:val="00A52B7C"/>
    <w:rsid w:val="00A53091"/>
    <w:rsid w:val="00A57A57"/>
    <w:rsid w:val="00A609D2"/>
    <w:rsid w:val="00A612F1"/>
    <w:rsid w:val="00A63521"/>
    <w:rsid w:val="00A637A0"/>
    <w:rsid w:val="00A63CF9"/>
    <w:rsid w:val="00A70685"/>
    <w:rsid w:val="00A727D1"/>
    <w:rsid w:val="00A72D6D"/>
    <w:rsid w:val="00A73BA9"/>
    <w:rsid w:val="00A7570D"/>
    <w:rsid w:val="00A77124"/>
    <w:rsid w:val="00A83448"/>
    <w:rsid w:val="00A84F44"/>
    <w:rsid w:val="00A901F1"/>
    <w:rsid w:val="00A9119F"/>
    <w:rsid w:val="00A95C38"/>
    <w:rsid w:val="00AA2B8A"/>
    <w:rsid w:val="00AA3A07"/>
    <w:rsid w:val="00AA5AC3"/>
    <w:rsid w:val="00AA7E2F"/>
    <w:rsid w:val="00AB294C"/>
    <w:rsid w:val="00AC3DD1"/>
    <w:rsid w:val="00AC5039"/>
    <w:rsid w:val="00AC5C5C"/>
    <w:rsid w:val="00AC7905"/>
    <w:rsid w:val="00AD1492"/>
    <w:rsid w:val="00AD1AA3"/>
    <w:rsid w:val="00AE0F37"/>
    <w:rsid w:val="00AE1FE8"/>
    <w:rsid w:val="00AE6535"/>
    <w:rsid w:val="00AE7198"/>
    <w:rsid w:val="00B0093E"/>
    <w:rsid w:val="00B00DEB"/>
    <w:rsid w:val="00B062F2"/>
    <w:rsid w:val="00B07D61"/>
    <w:rsid w:val="00B114A8"/>
    <w:rsid w:val="00B127B8"/>
    <w:rsid w:val="00B14527"/>
    <w:rsid w:val="00B17D15"/>
    <w:rsid w:val="00B269C0"/>
    <w:rsid w:val="00B37895"/>
    <w:rsid w:val="00B46D7C"/>
    <w:rsid w:val="00B529F0"/>
    <w:rsid w:val="00B54B84"/>
    <w:rsid w:val="00B55465"/>
    <w:rsid w:val="00B55696"/>
    <w:rsid w:val="00B55BB6"/>
    <w:rsid w:val="00B5669A"/>
    <w:rsid w:val="00B613C9"/>
    <w:rsid w:val="00B64A61"/>
    <w:rsid w:val="00B665ED"/>
    <w:rsid w:val="00B67D9C"/>
    <w:rsid w:val="00B81B4E"/>
    <w:rsid w:val="00B8733B"/>
    <w:rsid w:val="00B91301"/>
    <w:rsid w:val="00B93DE7"/>
    <w:rsid w:val="00B955A5"/>
    <w:rsid w:val="00B97907"/>
    <w:rsid w:val="00BA41A9"/>
    <w:rsid w:val="00BA4603"/>
    <w:rsid w:val="00BA73EE"/>
    <w:rsid w:val="00BB29B2"/>
    <w:rsid w:val="00BB2EDB"/>
    <w:rsid w:val="00BB49FA"/>
    <w:rsid w:val="00BC384B"/>
    <w:rsid w:val="00BE2DB0"/>
    <w:rsid w:val="00BE36D4"/>
    <w:rsid w:val="00BE64AA"/>
    <w:rsid w:val="00BE70CD"/>
    <w:rsid w:val="00BF7D12"/>
    <w:rsid w:val="00C14F3F"/>
    <w:rsid w:val="00C16F7C"/>
    <w:rsid w:val="00C23ACD"/>
    <w:rsid w:val="00C278F0"/>
    <w:rsid w:val="00C31E6A"/>
    <w:rsid w:val="00C3250F"/>
    <w:rsid w:val="00C500D9"/>
    <w:rsid w:val="00C5214D"/>
    <w:rsid w:val="00C524A0"/>
    <w:rsid w:val="00C53153"/>
    <w:rsid w:val="00C55B3C"/>
    <w:rsid w:val="00C64862"/>
    <w:rsid w:val="00C6532C"/>
    <w:rsid w:val="00C66291"/>
    <w:rsid w:val="00C6700F"/>
    <w:rsid w:val="00C73179"/>
    <w:rsid w:val="00C73A4A"/>
    <w:rsid w:val="00C7580D"/>
    <w:rsid w:val="00C76816"/>
    <w:rsid w:val="00C81DDA"/>
    <w:rsid w:val="00C84133"/>
    <w:rsid w:val="00C84E1D"/>
    <w:rsid w:val="00C860A3"/>
    <w:rsid w:val="00C86720"/>
    <w:rsid w:val="00C92C78"/>
    <w:rsid w:val="00C9557E"/>
    <w:rsid w:val="00C963DE"/>
    <w:rsid w:val="00CA038E"/>
    <w:rsid w:val="00CA17CC"/>
    <w:rsid w:val="00CA1D6F"/>
    <w:rsid w:val="00CA20C2"/>
    <w:rsid w:val="00CB1A40"/>
    <w:rsid w:val="00CB3FE2"/>
    <w:rsid w:val="00CB5196"/>
    <w:rsid w:val="00CB5207"/>
    <w:rsid w:val="00CC5BC5"/>
    <w:rsid w:val="00CC6DE8"/>
    <w:rsid w:val="00CC6E96"/>
    <w:rsid w:val="00CD604D"/>
    <w:rsid w:val="00CF1A2C"/>
    <w:rsid w:val="00CF2FD7"/>
    <w:rsid w:val="00CF5023"/>
    <w:rsid w:val="00D00641"/>
    <w:rsid w:val="00D038AA"/>
    <w:rsid w:val="00D123D2"/>
    <w:rsid w:val="00D13B11"/>
    <w:rsid w:val="00D16BCB"/>
    <w:rsid w:val="00D221EA"/>
    <w:rsid w:val="00D22F99"/>
    <w:rsid w:val="00D26C1E"/>
    <w:rsid w:val="00D3018E"/>
    <w:rsid w:val="00D31200"/>
    <w:rsid w:val="00D32403"/>
    <w:rsid w:val="00D36FF5"/>
    <w:rsid w:val="00D3708F"/>
    <w:rsid w:val="00D40C0E"/>
    <w:rsid w:val="00D422C1"/>
    <w:rsid w:val="00D466B7"/>
    <w:rsid w:val="00D476BB"/>
    <w:rsid w:val="00D60075"/>
    <w:rsid w:val="00D6016D"/>
    <w:rsid w:val="00D8156B"/>
    <w:rsid w:val="00D83C7D"/>
    <w:rsid w:val="00D867FF"/>
    <w:rsid w:val="00D9137D"/>
    <w:rsid w:val="00D930DF"/>
    <w:rsid w:val="00D95F01"/>
    <w:rsid w:val="00D96550"/>
    <w:rsid w:val="00DA186F"/>
    <w:rsid w:val="00DA3B8B"/>
    <w:rsid w:val="00DB1B4B"/>
    <w:rsid w:val="00DB4915"/>
    <w:rsid w:val="00DB6ED9"/>
    <w:rsid w:val="00DC193E"/>
    <w:rsid w:val="00DC5578"/>
    <w:rsid w:val="00DD3D16"/>
    <w:rsid w:val="00DD4011"/>
    <w:rsid w:val="00DD4469"/>
    <w:rsid w:val="00DE20C0"/>
    <w:rsid w:val="00DE5BBC"/>
    <w:rsid w:val="00DE7D78"/>
    <w:rsid w:val="00DF2422"/>
    <w:rsid w:val="00DF65C0"/>
    <w:rsid w:val="00DF65E8"/>
    <w:rsid w:val="00DF7B9A"/>
    <w:rsid w:val="00E01B85"/>
    <w:rsid w:val="00E12FF4"/>
    <w:rsid w:val="00E131DE"/>
    <w:rsid w:val="00E13718"/>
    <w:rsid w:val="00E17C15"/>
    <w:rsid w:val="00E23342"/>
    <w:rsid w:val="00E255D2"/>
    <w:rsid w:val="00E26FC5"/>
    <w:rsid w:val="00E3160C"/>
    <w:rsid w:val="00E32E49"/>
    <w:rsid w:val="00E35350"/>
    <w:rsid w:val="00E43595"/>
    <w:rsid w:val="00E43E96"/>
    <w:rsid w:val="00E4485C"/>
    <w:rsid w:val="00E473FE"/>
    <w:rsid w:val="00E520EC"/>
    <w:rsid w:val="00E54FBB"/>
    <w:rsid w:val="00E61329"/>
    <w:rsid w:val="00E62035"/>
    <w:rsid w:val="00E64324"/>
    <w:rsid w:val="00E66A57"/>
    <w:rsid w:val="00E74E47"/>
    <w:rsid w:val="00E74F4F"/>
    <w:rsid w:val="00E75F06"/>
    <w:rsid w:val="00E763B9"/>
    <w:rsid w:val="00E76B23"/>
    <w:rsid w:val="00E77A4A"/>
    <w:rsid w:val="00E8537A"/>
    <w:rsid w:val="00E85D49"/>
    <w:rsid w:val="00E86284"/>
    <w:rsid w:val="00E91CE0"/>
    <w:rsid w:val="00E961AF"/>
    <w:rsid w:val="00E970A5"/>
    <w:rsid w:val="00EA106D"/>
    <w:rsid w:val="00EA5FDA"/>
    <w:rsid w:val="00EA7161"/>
    <w:rsid w:val="00EB4556"/>
    <w:rsid w:val="00EB6824"/>
    <w:rsid w:val="00EC34FA"/>
    <w:rsid w:val="00EC452D"/>
    <w:rsid w:val="00EC6AD3"/>
    <w:rsid w:val="00EC7EEF"/>
    <w:rsid w:val="00ED166C"/>
    <w:rsid w:val="00ED3D90"/>
    <w:rsid w:val="00ED4A4A"/>
    <w:rsid w:val="00ED513C"/>
    <w:rsid w:val="00EE1CF1"/>
    <w:rsid w:val="00EE3D19"/>
    <w:rsid w:val="00EE7635"/>
    <w:rsid w:val="00EF3476"/>
    <w:rsid w:val="00F00BEC"/>
    <w:rsid w:val="00F00CB3"/>
    <w:rsid w:val="00F01DAA"/>
    <w:rsid w:val="00F03D54"/>
    <w:rsid w:val="00F04E34"/>
    <w:rsid w:val="00F060AD"/>
    <w:rsid w:val="00F07A2A"/>
    <w:rsid w:val="00F13625"/>
    <w:rsid w:val="00F14642"/>
    <w:rsid w:val="00F14E66"/>
    <w:rsid w:val="00F16297"/>
    <w:rsid w:val="00F167DC"/>
    <w:rsid w:val="00F20446"/>
    <w:rsid w:val="00F20DB4"/>
    <w:rsid w:val="00F238A4"/>
    <w:rsid w:val="00F24BA1"/>
    <w:rsid w:val="00F26B26"/>
    <w:rsid w:val="00F26FE4"/>
    <w:rsid w:val="00F30CA5"/>
    <w:rsid w:val="00F31243"/>
    <w:rsid w:val="00F31C82"/>
    <w:rsid w:val="00F32F7B"/>
    <w:rsid w:val="00F34C29"/>
    <w:rsid w:val="00F433E7"/>
    <w:rsid w:val="00F43C46"/>
    <w:rsid w:val="00F43CCC"/>
    <w:rsid w:val="00F47BB1"/>
    <w:rsid w:val="00F56D4E"/>
    <w:rsid w:val="00F61F72"/>
    <w:rsid w:val="00F6764A"/>
    <w:rsid w:val="00F67C38"/>
    <w:rsid w:val="00F700AA"/>
    <w:rsid w:val="00F74BC4"/>
    <w:rsid w:val="00F76E75"/>
    <w:rsid w:val="00F804BC"/>
    <w:rsid w:val="00F81957"/>
    <w:rsid w:val="00F82779"/>
    <w:rsid w:val="00F86F96"/>
    <w:rsid w:val="00F87624"/>
    <w:rsid w:val="00F91828"/>
    <w:rsid w:val="00F927AC"/>
    <w:rsid w:val="00FA32A0"/>
    <w:rsid w:val="00FB0113"/>
    <w:rsid w:val="00FB4323"/>
    <w:rsid w:val="00FB5556"/>
    <w:rsid w:val="00FB7B4B"/>
    <w:rsid w:val="00FC1E8C"/>
    <w:rsid w:val="00FC27E6"/>
    <w:rsid w:val="00FC78B6"/>
    <w:rsid w:val="00FD075F"/>
    <w:rsid w:val="00FD16E8"/>
    <w:rsid w:val="00FD1774"/>
    <w:rsid w:val="00FD2FD5"/>
    <w:rsid w:val="00FD45A6"/>
    <w:rsid w:val="00FD78E4"/>
    <w:rsid w:val="00FE3AF0"/>
    <w:rsid w:val="00FE4C5C"/>
    <w:rsid w:val="00FE4E66"/>
    <w:rsid w:val="00FE72B6"/>
    <w:rsid w:val="00FE7460"/>
    <w:rsid w:val="00FF0456"/>
    <w:rsid w:val="00FF76F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7"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2D8"/>
    <w:pPr>
      <w:spacing w:after="0" w:line="240" w:lineRule="auto"/>
      <w:jc w:val="both"/>
    </w:pPr>
    <w:rPr>
      <w:rFonts w:ascii="Calibri" w:eastAsia="Times New Roman" w:hAnsi="Calibri" w:cs="Arial"/>
      <w:sz w:val="24"/>
      <w:szCs w:val="24"/>
      <w:lang w:eastAsia="en-AU"/>
    </w:rPr>
  </w:style>
  <w:style w:type="paragraph" w:styleId="Heading1">
    <w:name w:val="heading 1"/>
    <w:basedOn w:val="Normal"/>
    <w:next w:val="Normal"/>
    <w:link w:val="Heading1Char"/>
    <w:uiPriority w:val="1"/>
    <w:rsid w:val="00E13718"/>
    <w:pPr>
      <w:ind w:left="720" w:hanging="720"/>
      <w:outlineLvl w:val="0"/>
    </w:pPr>
    <w:rPr>
      <w:b/>
      <w:caps/>
      <w:sz w:val="32"/>
    </w:rPr>
  </w:style>
  <w:style w:type="paragraph" w:styleId="Heading2">
    <w:name w:val="heading 2"/>
    <w:basedOn w:val="Normal"/>
    <w:next w:val="Normal"/>
    <w:link w:val="Heading2Char"/>
    <w:rsid w:val="00E13718"/>
    <w:pPr>
      <w:outlineLvl w:val="1"/>
    </w:pPr>
    <w:rPr>
      <w:b/>
      <w:i/>
      <w:sz w:val="28"/>
    </w:rPr>
  </w:style>
  <w:style w:type="paragraph" w:styleId="Heading3">
    <w:name w:val="heading 3"/>
    <w:basedOn w:val="Normal"/>
    <w:next w:val="Normal"/>
    <w:link w:val="Heading3Char"/>
    <w:rsid w:val="00E13718"/>
    <w:pPr>
      <w:outlineLvl w:val="2"/>
    </w:pPr>
    <w:rPr>
      <w:u w:val="single"/>
    </w:rPr>
  </w:style>
  <w:style w:type="paragraph" w:styleId="Heading4">
    <w:name w:val="heading 4"/>
    <w:basedOn w:val="Normal"/>
    <w:next w:val="Normal"/>
    <w:link w:val="Heading4Char"/>
    <w:rsid w:val="00E13718"/>
    <w:pPr>
      <w:keepNext/>
      <w:spacing w:before="240" w:after="60"/>
      <w:outlineLvl w:val="3"/>
    </w:pPr>
    <w:rPr>
      <w:b/>
      <w:bCs/>
      <w:i/>
      <w:sz w:val="26"/>
      <w:szCs w:val="28"/>
    </w:rPr>
  </w:style>
  <w:style w:type="paragraph" w:styleId="Heading5">
    <w:name w:val="heading 5"/>
    <w:basedOn w:val="Normal"/>
    <w:next w:val="Normal"/>
    <w:link w:val="Heading5Char"/>
    <w:rsid w:val="00E13718"/>
    <w:pPr>
      <w:spacing w:before="240" w:after="60"/>
      <w:outlineLvl w:val="4"/>
    </w:pPr>
    <w:rPr>
      <w:b/>
      <w:bCs/>
      <w:iCs/>
      <w:sz w:val="26"/>
      <w:szCs w:val="26"/>
    </w:rPr>
  </w:style>
  <w:style w:type="paragraph" w:styleId="Heading6">
    <w:name w:val="heading 6"/>
    <w:basedOn w:val="Normal"/>
    <w:next w:val="Normal"/>
    <w:link w:val="Heading6Char"/>
    <w:rsid w:val="00E13718"/>
    <w:pPr>
      <w:spacing w:before="240" w:after="60"/>
      <w:outlineLvl w:val="5"/>
    </w:pPr>
    <w:rPr>
      <w:b/>
      <w:bCs/>
      <w:i/>
    </w:rPr>
  </w:style>
  <w:style w:type="paragraph" w:styleId="Heading7">
    <w:name w:val="heading 7"/>
    <w:basedOn w:val="Normal"/>
    <w:next w:val="Normal"/>
    <w:link w:val="Heading7Char"/>
    <w:rsid w:val="00E13718"/>
    <w:pPr>
      <w:keepNext/>
      <w:jc w:val="center"/>
      <w:outlineLvl w:val="6"/>
    </w:pPr>
    <w:rPr>
      <w:b/>
      <w:sz w:val="20"/>
    </w:rPr>
  </w:style>
  <w:style w:type="paragraph" w:styleId="Heading8">
    <w:name w:val="heading 8"/>
    <w:basedOn w:val="Normal"/>
    <w:next w:val="Normal"/>
    <w:link w:val="Heading8Char"/>
    <w:uiPriority w:val="7"/>
    <w:rsid w:val="00E13718"/>
    <w:pPr>
      <w:keepNext/>
      <w:jc w:val="right"/>
      <w:outlineLvl w:val="7"/>
    </w:pPr>
    <w:rPr>
      <w:b/>
    </w:rPr>
  </w:style>
  <w:style w:type="paragraph" w:styleId="Heading9">
    <w:name w:val="heading 9"/>
    <w:basedOn w:val="Normal"/>
    <w:next w:val="Normal"/>
    <w:link w:val="Heading9Char"/>
    <w:rsid w:val="00E13718"/>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13718"/>
    <w:rPr>
      <w:rFonts w:ascii="Calibri" w:eastAsia="Times New Roman" w:hAnsi="Calibri" w:cs="Arial"/>
      <w:b/>
      <w:caps/>
      <w:sz w:val="32"/>
      <w:szCs w:val="24"/>
      <w:lang w:eastAsia="en-AU"/>
    </w:rPr>
  </w:style>
  <w:style w:type="character" w:customStyle="1" w:styleId="Heading2Char">
    <w:name w:val="Heading 2 Char"/>
    <w:basedOn w:val="DefaultParagraphFont"/>
    <w:link w:val="Heading2"/>
    <w:rsid w:val="00E13718"/>
    <w:rPr>
      <w:rFonts w:ascii="Calibri" w:eastAsia="Times New Roman" w:hAnsi="Calibri" w:cs="Arial"/>
      <w:b/>
      <w:i/>
      <w:sz w:val="28"/>
      <w:szCs w:val="24"/>
      <w:lang w:eastAsia="en-AU"/>
    </w:rPr>
  </w:style>
  <w:style w:type="character" w:customStyle="1" w:styleId="Heading3Char">
    <w:name w:val="Heading 3 Char"/>
    <w:basedOn w:val="DefaultParagraphFont"/>
    <w:link w:val="Heading3"/>
    <w:rsid w:val="00E13718"/>
    <w:rPr>
      <w:rFonts w:ascii="Calibri" w:eastAsia="Times New Roman" w:hAnsi="Calibri" w:cs="Arial"/>
      <w:sz w:val="24"/>
      <w:szCs w:val="24"/>
      <w:u w:val="single"/>
      <w:lang w:eastAsia="en-AU"/>
    </w:rPr>
  </w:style>
  <w:style w:type="character" w:customStyle="1" w:styleId="Heading4Char">
    <w:name w:val="Heading 4 Char"/>
    <w:basedOn w:val="DefaultParagraphFont"/>
    <w:link w:val="Heading4"/>
    <w:rsid w:val="00E13718"/>
    <w:rPr>
      <w:rFonts w:ascii="Calibri" w:eastAsia="Times New Roman" w:hAnsi="Calibri" w:cs="Arial"/>
      <w:b/>
      <w:bCs/>
      <w:i/>
      <w:sz w:val="26"/>
      <w:szCs w:val="28"/>
      <w:lang w:eastAsia="en-AU"/>
    </w:rPr>
  </w:style>
  <w:style w:type="character" w:customStyle="1" w:styleId="Heading5Char">
    <w:name w:val="Heading 5 Char"/>
    <w:basedOn w:val="DefaultParagraphFont"/>
    <w:link w:val="Heading5"/>
    <w:rsid w:val="00E13718"/>
    <w:rPr>
      <w:rFonts w:ascii="Calibri" w:eastAsia="Times New Roman" w:hAnsi="Calibri" w:cs="Arial"/>
      <w:b/>
      <w:bCs/>
      <w:iCs/>
      <w:sz w:val="26"/>
      <w:szCs w:val="26"/>
      <w:lang w:eastAsia="en-AU"/>
    </w:rPr>
  </w:style>
  <w:style w:type="character" w:customStyle="1" w:styleId="Heading6Char">
    <w:name w:val="Heading 6 Char"/>
    <w:basedOn w:val="DefaultParagraphFont"/>
    <w:link w:val="Heading6"/>
    <w:rsid w:val="00E13718"/>
    <w:rPr>
      <w:rFonts w:ascii="Calibri" w:eastAsia="Times New Roman" w:hAnsi="Calibri" w:cs="Arial"/>
      <w:b/>
      <w:bCs/>
      <w:i/>
      <w:sz w:val="24"/>
      <w:szCs w:val="24"/>
      <w:lang w:eastAsia="en-AU"/>
    </w:rPr>
  </w:style>
  <w:style w:type="character" w:customStyle="1" w:styleId="Heading7Char">
    <w:name w:val="Heading 7 Char"/>
    <w:basedOn w:val="DefaultParagraphFont"/>
    <w:link w:val="Heading7"/>
    <w:rsid w:val="00E13718"/>
    <w:rPr>
      <w:rFonts w:ascii="Calibri" w:eastAsia="Times New Roman" w:hAnsi="Calibri" w:cs="Arial"/>
      <w:b/>
      <w:sz w:val="20"/>
      <w:szCs w:val="24"/>
      <w:lang w:eastAsia="en-AU"/>
    </w:rPr>
  </w:style>
  <w:style w:type="character" w:customStyle="1" w:styleId="Heading8Char">
    <w:name w:val="Heading 8 Char"/>
    <w:basedOn w:val="DefaultParagraphFont"/>
    <w:link w:val="Heading8"/>
    <w:uiPriority w:val="7"/>
    <w:rsid w:val="00E13718"/>
    <w:rPr>
      <w:rFonts w:ascii="Calibri" w:eastAsia="Times New Roman" w:hAnsi="Calibri" w:cs="Arial"/>
      <w:b/>
      <w:sz w:val="24"/>
      <w:szCs w:val="24"/>
      <w:lang w:eastAsia="en-AU"/>
    </w:rPr>
  </w:style>
  <w:style w:type="character" w:customStyle="1" w:styleId="Heading9Char">
    <w:name w:val="Heading 9 Char"/>
    <w:basedOn w:val="DefaultParagraphFont"/>
    <w:link w:val="Heading9"/>
    <w:rsid w:val="00E13718"/>
    <w:rPr>
      <w:rFonts w:ascii="Calibri" w:eastAsia="Times New Roman" w:hAnsi="Calibri" w:cs="Arial"/>
      <w:b/>
      <w:color w:val="000000"/>
      <w:sz w:val="20"/>
      <w:szCs w:val="24"/>
      <w:lang w:eastAsia="en-AU"/>
    </w:rPr>
  </w:style>
  <w:style w:type="paragraph" w:customStyle="1" w:styleId="TableFooter">
    <w:name w:val="Table Footer"/>
    <w:basedOn w:val="Normal"/>
    <w:link w:val="TableFooterChar"/>
    <w:rsid w:val="00E13718"/>
    <w:rPr>
      <w:rFonts w:ascii="Arial Narrow" w:hAnsi="Arial Narrow"/>
      <w:sz w:val="18"/>
    </w:rPr>
  </w:style>
  <w:style w:type="character" w:customStyle="1" w:styleId="TableFooterChar">
    <w:name w:val="Table Footer Char"/>
    <w:link w:val="TableFooter"/>
    <w:rsid w:val="00E13718"/>
    <w:rPr>
      <w:rFonts w:ascii="Arial Narrow" w:eastAsia="Times New Roman" w:hAnsi="Arial Narrow" w:cs="Arial"/>
      <w:sz w:val="18"/>
      <w:szCs w:val="24"/>
      <w:lang w:eastAsia="en-AU"/>
    </w:rPr>
  </w:style>
  <w:style w:type="paragraph" w:customStyle="1" w:styleId="TableHeader">
    <w:name w:val="Table Header"/>
    <w:basedOn w:val="Normal"/>
    <w:uiPriority w:val="3"/>
    <w:rsid w:val="00E13718"/>
    <w:rPr>
      <w:b/>
      <w:sz w:val="20"/>
    </w:rPr>
  </w:style>
  <w:style w:type="paragraph" w:styleId="Caption">
    <w:name w:val="caption"/>
    <w:basedOn w:val="Normal"/>
    <w:next w:val="Normal"/>
    <w:link w:val="CaptionChar"/>
    <w:unhideWhenUsed/>
    <w:rsid w:val="00E13718"/>
    <w:pPr>
      <w:spacing w:after="200"/>
    </w:pPr>
    <w:rPr>
      <w:b/>
      <w:bCs/>
      <w:color w:val="5B9BD5" w:themeColor="accent1"/>
      <w:sz w:val="18"/>
      <w:szCs w:val="18"/>
    </w:rPr>
  </w:style>
  <w:style w:type="character" w:customStyle="1" w:styleId="CaptionChar">
    <w:name w:val="Caption Char"/>
    <w:link w:val="Caption"/>
    <w:rsid w:val="00E13718"/>
    <w:rPr>
      <w:rFonts w:ascii="Calibri" w:eastAsia="Times New Roman" w:hAnsi="Calibri" w:cs="Arial"/>
      <w:b/>
      <w:bCs/>
      <w:color w:val="5B9BD5" w:themeColor="accent1"/>
      <w:sz w:val="18"/>
      <w:szCs w:val="18"/>
      <w:lang w:eastAsia="en-AU"/>
    </w:rPr>
  </w:style>
  <w:style w:type="paragraph" w:styleId="Title">
    <w:name w:val="Title"/>
    <w:basedOn w:val="Normal"/>
    <w:next w:val="Normal"/>
    <w:link w:val="TitleChar"/>
    <w:rsid w:val="00E13718"/>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E13718"/>
    <w:rPr>
      <w:rFonts w:ascii="Cambria" w:eastAsia="Times New Roman" w:hAnsi="Cambria" w:cs="Arial"/>
      <w:b/>
      <w:bCs/>
      <w:kern w:val="28"/>
      <w:sz w:val="32"/>
      <w:szCs w:val="32"/>
      <w:lang w:eastAsia="en-AU"/>
    </w:rPr>
  </w:style>
  <w:style w:type="paragraph" w:styleId="BodyText">
    <w:name w:val="Body Text"/>
    <w:basedOn w:val="Normal"/>
    <w:link w:val="BodyTextChar"/>
    <w:rsid w:val="00E13718"/>
    <w:pPr>
      <w:jc w:val="left"/>
    </w:pPr>
  </w:style>
  <w:style w:type="character" w:customStyle="1" w:styleId="BodyTextChar">
    <w:name w:val="Body Text Char"/>
    <w:basedOn w:val="DefaultParagraphFont"/>
    <w:link w:val="BodyText"/>
    <w:rsid w:val="00E13718"/>
    <w:rPr>
      <w:rFonts w:ascii="Calibri" w:eastAsia="Times New Roman" w:hAnsi="Calibri" w:cs="Arial"/>
      <w:sz w:val="24"/>
      <w:szCs w:val="24"/>
      <w:lang w:eastAsia="en-AU"/>
    </w:rPr>
  </w:style>
  <w:style w:type="paragraph" w:styleId="ListParagraph">
    <w:name w:val="List Paragraph"/>
    <w:aliases w:val="Body Text Bullet Points,Numbered para,BulletPoints,List Paragraph1,Bullet point,List Paragraph11,Recommendation,Section heading,Footnote,Bullet List,ES Paragraph,PBAC ES Paragraph,PBAC normal points,Styl moj,Akapit z listą1"/>
    <w:next w:val="ListBullet"/>
    <w:link w:val="ListParagraphChar"/>
    <w:uiPriority w:val="34"/>
    <w:qFormat/>
    <w:rsid w:val="00E13718"/>
    <w:pPr>
      <w:numPr>
        <w:numId w:val="3"/>
      </w:numPr>
      <w:spacing w:after="120" w:line="240" w:lineRule="auto"/>
      <w:jc w:val="both"/>
    </w:pPr>
    <w:rPr>
      <w:rFonts w:eastAsia="Times New Roman" w:cs="Arial"/>
      <w:snapToGrid w:val="0"/>
      <w:sz w:val="24"/>
      <w:szCs w:val="24"/>
      <w:lang w:eastAsia="en-AU"/>
    </w:rPr>
  </w:style>
  <w:style w:type="character" w:customStyle="1" w:styleId="ListParagraphChar">
    <w:name w:val="List Paragraph Char"/>
    <w:aliases w:val="Body Text Bullet Points Char,Numbered para Char,BulletPoints Char,List Paragraph1 Char,Bullet point Char,List Paragraph11 Char,Recommendation Char,Section heading Char,Footnote Char,Bullet List Char,ES Paragraph Char,Styl moj Char"/>
    <w:basedOn w:val="DefaultParagraphFont"/>
    <w:link w:val="ListParagraph"/>
    <w:uiPriority w:val="34"/>
    <w:qFormat/>
    <w:locked/>
    <w:rsid w:val="00E13718"/>
    <w:rPr>
      <w:rFonts w:eastAsia="Times New Roman" w:cs="Arial"/>
      <w:snapToGrid w:val="0"/>
      <w:sz w:val="24"/>
      <w:szCs w:val="24"/>
      <w:lang w:eastAsia="en-AU"/>
    </w:rPr>
  </w:style>
  <w:style w:type="paragraph" w:customStyle="1" w:styleId="RegularText">
    <w:name w:val="Regular Text"/>
    <w:basedOn w:val="BodyText"/>
    <w:link w:val="RegularTextChar"/>
    <w:rsid w:val="00E13718"/>
    <w:rPr>
      <w:b/>
    </w:rPr>
  </w:style>
  <w:style w:type="character" w:customStyle="1" w:styleId="RegularTextChar">
    <w:name w:val="Regular Text Char"/>
    <w:basedOn w:val="BodyTextChar"/>
    <w:link w:val="RegularText"/>
    <w:rsid w:val="00E13718"/>
    <w:rPr>
      <w:rFonts w:ascii="Calibri" w:eastAsia="Times New Roman" w:hAnsi="Calibri" w:cs="Arial"/>
      <w:b/>
      <w:sz w:val="24"/>
      <w:szCs w:val="24"/>
      <w:lang w:eastAsia="en-AU"/>
    </w:rPr>
  </w:style>
  <w:style w:type="paragraph" w:styleId="NoSpacing">
    <w:name w:val="No Spacing"/>
    <w:uiPriority w:val="1"/>
    <w:rsid w:val="00E13718"/>
    <w:pPr>
      <w:widowControl w:val="0"/>
      <w:spacing w:after="0" w:line="240" w:lineRule="auto"/>
      <w:jc w:val="both"/>
    </w:pPr>
    <w:rPr>
      <w:rFonts w:ascii="Arial" w:eastAsia="Times New Roman" w:hAnsi="Arial" w:cs="Arial"/>
      <w:snapToGrid w:val="0"/>
      <w:szCs w:val="20"/>
    </w:rPr>
  </w:style>
  <w:style w:type="paragraph" w:styleId="Header">
    <w:name w:val="header"/>
    <w:aliases w:val="Page Header,Header title,he=header,cntr/bld"/>
    <w:basedOn w:val="Normal"/>
    <w:link w:val="HeaderChar"/>
    <w:qFormat/>
    <w:rsid w:val="00E13718"/>
    <w:pPr>
      <w:keepNext/>
      <w:tabs>
        <w:tab w:val="center" w:pos="4513"/>
        <w:tab w:val="right" w:pos="9026"/>
      </w:tabs>
      <w:jc w:val="center"/>
    </w:pPr>
  </w:style>
  <w:style w:type="character" w:customStyle="1" w:styleId="HeaderChar">
    <w:name w:val="Header Char"/>
    <w:aliases w:val="Page Header Char,Header title Char,he=header Char,cntr/bld Char"/>
    <w:basedOn w:val="DefaultParagraphFont"/>
    <w:link w:val="Header"/>
    <w:rsid w:val="00E13718"/>
    <w:rPr>
      <w:rFonts w:ascii="Calibri" w:eastAsia="Times New Roman" w:hAnsi="Calibri" w:cs="Arial"/>
      <w:sz w:val="24"/>
      <w:szCs w:val="24"/>
      <w:lang w:eastAsia="en-AU"/>
    </w:rPr>
  </w:style>
  <w:style w:type="paragraph" w:styleId="Footer">
    <w:name w:val="footer"/>
    <w:basedOn w:val="Normal"/>
    <w:link w:val="FooterChar"/>
    <w:uiPriority w:val="99"/>
    <w:rsid w:val="00E13718"/>
    <w:pPr>
      <w:tabs>
        <w:tab w:val="center" w:pos="4513"/>
        <w:tab w:val="right" w:pos="9026"/>
      </w:tabs>
    </w:pPr>
  </w:style>
  <w:style w:type="character" w:customStyle="1" w:styleId="FooterChar">
    <w:name w:val="Footer Char"/>
    <w:basedOn w:val="DefaultParagraphFont"/>
    <w:link w:val="Footer"/>
    <w:uiPriority w:val="99"/>
    <w:rsid w:val="00E13718"/>
    <w:rPr>
      <w:rFonts w:ascii="Calibri" w:eastAsia="Times New Roman" w:hAnsi="Calibri" w:cs="Arial"/>
      <w:sz w:val="24"/>
      <w:szCs w:val="24"/>
      <w:lang w:eastAsia="en-AU"/>
    </w:rPr>
  </w:style>
  <w:style w:type="table" w:styleId="TableGrid">
    <w:name w:val="Table Grid"/>
    <w:aliases w:val="Summary box,Table Gridbeth,CMA Table Template,ASD Table"/>
    <w:basedOn w:val="TableNormal"/>
    <w:uiPriority w:val="39"/>
    <w:rsid w:val="00E1371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uiPriority w:val="99"/>
    <w:qFormat/>
    <w:rsid w:val="00E13718"/>
    <w:rPr>
      <w:rFonts w:ascii="Arial Narrow" w:hAnsi="Arial Narrow"/>
      <w:b/>
      <w:sz w:val="20"/>
      <w:szCs w:val="16"/>
    </w:rPr>
  </w:style>
  <w:style w:type="paragraph" w:customStyle="1" w:styleId="Tabletext">
    <w:name w:val="Table text"/>
    <w:basedOn w:val="Normal"/>
    <w:link w:val="TabletextChar"/>
    <w:rsid w:val="00E13718"/>
    <w:pPr>
      <w:jc w:val="left"/>
    </w:pPr>
    <w:rPr>
      <w:rFonts w:ascii="Arial Narrow" w:hAnsi="Arial Narrow" w:cs="Times New Roman"/>
      <w:snapToGrid w:val="0"/>
      <w:sz w:val="20"/>
    </w:rPr>
  </w:style>
  <w:style w:type="character" w:customStyle="1" w:styleId="TabletextChar">
    <w:name w:val="Table text Char"/>
    <w:link w:val="Tabletext"/>
    <w:rsid w:val="00E13718"/>
    <w:rPr>
      <w:rFonts w:ascii="Arial Narrow" w:eastAsia="Times New Roman" w:hAnsi="Arial Narrow" w:cs="Times New Roman"/>
      <w:snapToGrid w:val="0"/>
      <w:sz w:val="20"/>
      <w:szCs w:val="24"/>
      <w:lang w:eastAsia="en-AU"/>
    </w:rPr>
  </w:style>
  <w:style w:type="paragraph" w:customStyle="1" w:styleId="TableHeading">
    <w:name w:val="TableHeading"/>
    <w:basedOn w:val="Normal"/>
    <w:rsid w:val="00E13718"/>
    <w:pPr>
      <w:keepNext/>
      <w:spacing w:before="40" w:after="40"/>
      <w:jc w:val="left"/>
    </w:pPr>
    <w:rPr>
      <w:rFonts w:ascii="Arial Narrow" w:hAnsi="Arial Narrow" w:cs="Arial Narrow"/>
      <w:b/>
      <w:bCs/>
      <w:snapToGrid w:val="0"/>
      <w:sz w:val="20"/>
    </w:rPr>
  </w:style>
  <w:style w:type="paragraph" w:customStyle="1" w:styleId="Corpsdetextemarge">
    <w:name w:val="Corps de texte marge"/>
    <w:basedOn w:val="BodyText"/>
    <w:uiPriority w:val="99"/>
    <w:rsid w:val="00E13718"/>
    <w:pPr>
      <w:jc w:val="both"/>
    </w:pPr>
    <w:rPr>
      <w:rFonts w:ascii="Times" w:hAnsi="Times" w:cs="Times New Roman"/>
      <w:snapToGrid w:val="0"/>
      <w:lang w:val="en-US"/>
    </w:rPr>
  </w:style>
  <w:style w:type="paragraph" w:styleId="NormalWeb">
    <w:name w:val="Normal (Web)"/>
    <w:basedOn w:val="Normal"/>
    <w:uiPriority w:val="99"/>
    <w:rsid w:val="00E13718"/>
    <w:pPr>
      <w:spacing w:before="100" w:after="100"/>
      <w:jc w:val="left"/>
    </w:pPr>
    <w:rPr>
      <w:rFonts w:ascii="Times New Roman" w:hAnsi="Times New Roman" w:cs="Times New Roman"/>
      <w:snapToGrid w:val="0"/>
      <w:lang w:val="en-GB"/>
    </w:rPr>
  </w:style>
  <w:style w:type="paragraph" w:styleId="TOC2">
    <w:name w:val="toc 2"/>
    <w:basedOn w:val="Normal"/>
    <w:next w:val="Normal"/>
    <w:autoRedefine/>
    <w:uiPriority w:val="39"/>
    <w:rsid w:val="00E13718"/>
    <w:pPr>
      <w:tabs>
        <w:tab w:val="left" w:pos="713"/>
        <w:tab w:val="left" w:pos="880"/>
        <w:tab w:val="right" w:leader="dot" w:pos="9016"/>
      </w:tabs>
      <w:spacing w:before="40"/>
      <w:ind w:left="221"/>
      <w:jc w:val="left"/>
    </w:pPr>
    <w:rPr>
      <w:iCs/>
      <w:sz w:val="20"/>
    </w:rPr>
  </w:style>
  <w:style w:type="paragraph" w:styleId="TOC1">
    <w:name w:val="toc 1"/>
    <w:basedOn w:val="Normal"/>
    <w:next w:val="Normal"/>
    <w:autoRedefine/>
    <w:uiPriority w:val="39"/>
    <w:rsid w:val="00E13718"/>
    <w:pPr>
      <w:tabs>
        <w:tab w:val="left" w:pos="440"/>
        <w:tab w:val="right" w:leader="dot" w:pos="9016"/>
      </w:tabs>
      <w:spacing w:after="120"/>
      <w:jc w:val="left"/>
    </w:pPr>
    <w:rPr>
      <w:bCs/>
      <w:sz w:val="20"/>
    </w:rPr>
  </w:style>
  <w:style w:type="character" w:styleId="Hyperlink">
    <w:name w:val="Hyperlink"/>
    <w:basedOn w:val="DefaultParagraphFont"/>
    <w:uiPriority w:val="99"/>
    <w:unhideWhenUsed/>
    <w:rsid w:val="00E13718"/>
    <w:rPr>
      <w:color w:val="0563C1" w:themeColor="hyperlink"/>
      <w:u w:val="single"/>
    </w:rPr>
  </w:style>
  <w:style w:type="paragraph" w:styleId="TOCHeading">
    <w:name w:val="TOC Heading"/>
    <w:basedOn w:val="Heading1"/>
    <w:next w:val="Normal"/>
    <w:uiPriority w:val="39"/>
    <w:unhideWhenUsed/>
    <w:rsid w:val="00E13718"/>
    <w:pPr>
      <w:keepNext/>
      <w:keepLines/>
      <w:spacing w:before="480" w:line="276" w:lineRule="auto"/>
      <w:ind w:left="0" w:firstLine="0"/>
      <w:jc w:val="left"/>
      <w:outlineLvl w:val="9"/>
    </w:pPr>
    <w:rPr>
      <w:rFonts w:asciiTheme="majorHAnsi" w:eastAsiaTheme="majorEastAsia" w:hAnsiTheme="majorHAnsi" w:cstheme="majorBidi"/>
      <w:bCs/>
      <w:snapToGrid w:val="0"/>
      <w:color w:val="2E74B5" w:themeColor="accent1" w:themeShade="BF"/>
      <w:sz w:val="28"/>
      <w:szCs w:val="28"/>
      <w:lang w:val="en-US" w:eastAsia="ja-JP"/>
    </w:rPr>
  </w:style>
  <w:style w:type="paragraph" w:styleId="TOC3">
    <w:name w:val="toc 3"/>
    <w:basedOn w:val="Normal"/>
    <w:next w:val="Normal"/>
    <w:autoRedefine/>
    <w:uiPriority w:val="39"/>
    <w:unhideWhenUsed/>
    <w:rsid w:val="00E13718"/>
    <w:pPr>
      <w:ind w:left="440"/>
      <w:jc w:val="left"/>
    </w:pPr>
    <w:rPr>
      <w:rFonts w:asciiTheme="minorHAnsi" w:hAnsiTheme="minorHAnsi"/>
      <w:sz w:val="20"/>
    </w:rPr>
  </w:style>
  <w:style w:type="paragraph" w:styleId="TOC4">
    <w:name w:val="toc 4"/>
    <w:basedOn w:val="Normal"/>
    <w:next w:val="Normal"/>
    <w:autoRedefine/>
    <w:rsid w:val="00E13718"/>
    <w:pPr>
      <w:ind w:left="660"/>
      <w:jc w:val="left"/>
    </w:pPr>
    <w:rPr>
      <w:rFonts w:asciiTheme="minorHAnsi" w:hAnsiTheme="minorHAnsi"/>
      <w:sz w:val="20"/>
    </w:rPr>
  </w:style>
  <w:style w:type="paragraph" w:styleId="TOC5">
    <w:name w:val="toc 5"/>
    <w:basedOn w:val="Normal"/>
    <w:next w:val="Normal"/>
    <w:autoRedefine/>
    <w:rsid w:val="00E13718"/>
    <w:pPr>
      <w:ind w:left="880"/>
      <w:jc w:val="left"/>
    </w:pPr>
    <w:rPr>
      <w:rFonts w:asciiTheme="minorHAnsi" w:hAnsiTheme="minorHAnsi"/>
      <w:sz w:val="20"/>
    </w:rPr>
  </w:style>
  <w:style w:type="paragraph" w:styleId="TOC6">
    <w:name w:val="toc 6"/>
    <w:basedOn w:val="Normal"/>
    <w:next w:val="Normal"/>
    <w:autoRedefine/>
    <w:rsid w:val="00E13718"/>
    <w:pPr>
      <w:ind w:left="1100"/>
      <w:jc w:val="left"/>
    </w:pPr>
    <w:rPr>
      <w:rFonts w:asciiTheme="minorHAnsi" w:hAnsiTheme="minorHAnsi"/>
      <w:sz w:val="20"/>
    </w:rPr>
  </w:style>
  <w:style w:type="paragraph" w:styleId="TOC7">
    <w:name w:val="toc 7"/>
    <w:basedOn w:val="Normal"/>
    <w:next w:val="Normal"/>
    <w:autoRedefine/>
    <w:rsid w:val="00E13718"/>
    <w:pPr>
      <w:ind w:left="1320"/>
      <w:jc w:val="left"/>
    </w:pPr>
    <w:rPr>
      <w:rFonts w:asciiTheme="minorHAnsi" w:hAnsiTheme="minorHAnsi"/>
      <w:sz w:val="20"/>
    </w:rPr>
  </w:style>
  <w:style w:type="paragraph" w:styleId="TOC8">
    <w:name w:val="toc 8"/>
    <w:basedOn w:val="Normal"/>
    <w:next w:val="Normal"/>
    <w:autoRedefine/>
    <w:rsid w:val="00E13718"/>
    <w:pPr>
      <w:ind w:left="1540"/>
      <w:jc w:val="left"/>
    </w:pPr>
    <w:rPr>
      <w:rFonts w:asciiTheme="minorHAnsi" w:hAnsiTheme="minorHAnsi"/>
      <w:sz w:val="20"/>
    </w:rPr>
  </w:style>
  <w:style w:type="paragraph" w:styleId="TOC9">
    <w:name w:val="toc 9"/>
    <w:basedOn w:val="Normal"/>
    <w:next w:val="Normal"/>
    <w:autoRedefine/>
    <w:rsid w:val="00E13718"/>
    <w:pPr>
      <w:ind w:left="1760"/>
      <w:jc w:val="left"/>
    </w:pPr>
    <w:rPr>
      <w:rFonts w:asciiTheme="minorHAnsi" w:hAnsiTheme="minorHAnsi"/>
      <w:sz w:val="20"/>
    </w:rPr>
  </w:style>
  <w:style w:type="paragraph" w:styleId="CommentText">
    <w:name w:val="annotation text"/>
    <w:basedOn w:val="Normal"/>
    <w:link w:val="CommentTextChar"/>
    <w:rsid w:val="00E13718"/>
    <w:rPr>
      <w:rFonts w:ascii="Times New Roman" w:hAnsi="Times New Roman" w:cs="Times New Roman"/>
      <w:sz w:val="20"/>
    </w:rPr>
  </w:style>
  <w:style w:type="character" w:customStyle="1" w:styleId="CommentTextChar">
    <w:name w:val="Comment Text Char"/>
    <w:basedOn w:val="DefaultParagraphFont"/>
    <w:link w:val="CommentText"/>
    <w:rsid w:val="00E13718"/>
    <w:rPr>
      <w:rFonts w:ascii="Times New Roman" w:eastAsia="Times New Roman" w:hAnsi="Times New Roman" w:cs="Times New Roman"/>
      <w:sz w:val="20"/>
      <w:szCs w:val="24"/>
      <w:lang w:eastAsia="en-AU"/>
    </w:rPr>
  </w:style>
  <w:style w:type="paragraph" w:customStyle="1" w:styleId="Bulletpoints">
    <w:name w:val="Bullet points"/>
    <w:basedOn w:val="ListParagraph"/>
    <w:rsid w:val="00E13718"/>
    <w:pPr>
      <w:numPr>
        <w:numId w:val="2"/>
      </w:numPr>
      <w:contextualSpacing/>
    </w:pPr>
  </w:style>
  <w:style w:type="paragraph" w:customStyle="1" w:styleId="TableName">
    <w:name w:val="TableName"/>
    <w:basedOn w:val="Normal"/>
    <w:rsid w:val="00E13718"/>
    <w:pPr>
      <w:keepNext/>
      <w:spacing w:before="120" w:after="120"/>
      <w:ind w:left="1800" w:hanging="1080"/>
      <w:jc w:val="left"/>
    </w:pPr>
    <w:rPr>
      <w:rFonts w:ascii="Arial Narrow" w:hAnsi="Arial Narrow" w:cs="Arial Narrow"/>
      <w:b/>
      <w:bCs/>
      <w:snapToGrid w:val="0"/>
    </w:rPr>
  </w:style>
  <w:style w:type="paragraph" w:customStyle="1" w:styleId="TableNotes18">
    <w:name w:val="TableNotes+18"/>
    <w:basedOn w:val="Normal"/>
    <w:rsid w:val="00E13718"/>
    <w:pPr>
      <w:keepLines/>
      <w:spacing w:after="360"/>
      <w:ind w:left="720"/>
      <w:jc w:val="left"/>
    </w:pPr>
    <w:rPr>
      <w:rFonts w:ascii="Arial Narrow" w:hAnsi="Arial Narrow" w:cs="Arial Narrow"/>
      <w:snapToGrid w:val="0"/>
      <w:sz w:val="18"/>
      <w:szCs w:val="18"/>
    </w:rPr>
  </w:style>
  <w:style w:type="paragraph" w:customStyle="1" w:styleId="TableNotes0">
    <w:name w:val="TableNotes+0"/>
    <w:basedOn w:val="TableNotes18"/>
    <w:rsid w:val="00E13718"/>
    <w:pPr>
      <w:keepNext/>
      <w:spacing w:after="0"/>
    </w:pPr>
  </w:style>
  <w:style w:type="paragraph" w:styleId="CommentSubject">
    <w:name w:val="annotation subject"/>
    <w:basedOn w:val="CommentText"/>
    <w:next w:val="CommentText"/>
    <w:link w:val="CommentSubjectChar"/>
    <w:rsid w:val="00E13718"/>
    <w:rPr>
      <w:rFonts w:ascii="Arial" w:hAnsi="Arial" w:cs="Arial"/>
      <w:b/>
      <w:bCs/>
    </w:rPr>
  </w:style>
  <w:style w:type="character" w:customStyle="1" w:styleId="CommentSubjectChar">
    <w:name w:val="Comment Subject Char"/>
    <w:basedOn w:val="CommentTextChar"/>
    <w:link w:val="CommentSubject"/>
    <w:rsid w:val="00E13718"/>
    <w:rPr>
      <w:rFonts w:ascii="Arial" w:eastAsia="Times New Roman" w:hAnsi="Arial" w:cs="Arial"/>
      <w:b/>
      <w:bCs/>
      <w:sz w:val="20"/>
      <w:szCs w:val="24"/>
      <w:lang w:eastAsia="en-AU"/>
    </w:rPr>
  </w:style>
  <w:style w:type="paragraph" w:styleId="Revision">
    <w:name w:val="Revision"/>
    <w:hidden/>
    <w:uiPriority w:val="99"/>
    <w:semiHidden/>
    <w:rsid w:val="00E13718"/>
    <w:pPr>
      <w:spacing w:after="0" w:line="240" w:lineRule="auto"/>
    </w:pPr>
    <w:rPr>
      <w:rFonts w:ascii="Arial" w:eastAsia="Times New Roman" w:hAnsi="Arial" w:cs="Arial"/>
      <w:snapToGrid w:val="0"/>
      <w:szCs w:val="20"/>
    </w:rPr>
  </w:style>
  <w:style w:type="paragraph" w:styleId="BodyTextIndent">
    <w:name w:val="Body Text Indent"/>
    <w:basedOn w:val="Normal"/>
    <w:link w:val="BodyTextIndentChar"/>
    <w:rsid w:val="00E13718"/>
    <w:pPr>
      <w:spacing w:after="120"/>
      <w:ind w:left="283"/>
    </w:pPr>
  </w:style>
  <w:style w:type="character" w:customStyle="1" w:styleId="BodyTextIndentChar">
    <w:name w:val="Body Text Indent Char"/>
    <w:basedOn w:val="DefaultParagraphFont"/>
    <w:link w:val="BodyTextIndent"/>
    <w:rsid w:val="00E13718"/>
    <w:rPr>
      <w:rFonts w:ascii="Calibri" w:eastAsia="Times New Roman" w:hAnsi="Calibri" w:cs="Arial"/>
      <w:sz w:val="24"/>
      <w:szCs w:val="24"/>
      <w:lang w:eastAsia="en-AU"/>
    </w:rPr>
  </w:style>
  <w:style w:type="paragraph" w:customStyle="1" w:styleId="Char1CharCharChar">
    <w:name w:val="Char1 Char Char Char"/>
    <w:basedOn w:val="Normal"/>
    <w:rsid w:val="00E13718"/>
    <w:pPr>
      <w:spacing w:after="160" w:line="240" w:lineRule="exact"/>
      <w:jc w:val="left"/>
    </w:pPr>
    <w:rPr>
      <w:rFonts w:ascii="Verdana" w:eastAsia="MS Mincho" w:hAnsi="Verdana" w:cs="Verdana"/>
      <w:snapToGrid w:val="0"/>
      <w:sz w:val="20"/>
      <w:lang w:val="en-US"/>
    </w:rPr>
  </w:style>
  <w:style w:type="character" w:customStyle="1" w:styleId="SubtitleChar">
    <w:name w:val="Subtitle Char"/>
    <w:link w:val="Subtitle"/>
    <w:rsid w:val="00E13718"/>
  </w:style>
  <w:style w:type="paragraph" w:styleId="Subtitle">
    <w:name w:val="Subtitle"/>
    <w:basedOn w:val="Normal"/>
    <w:link w:val="SubtitleChar"/>
    <w:qFormat/>
    <w:rsid w:val="00E13718"/>
    <w:rPr>
      <w:rFonts w:asciiTheme="minorHAnsi" w:eastAsiaTheme="minorHAnsi" w:hAnsiTheme="minorHAnsi" w:cstheme="minorBidi"/>
      <w:sz w:val="22"/>
      <w:szCs w:val="22"/>
      <w:lang w:eastAsia="en-US"/>
    </w:rPr>
  </w:style>
  <w:style w:type="character" w:customStyle="1" w:styleId="SubtitleChar1">
    <w:name w:val="Subtitle Char1"/>
    <w:basedOn w:val="DefaultParagraphFont"/>
    <w:rsid w:val="00E13718"/>
    <w:rPr>
      <w:rFonts w:eastAsiaTheme="minorEastAsia"/>
      <w:color w:val="5A5A5A" w:themeColor="text1" w:themeTint="A5"/>
      <w:spacing w:val="15"/>
      <w:lang w:eastAsia="en-AU"/>
    </w:rPr>
  </w:style>
  <w:style w:type="paragraph" w:customStyle="1" w:styleId="PBACHeading1">
    <w:name w:val="PBAC Heading 1"/>
    <w:qFormat/>
    <w:rsid w:val="00E13718"/>
    <w:pPr>
      <w:spacing w:after="0" w:line="240" w:lineRule="auto"/>
      <w:outlineLvl w:val="0"/>
    </w:pPr>
    <w:rPr>
      <w:rFonts w:ascii="Calibri" w:eastAsia="Times New Roman" w:hAnsi="Calibri" w:cs="Arial"/>
      <w:b/>
      <w:snapToGrid w:val="0"/>
      <w:sz w:val="32"/>
    </w:rPr>
  </w:style>
  <w:style w:type="table" w:customStyle="1" w:styleId="PlainTable21">
    <w:name w:val="Plain Table 21"/>
    <w:basedOn w:val="TableNormal"/>
    <w:uiPriority w:val="42"/>
    <w:rsid w:val="00E1371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FollowedHyperlink">
    <w:name w:val="FollowedHyperlink"/>
    <w:basedOn w:val="DefaultParagraphFont"/>
    <w:semiHidden/>
    <w:unhideWhenUsed/>
    <w:rsid w:val="00E13718"/>
    <w:rPr>
      <w:color w:val="954F72" w:themeColor="followedHyperlink"/>
      <w:u w:val="single"/>
    </w:rPr>
  </w:style>
  <w:style w:type="character" w:styleId="PageNumber">
    <w:name w:val="page number"/>
    <w:basedOn w:val="DefaultParagraphFont"/>
    <w:semiHidden/>
    <w:unhideWhenUsed/>
    <w:rsid w:val="00E13718"/>
  </w:style>
  <w:style w:type="paragraph" w:customStyle="1" w:styleId="Commentitalics">
    <w:name w:val="Comment (italics)"/>
    <w:basedOn w:val="Normal"/>
    <w:next w:val="Normal"/>
    <w:rsid w:val="00E13718"/>
    <w:rPr>
      <w:i/>
    </w:rPr>
  </w:style>
  <w:style w:type="paragraph" w:styleId="BalloonText">
    <w:name w:val="Balloon Text"/>
    <w:basedOn w:val="Normal"/>
    <w:link w:val="BalloonTextChar"/>
    <w:semiHidden/>
    <w:unhideWhenUsed/>
    <w:rsid w:val="00E13718"/>
    <w:rPr>
      <w:rFonts w:ascii="Tahoma" w:hAnsi="Tahoma" w:cs="Tahoma"/>
      <w:sz w:val="16"/>
      <w:szCs w:val="16"/>
    </w:rPr>
  </w:style>
  <w:style w:type="character" w:customStyle="1" w:styleId="BalloonTextChar">
    <w:name w:val="Balloon Text Char"/>
    <w:basedOn w:val="DefaultParagraphFont"/>
    <w:link w:val="BalloonText"/>
    <w:semiHidden/>
    <w:rsid w:val="00E13718"/>
    <w:rPr>
      <w:rFonts w:ascii="Tahoma" w:eastAsia="Times New Roman" w:hAnsi="Tahoma" w:cs="Tahoma"/>
      <w:sz w:val="16"/>
      <w:szCs w:val="16"/>
      <w:lang w:eastAsia="en-AU"/>
    </w:rPr>
  </w:style>
  <w:style w:type="paragraph" w:customStyle="1" w:styleId="TableText0">
    <w:name w:val="Table Text"/>
    <w:link w:val="TableTextChar0"/>
    <w:qFormat/>
    <w:rsid w:val="00E13718"/>
    <w:pPr>
      <w:keepNext/>
      <w:spacing w:after="0" w:line="240" w:lineRule="auto"/>
    </w:pPr>
    <w:rPr>
      <w:rFonts w:ascii="Arial Narrow" w:eastAsiaTheme="majorEastAsia" w:hAnsi="Arial Narrow" w:cstheme="majorBidi"/>
      <w:bCs/>
      <w:sz w:val="20"/>
      <w:szCs w:val="24"/>
      <w:lang w:eastAsia="en-AU"/>
    </w:rPr>
  </w:style>
  <w:style w:type="paragraph" w:customStyle="1" w:styleId="V50Tablename">
    <w:name w:val="V5.0 Table name"/>
    <w:basedOn w:val="Normal"/>
    <w:link w:val="V50TablenameChar"/>
    <w:rsid w:val="00E13718"/>
    <w:pPr>
      <w:keepNext/>
      <w:jc w:val="left"/>
    </w:pPr>
    <w:rPr>
      <w:rFonts w:asciiTheme="minorHAnsi" w:eastAsiaTheme="minorHAnsi" w:hAnsiTheme="minorHAnsi" w:cstheme="minorBidi"/>
      <w:b/>
      <w:snapToGrid w:val="0"/>
      <w:sz w:val="20"/>
      <w:lang w:val="en-US"/>
    </w:rPr>
  </w:style>
  <w:style w:type="character" w:customStyle="1" w:styleId="V50TablenameChar">
    <w:name w:val="V5.0 Table name Char"/>
    <w:basedOn w:val="DefaultParagraphFont"/>
    <w:link w:val="V50Tablename"/>
    <w:rsid w:val="00E13718"/>
    <w:rPr>
      <w:b/>
      <w:snapToGrid w:val="0"/>
      <w:sz w:val="20"/>
      <w:szCs w:val="24"/>
      <w:lang w:val="en-US" w:eastAsia="en-AU"/>
    </w:rPr>
  </w:style>
  <w:style w:type="paragraph" w:customStyle="1" w:styleId="GeneralHeading">
    <w:name w:val="General Heading"/>
    <w:qFormat/>
    <w:rsid w:val="00E13718"/>
    <w:pPr>
      <w:keepNext/>
      <w:spacing w:before="120" w:after="120" w:line="240" w:lineRule="auto"/>
      <w:ind w:left="720" w:hanging="720"/>
      <w:outlineLvl w:val="0"/>
    </w:pPr>
    <w:rPr>
      <w:rFonts w:ascii="Calibri" w:eastAsia="Times New Roman" w:hAnsi="Calibri" w:cs="Arial"/>
      <w:b/>
      <w:snapToGrid w:val="0"/>
      <w:sz w:val="28"/>
      <w:lang w:eastAsia="en-AU"/>
    </w:rPr>
  </w:style>
  <w:style w:type="paragraph" w:customStyle="1" w:styleId="In-tableHeading">
    <w:name w:val="In-table Heading"/>
    <w:qFormat/>
    <w:rsid w:val="00E13718"/>
    <w:pPr>
      <w:keepNext/>
      <w:spacing w:after="0" w:line="240" w:lineRule="auto"/>
    </w:pPr>
    <w:rPr>
      <w:rFonts w:ascii="Arial Narrow" w:eastAsiaTheme="majorEastAsia" w:hAnsi="Arial Narrow" w:cs="Times New Roman"/>
      <w:b/>
      <w:sz w:val="20"/>
      <w:szCs w:val="24"/>
      <w:lang w:val="en-US" w:eastAsia="en-AU"/>
    </w:rPr>
  </w:style>
  <w:style w:type="paragraph" w:customStyle="1" w:styleId="2-SectionHeading">
    <w:name w:val="2-Section Heading"/>
    <w:qFormat/>
    <w:rsid w:val="00E13718"/>
    <w:pPr>
      <w:keepNext/>
      <w:numPr>
        <w:numId w:val="1"/>
      </w:numPr>
      <w:spacing w:before="240" w:after="120" w:line="240" w:lineRule="auto"/>
      <w:outlineLvl w:val="0"/>
    </w:pPr>
    <w:rPr>
      <w:rFonts w:eastAsia="Times New Roman" w:cs="Arial"/>
      <w:b/>
      <w:snapToGrid w:val="0"/>
      <w:sz w:val="32"/>
      <w:szCs w:val="32"/>
      <w:lang w:eastAsia="en-AU"/>
    </w:rPr>
  </w:style>
  <w:style w:type="paragraph" w:customStyle="1" w:styleId="1-MainHeading">
    <w:name w:val="1-Main Heading"/>
    <w:link w:val="1-MainHeadingChar"/>
    <w:qFormat/>
    <w:rsid w:val="00E13718"/>
    <w:pPr>
      <w:keepNext/>
      <w:spacing w:before="120" w:line="240" w:lineRule="auto"/>
      <w:ind w:left="720" w:hanging="720"/>
      <w:outlineLvl w:val="0"/>
    </w:pPr>
    <w:rPr>
      <w:rFonts w:eastAsiaTheme="majorEastAsia" w:cstheme="majorBidi"/>
      <w:b/>
      <w:spacing w:val="5"/>
      <w:kern w:val="28"/>
      <w:sz w:val="36"/>
      <w:szCs w:val="36"/>
      <w:lang w:eastAsia="en-AU"/>
    </w:rPr>
  </w:style>
  <w:style w:type="character" w:customStyle="1" w:styleId="1-MainHeadingChar">
    <w:name w:val="1-Main Heading Char"/>
    <w:basedOn w:val="DefaultParagraphFont"/>
    <w:link w:val="1-MainHeading"/>
    <w:rsid w:val="00E13718"/>
    <w:rPr>
      <w:rFonts w:eastAsiaTheme="majorEastAsia" w:cstheme="majorBidi"/>
      <w:b/>
      <w:spacing w:val="5"/>
      <w:kern w:val="28"/>
      <w:sz w:val="36"/>
      <w:szCs w:val="36"/>
      <w:lang w:eastAsia="en-AU"/>
    </w:rPr>
  </w:style>
  <w:style w:type="paragraph" w:customStyle="1" w:styleId="TableFigureHeading">
    <w:name w:val="Table/Figure Heading"/>
    <w:next w:val="In-tableHeading"/>
    <w:link w:val="TableFigureHeadingChar"/>
    <w:qFormat/>
    <w:rsid w:val="00E13718"/>
    <w:pPr>
      <w:keepNext/>
      <w:spacing w:after="0" w:line="240" w:lineRule="auto"/>
    </w:pPr>
    <w:rPr>
      <w:rFonts w:ascii="Arial Narrow" w:eastAsiaTheme="majorEastAsia" w:hAnsi="Arial Narrow" w:cstheme="majorBidi"/>
      <w:b/>
      <w:bCs/>
      <w:sz w:val="20"/>
      <w:szCs w:val="24"/>
      <w:lang w:eastAsia="en-AU"/>
    </w:rPr>
  </w:style>
  <w:style w:type="character" w:customStyle="1" w:styleId="TableFigureHeadingChar">
    <w:name w:val="Table/Figure Heading Char"/>
    <w:basedOn w:val="DefaultParagraphFont"/>
    <w:link w:val="TableFigureHeading"/>
    <w:rsid w:val="00E13718"/>
    <w:rPr>
      <w:rFonts w:ascii="Arial Narrow" w:eastAsiaTheme="majorEastAsia" w:hAnsi="Arial Narrow" w:cstheme="majorBidi"/>
      <w:b/>
      <w:bCs/>
      <w:sz w:val="20"/>
      <w:szCs w:val="24"/>
      <w:lang w:eastAsia="en-AU"/>
    </w:rPr>
  </w:style>
  <w:style w:type="paragraph" w:customStyle="1" w:styleId="3-BodyText">
    <w:name w:val="3-Body Text"/>
    <w:basedOn w:val="ListParagraph"/>
    <w:link w:val="3-BodyTextChar"/>
    <w:qFormat/>
    <w:rsid w:val="007B6F21"/>
    <w:pPr>
      <w:numPr>
        <w:ilvl w:val="1"/>
        <w:numId w:val="1"/>
      </w:numPr>
    </w:pPr>
  </w:style>
  <w:style w:type="character" w:customStyle="1" w:styleId="3-BodyTextChar">
    <w:name w:val="3-Body Text Char"/>
    <w:basedOn w:val="ListParagraphChar"/>
    <w:link w:val="3-BodyText"/>
    <w:rsid w:val="007B6F21"/>
    <w:rPr>
      <w:rFonts w:eastAsia="Times New Roman" w:cs="Arial"/>
      <w:snapToGrid w:val="0"/>
      <w:sz w:val="24"/>
      <w:szCs w:val="24"/>
      <w:lang w:eastAsia="en-AU"/>
    </w:rPr>
  </w:style>
  <w:style w:type="paragraph" w:customStyle="1" w:styleId="PageFooter">
    <w:name w:val="Page Footer"/>
    <w:basedOn w:val="Normal"/>
    <w:link w:val="PageFooterChar"/>
    <w:qFormat/>
    <w:rsid w:val="00E13718"/>
    <w:pPr>
      <w:keepNext/>
      <w:tabs>
        <w:tab w:val="center" w:pos="4153"/>
        <w:tab w:val="center" w:pos="4513"/>
        <w:tab w:val="right" w:pos="8306"/>
        <w:tab w:val="right" w:pos="9026"/>
      </w:tabs>
      <w:jc w:val="center"/>
    </w:pPr>
    <w:rPr>
      <w:b/>
    </w:rPr>
  </w:style>
  <w:style w:type="character" w:customStyle="1" w:styleId="PageFooterChar">
    <w:name w:val="Page Footer Char"/>
    <w:basedOn w:val="DefaultParagraphFont"/>
    <w:link w:val="PageFooter"/>
    <w:rsid w:val="00E13718"/>
    <w:rPr>
      <w:rFonts w:ascii="Calibri" w:eastAsia="Times New Roman" w:hAnsi="Calibri" w:cs="Arial"/>
      <w:b/>
      <w:sz w:val="24"/>
      <w:szCs w:val="24"/>
      <w:lang w:eastAsia="en-AU"/>
    </w:rPr>
  </w:style>
  <w:style w:type="paragraph" w:customStyle="1" w:styleId="TableFigureFooter">
    <w:name w:val="Table/Figure Footer"/>
    <w:basedOn w:val="Normal"/>
    <w:link w:val="TableFigureFooterChar"/>
    <w:qFormat/>
    <w:rsid w:val="00E13718"/>
    <w:pPr>
      <w:spacing w:after="120"/>
      <w:contextualSpacing/>
    </w:pPr>
    <w:rPr>
      <w:rFonts w:ascii="Arial Narrow" w:hAnsi="Arial Narrow"/>
      <w:snapToGrid w:val="0"/>
      <w:sz w:val="18"/>
      <w:szCs w:val="22"/>
    </w:rPr>
  </w:style>
  <w:style w:type="character" w:customStyle="1" w:styleId="TableFigureFooterChar">
    <w:name w:val="Table/Figure Footer Char"/>
    <w:link w:val="TableFigureFooter"/>
    <w:rsid w:val="00E13718"/>
    <w:rPr>
      <w:rFonts w:ascii="Arial Narrow" w:eastAsia="Times New Roman" w:hAnsi="Arial Narrow" w:cs="Arial"/>
      <w:snapToGrid w:val="0"/>
      <w:sz w:val="18"/>
      <w:lang w:eastAsia="en-AU"/>
    </w:rPr>
  </w:style>
  <w:style w:type="paragraph" w:customStyle="1" w:styleId="4-SubsectionHeading">
    <w:name w:val="4-Subsection Heading"/>
    <w:basedOn w:val="Heading2"/>
    <w:next w:val="3-BodyText"/>
    <w:link w:val="4-SubsectionHeadingChar"/>
    <w:qFormat/>
    <w:rsid w:val="00E13718"/>
    <w:pPr>
      <w:keepNext/>
      <w:spacing w:before="120" w:after="120"/>
    </w:pPr>
    <w:rPr>
      <w:rFonts w:eastAsiaTheme="majorEastAsia" w:cstheme="majorBidi"/>
      <w:spacing w:val="5"/>
      <w:kern w:val="28"/>
      <w:szCs w:val="36"/>
    </w:rPr>
  </w:style>
  <w:style w:type="character" w:customStyle="1" w:styleId="4-SubsectionHeadingChar">
    <w:name w:val="4-Subsection Heading Char"/>
    <w:basedOn w:val="Heading2Char"/>
    <w:link w:val="4-SubsectionHeading"/>
    <w:rsid w:val="00E13718"/>
    <w:rPr>
      <w:rFonts w:ascii="Calibri" w:eastAsiaTheme="majorEastAsia" w:hAnsi="Calibri" w:cstheme="majorBidi"/>
      <w:b/>
      <w:i/>
      <w:spacing w:val="5"/>
      <w:kern w:val="28"/>
      <w:sz w:val="28"/>
      <w:szCs w:val="36"/>
      <w:lang w:eastAsia="en-AU"/>
    </w:rPr>
  </w:style>
  <w:style w:type="paragraph" w:customStyle="1" w:styleId="5-SubsectionSubheading">
    <w:name w:val="5-Subsection Subheading"/>
    <w:basedOn w:val="Heading3"/>
    <w:next w:val="3-BodyText"/>
    <w:link w:val="5-SubsectionSubheadingChar"/>
    <w:qFormat/>
    <w:rsid w:val="00E13718"/>
    <w:pPr>
      <w:keepNext/>
      <w:keepLines/>
      <w:spacing w:before="160" w:after="120"/>
    </w:pPr>
    <w:rPr>
      <w:rFonts w:asciiTheme="minorHAnsi" w:eastAsiaTheme="majorEastAsia" w:hAnsiTheme="minorHAnsi" w:cstheme="majorBidi"/>
      <w:b/>
      <w:color w:val="000000" w:themeColor="text1"/>
      <w:u w:val="none"/>
    </w:rPr>
  </w:style>
  <w:style w:type="character" w:customStyle="1" w:styleId="5-SubsectionSubheadingChar">
    <w:name w:val="5-Subsection Subheading Char"/>
    <w:basedOn w:val="DefaultParagraphFont"/>
    <w:link w:val="5-SubsectionSubheading"/>
    <w:rsid w:val="00E13718"/>
    <w:rPr>
      <w:rFonts w:eastAsiaTheme="majorEastAsia" w:cstheme="majorBidi"/>
      <w:b/>
      <w:color w:val="000000" w:themeColor="text1"/>
      <w:sz w:val="24"/>
      <w:szCs w:val="24"/>
      <w:lang w:eastAsia="en-AU"/>
    </w:rPr>
  </w:style>
  <w:style w:type="paragraph" w:styleId="ListBullet">
    <w:name w:val="List Bullet"/>
    <w:basedOn w:val="Normal"/>
    <w:unhideWhenUsed/>
    <w:rsid w:val="00E13718"/>
    <w:pPr>
      <w:contextualSpacing/>
    </w:pPr>
  </w:style>
  <w:style w:type="character" w:customStyle="1" w:styleId="TableTextChar0">
    <w:name w:val="Table Text Char"/>
    <w:basedOn w:val="DefaultParagraphFont"/>
    <w:link w:val="TableText0"/>
    <w:rsid w:val="00E13718"/>
    <w:rPr>
      <w:rFonts w:ascii="Arial Narrow" w:eastAsiaTheme="majorEastAsia" w:hAnsi="Arial Narrow" w:cstheme="majorBidi"/>
      <w:bCs/>
      <w:sz w:val="20"/>
      <w:szCs w:val="24"/>
      <w:lang w:eastAsia="en-AU"/>
    </w:rPr>
  </w:style>
  <w:style w:type="paragraph" w:styleId="FootnoteText">
    <w:name w:val="footnote text"/>
    <w:basedOn w:val="Normal"/>
    <w:link w:val="FootnoteTextChar"/>
    <w:semiHidden/>
    <w:unhideWhenUsed/>
    <w:rsid w:val="00E13718"/>
    <w:rPr>
      <w:sz w:val="20"/>
      <w:szCs w:val="20"/>
    </w:rPr>
  </w:style>
  <w:style w:type="character" w:customStyle="1" w:styleId="FootnoteTextChar">
    <w:name w:val="Footnote Text Char"/>
    <w:basedOn w:val="DefaultParagraphFont"/>
    <w:link w:val="FootnoteText"/>
    <w:semiHidden/>
    <w:rsid w:val="00E13718"/>
    <w:rPr>
      <w:rFonts w:ascii="Calibri" w:eastAsia="Times New Roman" w:hAnsi="Calibri" w:cs="Arial"/>
      <w:sz w:val="20"/>
      <w:szCs w:val="20"/>
      <w:lang w:eastAsia="en-AU"/>
    </w:rPr>
  </w:style>
  <w:style w:type="character" w:styleId="FootnoteReference">
    <w:name w:val="footnote reference"/>
    <w:basedOn w:val="DefaultParagraphFont"/>
    <w:semiHidden/>
    <w:unhideWhenUsed/>
    <w:rsid w:val="00E13718"/>
    <w:rPr>
      <w:vertAlign w:val="superscript"/>
    </w:rPr>
  </w:style>
  <w:style w:type="paragraph" w:customStyle="1" w:styleId="EndNoteBibliographyTitle">
    <w:name w:val="EndNote Bibliography Title"/>
    <w:basedOn w:val="Normal"/>
    <w:link w:val="EndNoteBibliographyTitleChar"/>
    <w:rsid w:val="00E13718"/>
    <w:pPr>
      <w:jc w:val="center"/>
    </w:pPr>
    <w:rPr>
      <w:rFonts w:cs="Calibri"/>
      <w:noProof/>
    </w:rPr>
  </w:style>
  <w:style w:type="character" w:customStyle="1" w:styleId="EndNoteBibliographyTitleChar">
    <w:name w:val="EndNote Bibliography Title Char"/>
    <w:basedOn w:val="DefaultParagraphFont"/>
    <w:link w:val="EndNoteBibliographyTitle"/>
    <w:rsid w:val="00E13718"/>
    <w:rPr>
      <w:rFonts w:ascii="Calibri" w:eastAsia="Times New Roman" w:hAnsi="Calibri" w:cs="Calibri"/>
      <w:noProof/>
      <w:sz w:val="24"/>
      <w:szCs w:val="24"/>
      <w:lang w:eastAsia="en-AU"/>
    </w:rPr>
  </w:style>
  <w:style w:type="paragraph" w:customStyle="1" w:styleId="EndNoteBibliography">
    <w:name w:val="EndNote Bibliography"/>
    <w:basedOn w:val="Normal"/>
    <w:link w:val="EndNoteBibliographyChar"/>
    <w:rsid w:val="00E13718"/>
    <w:rPr>
      <w:rFonts w:cs="Calibri"/>
      <w:noProof/>
    </w:rPr>
  </w:style>
  <w:style w:type="character" w:customStyle="1" w:styleId="EndNoteBibliographyChar">
    <w:name w:val="EndNote Bibliography Char"/>
    <w:basedOn w:val="DefaultParagraphFont"/>
    <w:link w:val="EndNoteBibliography"/>
    <w:rsid w:val="00E13718"/>
    <w:rPr>
      <w:rFonts w:ascii="Calibri" w:eastAsia="Times New Roman" w:hAnsi="Calibri" w:cs="Calibri"/>
      <w:noProof/>
      <w:sz w:val="24"/>
      <w:szCs w:val="24"/>
      <w:lang w:eastAsia="en-AU"/>
    </w:rPr>
  </w:style>
  <w:style w:type="table" w:styleId="LightShading-Accent3">
    <w:name w:val="Light Shading Accent 3"/>
    <w:basedOn w:val="TableNormal"/>
    <w:uiPriority w:val="60"/>
    <w:rsid w:val="00E13718"/>
    <w:pPr>
      <w:spacing w:after="0" w:line="240" w:lineRule="auto"/>
    </w:pPr>
    <w:rPr>
      <w:rFonts w:asciiTheme="majorHAnsi" w:eastAsiaTheme="majorEastAsia" w:hAnsiTheme="majorHAnsi" w:cstheme="majorBidi"/>
      <w:color w:val="7B7B7B" w:themeColor="accent3" w:themeShade="BF"/>
      <w:lang w:val="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pPr>
      <w:rPr>
        <w:rFonts w:cstheme="majorBidi"/>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pPr>
      <w:rPr>
        <w:rFonts w:cstheme="majorBidi"/>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rFonts w:cstheme="majorBidi"/>
        <w:b/>
        <w:bCs/>
      </w:rPr>
    </w:tblStylePr>
    <w:tblStylePr w:type="lastCol">
      <w:rPr>
        <w:rFonts w:cstheme="majorBidi"/>
        <w:b/>
        <w:bCs/>
      </w:rPr>
    </w:tblStylePr>
    <w:tblStylePr w:type="band1Vert">
      <w:rPr>
        <w:rFonts w:cstheme="majorBidi"/>
      </w:rPr>
      <w:tblPr/>
      <w:tcPr>
        <w:tcBorders>
          <w:left w:val="nil"/>
          <w:right w:val="nil"/>
          <w:insideH w:val="nil"/>
          <w:insideV w:val="nil"/>
        </w:tcBorders>
        <w:shd w:val="clear" w:color="auto" w:fill="E8E8E8" w:themeFill="accent3" w:themeFillTint="3F"/>
      </w:tcPr>
    </w:tblStylePr>
    <w:tblStylePr w:type="band1Horz">
      <w:rPr>
        <w:rFonts w:cstheme="majorBidi"/>
      </w:rPr>
      <w:tblPr/>
      <w:tcPr>
        <w:tcBorders>
          <w:left w:val="nil"/>
          <w:right w:val="nil"/>
          <w:insideH w:val="nil"/>
          <w:insideV w:val="nil"/>
        </w:tcBorders>
        <w:shd w:val="clear" w:color="auto" w:fill="E8E8E8" w:themeFill="accent3" w:themeFillTint="3F"/>
      </w:tcPr>
    </w:tblStylePr>
  </w:style>
  <w:style w:type="paragraph" w:customStyle="1" w:styleId="TableTextCA">
    <w:name w:val="Table Text CA"/>
    <w:basedOn w:val="Normal"/>
    <w:rsid w:val="00E13718"/>
    <w:pPr>
      <w:spacing w:before="40" w:after="40"/>
      <w:jc w:val="center"/>
    </w:pPr>
    <w:rPr>
      <w:rFonts w:ascii="Arial Narrow" w:eastAsiaTheme="minorHAnsi" w:hAnsi="Arial Narrow" w:cstheme="minorBidi"/>
      <w:sz w:val="20"/>
      <w:szCs w:val="22"/>
      <w:lang w:eastAsia="en-US"/>
    </w:rPr>
  </w:style>
  <w:style w:type="paragraph" w:customStyle="1" w:styleId="TableNotes">
    <w:name w:val="Table Notes"/>
    <w:basedOn w:val="Normal"/>
    <w:link w:val="TableNotesChar"/>
    <w:uiPriority w:val="6"/>
    <w:rsid w:val="00E13718"/>
    <w:pPr>
      <w:spacing w:after="40"/>
      <w:jc w:val="left"/>
    </w:pPr>
    <w:rPr>
      <w:rFonts w:ascii="Arial Narrow" w:eastAsiaTheme="majorEastAsia" w:hAnsi="Arial Narrow" w:cstheme="majorBidi"/>
      <w:sz w:val="16"/>
      <w:szCs w:val="22"/>
      <w:lang w:eastAsia="en-US"/>
    </w:rPr>
  </w:style>
  <w:style w:type="character" w:customStyle="1" w:styleId="TableNotesChar">
    <w:name w:val="Table Notes Char"/>
    <w:basedOn w:val="DefaultParagraphFont"/>
    <w:link w:val="TableNotes"/>
    <w:uiPriority w:val="6"/>
    <w:locked/>
    <w:rsid w:val="00E13718"/>
    <w:rPr>
      <w:rFonts w:ascii="Arial Narrow" w:eastAsiaTheme="majorEastAsia" w:hAnsi="Arial Narrow" w:cstheme="majorBidi"/>
      <w:sz w:val="16"/>
    </w:rPr>
  </w:style>
  <w:style w:type="character" w:styleId="IntenseReference">
    <w:name w:val="Intense Reference"/>
    <w:basedOn w:val="DefaultParagraphFont"/>
    <w:uiPriority w:val="32"/>
    <w:rsid w:val="00E13718"/>
    <w:rPr>
      <w:b/>
      <w:bCs/>
      <w:smallCaps/>
      <w:color w:val="5B9BD5" w:themeColor="accent1"/>
      <w:spacing w:val="5"/>
    </w:rPr>
  </w:style>
  <w:style w:type="paragraph" w:customStyle="1" w:styleId="NumberedList">
    <w:name w:val="Numbered List"/>
    <w:basedOn w:val="Normal"/>
    <w:uiPriority w:val="3"/>
    <w:rsid w:val="00E13718"/>
    <w:pPr>
      <w:numPr>
        <w:numId w:val="5"/>
      </w:numPr>
      <w:spacing w:after="240"/>
      <w:ind w:left="357" w:hanging="357"/>
      <w:contextualSpacing/>
    </w:pPr>
    <w:rPr>
      <w:rFonts w:ascii="Candara" w:eastAsiaTheme="majorEastAsia" w:hAnsi="Candara" w:cstheme="majorBidi"/>
      <w:szCs w:val="22"/>
      <w:lang w:eastAsia="en-US"/>
    </w:rPr>
  </w:style>
  <w:style w:type="paragraph" w:customStyle="1" w:styleId="TableHeading0">
    <w:name w:val="Table Heading"/>
    <w:basedOn w:val="Normal"/>
    <w:rsid w:val="00E13718"/>
    <w:pPr>
      <w:spacing w:after="60"/>
    </w:pPr>
    <w:rPr>
      <w:rFonts w:ascii="Arial Narrow" w:eastAsiaTheme="minorHAnsi" w:hAnsi="Arial Narrow" w:cstheme="minorBidi"/>
      <w:b/>
      <w:sz w:val="20"/>
      <w:szCs w:val="22"/>
      <w:lang w:eastAsia="en-US"/>
    </w:rPr>
  </w:style>
  <w:style w:type="paragraph" w:customStyle="1" w:styleId="TableBullet">
    <w:name w:val="Table Bullet"/>
    <w:basedOn w:val="Normal"/>
    <w:uiPriority w:val="99"/>
    <w:rsid w:val="00E13718"/>
    <w:pPr>
      <w:numPr>
        <w:numId w:val="6"/>
      </w:numPr>
      <w:spacing w:before="40" w:after="40"/>
      <w:ind w:left="357" w:hanging="357"/>
    </w:pPr>
    <w:rPr>
      <w:rFonts w:ascii="Arial Narrow" w:eastAsiaTheme="minorHAnsi" w:hAnsi="Arial Narrow" w:cstheme="minorBidi"/>
      <w:sz w:val="20"/>
      <w:szCs w:val="22"/>
      <w:lang w:eastAsia="en-US"/>
    </w:rPr>
  </w:style>
  <w:style w:type="paragraph" w:customStyle="1" w:styleId="Tablebulletwithnospace">
    <w:name w:val="Table bullet with no space"/>
    <w:basedOn w:val="TableBullet"/>
    <w:uiPriority w:val="99"/>
    <w:rsid w:val="00E13718"/>
    <w:pPr>
      <w:numPr>
        <w:numId w:val="0"/>
      </w:numPr>
      <w:spacing w:before="60" w:after="120"/>
      <w:ind w:left="284" w:hanging="227"/>
      <w:contextualSpacing/>
      <w:jc w:val="left"/>
    </w:pPr>
    <w:rPr>
      <w:rFonts w:ascii="Calibri" w:hAnsi="Calibri"/>
      <w:szCs w:val="20"/>
    </w:rPr>
  </w:style>
  <w:style w:type="paragraph" w:customStyle="1" w:styleId="TableTextnospacing">
    <w:name w:val="Table Text no spacing"/>
    <w:basedOn w:val="Tabletext"/>
    <w:uiPriority w:val="99"/>
    <w:rsid w:val="00E13718"/>
    <w:pPr>
      <w:spacing w:before="60"/>
    </w:pPr>
    <w:rPr>
      <w:rFonts w:ascii="Calibri" w:eastAsiaTheme="minorHAnsi" w:hAnsi="Calibri" w:cstheme="minorBidi"/>
      <w:b/>
      <w:snapToGrid/>
      <w:szCs w:val="22"/>
      <w:lang w:eastAsia="en-US"/>
    </w:rPr>
  </w:style>
  <w:style w:type="paragraph" w:customStyle="1" w:styleId="TableLeft">
    <w:name w:val="Table Left"/>
    <w:basedOn w:val="Normal"/>
    <w:link w:val="TableLeftChar"/>
    <w:uiPriority w:val="5"/>
    <w:rsid w:val="00E13718"/>
    <w:pPr>
      <w:jc w:val="left"/>
    </w:pPr>
    <w:rPr>
      <w:rFonts w:ascii="Arial Narrow" w:eastAsiaTheme="majorEastAsia" w:hAnsi="Arial Narrow" w:cstheme="majorBidi"/>
      <w:sz w:val="20"/>
      <w:szCs w:val="22"/>
      <w:lang w:eastAsia="en-US"/>
    </w:rPr>
  </w:style>
  <w:style w:type="character" w:customStyle="1" w:styleId="TableLeftChar">
    <w:name w:val="Table Left Char"/>
    <w:basedOn w:val="DefaultParagraphFont"/>
    <w:link w:val="TableLeft"/>
    <w:uiPriority w:val="5"/>
    <w:rsid w:val="00E13718"/>
    <w:rPr>
      <w:rFonts w:ascii="Arial Narrow" w:eastAsiaTheme="majorEastAsia" w:hAnsi="Arial Narrow" w:cstheme="majorBidi"/>
      <w:sz w:val="20"/>
    </w:rPr>
  </w:style>
  <w:style w:type="paragraph" w:customStyle="1" w:styleId="Default">
    <w:name w:val="Default"/>
    <w:rsid w:val="00E13718"/>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table" w:customStyle="1" w:styleId="Submissionstandard">
    <w:name w:val="Submission standard"/>
    <w:basedOn w:val="TableNormal"/>
    <w:uiPriority w:val="99"/>
    <w:qFormat/>
    <w:rsid w:val="00E13718"/>
    <w:pPr>
      <w:spacing w:after="0" w:line="240" w:lineRule="auto"/>
    </w:pPr>
    <w:rPr>
      <w:rFonts w:ascii="Arial Narrow" w:eastAsiaTheme="majorEastAsia" w:hAnsi="Arial Narrow" w:cstheme="majorBidi"/>
      <w:sz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tcPr>
    <w:tblStylePr w:type="firstRow">
      <w:rPr>
        <w:rFonts w:ascii="Segoe UI Semibold" w:hAnsi="Segoe UI Semibold" w:cstheme="majorBidi"/>
        <w:b/>
        <w:sz w:val="20"/>
      </w:rPr>
      <w:tblPr/>
      <w:tcPr>
        <w:shd w:val="clear" w:color="auto" w:fill="BFBFBF" w:themeFill="background1" w:themeFillShade="BF"/>
      </w:tcPr>
    </w:tblStylePr>
  </w:style>
  <w:style w:type="paragraph" w:styleId="TableofFigures">
    <w:name w:val="table of figures"/>
    <w:basedOn w:val="Normal"/>
    <w:next w:val="Normal"/>
    <w:uiPriority w:val="99"/>
    <w:unhideWhenUsed/>
    <w:rsid w:val="00E13718"/>
  </w:style>
  <w:style w:type="character" w:styleId="Strong">
    <w:name w:val="Strong"/>
    <w:basedOn w:val="DefaultParagraphFont"/>
    <w:uiPriority w:val="22"/>
    <w:rsid w:val="00E13718"/>
    <w:rPr>
      <w:b/>
    </w:rPr>
  </w:style>
  <w:style w:type="paragraph" w:customStyle="1" w:styleId="BulletedList">
    <w:name w:val="Bulleted List"/>
    <w:basedOn w:val="Normal"/>
    <w:uiPriority w:val="3"/>
    <w:qFormat/>
    <w:rsid w:val="00E13718"/>
    <w:pPr>
      <w:numPr>
        <w:numId w:val="9"/>
      </w:numPr>
      <w:spacing w:after="240"/>
      <w:contextualSpacing/>
    </w:pPr>
    <w:rPr>
      <w:rFonts w:ascii="Candara" w:eastAsiaTheme="majorEastAsia" w:hAnsi="Candara" w:cstheme="majorBidi"/>
      <w:szCs w:val="22"/>
      <w:lang w:eastAsia="en-US"/>
    </w:rPr>
  </w:style>
  <w:style w:type="paragraph" w:customStyle="1" w:styleId="Mainheading">
    <w:name w:val="Main heading"/>
    <w:basedOn w:val="Heading1"/>
    <w:next w:val="Normal"/>
    <w:uiPriority w:val="9"/>
    <w:qFormat/>
    <w:rsid w:val="00751863"/>
    <w:pPr>
      <w:spacing w:after="240"/>
      <w:ind w:left="0" w:firstLine="0"/>
      <w:contextualSpacing/>
    </w:pPr>
    <w:rPr>
      <w:rFonts w:ascii="Verdana" w:eastAsiaTheme="majorEastAsia" w:hAnsi="Verdana" w:cstheme="majorBidi"/>
      <w:caps w:val="0"/>
      <w:spacing w:val="5"/>
      <w:szCs w:val="36"/>
      <w:lang w:eastAsia="en-US"/>
    </w:rPr>
  </w:style>
  <w:style w:type="paragraph" w:customStyle="1" w:styleId="InstructionBulletpoint">
    <w:name w:val="Instruction Bullet point"/>
    <w:basedOn w:val="Normal"/>
    <w:link w:val="InstructionBulletpointChar"/>
    <w:uiPriority w:val="3"/>
    <w:qFormat/>
    <w:rsid w:val="00F56D4E"/>
    <w:pPr>
      <w:numPr>
        <w:numId w:val="13"/>
      </w:numPr>
      <w:spacing w:before="120" w:after="120"/>
      <w:jc w:val="left"/>
    </w:pPr>
    <w:rPr>
      <w:rFonts w:cs="Times New Roman"/>
      <w:color w:val="0070C0"/>
      <w:lang w:eastAsia="en-GB"/>
    </w:rPr>
  </w:style>
  <w:style w:type="character" w:customStyle="1" w:styleId="InstructionBulletpointChar">
    <w:name w:val="Instruction Bullet point Char"/>
    <w:basedOn w:val="DefaultParagraphFont"/>
    <w:link w:val="InstructionBulletpoint"/>
    <w:uiPriority w:val="3"/>
    <w:rsid w:val="00F56D4E"/>
    <w:rPr>
      <w:rFonts w:ascii="Calibri" w:eastAsia="Times New Roman" w:hAnsi="Calibri" w:cs="Times New Roman"/>
      <w:color w:val="0070C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885383">
      <w:bodyDiv w:val="1"/>
      <w:marLeft w:val="0"/>
      <w:marRight w:val="0"/>
      <w:marTop w:val="0"/>
      <w:marBottom w:val="0"/>
      <w:divBdr>
        <w:top w:val="none" w:sz="0" w:space="0" w:color="auto"/>
        <w:left w:val="none" w:sz="0" w:space="0" w:color="auto"/>
        <w:bottom w:val="none" w:sz="0" w:space="0" w:color="auto"/>
        <w:right w:val="none" w:sz="0" w:space="0" w:color="auto"/>
      </w:divBdr>
    </w:div>
    <w:div w:id="176964726">
      <w:bodyDiv w:val="1"/>
      <w:marLeft w:val="0"/>
      <w:marRight w:val="0"/>
      <w:marTop w:val="0"/>
      <w:marBottom w:val="0"/>
      <w:divBdr>
        <w:top w:val="none" w:sz="0" w:space="0" w:color="auto"/>
        <w:left w:val="none" w:sz="0" w:space="0" w:color="auto"/>
        <w:bottom w:val="none" w:sz="0" w:space="0" w:color="auto"/>
        <w:right w:val="none" w:sz="0" w:space="0" w:color="auto"/>
      </w:divBdr>
    </w:div>
    <w:div w:id="369914190">
      <w:bodyDiv w:val="1"/>
      <w:marLeft w:val="0"/>
      <w:marRight w:val="0"/>
      <w:marTop w:val="0"/>
      <w:marBottom w:val="0"/>
      <w:divBdr>
        <w:top w:val="none" w:sz="0" w:space="0" w:color="auto"/>
        <w:left w:val="none" w:sz="0" w:space="0" w:color="auto"/>
        <w:bottom w:val="none" w:sz="0" w:space="0" w:color="auto"/>
        <w:right w:val="none" w:sz="0" w:space="0" w:color="auto"/>
      </w:divBdr>
    </w:div>
    <w:div w:id="462164859">
      <w:bodyDiv w:val="1"/>
      <w:marLeft w:val="0"/>
      <w:marRight w:val="0"/>
      <w:marTop w:val="0"/>
      <w:marBottom w:val="0"/>
      <w:divBdr>
        <w:top w:val="none" w:sz="0" w:space="0" w:color="auto"/>
        <w:left w:val="none" w:sz="0" w:space="0" w:color="auto"/>
        <w:bottom w:val="none" w:sz="0" w:space="0" w:color="auto"/>
        <w:right w:val="none" w:sz="0" w:space="0" w:color="auto"/>
      </w:divBdr>
    </w:div>
    <w:div w:id="1532305760">
      <w:bodyDiv w:val="1"/>
      <w:marLeft w:val="0"/>
      <w:marRight w:val="0"/>
      <w:marTop w:val="0"/>
      <w:marBottom w:val="0"/>
      <w:divBdr>
        <w:top w:val="none" w:sz="0" w:space="0" w:color="auto"/>
        <w:left w:val="none" w:sz="0" w:space="0" w:color="auto"/>
        <w:bottom w:val="none" w:sz="0" w:space="0" w:color="auto"/>
        <w:right w:val="none" w:sz="0" w:space="0" w:color="auto"/>
      </w:divBdr>
    </w:div>
    <w:div w:id="1608586379">
      <w:bodyDiv w:val="1"/>
      <w:marLeft w:val="0"/>
      <w:marRight w:val="0"/>
      <w:marTop w:val="0"/>
      <w:marBottom w:val="0"/>
      <w:divBdr>
        <w:top w:val="none" w:sz="0" w:space="0" w:color="auto"/>
        <w:left w:val="none" w:sz="0" w:space="0" w:color="auto"/>
        <w:bottom w:val="none" w:sz="0" w:space="0" w:color="auto"/>
        <w:right w:val="none" w:sz="0" w:space="0" w:color="auto"/>
      </w:divBdr>
      <w:divsChild>
        <w:div w:id="1405300985">
          <w:marLeft w:val="360"/>
          <w:marRight w:val="0"/>
          <w:marTop w:val="200"/>
          <w:marBottom w:val="0"/>
          <w:divBdr>
            <w:top w:val="none" w:sz="0" w:space="0" w:color="auto"/>
            <w:left w:val="none" w:sz="0" w:space="0" w:color="auto"/>
            <w:bottom w:val="none" w:sz="0" w:space="0" w:color="auto"/>
            <w:right w:val="none" w:sz="0" w:space="0" w:color="auto"/>
          </w:divBdr>
        </w:div>
      </w:divsChild>
    </w:div>
    <w:div w:id="1655063269">
      <w:bodyDiv w:val="1"/>
      <w:marLeft w:val="0"/>
      <w:marRight w:val="0"/>
      <w:marTop w:val="0"/>
      <w:marBottom w:val="0"/>
      <w:divBdr>
        <w:top w:val="none" w:sz="0" w:space="0" w:color="auto"/>
        <w:left w:val="none" w:sz="0" w:space="0" w:color="auto"/>
        <w:bottom w:val="none" w:sz="0" w:space="0" w:color="auto"/>
        <w:right w:val="none" w:sz="0" w:space="0" w:color="auto"/>
      </w:divBdr>
    </w:div>
    <w:div w:id="1705598196">
      <w:bodyDiv w:val="1"/>
      <w:marLeft w:val="0"/>
      <w:marRight w:val="0"/>
      <w:marTop w:val="0"/>
      <w:marBottom w:val="0"/>
      <w:divBdr>
        <w:top w:val="none" w:sz="0" w:space="0" w:color="auto"/>
        <w:left w:val="none" w:sz="0" w:space="0" w:color="auto"/>
        <w:bottom w:val="none" w:sz="0" w:space="0" w:color="auto"/>
        <w:right w:val="none" w:sz="0" w:space="0" w:color="auto"/>
      </w:divBdr>
    </w:div>
    <w:div w:id="1719814149">
      <w:bodyDiv w:val="1"/>
      <w:marLeft w:val="0"/>
      <w:marRight w:val="0"/>
      <w:marTop w:val="0"/>
      <w:marBottom w:val="0"/>
      <w:divBdr>
        <w:top w:val="none" w:sz="0" w:space="0" w:color="auto"/>
        <w:left w:val="none" w:sz="0" w:space="0" w:color="auto"/>
        <w:bottom w:val="none" w:sz="0" w:space="0" w:color="auto"/>
        <w:right w:val="none" w:sz="0" w:space="0" w:color="auto"/>
      </w:divBdr>
    </w:div>
    <w:div w:id="1872915264">
      <w:bodyDiv w:val="1"/>
      <w:marLeft w:val="0"/>
      <w:marRight w:val="0"/>
      <w:marTop w:val="0"/>
      <w:marBottom w:val="0"/>
      <w:divBdr>
        <w:top w:val="none" w:sz="0" w:space="0" w:color="auto"/>
        <w:left w:val="none" w:sz="0" w:space="0" w:color="auto"/>
        <w:bottom w:val="none" w:sz="0" w:space="0" w:color="auto"/>
        <w:right w:val="none" w:sz="0" w:space="0" w:color="auto"/>
      </w:divBdr>
    </w:div>
    <w:div w:id="188051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 Id="rId22"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DBF00-872C-480F-842F-2C67FC9BD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47</Pages>
  <Words>17855</Words>
  <Characters>101777</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2021-07-08T05:39:00Z</dcterms:created>
  <dcterms:modified xsi:type="dcterms:W3CDTF">2021-07-15T03:54:00Z</dcterms:modified>
</cp:coreProperties>
</file>