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7A0" w:rsidRPr="00BF27A0" w:rsidRDefault="00295E4D" w:rsidP="005E0D82">
      <w:pPr>
        <w:pStyle w:val="1MainTitle"/>
        <w:jc w:val="left"/>
        <w:rPr>
          <w:rFonts w:eastAsia="Calibri"/>
          <w:lang w:eastAsia="en-US"/>
        </w:rPr>
      </w:pPr>
      <w:r>
        <w:rPr>
          <w:rFonts w:eastAsia="Calibri"/>
          <w:lang w:eastAsia="en-US"/>
        </w:rPr>
        <w:t>7</w:t>
      </w:r>
      <w:r w:rsidR="00BF27A0" w:rsidRPr="00BF27A0">
        <w:rPr>
          <w:rFonts w:eastAsia="Calibri"/>
          <w:lang w:eastAsia="en-US"/>
        </w:rPr>
        <w:t>.</w:t>
      </w:r>
      <w:r>
        <w:rPr>
          <w:rFonts w:eastAsia="Calibri"/>
          <w:lang w:eastAsia="en-US"/>
        </w:rPr>
        <w:t>0</w:t>
      </w:r>
      <w:r w:rsidR="00D84A09">
        <w:rPr>
          <w:rFonts w:eastAsia="Calibri"/>
          <w:lang w:eastAsia="en-US"/>
        </w:rPr>
        <w:t>7</w:t>
      </w:r>
      <w:r w:rsidR="00BF27A0" w:rsidRPr="00BF27A0">
        <w:rPr>
          <w:rFonts w:eastAsia="Calibri"/>
          <w:lang w:eastAsia="en-US"/>
        </w:rPr>
        <w:tab/>
      </w:r>
      <w:r>
        <w:rPr>
          <w:rFonts w:eastAsia="Calibri"/>
          <w:lang w:eastAsia="en-US"/>
        </w:rPr>
        <w:t>NIVOLUMAB</w:t>
      </w:r>
      <w:r w:rsidR="00BF27A0" w:rsidRPr="00BF27A0">
        <w:rPr>
          <w:rFonts w:eastAsia="Calibri"/>
          <w:lang w:eastAsia="en-US"/>
        </w:rPr>
        <w:t>,</w:t>
      </w:r>
      <w:r w:rsidR="00F82E5C">
        <w:rPr>
          <w:rFonts w:eastAsia="Calibri"/>
          <w:lang w:eastAsia="en-US"/>
        </w:rPr>
        <w:t xml:space="preserve"> </w:t>
      </w:r>
      <w:r w:rsidR="005E0D82">
        <w:rPr>
          <w:rFonts w:eastAsia="Calibri"/>
          <w:lang w:eastAsia="en-US"/>
        </w:rPr>
        <w:br/>
      </w:r>
      <w:r w:rsidR="000F4BF3" w:rsidRPr="000F4BF3">
        <w:rPr>
          <w:rFonts w:eastAsia="Calibri"/>
          <w:lang w:eastAsia="en-US"/>
        </w:rPr>
        <w:t xml:space="preserve">Injection concentrate </w:t>
      </w:r>
      <w:r w:rsidR="00AF27A1">
        <w:rPr>
          <w:rFonts w:eastAsia="Calibri"/>
          <w:lang w:eastAsia="en-US"/>
        </w:rPr>
        <w:t>for I.V. infusion 40 mg in 4 mL</w:t>
      </w:r>
      <w:r w:rsidR="000F4BF3" w:rsidRPr="000F4BF3">
        <w:t xml:space="preserve"> </w:t>
      </w:r>
      <w:r w:rsidR="000F4BF3" w:rsidRPr="000F4BF3">
        <w:rPr>
          <w:rFonts w:eastAsia="Calibri"/>
          <w:lang w:eastAsia="en-US"/>
        </w:rPr>
        <w:t xml:space="preserve">Injection concentrate for I.V. infusion 100 mg in 10 mL </w:t>
      </w:r>
      <w:r w:rsidR="000F4BF3">
        <w:rPr>
          <w:rFonts w:eastAsia="Calibri"/>
          <w:lang w:eastAsia="en-US"/>
        </w:rPr>
        <w:t>Opdivo®</w:t>
      </w:r>
      <w:r w:rsidR="00BF27A0" w:rsidRPr="00BF27A0">
        <w:rPr>
          <w:rFonts w:eastAsia="Calibri"/>
          <w:lang w:eastAsia="en-US"/>
        </w:rPr>
        <w:t>,</w:t>
      </w:r>
      <w:r w:rsidR="005E0D82">
        <w:rPr>
          <w:rFonts w:eastAsia="Calibri"/>
          <w:lang w:eastAsia="en-US"/>
        </w:rPr>
        <w:br/>
      </w:r>
      <w:r w:rsidR="000F4BF3" w:rsidRPr="000F4BF3">
        <w:rPr>
          <w:rFonts w:eastAsia="Calibri"/>
          <w:lang w:eastAsia="en-US"/>
        </w:rPr>
        <w:t>Bristol-Myers Squibb Australia Pty Ltd</w:t>
      </w:r>
    </w:p>
    <w:p w:rsidR="008A50F1" w:rsidRPr="00D4572C" w:rsidRDefault="00CE10C4" w:rsidP="008F0213">
      <w:pPr>
        <w:pStyle w:val="2-SectionHeading"/>
      </w:pPr>
      <w:r w:rsidRPr="0033263D">
        <w:t xml:space="preserve">Purpose of </w:t>
      </w:r>
      <w:r w:rsidR="0004240E" w:rsidRPr="0033263D">
        <w:t>Application</w:t>
      </w:r>
      <w:r w:rsidR="00034905">
        <w:t xml:space="preserve"> </w:t>
      </w:r>
    </w:p>
    <w:p w:rsidR="00256D17" w:rsidRDefault="00985990" w:rsidP="00A57A3F">
      <w:pPr>
        <w:pStyle w:val="3Bodytext"/>
        <w:jc w:val="both"/>
      </w:pPr>
      <w:r>
        <w:t>The minor r</w:t>
      </w:r>
      <w:r w:rsidRPr="00985990">
        <w:t xml:space="preserve">esubmission </w:t>
      </w:r>
      <w:r>
        <w:t xml:space="preserve">sought </w:t>
      </w:r>
      <w:r w:rsidRPr="00985990">
        <w:t xml:space="preserve">to </w:t>
      </w:r>
      <w:r w:rsidR="00256D17">
        <w:t xml:space="preserve">remove </w:t>
      </w:r>
      <w:r w:rsidR="00650312">
        <w:t xml:space="preserve">the </w:t>
      </w:r>
      <w:r w:rsidR="00256D17" w:rsidRPr="00256D17">
        <w:t xml:space="preserve">rebate </w:t>
      </w:r>
      <w:r w:rsidR="00F84834">
        <w:t xml:space="preserve">for patients initiating </w:t>
      </w:r>
      <w:r w:rsidR="0054262A">
        <w:t xml:space="preserve">treatment </w:t>
      </w:r>
      <w:r w:rsidR="00F84834">
        <w:t>at</w:t>
      </w:r>
      <w:r w:rsidR="00162945">
        <w:t xml:space="preserve"> the age of</w:t>
      </w:r>
      <w:r w:rsidR="00F84834">
        <w:t xml:space="preserve"> 75 years o</w:t>
      </w:r>
      <w:r w:rsidR="00162945">
        <w:t>r</w:t>
      </w:r>
      <w:r w:rsidR="00F84834">
        <w:t xml:space="preserve"> older </w:t>
      </w:r>
      <w:r w:rsidR="00500785">
        <w:t xml:space="preserve">in the </w:t>
      </w:r>
      <w:r w:rsidR="00F84834">
        <w:t>Deed of Agreement</w:t>
      </w:r>
      <w:r w:rsidR="006E08F6">
        <w:t xml:space="preserve"> (the Deed)</w:t>
      </w:r>
      <w:r w:rsidR="00500785">
        <w:t xml:space="preserve"> for </w:t>
      </w:r>
      <w:r w:rsidR="00F84834">
        <w:t>nivolumab for the treatment of non-small cell lung cancer</w:t>
      </w:r>
      <w:r w:rsidR="00C00E52">
        <w:t xml:space="preserve"> (NSCLC)</w:t>
      </w:r>
      <w:r w:rsidR="006A006B">
        <w:t xml:space="preserve"> following progression or after prior chemotherapy</w:t>
      </w:r>
      <w:r w:rsidR="003D50B3">
        <w:t xml:space="preserve"> (</w:t>
      </w:r>
      <w:r w:rsidR="006E08F6">
        <w:t xml:space="preserve">herein referred to as </w:t>
      </w:r>
      <w:r w:rsidR="006A006B">
        <w:t xml:space="preserve">2L </w:t>
      </w:r>
      <w:r w:rsidR="003D50B3">
        <w:t>NSCLC)</w:t>
      </w:r>
      <w:r w:rsidR="00650312">
        <w:t>.</w:t>
      </w:r>
    </w:p>
    <w:p w:rsidR="00F84834" w:rsidRDefault="00F84834" w:rsidP="00A57A3F">
      <w:pPr>
        <w:pStyle w:val="3Bodytext"/>
        <w:jc w:val="both"/>
      </w:pPr>
      <w:r>
        <w:t xml:space="preserve">The </w:t>
      </w:r>
      <w:r w:rsidR="006E08F6">
        <w:t>re</w:t>
      </w:r>
      <w:r>
        <w:t xml:space="preserve">submission </w:t>
      </w:r>
      <w:r w:rsidR="006E08F6">
        <w:t>sought</w:t>
      </w:r>
      <w:r>
        <w:t xml:space="preserve"> to </w:t>
      </w:r>
      <w:r w:rsidRPr="00985990">
        <w:t xml:space="preserve">address the PBAC’s </w:t>
      </w:r>
      <w:r>
        <w:t xml:space="preserve">previous </w:t>
      </w:r>
      <w:r w:rsidRPr="00985990">
        <w:t>concerns about the incremental effectiveness of nivolumab</w:t>
      </w:r>
      <w:r>
        <w:t xml:space="preserve"> in patients </w:t>
      </w:r>
      <w:r w:rsidR="00162945">
        <w:t xml:space="preserve">aged </w:t>
      </w:r>
      <w:r>
        <w:t>75 years or older.</w:t>
      </w:r>
    </w:p>
    <w:p w:rsidR="00A01432" w:rsidRPr="00FD6D8E" w:rsidRDefault="00A01432" w:rsidP="006F0A71">
      <w:pPr>
        <w:pStyle w:val="2-SectionHeading"/>
      </w:pPr>
      <w:r w:rsidRPr="009E2E8E">
        <w:t>Background</w:t>
      </w:r>
      <w:r>
        <w:t xml:space="preserve"> </w:t>
      </w:r>
    </w:p>
    <w:p w:rsidR="00A01432" w:rsidRDefault="00A01432" w:rsidP="00B16273">
      <w:pPr>
        <w:pStyle w:val="4-SubsectionHeading"/>
      </w:pPr>
      <w:r w:rsidRPr="0012749D">
        <w:t xml:space="preserve">Previous PBAC consideration </w:t>
      </w:r>
    </w:p>
    <w:p w:rsidR="00A01432" w:rsidRDefault="00006D3B" w:rsidP="00A57A3F">
      <w:pPr>
        <w:pStyle w:val="3Bodytext"/>
        <w:jc w:val="both"/>
      </w:pPr>
      <w:r w:rsidRPr="00006D3B">
        <w:t>The PBAC considered nivolumab for the treatment of squamous NSCLC and non-squamous NSCLC</w:t>
      </w:r>
      <w:r>
        <w:t xml:space="preserve"> with progression on or after prior chemotherapy </w:t>
      </w:r>
      <w:r w:rsidR="00C26F5B">
        <w:t>a</w:t>
      </w:r>
      <w:r w:rsidRPr="00006D3B">
        <w:t>t its March 2016 (</w:t>
      </w:r>
      <w:r w:rsidR="00C00E52">
        <w:t>not recommended</w:t>
      </w:r>
      <w:r w:rsidRPr="00006D3B">
        <w:t>) and November 2016 (deferred) PBAC meetings. Nivolumab was subsequently recommended for 2L NSCLC at the March 2017 PBAC meeting.</w:t>
      </w:r>
    </w:p>
    <w:p w:rsidR="005956E0" w:rsidRDefault="005956E0" w:rsidP="00A57A3F">
      <w:pPr>
        <w:pStyle w:val="3Bodytext"/>
        <w:jc w:val="both"/>
        <w:rPr>
          <w:lang w:eastAsia="en-US"/>
        </w:rPr>
      </w:pPr>
      <w:r w:rsidRPr="0012749D">
        <w:rPr>
          <w:lang w:eastAsia="en-US"/>
        </w:rPr>
        <w:t>A summary of prior PBAC considerations is provided below.</w:t>
      </w:r>
    </w:p>
    <w:p w:rsidR="00A57A3F" w:rsidRPr="00A57A3F" w:rsidRDefault="00A57A3F" w:rsidP="00A57A3F">
      <w:pPr>
        <w:pStyle w:val="3Bodytext"/>
        <w:numPr>
          <w:ilvl w:val="0"/>
          <w:numId w:val="0"/>
        </w:numPr>
        <w:spacing w:after="0"/>
        <w:rPr>
          <w:rFonts w:ascii="Arial Narrow" w:hAnsi="Arial Narrow"/>
          <w:b/>
          <w:sz w:val="20"/>
          <w:szCs w:val="20"/>
          <w:lang w:eastAsia="en-US"/>
        </w:rPr>
      </w:pPr>
      <w:r w:rsidRPr="00A57A3F">
        <w:rPr>
          <w:rFonts w:ascii="Arial Narrow" w:eastAsiaTheme="majorEastAsia" w:hAnsi="Arial Narrow"/>
          <w:b/>
          <w:sz w:val="20"/>
          <w:szCs w:val="20"/>
        </w:rPr>
        <w:t xml:space="preserve">Table 1: </w:t>
      </w:r>
      <w:r w:rsidRPr="00A57A3F">
        <w:rPr>
          <w:rFonts w:ascii="Arial Narrow" w:hAnsi="Arial Narrow"/>
          <w:b/>
          <w:sz w:val="20"/>
          <w:szCs w:val="20"/>
        </w:rPr>
        <w:t>Previous PBAC considerations</w:t>
      </w:r>
    </w:p>
    <w:tbl>
      <w:tblPr>
        <w:tblStyle w:val="TableGrid"/>
        <w:tblpPr w:leftFromText="181" w:rightFromText="181" w:vertAnchor="text" w:tblpY="1"/>
        <w:tblW w:w="0" w:type="auto"/>
        <w:tblLook w:val="04A0" w:firstRow="1" w:lastRow="0" w:firstColumn="1" w:lastColumn="0" w:noHBand="0" w:noVBand="1"/>
        <w:tblCaption w:val="Table 1: Previous PBAC considerations"/>
        <w:tblDescription w:val="Table 1: Previous PBAC considerations"/>
      </w:tblPr>
      <w:tblGrid>
        <w:gridCol w:w="1692"/>
        <w:gridCol w:w="2955"/>
        <w:gridCol w:w="1329"/>
        <w:gridCol w:w="3040"/>
      </w:tblGrid>
      <w:tr w:rsidR="005956E0" w:rsidRPr="0012749D" w:rsidTr="00507263">
        <w:trPr>
          <w:tblHeader/>
        </w:trPr>
        <w:tc>
          <w:tcPr>
            <w:tcW w:w="1693" w:type="dxa"/>
          </w:tcPr>
          <w:p w:rsidR="005956E0" w:rsidRPr="00B16273" w:rsidRDefault="005956E0" w:rsidP="00A57A3F">
            <w:pPr>
              <w:pStyle w:val="TableText0"/>
              <w:rPr>
                <w:b/>
              </w:rPr>
            </w:pPr>
            <w:r w:rsidRPr="00B16273">
              <w:rPr>
                <w:b/>
              </w:rPr>
              <w:t>Meeting date</w:t>
            </w:r>
          </w:p>
        </w:tc>
        <w:tc>
          <w:tcPr>
            <w:tcW w:w="2957" w:type="dxa"/>
          </w:tcPr>
          <w:p w:rsidR="005956E0" w:rsidRPr="00B16273" w:rsidRDefault="005956E0" w:rsidP="00A57A3F">
            <w:pPr>
              <w:pStyle w:val="TableText0"/>
              <w:rPr>
                <w:b/>
              </w:rPr>
            </w:pPr>
            <w:r w:rsidRPr="00B16273">
              <w:rPr>
                <w:b/>
              </w:rPr>
              <w:t>Request</w:t>
            </w:r>
          </w:p>
        </w:tc>
        <w:tc>
          <w:tcPr>
            <w:tcW w:w="1329" w:type="dxa"/>
          </w:tcPr>
          <w:p w:rsidR="005956E0" w:rsidRPr="00B16273" w:rsidRDefault="005956E0" w:rsidP="00A57A3F">
            <w:pPr>
              <w:pStyle w:val="TableText0"/>
              <w:rPr>
                <w:b/>
              </w:rPr>
            </w:pPr>
            <w:r w:rsidRPr="00B16273">
              <w:rPr>
                <w:b/>
              </w:rPr>
              <w:t>Outcome</w:t>
            </w:r>
          </w:p>
        </w:tc>
        <w:tc>
          <w:tcPr>
            <w:tcW w:w="3042" w:type="dxa"/>
          </w:tcPr>
          <w:p w:rsidR="005956E0" w:rsidRPr="00B16273" w:rsidRDefault="005956E0" w:rsidP="00A57A3F">
            <w:pPr>
              <w:pStyle w:val="TableText0"/>
              <w:rPr>
                <w:b/>
              </w:rPr>
            </w:pPr>
            <w:r w:rsidRPr="00B16273">
              <w:rPr>
                <w:b/>
              </w:rPr>
              <w:t>Detail</w:t>
            </w:r>
          </w:p>
        </w:tc>
      </w:tr>
      <w:tr w:rsidR="005956E0" w:rsidRPr="0012749D" w:rsidTr="00A57A3F">
        <w:tc>
          <w:tcPr>
            <w:tcW w:w="1693" w:type="dxa"/>
          </w:tcPr>
          <w:p w:rsidR="005956E0" w:rsidRPr="0012749D" w:rsidRDefault="005956E0" w:rsidP="00A57A3F">
            <w:pPr>
              <w:pStyle w:val="TableText0"/>
              <w:rPr>
                <w:rFonts w:cs="Arial"/>
                <w:szCs w:val="20"/>
              </w:rPr>
            </w:pPr>
            <w:r>
              <w:rPr>
                <w:rFonts w:cs="Arial"/>
                <w:szCs w:val="20"/>
              </w:rPr>
              <w:t>March 2016</w:t>
            </w:r>
          </w:p>
        </w:tc>
        <w:tc>
          <w:tcPr>
            <w:tcW w:w="2957" w:type="dxa"/>
          </w:tcPr>
          <w:p w:rsidR="005956E0" w:rsidRDefault="00E81ADB" w:rsidP="00A57A3F">
            <w:pPr>
              <w:pStyle w:val="TableText0"/>
              <w:rPr>
                <w:rFonts w:cs="Arial"/>
                <w:szCs w:val="20"/>
              </w:rPr>
            </w:pPr>
            <w:r w:rsidRPr="00E81ADB">
              <w:rPr>
                <w:rFonts w:cs="Arial"/>
                <w:szCs w:val="20"/>
              </w:rPr>
              <w:t>Section 100 (Efficient Funding of Chemotherapy)</w:t>
            </w:r>
            <w:r>
              <w:rPr>
                <w:rFonts w:cs="Arial"/>
                <w:szCs w:val="20"/>
              </w:rPr>
              <w:t xml:space="preserve"> </w:t>
            </w:r>
            <w:r w:rsidRPr="00E81ADB">
              <w:rPr>
                <w:rFonts w:cs="Arial"/>
                <w:szCs w:val="20"/>
              </w:rPr>
              <w:t>Authority Required (STREAMLINED) listing for</w:t>
            </w:r>
            <w:r>
              <w:rPr>
                <w:rFonts w:cs="Arial"/>
                <w:szCs w:val="20"/>
              </w:rPr>
              <w:t xml:space="preserve"> </w:t>
            </w:r>
            <w:r w:rsidRPr="00E81ADB">
              <w:rPr>
                <w:rFonts w:cs="Arial"/>
                <w:szCs w:val="20"/>
              </w:rPr>
              <w:t>the treatment of locally advanced or metastatic</w:t>
            </w:r>
            <w:r>
              <w:rPr>
                <w:rFonts w:cs="Arial"/>
                <w:szCs w:val="20"/>
              </w:rPr>
              <w:t xml:space="preserve"> </w:t>
            </w:r>
            <w:r w:rsidRPr="00E81ADB">
              <w:rPr>
                <w:rFonts w:cs="Arial"/>
                <w:szCs w:val="20"/>
              </w:rPr>
              <w:t xml:space="preserve">squamous </w:t>
            </w:r>
            <w:r w:rsidR="00A82035">
              <w:rPr>
                <w:rFonts w:cs="Arial"/>
                <w:szCs w:val="20"/>
              </w:rPr>
              <w:t>NSCLC</w:t>
            </w:r>
            <w:r w:rsidRPr="00E81ADB">
              <w:rPr>
                <w:rFonts w:cs="Arial"/>
                <w:szCs w:val="20"/>
              </w:rPr>
              <w:t xml:space="preserve"> with</w:t>
            </w:r>
            <w:r>
              <w:rPr>
                <w:rFonts w:cs="Arial"/>
                <w:szCs w:val="20"/>
              </w:rPr>
              <w:t xml:space="preserve"> </w:t>
            </w:r>
            <w:r w:rsidRPr="00E81ADB">
              <w:rPr>
                <w:rFonts w:cs="Arial"/>
                <w:szCs w:val="20"/>
              </w:rPr>
              <w:t>progression on or after prior chemotherapy.</w:t>
            </w:r>
          </w:p>
          <w:p w:rsidR="00E81ADB" w:rsidRDefault="00E81ADB" w:rsidP="00A57A3F">
            <w:pPr>
              <w:pStyle w:val="TableText0"/>
              <w:rPr>
                <w:rFonts w:cs="Arial"/>
                <w:szCs w:val="20"/>
              </w:rPr>
            </w:pPr>
          </w:p>
          <w:p w:rsidR="00E81ADB" w:rsidRDefault="00E81ADB" w:rsidP="00A57A3F">
            <w:pPr>
              <w:pStyle w:val="TableText0"/>
              <w:rPr>
                <w:rFonts w:cs="Arial"/>
                <w:szCs w:val="20"/>
              </w:rPr>
            </w:pPr>
          </w:p>
          <w:p w:rsidR="00E81ADB" w:rsidRPr="0012749D" w:rsidRDefault="00E81ADB" w:rsidP="00A57A3F">
            <w:pPr>
              <w:pStyle w:val="TableText0"/>
              <w:rPr>
                <w:rFonts w:cs="Arial"/>
                <w:szCs w:val="20"/>
              </w:rPr>
            </w:pPr>
            <w:r w:rsidRPr="00E81ADB">
              <w:rPr>
                <w:rFonts w:cs="Arial"/>
                <w:szCs w:val="20"/>
              </w:rPr>
              <w:t>Section 100 (Efficient Funding of Chemotherapy)</w:t>
            </w:r>
            <w:r>
              <w:rPr>
                <w:rFonts w:cs="Arial"/>
                <w:szCs w:val="20"/>
              </w:rPr>
              <w:t xml:space="preserve"> </w:t>
            </w:r>
            <w:r w:rsidRPr="00E81ADB">
              <w:rPr>
                <w:rFonts w:cs="Arial"/>
                <w:szCs w:val="20"/>
              </w:rPr>
              <w:t>Authority Required (STREAMLINED) listing for</w:t>
            </w:r>
            <w:r>
              <w:rPr>
                <w:rFonts w:cs="Arial"/>
                <w:szCs w:val="20"/>
              </w:rPr>
              <w:t xml:space="preserve"> </w:t>
            </w:r>
            <w:r w:rsidRPr="00E81ADB">
              <w:rPr>
                <w:rFonts w:cs="Arial"/>
                <w:szCs w:val="20"/>
              </w:rPr>
              <w:t>the treatment of locally advanced or metastatic</w:t>
            </w:r>
            <w:r>
              <w:rPr>
                <w:rFonts w:cs="Arial"/>
                <w:szCs w:val="20"/>
              </w:rPr>
              <w:t xml:space="preserve"> </w:t>
            </w:r>
            <w:r w:rsidRPr="00E81ADB">
              <w:rPr>
                <w:rFonts w:cs="Arial"/>
                <w:szCs w:val="20"/>
              </w:rPr>
              <w:t xml:space="preserve">non-squamous </w:t>
            </w:r>
            <w:r w:rsidR="00A82035">
              <w:rPr>
                <w:rFonts w:cs="Arial"/>
                <w:szCs w:val="20"/>
              </w:rPr>
              <w:t xml:space="preserve">NSCLC </w:t>
            </w:r>
            <w:r w:rsidRPr="00E81ADB">
              <w:rPr>
                <w:rFonts w:cs="Arial"/>
                <w:szCs w:val="20"/>
              </w:rPr>
              <w:t>with</w:t>
            </w:r>
            <w:r>
              <w:rPr>
                <w:rFonts w:cs="Arial"/>
                <w:szCs w:val="20"/>
              </w:rPr>
              <w:t xml:space="preserve"> </w:t>
            </w:r>
            <w:r w:rsidRPr="00E81ADB">
              <w:rPr>
                <w:rFonts w:cs="Arial"/>
                <w:szCs w:val="20"/>
              </w:rPr>
              <w:t>progression on or after prior chemotherapy</w:t>
            </w:r>
            <w:r>
              <w:rPr>
                <w:rFonts w:cs="Arial"/>
                <w:szCs w:val="20"/>
              </w:rPr>
              <w:t>.</w:t>
            </w:r>
          </w:p>
        </w:tc>
        <w:tc>
          <w:tcPr>
            <w:tcW w:w="1329" w:type="dxa"/>
          </w:tcPr>
          <w:p w:rsidR="005956E0" w:rsidRPr="0012749D" w:rsidRDefault="005956E0" w:rsidP="00A57A3F">
            <w:pPr>
              <w:pStyle w:val="TableText0"/>
              <w:rPr>
                <w:rFonts w:cs="Arial"/>
                <w:szCs w:val="20"/>
              </w:rPr>
            </w:pPr>
            <w:r>
              <w:rPr>
                <w:rFonts w:cs="Arial"/>
                <w:szCs w:val="20"/>
              </w:rPr>
              <w:t>Not recommended</w:t>
            </w:r>
          </w:p>
        </w:tc>
        <w:tc>
          <w:tcPr>
            <w:tcW w:w="3042" w:type="dxa"/>
          </w:tcPr>
          <w:p w:rsidR="00524A02" w:rsidRDefault="00524A02" w:rsidP="00A57A3F">
            <w:pPr>
              <w:pStyle w:val="TableText0"/>
              <w:rPr>
                <w:rFonts w:cs="Arial"/>
                <w:szCs w:val="20"/>
              </w:rPr>
            </w:pPr>
            <w:r w:rsidRPr="00524A02">
              <w:rPr>
                <w:rFonts w:cs="Arial"/>
                <w:szCs w:val="20"/>
              </w:rPr>
              <w:t>The PBAC decided not to recommend on the basis that acceptable cost-effectiveness had</w:t>
            </w:r>
            <w:r>
              <w:rPr>
                <w:rFonts w:cs="Arial"/>
                <w:szCs w:val="20"/>
              </w:rPr>
              <w:t xml:space="preserve"> </w:t>
            </w:r>
            <w:r w:rsidRPr="00524A02">
              <w:rPr>
                <w:rFonts w:cs="Arial"/>
                <w:szCs w:val="20"/>
              </w:rPr>
              <w:t>not been adequately demonstrated. The PBAC considered that the economic model</w:t>
            </w:r>
            <w:r>
              <w:rPr>
                <w:rFonts w:cs="Arial"/>
                <w:szCs w:val="20"/>
              </w:rPr>
              <w:t xml:space="preserve"> </w:t>
            </w:r>
            <w:r w:rsidRPr="00524A02">
              <w:rPr>
                <w:rFonts w:cs="Arial"/>
                <w:szCs w:val="20"/>
              </w:rPr>
              <w:t>presented in the submission included numerous assumptions that favoured</w:t>
            </w:r>
            <w:r>
              <w:rPr>
                <w:rFonts w:cs="Arial"/>
                <w:szCs w:val="20"/>
              </w:rPr>
              <w:t xml:space="preserve"> </w:t>
            </w:r>
            <w:r w:rsidRPr="00524A02">
              <w:rPr>
                <w:rFonts w:cs="Arial"/>
                <w:szCs w:val="20"/>
              </w:rPr>
              <w:t>nivolumab, and that the resulting incremental cost-effectiveness ratio was too high</w:t>
            </w:r>
            <w:r>
              <w:rPr>
                <w:rFonts w:cs="Arial"/>
                <w:szCs w:val="20"/>
              </w:rPr>
              <w:t xml:space="preserve"> </w:t>
            </w:r>
            <w:r w:rsidRPr="00524A02">
              <w:rPr>
                <w:rFonts w:cs="Arial"/>
                <w:szCs w:val="20"/>
              </w:rPr>
              <w:t>and likely to be significantly underestimated.</w:t>
            </w:r>
          </w:p>
          <w:p w:rsidR="00524A02" w:rsidRDefault="00524A02" w:rsidP="00A57A3F">
            <w:pPr>
              <w:pStyle w:val="TableText0"/>
              <w:rPr>
                <w:rFonts w:cs="Arial"/>
                <w:szCs w:val="20"/>
              </w:rPr>
            </w:pPr>
          </w:p>
          <w:p w:rsidR="00524A02" w:rsidRDefault="00524A02" w:rsidP="00A57A3F">
            <w:pPr>
              <w:pStyle w:val="TableText0"/>
              <w:rPr>
                <w:rFonts w:cs="Arial"/>
                <w:szCs w:val="20"/>
              </w:rPr>
            </w:pPr>
            <w:r>
              <w:rPr>
                <w:rFonts w:cs="Arial"/>
                <w:szCs w:val="20"/>
              </w:rPr>
              <w:t xml:space="preserve">Further, for the non-squamous submission, the PBAC considered </w:t>
            </w:r>
            <w:r w:rsidRPr="00524A02">
              <w:rPr>
                <w:rFonts w:cs="Arial"/>
                <w:szCs w:val="20"/>
              </w:rPr>
              <w:t>that the cost</w:t>
            </w:r>
            <w:r>
              <w:rPr>
                <w:rFonts w:cs="Arial"/>
                <w:szCs w:val="20"/>
              </w:rPr>
              <w:t>-</w:t>
            </w:r>
            <w:r w:rsidRPr="00524A02">
              <w:rPr>
                <w:rFonts w:cs="Arial"/>
                <w:szCs w:val="20"/>
              </w:rPr>
              <w:t>effectiveness against pemetrexed, which the PBAC considered to be a relevant main</w:t>
            </w:r>
            <w:r>
              <w:rPr>
                <w:rFonts w:cs="Arial"/>
                <w:szCs w:val="20"/>
              </w:rPr>
              <w:t xml:space="preserve"> </w:t>
            </w:r>
            <w:r w:rsidRPr="00524A02">
              <w:rPr>
                <w:rFonts w:cs="Arial"/>
                <w:szCs w:val="20"/>
              </w:rPr>
              <w:t xml:space="preserve">comparator, could not be determined because an economic comparison </w:t>
            </w:r>
            <w:r w:rsidRPr="00524A02">
              <w:rPr>
                <w:rFonts w:cs="Arial"/>
                <w:szCs w:val="20"/>
              </w:rPr>
              <w:lastRenderedPageBreak/>
              <w:t>was not</w:t>
            </w:r>
            <w:r>
              <w:rPr>
                <w:rFonts w:cs="Arial"/>
                <w:szCs w:val="20"/>
              </w:rPr>
              <w:t xml:space="preserve"> </w:t>
            </w:r>
            <w:r w:rsidRPr="00524A02">
              <w:rPr>
                <w:rFonts w:cs="Arial"/>
                <w:szCs w:val="20"/>
              </w:rPr>
              <w:t>presented; and that acceptable cost-effectiveness against the submission’s</w:t>
            </w:r>
            <w:r>
              <w:rPr>
                <w:rFonts w:cs="Arial"/>
                <w:szCs w:val="20"/>
              </w:rPr>
              <w:t xml:space="preserve"> </w:t>
            </w:r>
            <w:r w:rsidRPr="00524A02">
              <w:rPr>
                <w:rFonts w:cs="Arial"/>
                <w:szCs w:val="20"/>
              </w:rPr>
              <w:t>nominated main comparator, docetaxel, had not been adequately demonstrated.</w:t>
            </w:r>
          </w:p>
          <w:p w:rsidR="00524A02" w:rsidRPr="0012749D" w:rsidRDefault="00524A02" w:rsidP="00A57A3F">
            <w:pPr>
              <w:pStyle w:val="TableText0"/>
              <w:rPr>
                <w:rFonts w:cs="Arial"/>
                <w:szCs w:val="20"/>
              </w:rPr>
            </w:pPr>
          </w:p>
        </w:tc>
      </w:tr>
      <w:tr w:rsidR="005956E0" w:rsidRPr="0012749D" w:rsidTr="00A57A3F">
        <w:tc>
          <w:tcPr>
            <w:tcW w:w="1693" w:type="dxa"/>
          </w:tcPr>
          <w:p w:rsidR="005956E0" w:rsidRPr="0012749D" w:rsidRDefault="005956E0" w:rsidP="00A57A3F">
            <w:pPr>
              <w:pStyle w:val="TableText0"/>
              <w:rPr>
                <w:rFonts w:cs="Arial"/>
                <w:szCs w:val="20"/>
              </w:rPr>
            </w:pPr>
            <w:r>
              <w:rPr>
                <w:rFonts w:cs="Arial"/>
                <w:szCs w:val="20"/>
              </w:rPr>
              <w:lastRenderedPageBreak/>
              <w:t>November 2016</w:t>
            </w:r>
          </w:p>
        </w:tc>
        <w:tc>
          <w:tcPr>
            <w:tcW w:w="2957" w:type="dxa"/>
          </w:tcPr>
          <w:p w:rsidR="005956E0" w:rsidRDefault="00A82035" w:rsidP="00A57A3F">
            <w:pPr>
              <w:pStyle w:val="TableText0"/>
              <w:rPr>
                <w:rFonts w:cs="Arial"/>
                <w:szCs w:val="20"/>
              </w:rPr>
            </w:pPr>
            <w:r w:rsidRPr="00A82035">
              <w:rPr>
                <w:rFonts w:cs="Arial"/>
                <w:szCs w:val="20"/>
              </w:rPr>
              <w:t>Resubmission to request a Section 100</w:t>
            </w:r>
            <w:r>
              <w:rPr>
                <w:rFonts w:cs="Arial"/>
                <w:szCs w:val="20"/>
              </w:rPr>
              <w:t xml:space="preserve"> </w:t>
            </w:r>
            <w:r w:rsidRPr="00A82035">
              <w:rPr>
                <w:rFonts w:cs="Arial"/>
                <w:szCs w:val="20"/>
              </w:rPr>
              <w:t>(Efficient Funding of Chemotherapy)</w:t>
            </w:r>
            <w:r>
              <w:rPr>
                <w:rFonts w:cs="Arial"/>
                <w:szCs w:val="20"/>
              </w:rPr>
              <w:t xml:space="preserve"> </w:t>
            </w:r>
            <w:r w:rsidRPr="00A82035">
              <w:rPr>
                <w:rFonts w:cs="Arial"/>
                <w:szCs w:val="20"/>
              </w:rPr>
              <w:t>Authority Required (STREAMLINED)</w:t>
            </w:r>
            <w:r>
              <w:rPr>
                <w:rFonts w:cs="Arial"/>
                <w:szCs w:val="20"/>
              </w:rPr>
              <w:t xml:space="preserve"> </w:t>
            </w:r>
            <w:r w:rsidRPr="00A82035">
              <w:rPr>
                <w:rFonts w:cs="Arial"/>
                <w:szCs w:val="20"/>
              </w:rPr>
              <w:t>listing for the treatment of locally</w:t>
            </w:r>
            <w:r>
              <w:rPr>
                <w:rFonts w:cs="Arial"/>
                <w:szCs w:val="20"/>
              </w:rPr>
              <w:t xml:space="preserve"> </w:t>
            </w:r>
            <w:r w:rsidRPr="00A82035">
              <w:rPr>
                <w:rFonts w:cs="Arial"/>
                <w:szCs w:val="20"/>
              </w:rPr>
              <w:t>advanced or metastatic squamous</w:t>
            </w:r>
            <w:r>
              <w:rPr>
                <w:rFonts w:cs="Arial"/>
                <w:szCs w:val="20"/>
              </w:rPr>
              <w:t xml:space="preserve"> </w:t>
            </w:r>
            <w:r w:rsidRPr="00A82035">
              <w:rPr>
                <w:rFonts w:cs="Arial"/>
                <w:szCs w:val="20"/>
              </w:rPr>
              <w:t>NSCLC with progression on or after</w:t>
            </w:r>
            <w:r>
              <w:rPr>
                <w:rFonts w:cs="Arial"/>
                <w:szCs w:val="20"/>
              </w:rPr>
              <w:t xml:space="preserve"> </w:t>
            </w:r>
            <w:r w:rsidRPr="00A82035">
              <w:rPr>
                <w:rFonts w:cs="Arial"/>
                <w:szCs w:val="20"/>
              </w:rPr>
              <w:t xml:space="preserve">prior chemotherapy. </w:t>
            </w:r>
          </w:p>
          <w:p w:rsidR="00A82035" w:rsidRDefault="00A82035" w:rsidP="00A57A3F">
            <w:pPr>
              <w:pStyle w:val="TableText0"/>
              <w:rPr>
                <w:rFonts w:cs="Arial"/>
                <w:szCs w:val="20"/>
              </w:rPr>
            </w:pPr>
          </w:p>
          <w:p w:rsidR="00A82035" w:rsidRPr="0012749D" w:rsidRDefault="00A82035" w:rsidP="00A57A3F">
            <w:pPr>
              <w:pStyle w:val="TableText0"/>
              <w:rPr>
                <w:rFonts w:cs="Arial"/>
                <w:szCs w:val="20"/>
              </w:rPr>
            </w:pPr>
            <w:r w:rsidRPr="00A82035">
              <w:rPr>
                <w:rFonts w:cs="Arial"/>
                <w:szCs w:val="20"/>
              </w:rPr>
              <w:t>Resubmission to request a Section 100</w:t>
            </w:r>
            <w:r>
              <w:rPr>
                <w:rFonts w:cs="Arial"/>
                <w:szCs w:val="20"/>
              </w:rPr>
              <w:t xml:space="preserve"> </w:t>
            </w:r>
            <w:r w:rsidRPr="00A82035">
              <w:rPr>
                <w:rFonts w:cs="Arial"/>
                <w:szCs w:val="20"/>
              </w:rPr>
              <w:t>(Efficient Funding of Chemotherapy)</w:t>
            </w:r>
            <w:r>
              <w:rPr>
                <w:rFonts w:cs="Arial"/>
                <w:szCs w:val="20"/>
              </w:rPr>
              <w:t xml:space="preserve"> </w:t>
            </w:r>
            <w:r w:rsidRPr="00A82035">
              <w:rPr>
                <w:rFonts w:cs="Arial"/>
                <w:szCs w:val="20"/>
              </w:rPr>
              <w:t>Authority Required (STREAMLINED)</w:t>
            </w:r>
            <w:r>
              <w:rPr>
                <w:rFonts w:cs="Arial"/>
                <w:szCs w:val="20"/>
              </w:rPr>
              <w:t xml:space="preserve"> </w:t>
            </w:r>
            <w:r w:rsidRPr="00A82035">
              <w:rPr>
                <w:rFonts w:cs="Arial"/>
                <w:szCs w:val="20"/>
              </w:rPr>
              <w:t>listing for the treatment of locally</w:t>
            </w:r>
            <w:r>
              <w:rPr>
                <w:rFonts w:cs="Arial"/>
                <w:szCs w:val="20"/>
              </w:rPr>
              <w:t xml:space="preserve"> </w:t>
            </w:r>
            <w:r w:rsidRPr="00A82035">
              <w:rPr>
                <w:rFonts w:cs="Arial"/>
                <w:szCs w:val="20"/>
              </w:rPr>
              <w:t>advanced or metastatic non-squamous</w:t>
            </w:r>
            <w:r>
              <w:rPr>
                <w:rFonts w:cs="Arial"/>
                <w:szCs w:val="20"/>
              </w:rPr>
              <w:t xml:space="preserve"> </w:t>
            </w:r>
            <w:r w:rsidRPr="00A82035">
              <w:rPr>
                <w:rFonts w:cs="Arial"/>
                <w:szCs w:val="20"/>
              </w:rPr>
              <w:t>NSCLC with progression on or after</w:t>
            </w:r>
            <w:r>
              <w:rPr>
                <w:rFonts w:cs="Arial"/>
                <w:szCs w:val="20"/>
              </w:rPr>
              <w:t xml:space="preserve"> </w:t>
            </w:r>
            <w:r w:rsidRPr="00A82035">
              <w:rPr>
                <w:rFonts w:cs="Arial"/>
                <w:szCs w:val="20"/>
              </w:rPr>
              <w:t>prior chemotherapy.</w:t>
            </w:r>
          </w:p>
        </w:tc>
        <w:tc>
          <w:tcPr>
            <w:tcW w:w="1329" w:type="dxa"/>
          </w:tcPr>
          <w:p w:rsidR="005956E0" w:rsidRPr="0012749D" w:rsidRDefault="005956E0" w:rsidP="00A57A3F">
            <w:pPr>
              <w:pStyle w:val="TableText0"/>
              <w:rPr>
                <w:rFonts w:cs="Arial"/>
                <w:szCs w:val="20"/>
              </w:rPr>
            </w:pPr>
            <w:r>
              <w:rPr>
                <w:rFonts w:cs="Arial"/>
                <w:szCs w:val="20"/>
              </w:rPr>
              <w:t>Deferred</w:t>
            </w:r>
          </w:p>
        </w:tc>
        <w:tc>
          <w:tcPr>
            <w:tcW w:w="3042" w:type="dxa"/>
          </w:tcPr>
          <w:p w:rsidR="005956E0" w:rsidRPr="0012749D" w:rsidRDefault="00524A02" w:rsidP="00A57A3F">
            <w:pPr>
              <w:pStyle w:val="TableText0"/>
              <w:rPr>
                <w:rFonts w:cs="Arial"/>
                <w:szCs w:val="20"/>
              </w:rPr>
            </w:pPr>
            <w:r w:rsidRPr="00524A02">
              <w:rPr>
                <w:rFonts w:cs="Arial"/>
                <w:szCs w:val="20"/>
              </w:rPr>
              <w:t>The PBAC deferred its decision as there were concerns regarding the variation in the extent</w:t>
            </w:r>
            <w:r>
              <w:rPr>
                <w:rFonts w:cs="Arial"/>
                <w:szCs w:val="20"/>
              </w:rPr>
              <w:t xml:space="preserve"> </w:t>
            </w:r>
            <w:r w:rsidRPr="00524A02">
              <w:rPr>
                <w:rFonts w:cs="Arial"/>
                <w:szCs w:val="20"/>
              </w:rPr>
              <w:t>of effectiveness in patients over 75 years, especially given the high ICERs presented</w:t>
            </w:r>
            <w:r>
              <w:rPr>
                <w:rFonts w:cs="Arial"/>
                <w:szCs w:val="20"/>
              </w:rPr>
              <w:t xml:space="preserve"> </w:t>
            </w:r>
            <w:r w:rsidRPr="00524A02">
              <w:rPr>
                <w:rFonts w:cs="Arial"/>
                <w:szCs w:val="20"/>
              </w:rPr>
              <w:t>in the resubmission and doubts about the ability of the proposed RSA to achieve the</w:t>
            </w:r>
            <w:r>
              <w:rPr>
                <w:rFonts w:cs="Arial"/>
                <w:szCs w:val="20"/>
              </w:rPr>
              <w:t xml:space="preserve"> </w:t>
            </w:r>
            <w:r w:rsidRPr="00524A02">
              <w:rPr>
                <w:rFonts w:cs="Arial"/>
                <w:szCs w:val="20"/>
              </w:rPr>
              <w:t>sponsor’s intended effect on these ICERs. The PBAC requested that the Department</w:t>
            </w:r>
            <w:r>
              <w:rPr>
                <w:rFonts w:cs="Arial"/>
                <w:szCs w:val="20"/>
              </w:rPr>
              <w:t xml:space="preserve"> </w:t>
            </w:r>
            <w:r w:rsidRPr="00524A02">
              <w:rPr>
                <w:rFonts w:cs="Arial"/>
                <w:szCs w:val="20"/>
              </w:rPr>
              <w:t>hold discussions with the sponsor in order to develop a proposal for a Managed Entry</w:t>
            </w:r>
            <w:r>
              <w:rPr>
                <w:rFonts w:cs="Arial"/>
                <w:szCs w:val="20"/>
              </w:rPr>
              <w:t xml:space="preserve"> </w:t>
            </w:r>
            <w:r w:rsidRPr="00524A02">
              <w:rPr>
                <w:rFonts w:cs="Arial"/>
                <w:szCs w:val="20"/>
              </w:rPr>
              <w:t>Scheme (MES) to address these concerns</w:t>
            </w:r>
            <w:r>
              <w:rPr>
                <w:rFonts w:cs="Arial"/>
                <w:szCs w:val="20"/>
              </w:rPr>
              <w:t>.</w:t>
            </w:r>
          </w:p>
        </w:tc>
      </w:tr>
      <w:tr w:rsidR="005956E0" w:rsidRPr="0012749D" w:rsidTr="00A57A3F">
        <w:tc>
          <w:tcPr>
            <w:tcW w:w="1693" w:type="dxa"/>
          </w:tcPr>
          <w:p w:rsidR="005956E0" w:rsidRPr="0012749D" w:rsidRDefault="005956E0" w:rsidP="00A57A3F">
            <w:pPr>
              <w:pStyle w:val="TableText0"/>
              <w:rPr>
                <w:rFonts w:cs="Arial"/>
                <w:szCs w:val="20"/>
              </w:rPr>
            </w:pPr>
            <w:r>
              <w:rPr>
                <w:rFonts w:cs="Arial"/>
                <w:szCs w:val="20"/>
              </w:rPr>
              <w:t>March 2017</w:t>
            </w:r>
          </w:p>
        </w:tc>
        <w:tc>
          <w:tcPr>
            <w:tcW w:w="2957" w:type="dxa"/>
          </w:tcPr>
          <w:p w:rsidR="005956E0" w:rsidRPr="0012749D" w:rsidRDefault="00256D17" w:rsidP="00A57A3F">
            <w:pPr>
              <w:pStyle w:val="TableText0"/>
              <w:rPr>
                <w:rFonts w:cs="Arial"/>
                <w:szCs w:val="20"/>
              </w:rPr>
            </w:pPr>
            <w:r>
              <w:rPr>
                <w:rFonts w:cs="Arial"/>
                <w:szCs w:val="20"/>
              </w:rPr>
              <w:t xml:space="preserve">To address </w:t>
            </w:r>
            <w:r w:rsidRPr="00256D17">
              <w:rPr>
                <w:rFonts w:cs="Arial"/>
                <w:szCs w:val="20"/>
              </w:rPr>
              <w:t>issues raised by the PBAC in its November 2016 deferral of nivolumab for NSCLC.</w:t>
            </w:r>
          </w:p>
        </w:tc>
        <w:tc>
          <w:tcPr>
            <w:tcW w:w="1329" w:type="dxa"/>
          </w:tcPr>
          <w:p w:rsidR="005956E0" w:rsidRPr="0012749D" w:rsidRDefault="00256D17" w:rsidP="00A57A3F">
            <w:pPr>
              <w:pStyle w:val="TableText0"/>
              <w:rPr>
                <w:rFonts w:cs="Arial"/>
                <w:szCs w:val="20"/>
              </w:rPr>
            </w:pPr>
            <w:r>
              <w:rPr>
                <w:rFonts w:cs="Arial"/>
                <w:szCs w:val="20"/>
              </w:rPr>
              <w:t>Recommended</w:t>
            </w:r>
          </w:p>
        </w:tc>
        <w:tc>
          <w:tcPr>
            <w:tcW w:w="3042" w:type="dxa"/>
          </w:tcPr>
          <w:p w:rsidR="005956E0" w:rsidRPr="0012749D" w:rsidRDefault="00E81ADB" w:rsidP="00A57A3F">
            <w:pPr>
              <w:pStyle w:val="TableText0"/>
              <w:rPr>
                <w:rFonts w:cs="Arial"/>
                <w:szCs w:val="20"/>
              </w:rPr>
            </w:pPr>
            <w:r w:rsidRPr="00E81ADB">
              <w:rPr>
                <w:rFonts w:cs="Arial"/>
                <w:szCs w:val="20"/>
              </w:rPr>
              <w:t>The PBAC recommended the Authority Required (STREAMLINED) listing of</w:t>
            </w:r>
            <w:r w:rsidR="003C5383">
              <w:rPr>
                <w:rFonts w:cs="Arial"/>
                <w:szCs w:val="20"/>
              </w:rPr>
              <w:t xml:space="preserve"> </w:t>
            </w:r>
            <w:r w:rsidRPr="00E81ADB">
              <w:rPr>
                <w:rFonts w:cs="Arial"/>
                <w:szCs w:val="20"/>
              </w:rPr>
              <w:t>nivolumab for the treatment of locally advanced or metastatic, squamous or</w:t>
            </w:r>
            <w:r w:rsidR="003C5383">
              <w:rPr>
                <w:rFonts w:cs="Arial"/>
                <w:szCs w:val="20"/>
              </w:rPr>
              <w:t xml:space="preserve"> </w:t>
            </w:r>
            <w:r w:rsidRPr="00E81ADB">
              <w:rPr>
                <w:rFonts w:cs="Arial"/>
                <w:szCs w:val="20"/>
              </w:rPr>
              <w:t>non-squamous, non-small cell lung cancer (NSCLC). The PBAC considered that,</w:t>
            </w:r>
            <w:r w:rsidR="003C5383">
              <w:rPr>
                <w:rFonts w:cs="Arial"/>
                <w:szCs w:val="20"/>
              </w:rPr>
              <w:t xml:space="preserve"> </w:t>
            </w:r>
            <w:r w:rsidRPr="00E81ADB">
              <w:rPr>
                <w:rFonts w:cs="Arial"/>
                <w:szCs w:val="20"/>
              </w:rPr>
              <w:t>with its suggested modifications, the risk</w:t>
            </w:r>
            <w:r w:rsidR="003C5383">
              <w:rPr>
                <w:rFonts w:cs="Arial"/>
                <w:szCs w:val="20"/>
              </w:rPr>
              <w:t xml:space="preserve"> </w:t>
            </w:r>
            <w:r w:rsidRPr="00E81ADB">
              <w:rPr>
                <w:rFonts w:cs="Arial"/>
                <w:szCs w:val="20"/>
              </w:rPr>
              <w:t>sharing arrangements proposed by the</w:t>
            </w:r>
            <w:r w:rsidR="003C5383">
              <w:rPr>
                <w:rFonts w:cs="Arial"/>
                <w:szCs w:val="20"/>
              </w:rPr>
              <w:t xml:space="preserve"> sponsor adequately addressed concerns regarding the possible </w:t>
            </w:r>
            <w:r w:rsidRPr="00E81ADB">
              <w:rPr>
                <w:rFonts w:cs="Arial"/>
                <w:szCs w:val="20"/>
              </w:rPr>
              <w:t>variation in the</w:t>
            </w:r>
            <w:r w:rsidR="003C5383">
              <w:rPr>
                <w:rFonts w:cs="Arial"/>
                <w:szCs w:val="20"/>
              </w:rPr>
              <w:t xml:space="preserve"> </w:t>
            </w:r>
            <w:r w:rsidRPr="00E81ADB">
              <w:rPr>
                <w:rFonts w:cs="Arial"/>
                <w:szCs w:val="20"/>
              </w:rPr>
              <w:t xml:space="preserve">extent of effectiveness in patients </w:t>
            </w:r>
            <w:r w:rsidR="000D4457">
              <w:rPr>
                <w:rFonts w:cs="Arial"/>
                <w:szCs w:val="20"/>
              </w:rPr>
              <w:t xml:space="preserve">aged </w:t>
            </w:r>
            <w:r w:rsidRPr="00E81ADB">
              <w:rPr>
                <w:rFonts w:cs="Arial"/>
                <w:szCs w:val="20"/>
              </w:rPr>
              <w:t>75 years or older, and uncertainties regarding the</w:t>
            </w:r>
            <w:r w:rsidR="003C5383">
              <w:rPr>
                <w:rFonts w:cs="Arial"/>
                <w:szCs w:val="20"/>
              </w:rPr>
              <w:t xml:space="preserve"> </w:t>
            </w:r>
            <w:r w:rsidRPr="00E81ADB">
              <w:rPr>
                <w:rFonts w:cs="Arial"/>
                <w:szCs w:val="20"/>
              </w:rPr>
              <w:t>ICERs presented in the November 2016 submissions, the overall numbers using</w:t>
            </w:r>
            <w:r w:rsidR="003C5383">
              <w:rPr>
                <w:rFonts w:cs="Arial"/>
                <w:szCs w:val="20"/>
              </w:rPr>
              <w:t xml:space="preserve"> </w:t>
            </w:r>
            <w:r w:rsidRPr="00E81ADB">
              <w:rPr>
                <w:rFonts w:cs="Arial"/>
                <w:szCs w:val="20"/>
              </w:rPr>
              <w:t>nivolumab in NSCLC, the risk of leakage of nivolumab outside of the intended</w:t>
            </w:r>
            <w:r w:rsidR="003C5383">
              <w:rPr>
                <w:rFonts w:cs="Arial"/>
                <w:szCs w:val="20"/>
              </w:rPr>
              <w:t xml:space="preserve"> </w:t>
            </w:r>
            <w:r w:rsidRPr="00E81ADB">
              <w:rPr>
                <w:rFonts w:cs="Arial"/>
                <w:szCs w:val="20"/>
              </w:rPr>
              <w:t>restriction, and the duration of nivolumab treatment.</w:t>
            </w:r>
          </w:p>
        </w:tc>
      </w:tr>
    </w:tbl>
    <w:p w:rsidR="005956E0" w:rsidRPr="00E75F1B" w:rsidRDefault="00E81ADB" w:rsidP="00E81ADB">
      <w:pPr>
        <w:pStyle w:val="3Bodytext"/>
        <w:numPr>
          <w:ilvl w:val="0"/>
          <w:numId w:val="0"/>
        </w:numPr>
        <w:ind w:left="720" w:hanging="720"/>
        <w:rPr>
          <w:rFonts w:ascii="Arial Narrow" w:hAnsi="Arial Narrow"/>
          <w:sz w:val="20"/>
        </w:rPr>
      </w:pPr>
      <w:r w:rsidRPr="00E75F1B">
        <w:rPr>
          <w:rFonts w:ascii="Arial Narrow" w:hAnsi="Arial Narrow"/>
          <w:sz w:val="20"/>
        </w:rPr>
        <w:t>Source: Public Summary Documents for nivolumab: M</w:t>
      </w:r>
      <w:r w:rsidR="0049282F" w:rsidRPr="00E75F1B">
        <w:rPr>
          <w:rFonts w:ascii="Arial Narrow" w:hAnsi="Arial Narrow"/>
          <w:sz w:val="20"/>
        </w:rPr>
        <w:t>arch 2016, November 2016, March </w:t>
      </w:r>
      <w:r w:rsidRPr="00E75F1B">
        <w:rPr>
          <w:rFonts w:ascii="Arial Narrow" w:hAnsi="Arial Narrow"/>
          <w:sz w:val="20"/>
        </w:rPr>
        <w:t>2017</w:t>
      </w:r>
    </w:p>
    <w:p w:rsidR="008B1796" w:rsidRDefault="008B1796" w:rsidP="00A57A3F">
      <w:pPr>
        <w:pStyle w:val="3Bodytext"/>
        <w:jc w:val="both"/>
        <w:rPr>
          <w:rFonts w:cstheme="minorHAnsi"/>
        </w:rPr>
      </w:pPr>
      <w:r>
        <w:rPr>
          <w:rFonts w:cstheme="minorHAnsi"/>
        </w:rPr>
        <w:t>Nivolumab was listed on the PBS for 2L NSCLC from 1 August 2017.</w:t>
      </w:r>
    </w:p>
    <w:p w:rsidR="00912B57" w:rsidRDefault="00912B57" w:rsidP="00912B57">
      <w:pPr>
        <w:pStyle w:val="3Bodytext"/>
        <w:jc w:val="both"/>
      </w:pPr>
      <w:r>
        <w:t xml:space="preserve">In </w:t>
      </w:r>
      <w:r w:rsidR="00FB7353">
        <w:t>November</w:t>
      </w:r>
      <w:r>
        <w:t xml:space="preserve"> 2016, the PBAC </w:t>
      </w:r>
      <w:r w:rsidRPr="008838BC">
        <w:t xml:space="preserve">was concerned about the variation in the extent of effectiveness of nivolumab in patients over 75 years of age, with the prespecified subgroup analyses of CA209-057 suggesting that nivolumab may not have an incremental benefit over docetaxel in patients aged over 75 years (unstratified HR 0.90, 95% CI: 0.43, 1.87), </w:t>
      </w:r>
      <w:r>
        <w:t xml:space="preserve">and </w:t>
      </w:r>
      <w:r w:rsidRPr="00687299">
        <w:t xml:space="preserve">the pre-specified subgroup analyses of CA209-017 suggesting </w:t>
      </w:r>
      <w:r w:rsidRPr="008838BC">
        <w:t>that nivolumab may possibly be inferior to docetaxel in patients aged over 75 years (unstratified HR 1.85, 95% CI: 0.76, 4.51)</w:t>
      </w:r>
      <w:r>
        <w:t>. The PBAC also</w:t>
      </w:r>
      <w:r w:rsidRPr="008838BC">
        <w:t xml:space="preserve"> not</w:t>
      </w:r>
      <w:r>
        <w:t>ed</w:t>
      </w:r>
      <w:r w:rsidRPr="008838BC">
        <w:t xml:space="preserve"> the abstract </w:t>
      </w:r>
      <w:r w:rsidRPr="008838BC">
        <w:lastRenderedPageBreak/>
        <w:t>of an analysis (Landre et al, J Clin Onc</w:t>
      </w:r>
      <w:r>
        <w:t>ol 34, 2016 (suppl; abstr 3070)</w:t>
      </w:r>
      <w:r w:rsidRPr="008838BC">
        <w:t xml:space="preserve">) which indicated that the survival benefit of nivolumab in patients older than 75 years appears uncertain. The PBAC </w:t>
      </w:r>
      <w:r>
        <w:t xml:space="preserve">had </w:t>
      </w:r>
      <w:r w:rsidRPr="008838BC">
        <w:t xml:space="preserve">considered that it was plausible that nivolumab, and other immunotherapies relying on stimulating an immune response, may prove to be less effective in older patients whose immune systems may no longer be able to respond to such a stimulus. The PBAC </w:t>
      </w:r>
      <w:r>
        <w:t xml:space="preserve">previously </w:t>
      </w:r>
      <w:r w:rsidRPr="008838BC">
        <w:t>considered this likely reduced effectiveness in patients over 75 years of age to be a significant issue</w:t>
      </w:r>
      <w:r>
        <w:t>,</w:t>
      </w:r>
      <w:r w:rsidRPr="008838BC">
        <w:t xml:space="preserve"> given that a large proportion of patients in Australian clinical practice would belong to this age group, with over 50% of patients </w:t>
      </w:r>
      <w:r>
        <w:t xml:space="preserve">being </w:t>
      </w:r>
      <w:r w:rsidRPr="008838BC">
        <w:t>o</w:t>
      </w:r>
      <w:r>
        <w:t>ver the age of 70 at diagnosis (Nivolumab Public Summary Documents, November 2016, item 7.06 (para 7.6) &amp; 7.07 (para 7.7))</w:t>
      </w:r>
      <w:r w:rsidRPr="008838BC">
        <w:t>.</w:t>
      </w:r>
    </w:p>
    <w:p w:rsidR="00912B57" w:rsidRDefault="00912B57" w:rsidP="00912B57">
      <w:pPr>
        <w:pStyle w:val="3Bodytext"/>
        <w:jc w:val="both"/>
      </w:pPr>
      <w:r>
        <w:t>In March 2017, the PBAC considered that the meta-analyses of randomised trials of nivolumab provided in the sponsor’s submission, in both NSCLC alone and combined with other cancers, did not adequately resolve the uncertainties regarding the comparative effectiveness of nivolumab in patients aged 75 years or older, and considered that the other analyses presented were less informative (Nivolumab Public Summary Document, March 2017, item 4.02, para 6.44).</w:t>
      </w:r>
    </w:p>
    <w:p w:rsidR="003461A0" w:rsidRPr="00CD5CC6" w:rsidRDefault="00CC69AC" w:rsidP="00A57A3F">
      <w:pPr>
        <w:pStyle w:val="3Bodytext"/>
        <w:jc w:val="both"/>
        <w:rPr>
          <w:rFonts w:cstheme="minorHAnsi"/>
          <w:b/>
        </w:rPr>
      </w:pPr>
      <w:r>
        <w:rPr>
          <w:rFonts w:cstheme="minorHAnsi"/>
        </w:rPr>
        <w:t>In its March 2017 recommendation, th</w:t>
      </w:r>
      <w:r w:rsidR="009F37E4">
        <w:rPr>
          <w:rFonts w:cstheme="minorHAnsi"/>
        </w:rPr>
        <w:t>e</w:t>
      </w:r>
      <w:r>
        <w:rPr>
          <w:rFonts w:cstheme="minorHAnsi"/>
        </w:rPr>
        <w:t xml:space="preserve"> PBAC advised that the sponsor’s proposed RSA would address its concerns </w:t>
      </w:r>
      <w:r w:rsidR="009F37E4">
        <w:rPr>
          <w:rFonts w:cstheme="minorHAnsi"/>
        </w:rPr>
        <w:t xml:space="preserve">regarding the uncertainty around age as a treatment effect modifier in nivolumab treatment. </w:t>
      </w:r>
      <w:r w:rsidR="008B1796">
        <w:rPr>
          <w:rFonts w:cstheme="minorHAnsi"/>
        </w:rPr>
        <w:t>The Deed for nivolumab includes a</w:t>
      </w:r>
      <w:r w:rsidR="001E29D5">
        <w:rPr>
          <w:rFonts w:cstheme="minorHAnsi"/>
        </w:rPr>
        <w:t>n annual</w:t>
      </w:r>
      <w:r w:rsidR="008B1796">
        <w:rPr>
          <w:rFonts w:cstheme="minorHAnsi"/>
        </w:rPr>
        <w:t xml:space="preserve"> rebate </w:t>
      </w:r>
      <w:r w:rsidR="00F9018B">
        <w:rPr>
          <w:rFonts w:cstheme="minorHAnsi"/>
        </w:rPr>
        <w:t xml:space="preserve">for patients aged 75 years or older, consistent with the March 2017 PBAC advice, </w:t>
      </w:r>
      <w:r w:rsidR="00BE7BD7">
        <w:rPr>
          <w:rFonts w:cstheme="minorHAnsi"/>
        </w:rPr>
        <w:t>which</w:t>
      </w:r>
      <w:r w:rsidR="00F9018B">
        <w:rPr>
          <w:rFonts w:cstheme="minorHAnsi"/>
        </w:rPr>
        <w:t xml:space="preserve"> applies if the proportion of patients first supplied nivolumab in that year is over </w:t>
      </w:r>
      <w:r w:rsidR="0068525B">
        <w:rPr>
          <w:rFonts w:cstheme="minorHAnsi"/>
          <w:noProof/>
          <w:color w:val="000000"/>
          <w:highlight w:val="black"/>
        </w:rPr>
        <w:t>''''''''</w:t>
      </w:r>
      <w:r w:rsidR="00F9018B">
        <w:rPr>
          <w:rFonts w:cstheme="minorHAnsi"/>
        </w:rPr>
        <w:t xml:space="preserve">%. </w:t>
      </w:r>
    </w:p>
    <w:p w:rsidR="00F9018B" w:rsidRDefault="00F9018B" w:rsidP="00A57A3F">
      <w:pPr>
        <w:pStyle w:val="3Bodytext"/>
        <w:jc w:val="both"/>
        <w:rPr>
          <w:rFonts w:cstheme="minorHAnsi"/>
        </w:rPr>
      </w:pPr>
      <w:r>
        <w:rPr>
          <w:rFonts w:cstheme="minorHAnsi"/>
        </w:rPr>
        <w:t xml:space="preserve">The threshold of </w:t>
      </w:r>
      <w:r w:rsidR="0068525B">
        <w:rPr>
          <w:rFonts w:cstheme="minorHAnsi"/>
          <w:noProof/>
          <w:color w:val="000000"/>
          <w:highlight w:val="black"/>
        </w:rPr>
        <w:t>''''''''</w:t>
      </w:r>
      <w:r>
        <w:rPr>
          <w:rFonts w:cstheme="minorHAnsi"/>
        </w:rPr>
        <w:t xml:space="preserve">% was </w:t>
      </w:r>
      <w:r w:rsidR="00BE7BD7">
        <w:rPr>
          <w:rFonts w:cstheme="minorHAnsi"/>
        </w:rPr>
        <w:t>proposed by</w:t>
      </w:r>
      <w:r>
        <w:rPr>
          <w:rFonts w:cstheme="minorHAnsi"/>
        </w:rPr>
        <w:t xml:space="preserve"> the </w:t>
      </w:r>
      <w:r w:rsidR="00BE7BD7">
        <w:rPr>
          <w:rFonts w:cstheme="minorHAnsi"/>
        </w:rPr>
        <w:t xml:space="preserve">sponsor in its pre-PBAC response to the March 2017 PBAC meeting, based on the </w:t>
      </w:r>
      <w:r>
        <w:rPr>
          <w:rFonts w:cstheme="minorHAnsi"/>
        </w:rPr>
        <w:t>proportion of squamous NSCL</w:t>
      </w:r>
      <w:r w:rsidR="00994867">
        <w:rPr>
          <w:rFonts w:cstheme="minorHAnsi"/>
        </w:rPr>
        <w:t>C</w:t>
      </w:r>
      <w:r>
        <w:rPr>
          <w:rFonts w:cstheme="minorHAnsi"/>
        </w:rPr>
        <w:t xml:space="preserve"> patients aged 75 years or over upon treatment initiation in the sponsor’s Australian named patient program. </w:t>
      </w:r>
      <w:r w:rsidR="00050678">
        <w:rPr>
          <w:rFonts w:cstheme="minorHAnsi"/>
        </w:rPr>
        <w:t xml:space="preserve">The rebate of </w:t>
      </w:r>
      <w:r w:rsidR="0068525B">
        <w:rPr>
          <w:rFonts w:cstheme="minorHAnsi"/>
          <w:noProof/>
          <w:color w:val="000000"/>
          <w:highlight w:val="black"/>
        </w:rPr>
        <w:t>''''''''''</w:t>
      </w:r>
      <w:r w:rsidR="00050678">
        <w:rPr>
          <w:rFonts w:cstheme="minorHAnsi"/>
        </w:rPr>
        <w:t xml:space="preserve">% was calculated as the rebate </w:t>
      </w:r>
      <w:r w:rsidR="00593B92">
        <w:rPr>
          <w:rFonts w:cstheme="minorHAnsi"/>
        </w:rPr>
        <w:t xml:space="preserve">down </w:t>
      </w:r>
      <w:r w:rsidR="00050678">
        <w:rPr>
          <w:rFonts w:cstheme="minorHAnsi"/>
        </w:rPr>
        <w:t xml:space="preserve">to the cost of the weighted comparator price of docetaxel and pemetrexed. </w:t>
      </w:r>
    </w:p>
    <w:p w:rsidR="00593B92" w:rsidRDefault="00593B92" w:rsidP="00A57A3F">
      <w:pPr>
        <w:pStyle w:val="3Bodytext"/>
        <w:jc w:val="both"/>
        <w:rPr>
          <w:rFonts w:cstheme="minorHAnsi"/>
        </w:rPr>
      </w:pPr>
      <w:r>
        <w:rPr>
          <w:rFonts w:cstheme="minorHAnsi"/>
        </w:rPr>
        <w:t>The following outlines the amounts that have been payable in relation to the above rebate:</w:t>
      </w:r>
    </w:p>
    <w:p w:rsidR="001B53BC" w:rsidRPr="00CD5CC6" w:rsidRDefault="001B53BC" w:rsidP="00A57A3F">
      <w:pPr>
        <w:pStyle w:val="3Bodytext"/>
        <w:numPr>
          <w:ilvl w:val="0"/>
          <w:numId w:val="0"/>
        </w:numPr>
        <w:spacing w:after="0"/>
        <w:rPr>
          <w:rFonts w:ascii="Arial Narrow" w:hAnsi="Arial Narrow" w:cstheme="minorHAnsi"/>
          <w:b/>
          <w:sz w:val="20"/>
        </w:rPr>
      </w:pPr>
      <w:r w:rsidRPr="00CD5CC6">
        <w:rPr>
          <w:rFonts w:ascii="Arial Narrow" w:hAnsi="Arial Narrow" w:cstheme="minorHAnsi"/>
          <w:b/>
          <w:sz w:val="20"/>
        </w:rPr>
        <w:t xml:space="preserve">Table </w:t>
      </w:r>
      <w:r w:rsidR="00F1644F">
        <w:rPr>
          <w:rFonts w:ascii="Arial Narrow" w:hAnsi="Arial Narrow" w:cstheme="minorHAnsi"/>
          <w:b/>
          <w:sz w:val="20"/>
        </w:rPr>
        <w:t>2</w:t>
      </w:r>
      <w:r w:rsidRPr="00CD5CC6">
        <w:rPr>
          <w:rFonts w:ascii="Arial Narrow" w:hAnsi="Arial Narrow" w:cstheme="minorHAnsi"/>
          <w:b/>
          <w:sz w:val="20"/>
        </w:rPr>
        <w:t xml:space="preserve">: ≥75 year old Rebates under current Deed </w:t>
      </w:r>
    </w:p>
    <w:tbl>
      <w:tblPr>
        <w:tblStyle w:val="TableGrid"/>
        <w:tblW w:w="0" w:type="auto"/>
        <w:jc w:val="center"/>
        <w:tblLook w:val="04A0" w:firstRow="1" w:lastRow="0" w:firstColumn="1" w:lastColumn="0" w:noHBand="0" w:noVBand="1"/>
        <w:tblCaption w:val="Table 2: ≥75 year old Rebates under current Deed "/>
        <w:tblDescription w:val="Table 2: ≥75 year old Rebates under current Deed "/>
      </w:tblPr>
      <w:tblGrid>
        <w:gridCol w:w="2659"/>
        <w:gridCol w:w="2489"/>
        <w:gridCol w:w="1804"/>
        <w:gridCol w:w="1979"/>
      </w:tblGrid>
      <w:tr w:rsidR="00ED77E9" w:rsidRPr="001F5201" w:rsidTr="00507263">
        <w:trPr>
          <w:tblHeader/>
          <w:jc w:val="center"/>
        </w:trPr>
        <w:tc>
          <w:tcPr>
            <w:tcW w:w="2659" w:type="dxa"/>
          </w:tcPr>
          <w:p w:rsidR="00ED77E9" w:rsidRPr="00CD5CC6" w:rsidRDefault="00ED77E9" w:rsidP="00593B92">
            <w:pPr>
              <w:pStyle w:val="3Bodytext"/>
              <w:numPr>
                <w:ilvl w:val="0"/>
                <w:numId w:val="0"/>
              </w:numPr>
              <w:rPr>
                <w:rFonts w:ascii="Arial Narrow" w:hAnsi="Arial Narrow"/>
                <w:b/>
                <w:sz w:val="20"/>
              </w:rPr>
            </w:pPr>
            <w:r w:rsidRPr="00CD5CC6">
              <w:rPr>
                <w:rFonts w:ascii="Arial Narrow" w:hAnsi="Arial Narrow"/>
                <w:b/>
                <w:sz w:val="20"/>
              </w:rPr>
              <w:t>Year</w:t>
            </w:r>
          </w:p>
        </w:tc>
        <w:tc>
          <w:tcPr>
            <w:tcW w:w="2489" w:type="dxa"/>
          </w:tcPr>
          <w:p w:rsidR="00ED77E9" w:rsidRPr="00CD5CC6" w:rsidRDefault="00ED77E9" w:rsidP="00593B92">
            <w:pPr>
              <w:pStyle w:val="3Bodytext"/>
              <w:numPr>
                <w:ilvl w:val="0"/>
                <w:numId w:val="0"/>
              </w:numPr>
              <w:rPr>
                <w:rFonts w:ascii="Arial Narrow" w:hAnsi="Arial Narrow"/>
                <w:sz w:val="20"/>
              </w:rPr>
            </w:pPr>
            <w:r w:rsidRPr="00CD5CC6">
              <w:rPr>
                <w:rFonts w:ascii="Arial Narrow" w:hAnsi="Arial Narrow" w:cstheme="minorHAnsi"/>
                <w:b/>
                <w:sz w:val="20"/>
              </w:rPr>
              <w:t>≥75 year old Rebate</w:t>
            </w:r>
          </w:p>
        </w:tc>
        <w:tc>
          <w:tcPr>
            <w:tcW w:w="1804" w:type="dxa"/>
          </w:tcPr>
          <w:p w:rsidR="00ED77E9" w:rsidRPr="00CD5CC6" w:rsidRDefault="00ED77E9" w:rsidP="00593B92">
            <w:pPr>
              <w:pStyle w:val="3Bodytext"/>
              <w:numPr>
                <w:ilvl w:val="0"/>
                <w:numId w:val="0"/>
              </w:numPr>
              <w:rPr>
                <w:rFonts w:ascii="Arial Narrow" w:hAnsi="Arial Narrow"/>
                <w:b/>
                <w:sz w:val="20"/>
              </w:rPr>
            </w:pPr>
            <w:r w:rsidRPr="00CD5CC6">
              <w:rPr>
                <w:rFonts w:ascii="Arial Narrow" w:hAnsi="Arial Narrow"/>
                <w:b/>
                <w:sz w:val="20"/>
              </w:rPr>
              <w:t>%</w:t>
            </w:r>
            <w:r w:rsidR="009608F3">
              <w:rPr>
                <w:rFonts w:ascii="Arial Narrow" w:hAnsi="Arial Narrow"/>
                <w:b/>
                <w:sz w:val="20"/>
              </w:rPr>
              <w:t xml:space="preserve"> </w:t>
            </w:r>
            <w:r w:rsidR="009608F3" w:rsidRPr="00CD5CC6">
              <w:rPr>
                <w:rFonts w:ascii="Arial Narrow" w:hAnsi="Arial Narrow"/>
                <w:b/>
                <w:sz w:val="20"/>
              </w:rPr>
              <w:t xml:space="preserve">of patients </w:t>
            </w:r>
            <w:r w:rsidR="009608F3" w:rsidRPr="00CD5CC6">
              <w:rPr>
                <w:rFonts w:ascii="Arial Narrow" w:hAnsi="Arial Narrow" w:cstheme="minorHAnsi"/>
                <w:b/>
                <w:sz w:val="20"/>
              </w:rPr>
              <w:t>≥</w:t>
            </w:r>
            <w:r w:rsidR="009608F3" w:rsidRPr="00CD5CC6">
              <w:rPr>
                <w:rFonts w:ascii="Arial Narrow" w:hAnsi="Arial Narrow"/>
                <w:b/>
                <w:sz w:val="20"/>
              </w:rPr>
              <w:t> 75 years first supplied nivolumab in that Year</w:t>
            </w:r>
          </w:p>
        </w:tc>
        <w:tc>
          <w:tcPr>
            <w:tcW w:w="1979" w:type="dxa"/>
          </w:tcPr>
          <w:p w:rsidR="00ED77E9" w:rsidRPr="00CD5CC6" w:rsidRDefault="00ED77E9" w:rsidP="00A55AE8">
            <w:pPr>
              <w:pStyle w:val="3Bodytext"/>
              <w:numPr>
                <w:ilvl w:val="0"/>
                <w:numId w:val="0"/>
              </w:numPr>
              <w:rPr>
                <w:rFonts w:ascii="Arial Narrow" w:hAnsi="Arial Narrow"/>
                <w:b/>
                <w:sz w:val="20"/>
              </w:rPr>
            </w:pPr>
            <w:r w:rsidRPr="00CD5CC6">
              <w:rPr>
                <w:rFonts w:ascii="Arial Narrow" w:hAnsi="Arial Narrow"/>
                <w:b/>
                <w:sz w:val="20"/>
              </w:rPr>
              <w:t xml:space="preserve">No of patients </w:t>
            </w:r>
            <w:r w:rsidRPr="00CD5CC6">
              <w:rPr>
                <w:rFonts w:ascii="Arial Narrow" w:hAnsi="Arial Narrow" w:cstheme="minorHAnsi"/>
                <w:b/>
                <w:sz w:val="20"/>
              </w:rPr>
              <w:t>≥</w:t>
            </w:r>
            <w:r w:rsidRPr="00CD5CC6">
              <w:rPr>
                <w:rFonts w:ascii="Arial Narrow" w:hAnsi="Arial Narrow"/>
                <w:b/>
                <w:sz w:val="20"/>
              </w:rPr>
              <w:t xml:space="preserve"> 75 years first supplied nivolumab in that Year </w:t>
            </w:r>
          </w:p>
        </w:tc>
      </w:tr>
      <w:tr w:rsidR="00ED77E9" w:rsidRPr="001F5201" w:rsidTr="00A57A3F">
        <w:trPr>
          <w:jc w:val="center"/>
        </w:trPr>
        <w:tc>
          <w:tcPr>
            <w:tcW w:w="2659" w:type="dxa"/>
          </w:tcPr>
          <w:p w:rsidR="00ED77E9" w:rsidRPr="00CD5CC6" w:rsidRDefault="00ED77E9" w:rsidP="00593B92">
            <w:pPr>
              <w:pStyle w:val="3Bodytext"/>
              <w:numPr>
                <w:ilvl w:val="0"/>
                <w:numId w:val="0"/>
              </w:numPr>
              <w:rPr>
                <w:rFonts w:ascii="Arial Narrow" w:hAnsi="Arial Narrow"/>
                <w:sz w:val="20"/>
              </w:rPr>
            </w:pPr>
            <w:r w:rsidRPr="00CD5CC6">
              <w:rPr>
                <w:rFonts w:ascii="Arial Narrow" w:hAnsi="Arial Narrow"/>
                <w:sz w:val="20"/>
              </w:rPr>
              <w:t>August 2017 – July 2018</w:t>
            </w:r>
          </w:p>
        </w:tc>
        <w:tc>
          <w:tcPr>
            <w:tcW w:w="2489" w:type="dxa"/>
          </w:tcPr>
          <w:p w:rsidR="00ED77E9" w:rsidRPr="0068525B" w:rsidRDefault="00ED77E9" w:rsidP="00593B92">
            <w:pPr>
              <w:pStyle w:val="3Bodytext"/>
              <w:numPr>
                <w:ilvl w:val="0"/>
                <w:numId w:val="0"/>
              </w:numPr>
              <w:rPr>
                <w:rFonts w:ascii="Arial Narrow" w:hAnsi="Arial Narrow"/>
                <w:sz w:val="20"/>
                <w:vertAlign w:val="superscript"/>
              </w:rPr>
            </w:pPr>
            <w:r w:rsidRPr="00CD5CC6">
              <w:rPr>
                <w:rFonts w:ascii="Arial Narrow" w:hAnsi="Arial Narrow"/>
                <w:sz w:val="20"/>
              </w:rPr>
              <w:t>$</w:t>
            </w:r>
            <w:r w:rsidR="0068525B">
              <w:rPr>
                <w:rFonts w:ascii="Arial Narrow" w:hAnsi="Arial Narrow"/>
                <w:noProof/>
                <w:color w:val="000000"/>
                <w:sz w:val="20"/>
                <w:highlight w:val="black"/>
              </w:rPr>
              <w:t>'''''''''''''''''''''''''''''''''</w:t>
            </w:r>
          </w:p>
        </w:tc>
        <w:tc>
          <w:tcPr>
            <w:tcW w:w="1804" w:type="dxa"/>
          </w:tcPr>
          <w:p w:rsidR="00ED77E9" w:rsidRPr="00CD5CC6" w:rsidRDefault="0068525B" w:rsidP="00593B92">
            <w:pPr>
              <w:pStyle w:val="3Bodytext"/>
              <w:numPr>
                <w:ilvl w:val="0"/>
                <w:numId w:val="0"/>
              </w:numPr>
              <w:rPr>
                <w:rFonts w:ascii="Arial Narrow" w:hAnsi="Arial Narrow"/>
                <w:sz w:val="20"/>
              </w:rPr>
            </w:pPr>
            <w:r>
              <w:rPr>
                <w:rFonts w:ascii="Arial Narrow" w:hAnsi="Arial Narrow"/>
                <w:noProof/>
                <w:color w:val="000000"/>
                <w:sz w:val="20"/>
                <w:highlight w:val="black"/>
              </w:rPr>
              <w:t>''''''''''''''''''''</w:t>
            </w:r>
            <w:r w:rsidR="00ED77E9" w:rsidRPr="00CD5CC6">
              <w:rPr>
                <w:rFonts w:ascii="Arial Narrow" w:hAnsi="Arial Narrow"/>
                <w:sz w:val="20"/>
              </w:rPr>
              <w:t>%</w:t>
            </w:r>
          </w:p>
        </w:tc>
        <w:tc>
          <w:tcPr>
            <w:tcW w:w="1979" w:type="dxa"/>
          </w:tcPr>
          <w:p w:rsidR="00ED77E9" w:rsidRPr="0068525B" w:rsidRDefault="0068525B" w:rsidP="00593B92">
            <w:pPr>
              <w:pStyle w:val="3Bodytext"/>
              <w:numPr>
                <w:ilvl w:val="0"/>
                <w:numId w:val="0"/>
              </w:numPr>
              <w:rPr>
                <w:rFonts w:ascii="Arial Narrow" w:hAnsi="Arial Narrow"/>
                <w:sz w:val="20"/>
                <w:vertAlign w:val="superscript"/>
              </w:rPr>
            </w:pPr>
            <w:r>
              <w:rPr>
                <w:rFonts w:ascii="Arial Narrow" w:hAnsi="Arial Narrow"/>
                <w:noProof/>
                <w:color w:val="000000"/>
                <w:sz w:val="20"/>
                <w:highlight w:val="black"/>
              </w:rPr>
              <w:t>''''''''''</w:t>
            </w:r>
            <w:r w:rsidR="008F6F73">
              <w:rPr>
                <w:vertAlign w:val="superscript"/>
              </w:rPr>
              <w:t>1</w:t>
            </w:r>
          </w:p>
        </w:tc>
      </w:tr>
      <w:tr w:rsidR="00ED77E9" w:rsidRPr="001F5201" w:rsidTr="00A57A3F">
        <w:trPr>
          <w:jc w:val="center"/>
        </w:trPr>
        <w:tc>
          <w:tcPr>
            <w:tcW w:w="2659" w:type="dxa"/>
          </w:tcPr>
          <w:p w:rsidR="00ED77E9" w:rsidRPr="00CD5CC6" w:rsidRDefault="00ED77E9" w:rsidP="00A55AE8">
            <w:pPr>
              <w:pStyle w:val="3Bodytext"/>
              <w:numPr>
                <w:ilvl w:val="0"/>
                <w:numId w:val="0"/>
              </w:numPr>
              <w:rPr>
                <w:rFonts w:ascii="Arial Narrow" w:hAnsi="Arial Narrow"/>
                <w:sz w:val="20"/>
              </w:rPr>
            </w:pPr>
            <w:r w:rsidRPr="00CD5CC6">
              <w:rPr>
                <w:rFonts w:ascii="Arial Narrow" w:hAnsi="Arial Narrow"/>
                <w:sz w:val="20"/>
              </w:rPr>
              <w:t>August 2018 – July 2019</w:t>
            </w:r>
          </w:p>
        </w:tc>
        <w:tc>
          <w:tcPr>
            <w:tcW w:w="2489" w:type="dxa"/>
          </w:tcPr>
          <w:p w:rsidR="00ED77E9" w:rsidRPr="00CD5CC6" w:rsidRDefault="00ED77E9" w:rsidP="00A55AE8">
            <w:pPr>
              <w:pStyle w:val="3Bodytext"/>
              <w:numPr>
                <w:ilvl w:val="0"/>
                <w:numId w:val="0"/>
              </w:numPr>
              <w:rPr>
                <w:rFonts w:ascii="Arial Narrow" w:hAnsi="Arial Narrow"/>
                <w:sz w:val="20"/>
              </w:rPr>
            </w:pPr>
            <w:r w:rsidRPr="00CD5CC6">
              <w:rPr>
                <w:rFonts w:ascii="Arial Narrow" w:hAnsi="Arial Narrow"/>
                <w:sz w:val="20"/>
              </w:rPr>
              <w:t>$</w:t>
            </w:r>
            <w:r w:rsidR="0068525B">
              <w:rPr>
                <w:rFonts w:ascii="Arial Narrow" w:hAnsi="Arial Narrow"/>
                <w:noProof/>
                <w:color w:val="000000"/>
                <w:sz w:val="20"/>
                <w:highlight w:val="black"/>
              </w:rPr>
              <w:t>'''''''''''''''''''''''''''''''''</w:t>
            </w:r>
          </w:p>
        </w:tc>
        <w:tc>
          <w:tcPr>
            <w:tcW w:w="1804" w:type="dxa"/>
          </w:tcPr>
          <w:p w:rsidR="00ED77E9" w:rsidRPr="00CD5CC6" w:rsidRDefault="0068525B" w:rsidP="00A55AE8">
            <w:pPr>
              <w:pStyle w:val="3Bodytext"/>
              <w:numPr>
                <w:ilvl w:val="0"/>
                <w:numId w:val="0"/>
              </w:numPr>
              <w:rPr>
                <w:rFonts w:ascii="Arial Narrow" w:hAnsi="Arial Narrow"/>
                <w:sz w:val="20"/>
              </w:rPr>
            </w:pPr>
            <w:r>
              <w:rPr>
                <w:rFonts w:ascii="Arial Narrow" w:hAnsi="Arial Narrow"/>
                <w:noProof/>
                <w:color w:val="000000"/>
                <w:sz w:val="20"/>
                <w:highlight w:val="black"/>
              </w:rPr>
              <w:t>'''''''''''''''''''</w:t>
            </w:r>
            <w:r w:rsidR="00ED77E9" w:rsidRPr="00CD5CC6">
              <w:rPr>
                <w:rFonts w:ascii="Arial Narrow" w:hAnsi="Arial Narrow"/>
                <w:sz w:val="20"/>
              </w:rPr>
              <w:t>%</w:t>
            </w:r>
          </w:p>
        </w:tc>
        <w:tc>
          <w:tcPr>
            <w:tcW w:w="1979" w:type="dxa"/>
          </w:tcPr>
          <w:p w:rsidR="00ED77E9" w:rsidRPr="0068525B" w:rsidRDefault="0068525B" w:rsidP="00ED77E9">
            <w:pPr>
              <w:pStyle w:val="3Bodytext"/>
              <w:numPr>
                <w:ilvl w:val="0"/>
                <w:numId w:val="0"/>
              </w:numPr>
              <w:rPr>
                <w:rFonts w:ascii="Arial Narrow" w:hAnsi="Arial Narrow"/>
                <w:sz w:val="20"/>
                <w:vertAlign w:val="superscript"/>
              </w:rPr>
            </w:pPr>
            <w:r>
              <w:rPr>
                <w:rFonts w:ascii="Arial Narrow" w:hAnsi="Arial Narrow"/>
                <w:noProof/>
                <w:color w:val="000000"/>
                <w:sz w:val="20"/>
                <w:highlight w:val="black"/>
              </w:rPr>
              <w:t>'''''''''</w:t>
            </w:r>
            <w:r w:rsidR="008F6F73">
              <w:rPr>
                <w:vertAlign w:val="superscript"/>
              </w:rPr>
              <w:t>2</w:t>
            </w:r>
          </w:p>
        </w:tc>
      </w:tr>
      <w:tr w:rsidR="00ED77E9" w:rsidRPr="001F5201" w:rsidTr="00A57A3F">
        <w:trPr>
          <w:jc w:val="center"/>
        </w:trPr>
        <w:tc>
          <w:tcPr>
            <w:tcW w:w="2659" w:type="dxa"/>
          </w:tcPr>
          <w:p w:rsidR="00ED77E9" w:rsidRPr="00CD5CC6" w:rsidRDefault="00ED77E9" w:rsidP="00A55AE8">
            <w:pPr>
              <w:pStyle w:val="3Bodytext"/>
              <w:numPr>
                <w:ilvl w:val="0"/>
                <w:numId w:val="0"/>
              </w:numPr>
              <w:rPr>
                <w:rFonts w:ascii="Arial Narrow" w:hAnsi="Arial Narrow"/>
                <w:sz w:val="20"/>
              </w:rPr>
            </w:pPr>
            <w:r w:rsidRPr="00CD5CC6">
              <w:rPr>
                <w:rFonts w:ascii="Arial Narrow" w:hAnsi="Arial Narrow"/>
                <w:sz w:val="20"/>
              </w:rPr>
              <w:t>August 2019 – July 2020</w:t>
            </w:r>
          </w:p>
        </w:tc>
        <w:tc>
          <w:tcPr>
            <w:tcW w:w="2489" w:type="dxa"/>
          </w:tcPr>
          <w:p w:rsidR="00ED77E9" w:rsidRPr="00CD5CC6" w:rsidRDefault="00ED77E9" w:rsidP="00A55AE8">
            <w:pPr>
              <w:pStyle w:val="3Bodytext"/>
              <w:numPr>
                <w:ilvl w:val="0"/>
                <w:numId w:val="0"/>
              </w:numPr>
              <w:rPr>
                <w:rFonts w:ascii="Arial Narrow" w:hAnsi="Arial Narrow"/>
                <w:sz w:val="20"/>
              </w:rPr>
            </w:pPr>
            <w:r w:rsidRPr="00CD5CC6">
              <w:rPr>
                <w:rFonts w:ascii="Arial Narrow" w:hAnsi="Arial Narrow"/>
                <w:sz w:val="20"/>
              </w:rPr>
              <w:t>$</w:t>
            </w:r>
            <w:r w:rsidR="0068525B">
              <w:rPr>
                <w:rFonts w:ascii="Arial Narrow" w:hAnsi="Arial Narrow"/>
                <w:noProof/>
                <w:color w:val="000000"/>
                <w:sz w:val="20"/>
                <w:highlight w:val="black"/>
              </w:rPr>
              <w:t>'''''''''''''''''''''''''''''''''</w:t>
            </w:r>
          </w:p>
        </w:tc>
        <w:tc>
          <w:tcPr>
            <w:tcW w:w="1804" w:type="dxa"/>
          </w:tcPr>
          <w:p w:rsidR="00ED77E9" w:rsidRPr="00CD5CC6" w:rsidRDefault="0068525B" w:rsidP="00A55AE8">
            <w:pPr>
              <w:pStyle w:val="3Bodytext"/>
              <w:numPr>
                <w:ilvl w:val="0"/>
                <w:numId w:val="0"/>
              </w:numPr>
              <w:rPr>
                <w:rFonts w:ascii="Arial Narrow" w:hAnsi="Arial Narrow"/>
                <w:sz w:val="20"/>
              </w:rPr>
            </w:pPr>
            <w:r>
              <w:rPr>
                <w:rFonts w:ascii="Arial Narrow" w:hAnsi="Arial Narrow"/>
                <w:noProof/>
                <w:color w:val="000000"/>
                <w:sz w:val="20"/>
                <w:highlight w:val="black"/>
              </w:rPr>
              <w:t>'''''''''''''''''''</w:t>
            </w:r>
            <w:r w:rsidR="00ED77E9" w:rsidRPr="00CD5CC6">
              <w:rPr>
                <w:rFonts w:ascii="Arial Narrow" w:hAnsi="Arial Narrow"/>
                <w:sz w:val="20"/>
              </w:rPr>
              <w:t>%</w:t>
            </w:r>
          </w:p>
        </w:tc>
        <w:tc>
          <w:tcPr>
            <w:tcW w:w="1979" w:type="dxa"/>
          </w:tcPr>
          <w:p w:rsidR="00ED77E9" w:rsidRPr="0068525B" w:rsidRDefault="0068525B" w:rsidP="00ED77E9">
            <w:pPr>
              <w:pStyle w:val="3Bodytext"/>
              <w:numPr>
                <w:ilvl w:val="0"/>
                <w:numId w:val="0"/>
              </w:numPr>
              <w:rPr>
                <w:rFonts w:ascii="Arial Narrow" w:hAnsi="Arial Narrow"/>
                <w:sz w:val="20"/>
                <w:vertAlign w:val="superscript"/>
              </w:rPr>
            </w:pPr>
            <w:r>
              <w:rPr>
                <w:rFonts w:ascii="Arial Narrow" w:hAnsi="Arial Narrow"/>
                <w:noProof/>
                <w:color w:val="000000"/>
                <w:sz w:val="20"/>
                <w:highlight w:val="black"/>
              </w:rPr>
              <w:t>'''''''''</w:t>
            </w:r>
            <w:r w:rsidR="008F6F73">
              <w:rPr>
                <w:vertAlign w:val="superscript"/>
              </w:rPr>
              <w:t>2</w:t>
            </w:r>
          </w:p>
        </w:tc>
      </w:tr>
    </w:tbl>
    <w:p w:rsidR="00414120" w:rsidRDefault="00B028B3" w:rsidP="0068525B">
      <w:pPr>
        <w:pStyle w:val="TableFigureFooter"/>
        <w:keepNext/>
        <w:rPr>
          <w:i/>
        </w:rPr>
      </w:pPr>
      <w:r w:rsidRPr="009868C4">
        <w:rPr>
          <w:i/>
        </w:rPr>
        <w:t>The redacted values correspond to the following ranges</w:t>
      </w:r>
      <w:r>
        <w:rPr>
          <w:i/>
        </w:rPr>
        <w:t>:</w:t>
      </w:r>
    </w:p>
    <w:p w:rsidR="008F6F73" w:rsidRDefault="008F6F73" w:rsidP="0068525B">
      <w:pPr>
        <w:pStyle w:val="TableFigureFooter"/>
        <w:keepNext/>
        <w:rPr>
          <w:i/>
        </w:rPr>
      </w:pPr>
      <w:r>
        <w:rPr>
          <w:i/>
          <w:vertAlign w:val="superscript"/>
        </w:rPr>
        <w:t xml:space="preserve">1 </w:t>
      </w:r>
      <w:r w:rsidRPr="008F6F73">
        <w:rPr>
          <w:i/>
        </w:rPr>
        <w:t>500 to &lt; 5,000</w:t>
      </w:r>
    </w:p>
    <w:p w:rsidR="008F6F73" w:rsidRDefault="008F6F73" w:rsidP="0068525B">
      <w:pPr>
        <w:pStyle w:val="TableFigureFooter"/>
        <w:keepNext/>
        <w:rPr>
          <w:i/>
        </w:rPr>
      </w:pPr>
      <w:r>
        <w:rPr>
          <w:i/>
          <w:vertAlign w:val="superscript"/>
        </w:rPr>
        <w:t xml:space="preserve">2 </w:t>
      </w:r>
      <w:r w:rsidRPr="008F6F73">
        <w:rPr>
          <w:i/>
        </w:rPr>
        <w:t>&lt; 500</w:t>
      </w:r>
    </w:p>
    <w:p w:rsidR="00826CA4" w:rsidRDefault="00826CA4" w:rsidP="00A57A3F">
      <w:pPr>
        <w:pStyle w:val="3Bodytext"/>
        <w:numPr>
          <w:ilvl w:val="0"/>
          <w:numId w:val="0"/>
        </w:numPr>
      </w:pPr>
    </w:p>
    <w:p w:rsidR="00826CA4" w:rsidRDefault="00826CA4" w:rsidP="00A57A3F">
      <w:pPr>
        <w:pStyle w:val="3Bodytext"/>
        <w:jc w:val="both"/>
      </w:pPr>
      <w:r>
        <w:lastRenderedPageBreak/>
        <w:t>Nivolumab is subject to RSA subsidisation caps which are shared by all PBS-listed PD</w:t>
      </w:r>
      <w:r>
        <w:noBreakHyphen/>
        <w:t>1/PD-L1 inhibitors for NSCLC, namely nivolumab, atezolizumab</w:t>
      </w:r>
      <w:r w:rsidR="002B0540">
        <w:t>, pembrolizumab and durvalumab.</w:t>
      </w:r>
    </w:p>
    <w:p w:rsidR="00826CA4" w:rsidRDefault="00826CA4" w:rsidP="00A57A3F">
      <w:pPr>
        <w:pStyle w:val="3Bodytext"/>
        <w:jc w:val="both"/>
      </w:pPr>
      <w:r>
        <w:t>Nivolumab with ipilimumab for first-line treatment of squamous Stage IV NSCLC was recommended at the November 2020 PBAC meeting</w:t>
      </w:r>
      <w:r w:rsidR="004B658B">
        <w:t xml:space="preserve">, </w:t>
      </w:r>
      <w:r w:rsidR="0033638A">
        <w:t>but not yet listed</w:t>
      </w:r>
      <w:r w:rsidR="00AA4C42">
        <w:t xml:space="preserve"> at the time of the March 2021 PBAC meeting</w:t>
      </w:r>
      <w:r>
        <w:t>.</w:t>
      </w:r>
    </w:p>
    <w:p w:rsidR="00B17EE5" w:rsidRPr="00577C4D" w:rsidRDefault="00B17EE5" w:rsidP="00917D69">
      <w:pPr>
        <w:pStyle w:val="2-SectionHeading"/>
      </w:pPr>
      <w:r w:rsidRPr="009E2E8E">
        <w:t>Requested</w:t>
      </w:r>
      <w:r w:rsidRPr="002B5596">
        <w:t xml:space="preserve"> listing</w:t>
      </w:r>
    </w:p>
    <w:p w:rsidR="007743DD" w:rsidRDefault="00EA51A4" w:rsidP="007743DD">
      <w:pPr>
        <w:pStyle w:val="3Bodytext"/>
      </w:pPr>
      <w:r>
        <w:t>No change to the</w:t>
      </w:r>
      <w:r w:rsidR="00063ABE">
        <w:t xml:space="preserve"> current</w:t>
      </w:r>
      <w:r>
        <w:t xml:space="preserve"> listing was requested.</w:t>
      </w:r>
    </w:p>
    <w:p w:rsidR="00356E5B" w:rsidRDefault="008D7A41" w:rsidP="00D033F6">
      <w:pPr>
        <w:pStyle w:val="Heading1"/>
        <w:keepLines/>
        <w:numPr>
          <w:ilvl w:val="0"/>
          <w:numId w:val="3"/>
        </w:numPr>
        <w:spacing w:before="240"/>
        <w:ind w:left="709" w:hanging="709"/>
        <w:rPr>
          <w:sz w:val="32"/>
          <w:szCs w:val="32"/>
        </w:rPr>
      </w:pPr>
      <w:r w:rsidRPr="003C2FB5">
        <w:rPr>
          <w:sz w:val="32"/>
          <w:szCs w:val="32"/>
        </w:rPr>
        <w:t>C</w:t>
      </w:r>
      <w:r w:rsidR="00D84934" w:rsidRPr="003C2FB5">
        <w:rPr>
          <w:sz w:val="32"/>
          <w:szCs w:val="32"/>
        </w:rPr>
        <w:t>onsideration of the evidence</w:t>
      </w:r>
    </w:p>
    <w:p w:rsidR="00430A45" w:rsidRDefault="00912B57" w:rsidP="00E1321C">
      <w:pPr>
        <w:pStyle w:val="4-SubsectionHeading"/>
      </w:pPr>
      <w:r>
        <w:t>Sponsor hearing</w:t>
      </w:r>
    </w:p>
    <w:p w:rsidR="00912B57" w:rsidRPr="00E1321C" w:rsidRDefault="00912B57" w:rsidP="00E1321C">
      <w:pPr>
        <w:pStyle w:val="3Bodytext"/>
      </w:pPr>
      <w:r w:rsidRPr="00836F75">
        <w:rPr>
          <w:rFonts w:cs="Arial"/>
          <w:bCs/>
          <w:snapToGrid w:val="0"/>
        </w:rPr>
        <w:t>There was no hearing for this item</w:t>
      </w:r>
      <w:r>
        <w:rPr>
          <w:rFonts w:cs="Arial"/>
          <w:bCs/>
          <w:snapToGrid w:val="0"/>
        </w:rPr>
        <w:t>.</w:t>
      </w:r>
    </w:p>
    <w:p w:rsidR="00912B57" w:rsidRDefault="00912B57" w:rsidP="00E1321C">
      <w:pPr>
        <w:pStyle w:val="4-SubsectionHeading"/>
      </w:pPr>
      <w:r>
        <w:t>Consumer comments</w:t>
      </w:r>
    </w:p>
    <w:p w:rsidR="00912B57" w:rsidRPr="00E1321C" w:rsidRDefault="00912B57" w:rsidP="00E1321C">
      <w:pPr>
        <w:pStyle w:val="3Bodytext"/>
      </w:pPr>
      <w:r w:rsidRPr="00836F75">
        <w:rPr>
          <w:rFonts w:cs="Arial"/>
          <w:bCs/>
          <w:snapToGrid w:val="0"/>
        </w:rPr>
        <w:t>The PBAC noted that no consumer comments were received for this item</w:t>
      </w:r>
      <w:r>
        <w:rPr>
          <w:rFonts w:cs="Arial"/>
          <w:bCs/>
          <w:snapToGrid w:val="0"/>
        </w:rPr>
        <w:t>.</w:t>
      </w:r>
    </w:p>
    <w:p w:rsidR="00952464" w:rsidRPr="00DA6358" w:rsidRDefault="00952464" w:rsidP="00507263">
      <w:pPr>
        <w:pStyle w:val="4-SubsectionHeading"/>
      </w:pPr>
      <w:r w:rsidRPr="00DA6358">
        <w:t>Equity with other PBS listed immunotherapy agents</w:t>
      </w:r>
    </w:p>
    <w:p w:rsidR="00952464" w:rsidRPr="00507263" w:rsidRDefault="00952464" w:rsidP="00507263">
      <w:pPr>
        <w:pStyle w:val="3Bodytext"/>
        <w:jc w:val="both"/>
        <w:rPr>
          <w:b/>
          <w:u w:val="single"/>
        </w:rPr>
      </w:pPr>
      <w:r>
        <w:t>The submission requested the removal of the age-related RSA to ensure equity with other PBS listed immunotherapies, stating that “the Sponsor understands that nivolumab is the only immunotherapy listed on the PBS for the treatment of NSCLC (Without driver mutation) with an age-related RSA to address uncertainty in the extent of effectiveness in patients aged 75 years or older”.</w:t>
      </w:r>
    </w:p>
    <w:p w:rsidR="00952464" w:rsidRPr="00DA6358" w:rsidRDefault="00952464" w:rsidP="00507263">
      <w:pPr>
        <w:pStyle w:val="4-SubsectionHeading"/>
      </w:pPr>
      <w:r w:rsidRPr="00DA6358">
        <w:t>Clinical management</w:t>
      </w:r>
    </w:p>
    <w:p w:rsidR="00952464" w:rsidRDefault="00952464" w:rsidP="00912B57">
      <w:pPr>
        <w:pStyle w:val="3Bodytext"/>
        <w:jc w:val="both"/>
      </w:pPr>
      <w:r>
        <w:t xml:space="preserve">The submission claimed that the uptake of nivolumab in patients aged 75 and over potentially reflects growing clinician confidence in the use and outcomes associated with 2L nivolumab in elderly patients, and that the increasing uptake is likely to be affected by the changing treatment landscape. </w:t>
      </w:r>
    </w:p>
    <w:p w:rsidR="00952464" w:rsidRPr="00A55AE8" w:rsidRDefault="00952464" w:rsidP="00912B57">
      <w:pPr>
        <w:pStyle w:val="3Bodytext"/>
        <w:jc w:val="both"/>
      </w:pPr>
      <w:r w:rsidRPr="00CD5CC6">
        <w:t xml:space="preserve">Since nivolumab </w:t>
      </w:r>
      <w:r w:rsidR="00DB6E4F">
        <w:t xml:space="preserve">was </w:t>
      </w:r>
      <w:r w:rsidRPr="00CD5CC6">
        <w:t xml:space="preserve">listed for 2L NSCLC in August 2017, several other agents have also been listed on the PBS for NSCLC: atezolizumab (2L NSCLC), pembrolizumab monotherapy (1L NSCLC), atezolizumab + bevacizumab + chemotherapy (1L NSCLC), pembrolizumab + chemotherapy (1L NSCLC) and durvalumab (Stage III NSCLC). </w:t>
      </w:r>
    </w:p>
    <w:p w:rsidR="00952464" w:rsidRDefault="00952464" w:rsidP="00912B57">
      <w:pPr>
        <w:pStyle w:val="3Bodytext"/>
        <w:jc w:val="both"/>
      </w:pPr>
      <w:r w:rsidRPr="00674A5C">
        <w:t>The submission claimed that</w:t>
      </w:r>
      <w:r>
        <w:t xml:space="preserve"> the</w:t>
      </w:r>
      <w:r w:rsidRPr="00674A5C">
        <w:t xml:space="preserve"> relative uptake of nivolumab in elderly patients appears to be increasing since the introduction of pembrolizumab plus chemotherapy. </w:t>
      </w:r>
    </w:p>
    <w:p w:rsidR="00952464" w:rsidRPr="003D0A0B" w:rsidRDefault="00952464" w:rsidP="00912B57">
      <w:pPr>
        <w:pStyle w:val="3Bodytext"/>
        <w:jc w:val="both"/>
      </w:pPr>
      <w:r>
        <w:t xml:space="preserve">The submission referred to the </w:t>
      </w:r>
      <w:r w:rsidRPr="005059A1">
        <w:t>European Society for Medical Oncology (ESMO)</w:t>
      </w:r>
      <w:r w:rsidRPr="00DA6358">
        <w:t xml:space="preserve"> </w:t>
      </w:r>
      <w:r w:rsidRPr="005059A1">
        <w:t>Clinical Practice Guidelines (Planchard et al 2020)</w:t>
      </w:r>
      <w:r>
        <w:t xml:space="preserve"> which state that “it can be inferred that ORRs and survival are not different between patients ≤ 65 years and those &gt; 65, based on subgroup analysis of the randomised second-line trials”. The submission also proposed that the absence of age in the National Comprehensive Cancer Network </w:t>
      </w:r>
      <w:r>
        <w:lastRenderedPageBreak/>
        <w:t>NSCLC guidelines suggests that NSCLC patients should be treated irrespective of age and based on other factors (e.g. PD-L1 expression and ECOG status).</w:t>
      </w:r>
    </w:p>
    <w:p w:rsidR="006C2B2D" w:rsidRPr="00CD5CC6" w:rsidRDefault="006C2B2D" w:rsidP="00CF3949">
      <w:pPr>
        <w:pStyle w:val="4-SubsectionHeading"/>
        <w:rPr>
          <w:i w:val="0"/>
          <w:lang w:eastAsia="en-US"/>
        </w:rPr>
      </w:pPr>
      <w:r w:rsidRPr="00CD5CC6">
        <w:rPr>
          <w:lang w:eastAsia="en-US"/>
        </w:rPr>
        <w:t>Clinical evaluation</w:t>
      </w:r>
    </w:p>
    <w:p w:rsidR="000724A5" w:rsidRDefault="000A57AE" w:rsidP="00A57A3F">
      <w:pPr>
        <w:pStyle w:val="3Bodytext"/>
        <w:jc w:val="both"/>
      </w:pPr>
      <w:r>
        <w:t>The submission presented three main sources of data to support effectiveness of nivolumab in patients aged 75 years or older for 2L NSCLC:</w:t>
      </w:r>
    </w:p>
    <w:p w:rsidR="000724A5" w:rsidRDefault="00E079F6" w:rsidP="00A57A3F">
      <w:pPr>
        <w:pStyle w:val="3Bodytext"/>
        <w:numPr>
          <w:ilvl w:val="0"/>
          <w:numId w:val="22"/>
        </w:numPr>
        <w:jc w:val="both"/>
      </w:pPr>
      <w:r w:rsidRPr="00E1321C">
        <w:t>The United States Food and Drug Administration (FDA)</w:t>
      </w:r>
      <w:r w:rsidR="000A57AE">
        <w:t xml:space="preserve"> analyses supporting the use of </w:t>
      </w:r>
      <w:r w:rsidR="000724A5">
        <w:t>immune-oncology</w:t>
      </w:r>
      <w:r w:rsidR="000A57AE">
        <w:t xml:space="preserve"> in elderly patients</w:t>
      </w:r>
      <w:r w:rsidR="0067153E">
        <w:t>;</w:t>
      </w:r>
    </w:p>
    <w:p w:rsidR="000724A5" w:rsidRDefault="000A57AE" w:rsidP="00A57A3F">
      <w:pPr>
        <w:pStyle w:val="3Bodytext"/>
        <w:numPr>
          <w:ilvl w:val="0"/>
          <w:numId w:val="22"/>
        </w:numPr>
        <w:jc w:val="both"/>
      </w:pPr>
      <w:r>
        <w:t xml:space="preserve">real world evidence assessing </w:t>
      </w:r>
      <w:r w:rsidR="00775F9C">
        <w:t xml:space="preserve">the </w:t>
      </w:r>
      <w:r>
        <w:t>effectiveness of nivo</w:t>
      </w:r>
      <w:r w:rsidR="00CD5CC6">
        <w:t>l</w:t>
      </w:r>
      <w:r>
        <w:t>umab</w:t>
      </w:r>
      <w:r w:rsidR="0067153E">
        <w:t>; and</w:t>
      </w:r>
    </w:p>
    <w:p w:rsidR="000A57AE" w:rsidRDefault="000A57AE" w:rsidP="00A57A3F">
      <w:pPr>
        <w:pStyle w:val="3Bodytext"/>
        <w:numPr>
          <w:ilvl w:val="0"/>
          <w:numId w:val="22"/>
        </w:numPr>
        <w:jc w:val="both"/>
      </w:pPr>
      <w:r>
        <w:t>longer term follow up data from the pivotal trials for nivolumab and atezolizumab for 2L NSCLC</w:t>
      </w:r>
      <w:r w:rsidR="000F2FFB">
        <w:t>.</w:t>
      </w:r>
    </w:p>
    <w:p w:rsidR="005C1845" w:rsidRPr="00DA6358" w:rsidRDefault="005C1845" w:rsidP="002B0540">
      <w:pPr>
        <w:pStyle w:val="5-SubsectionSubheading"/>
      </w:pPr>
      <w:r w:rsidRPr="00DA6358">
        <w:t xml:space="preserve">Marur et al </w:t>
      </w:r>
      <w:r w:rsidR="007C6219" w:rsidRPr="00DA6358">
        <w:t>(</w:t>
      </w:r>
      <w:r w:rsidRPr="00DA6358">
        <w:t>2018</w:t>
      </w:r>
      <w:r w:rsidR="007C6219" w:rsidRPr="00DA6358">
        <w:t>)</w:t>
      </w:r>
      <w:r w:rsidRPr="00DA6358">
        <w:t xml:space="preserve"> meta-analyses</w:t>
      </w:r>
    </w:p>
    <w:p w:rsidR="005C1845" w:rsidRDefault="005C1845" w:rsidP="00A57A3F">
      <w:pPr>
        <w:pStyle w:val="3Bodytext"/>
        <w:jc w:val="both"/>
      </w:pPr>
      <w:r>
        <w:t>The submission presented Marur et al (2018) pooled data from four clinical trials submitted to the FDA</w:t>
      </w:r>
      <w:r w:rsidR="00EC7157">
        <w:t xml:space="preserve"> in relation to NSCLC trials for nivolumab, pembrolizumab and atezolizumab</w:t>
      </w:r>
      <w:r>
        <w:t xml:space="preserve">. </w:t>
      </w:r>
      <w:r w:rsidR="007C6219">
        <w:t>The paper</w:t>
      </w:r>
      <w:r w:rsidRPr="00AC44BE">
        <w:t xml:space="preserve"> state</w:t>
      </w:r>
      <w:r w:rsidR="007C6219">
        <w:t>s</w:t>
      </w:r>
      <w:r w:rsidRPr="00AC44BE">
        <w:t xml:space="preserve"> that the analysis suggested that older adults, including those aged over 75, derive similar benefits </w:t>
      </w:r>
      <w:r w:rsidR="00775F9C">
        <w:t xml:space="preserve">as younger patients </w:t>
      </w:r>
      <w:r w:rsidRPr="00AC44BE">
        <w:t xml:space="preserve">in overall survival with PD-1/PD-L1 blocking antibodies for </w:t>
      </w:r>
      <w:r w:rsidR="00775F9C">
        <w:t xml:space="preserve">the </w:t>
      </w:r>
      <w:r w:rsidRPr="00AC44BE">
        <w:t>treatment of advanced NSCLC.</w:t>
      </w:r>
    </w:p>
    <w:p w:rsidR="005C1845" w:rsidRPr="005059A1" w:rsidRDefault="00BF7226" w:rsidP="005C1845">
      <w:pPr>
        <w:rPr>
          <w:rFonts w:ascii="Arial Narrow" w:eastAsia="Calibri" w:hAnsi="Arial Narrow" w:cstheme="minorHAnsi"/>
          <w:b/>
          <w:iCs/>
          <w:color w:val="000000"/>
          <w:sz w:val="20"/>
          <w:szCs w:val="18"/>
          <w:lang w:eastAsia="en-US"/>
        </w:rPr>
      </w:pPr>
      <w:r>
        <w:rPr>
          <w:rFonts w:ascii="Arial Narrow" w:eastAsia="Calibri" w:hAnsi="Arial Narrow" w:cstheme="minorHAnsi"/>
          <w:b/>
          <w:iCs/>
          <w:sz w:val="20"/>
          <w:szCs w:val="20"/>
          <w:lang w:eastAsia="en-US"/>
        </w:rPr>
        <w:t xml:space="preserve">Table </w:t>
      </w:r>
      <w:r w:rsidR="009D43A3">
        <w:rPr>
          <w:rFonts w:ascii="Arial Narrow" w:eastAsia="Calibri" w:hAnsi="Arial Narrow" w:cstheme="minorHAnsi"/>
          <w:b/>
          <w:iCs/>
          <w:sz w:val="20"/>
          <w:szCs w:val="20"/>
          <w:lang w:eastAsia="en-US"/>
        </w:rPr>
        <w:t>3</w:t>
      </w:r>
      <w:r w:rsidR="005C1845" w:rsidRPr="005059A1">
        <w:rPr>
          <w:rFonts w:ascii="Arial Narrow" w:eastAsia="Calibri" w:hAnsi="Arial Narrow" w:cstheme="minorHAnsi"/>
          <w:b/>
          <w:iCs/>
          <w:sz w:val="20"/>
          <w:szCs w:val="20"/>
          <w:lang w:eastAsia="en-US"/>
        </w:rPr>
        <w:t xml:space="preserve">: </w:t>
      </w:r>
      <w:r w:rsidR="005C1845" w:rsidRPr="005059A1">
        <w:rPr>
          <w:rFonts w:ascii="Arial Narrow" w:eastAsia="Calibri" w:hAnsi="Arial Narrow" w:cstheme="minorHAnsi"/>
          <w:b/>
          <w:iCs/>
          <w:color w:val="000000"/>
          <w:sz w:val="20"/>
          <w:szCs w:val="18"/>
          <w:lang w:eastAsia="en-US"/>
        </w:rPr>
        <w:t xml:space="preserve">Pooled Kaplan-Meier overall survival by treatment and age group </w:t>
      </w:r>
    </w:p>
    <w:tbl>
      <w:tblPr>
        <w:tblStyle w:val="ASDTable1"/>
        <w:tblW w:w="5000" w:type="pct"/>
        <w:tblLook w:val="04A0" w:firstRow="1" w:lastRow="0" w:firstColumn="1" w:lastColumn="0" w:noHBand="0" w:noVBand="1"/>
        <w:tblCaption w:val="Table 3: Pooled Kaplan-Meier overall survival by treatment and age group "/>
        <w:tblDescription w:val="Table 3: Pooled Kaplan-Meier overall survival by treatment and age group "/>
      </w:tblPr>
      <w:tblGrid>
        <w:gridCol w:w="1177"/>
        <w:gridCol w:w="528"/>
        <w:gridCol w:w="1457"/>
        <w:gridCol w:w="1298"/>
        <w:gridCol w:w="523"/>
        <w:gridCol w:w="1457"/>
        <w:gridCol w:w="1168"/>
        <w:gridCol w:w="1408"/>
      </w:tblGrid>
      <w:tr w:rsidR="005C1845" w:rsidRPr="005059A1" w:rsidTr="00D7706D">
        <w:trPr>
          <w:tblHeader/>
        </w:trPr>
        <w:tc>
          <w:tcPr>
            <w:tcW w:w="652" w:type="pct"/>
            <w:vMerge w:val="restart"/>
            <w:shd w:val="clear" w:color="auto" w:fill="BFBFBF"/>
          </w:tcPr>
          <w:p w:rsidR="005C1845" w:rsidRPr="005059A1" w:rsidRDefault="005C1845" w:rsidP="00554CB2">
            <w:pPr>
              <w:jc w:val="left"/>
              <w:rPr>
                <w:rFonts w:ascii="Arial Narrow" w:hAnsi="Arial Narrow" w:cstheme="minorHAnsi"/>
                <w:b/>
                <w:color w:val="000000"/>
                <w:sz w:val="20"/>
                <w:szCs w:val="18"/>
              </w:rPr>
            </w:pPr>
          </w:p>
        </w:tc>
        <w:tc>
          <w:tcPr>
            <w:tcW w:w="1821" w:type="pct"/>
            <w:gridSpan w:val="3"/>
            <w:shd w:val="clear" w:color="auto" w:fill="BFBFBF"/>
          </w:tcPr>
          <w:p w:rsidR="005C1845" w:rsidRPr="005059A1" w:rsidRDefault="005C1845" w:rsidP="00554CB2">
            <w:pPr>
              <w:jc w:val="left"/>
              <w:rPr>
                <w:rFonts w:ascii="Arial Narrow" w:hAnsi="Arial Narrow" w:cstheme="minorHAnsi"/>
                <w:b/>
                <w:color w:val="000000"/>
                <w:sz w:val="20"/>
                <w:szCs w:val="18"/>
              </w:rPr>
            </w:pPr>
            <w:r w:rsidRPr="005059A1">
              <w:rPr>
                <w:rFonts w:ascii="Arial Narrow" w:hAnsi="Arial Narrow" w:cstheme="minorHAnsi"/>
                <w:b/>
                <w:color w:val="000000"/>
                <w:sz w:val="20"/>
                <w:szCs w:val="18"/>
              </w:rPr>
              <w:t>PD-1/L1 blocking antibodies</w:t>
            </w:r>
          </w:p>
        </w:tc>
        <w:tc>
          <w:tcPr>
            <w:tcW w:w="1746" w:type="pct"/>
            <w:gridSpan w:val="3"/>
            <w:shd w:val="clear" w:color="auto" w:fill="BFBFBF"/>
          </w:tcPr>
          <w:p w:rsidR="005C1845" w:rsidRPr="005059A1" w:rsidRDefault="005C1845" w:rsidP="00554CB2">
            <w:pPr>
              <w:jc w:val="left"/>
              <w:rPr>
                <w:rFonts w:ascii="Arial Narrow" w:hAnsi="Arial Narrow" w:cstheme="minorHAnsi"/>
                <w:b/>
                <w:color w:val="000000"/>
                <w:sz w:val="20"/>
                <w:szCs w:val="18"/>
              </w:rPr>
            </w:pPr>
            <w:r w:rsidRPr="005059A1">
              <w:rPr>
                <w:rFonts w:ascii="Arial Narrow" w:hAnsi="Arial Narrow" w:cstheme="minorHAnsi"/>
                <w:b/>
                <w:color w:val="000000"/>
                <w:sz w:val="20"/>
                <w:szCs w:val="18"/>
              </w:rPr>
              <w:t>Docetaxel</w:t>
            </w:r>
          </w:p>
        </w:tc>
        <w:tc>
          <w:tcPr>
            <w:tcW w:w="782" w:type="pct"/>
            <w:shd w:val="clear" w:color="auto" w:fill="BFBFBF"/>
          </w:tcPr>
          <w:p w:rsidR="005C1845" w:rsidRPr="005059A1" w:rsidRDefault="005C1845" w:rsidP="00554CB2">
            <w:pPr>
              <w:jc w:val="left"/>
              <w:rPr>
                <w:rFonts w:ascii="Arial Narrow" w:hAnsi="Arial Narrow" w:cstheme="minorHAnsi"/>
                <w:b/>
                <w:color w:val="000000"/>
                <w:sz w:val="20"/>
                <w:szCs w:val="18"/>
              </w:rPr>
            </w:pPr>
            <w:r w:rsidRPr="005059A1">
              <w:rPr>
                <w:rFonts w:ascii="Arial Narrow" w:hAnsi="Arial Narrow" w:cstheme="minorHAnsi"/>
                <w:b/>
                <w:color w:val="000000"/>
                <w:sz w:val="20"/>
                <w:szCs w:val="18"/>
              </w:rPr>
              <w:t>Difference</w:t>
            </w:r>
          </w:p>
        </w:tc>
      </w:tr>
      <w:tr w:rsidR="005C1845" w:rsidRPr="005059A1" w:rsidTr="00D7706D">
        <w:trPr>
          <w:tblHeader/>
        </w:trPr>
        <w:tc>
          <w:tcPr>
            <w:tcW w:w="652" w:type="pct"/>
            <w:vMerge/>
            <w:shd w:val="clear" w:color="auto" w:fill="BFBFBF"/>
          </w:tcPr>
          <w:p w:rsidR="005C1845" w:rsidRPr="005059A1" w:rsidRDefault="005C1845" w:rsidP="00554CB2">
            <w:pPr>
              <w:jc w:val="left"/>
              <w:rPr>
                <w:rFonts w:ascii="Arial Narrow" w:hAnsi="Arial Narrow" w:cstheme="minorHAnsi"/>
                <w:b/>
                <w:color w:val="000000"/>
                <w:sz w:val="20"/>
                <w:szCs w:val="18"/>
              </w:rPr>
            </w:pPr>
          </w:p>
        </w:tc>
        <w:tc>
          <w:tcPr>
            <w:tcW w:w="293" w:type="pct"/>
            <w:shd w:val="clear" w:color="auto" w:fill="BFBFBF"/>
          </w:tcPr>
          <w:p w:rsidR="005C1845" w:rsidRPr="005059A1" w:rsidRDefault="005C1845" w:rsidP="00554CB2">
            <w:pPr>
              <w:jc w:val="left"/>
              <w:rPr>
                <w:rFonts w:ascii="Arial Narrow" w:hAnsi="Arial Narrow" w:cstheme="minorHAnsi"/>
                <w:b/>
                <w:color w:val="000000"/>
                <w:sz w:val="20"/>
                <w:szCs w:val="18"/>
              </w:rPr>
            </w:pPr>
            <w:r w:rsidRPr="005059A1">
              <w:rPr>
                <w:rFonts w:ascii="Arial Narrow" w:hAnsi="Arial Narrow" w:cstheme="minorHAnsi"/>
                <w:b/>
                <w:color w:val="000000"/>
                <w:sz w:val="20"/>
                <w:szCs w:val="18"/>
              </w:rPr>
              <w:t>n</w:t>
            </w:r>
          </w:p>
        </w:tc>
        <w:tc>
          <w:tcPr>
            <w:tcW w:w="808" w:type="pct"/>
            <w:shd w:val="clear" w:color="auto" w:fill="BFBFBF"/>
          </w:tcPr>
          <w:p w:rsidR="005C1845" w:rsidRPr="005059A1" w:rsidRDefault="005C1845" w:rsidP="00554CB2">
            <w:pPr>
              <w:jc w:val="left"/>
              <w:rPr>
                <w:rFonts w:ascii="Arial Narrow" w:hAnsi="Arial Narrow" w:cstheme="minorHAnsi"/>
                <w:b/>
                <w:color w:val="000000"/>
                <w:sz w:val="20"/>
                <w:szCs w:val="18"/>
              </w:rPr>
            </w:pPr>
            <w:r w:rsidRPr="005059A1">
              <w:rPr>
                <w:rFonts w:ascii="Arial Narrow" w:hAnsi="Arial Narrow" w:cstheme="minorHAnsi"/>
                <w:b/>
                <w:color w:val="000000"/>
                <w:sz w:val="20"/>
                <w:szCs w:val="18"/>
              </w:rPr>
              <w:t>Median (mth)</w:t>
            </w:r>
          </w:p>
        </w:tc>
        <w:tc>
          <w:tcPr>
            <w:tcW w:w="720" w:type="pct"/>
            <w:shd w:val="clear" w:color="auto" w:fill="BFBFBF"/>
          </w:tcPr>
          <w:p w:rsidR="005C1845" w:rsidRPr="005059A1" w:rsidRDefault="005C1845" w:rsidP="00554CB2">
            <w:pPr>
              <w:jc w:val="left"/>
              <w:rPr>
                <w:rFonts w:ascii="Arial Narrow" w:hAnsi="Arial Narrow" w:cstheme="minorHAnsi"/>
                <w:b/>
                <w:color w:val="000000"/>
                <w:sz w:val="20"/>
                <w:szCs w:val="18"/>
              </w:rPr>
            </w:pPr>
            <w:r w:rsidRPr="005059A1">
              <w:rPr>
                <w:rFonts w:ascii="Arial Narrow" w:hAnsi="Arial Narrow" w:cstheme="minorHAnsi"/>
                <w:b/>
                <w:color w:val="000000"/>
                <w:sz w:val="20"/>
                <w:szCs w:val="18"/>
              </w:rPr>
              <w:t>95%CI</w:t>
            </w:r>
          </w:p>
        </w:tc>
        <w:tc>
          <w:tcPr>
            <w:tcW w:w="290" w:type="pct"/>
            <w:shd w:val="clear" w:color="auto" w:fill="BFBFBF"/>
          </w:tcPr>
          <w:p w:rsidR="005C1845" w:rsidRPr="005059A1" w:rsidRDefault="005C1845" w:rsidP="00554CB2">
            <w:pPr>
              <w:jc w:val="left"/>
              <w:rPr>
                <w:rFonts w:ascii="Arial Narrow" w:hAnsi="Arial Narrow" w:cstheme="minorHAnsi"/>
                <w:b/>
                <w:color w:val="000000"/>
                <w:sz w:val="20"/>
                <w:szCs w:val="18"/>
              </w:rPr>
            </w:pPr>
            <w:r w:rsidRPr="005059A1">
              <w:rPr>
                <w:rFonts w:ascii="Arial Narrow" w:hAnsi="Arial Narrow" w:cstheme="minorHAnsi"/>
                <w:b/>
                <w:color w:val="000000"/>
                <w:sz w:val="20"/>
                <w:szCs w:val="18"/>
              </w:rPr>
              <w:t>n</w:t>
            </w:r>
          </w:p>
        </w:tc>
        <w:tc>
          <w:tcPr>
            <w:tcW w:w="808" w:type="pct"/>
            <w:shd w:val="clear" w:color="auto" w:fill="BFBFBF"/>
          </w:tcPr>
          <w:p w:rsidR="005C1845" w:rsidRPr="005059A1" w:rsidRDefault="005C1845" w:rsidP="00554CB2">
            <w:pPr>
              <w:jc w:val="left"/>
              <w:rPr>
                <w:rFonts w:ascii="Arial Narrow" w:hAnsi="Arial Narrow" w:cstheme="minorHAnsi"/>
                <w:b/>
                <w:color w:val="000000"/>
                <w:sz w:val="20"/>
                <w:szCs w:val="18"/>
              </w:rPr>
            </w:pPr>
            <w:r w:rsidRPr="005059A1">
              <w:rPr>
                <w:rFonts w:ascii="Arial Narrow" w:hAnsi="Arial Narrow" w:cstheme="minorHAnsi"/>
                <w:b/>
                <w:color w:val="000000"/>
                <w:sz w:val="20"/>
                <w:szCs w:val="18"/>
              </w:rPr>
              <w:t>Median (mth)</w:t>
            </w:r>
          </w:p>
        </w:tc>
        <w:tc>
          <w:tcPr>
            <w:tcW w:w="648" w:type="pct"/>
            <w:shd w:val="clear" w:color="auto" w:fill="BFBFBF"/>
          </w:tcPr>
          <w:p w:rsidR="005C1845" w:rsidRPr="005059A1" w:rsidRDefault="005C1845" w:rsidP="00554CB2">
            <w:pPr>
              <w:jc w:val="left"/>
              <w:rPr>
                <w:rFonts w:ascii="Arial Narrow" w:hAnsi="Arial Narrow" w:cstheme="minorHAnsi"/>
                <w:b/>
                <w:color w:val="000000"/>
                <w:sz w:val="20"/>
                <w:szCs w:val="18"/>
              </w:rPr>
            </w:pPr>
            <w:r w:rsidRPr="005059A1">
              <w:rPr>
                <w:rFonts w:ascii="Arial Narrow" w:hAnsi="Arial Narrow" w:cstheme="minorHAnsi"/>
                <w:b/>
                <w:color w:val="000000"/>
                <w:sz w:val="20"/>
                <w:szCs w:val="18"/>
              </w:rPr>
              <w:t>95%CI</w:t>
            </w:r>
          </w:p>
        </w:tc>
        <w:tc>
          <w:tcPr>
            <w:tcW w:w="782" w:type="pct"/>
            <w:shd w:val="clear" w:color="auto" w:fill="BFBFBF"/>
          </w:tcPr>
          <w:p w:rsidR="005C1845" w:rsidRPr="005059A1" w:rsidRDefault="005C1845" w:rsidP="00554CB2">
            <w:pPr>
              <w:jc w:val="left"/>
              <w:rPr>
                <w:rFonts w:ascii="Arial Narrow" w:hAnsi="Arial Narrow" w:cstheme="minorHAnsi"/>
                <w:b/>
                <w:color w:val="000000"/>
                <w:sz w:val="20"/>
                <w:szCs w:val="18"/>
              </w:rPr>
            </w:pPr>
            <w:r w:rsidRPr="005059A1">
              <w:rPr>
                <w:rFonts w:ascii="Arial Narrow" w:hAnsi="Arial Narrow" w:cstheme="minorHAnsi"/>
                <w:b/>
                <w:color w:val="000000"/>
                <w:sz w:val="20"/>
                <w:szCs w:val="18"/>
              </w:rPr>
              <w:t>Median (mth)</w:t>
            </w:r>
          </w:p>
        </w:tc>
      </w:tr>
      <w:tr w:rsidR="005C1845" w:rsidRPr="005059A1" w:rsidTr="00D7706D">
        <w:tc>
          <w:tcPr>
            <w:tcW w:w="652" w:type="pct"/>
          </w:tcPr>
          <w:p w:rsidR="005C1845" w:rsidRPr="005059A1" w:rsidRDefault="005C1845" w:rsidP="00554CB2">
            <w:pPr>
              <w:jc w:val="left"/>
              <w:rPr>
                <w:rFonts w:ascii="Arial Narrow" w:hAnsi="Arial Narrow" w:cstheme="minorHAnsi"/>
                <w:color w:val="000000"/>
                <w:sz w:val="20"/>
                <w:szCs w:val="18"/>
              </w:rPr>
            </w:pPr>
            <w:r w:rsidRPr="005059A1">
              <w:rPr>
                <w:rFonts w:ascii="Arial Narrow" w:hAnsi="Arial Narrow" w:cstheme="minorHAnsi"/>
                <w:color w:val="000000"/>
                <w:sz w:val="20"/>
                <w:szCs w:val="18"/>
              </w:rPr>
              <w:t>&lt;65 years</w:t>
            </w:r>
          </w:p>
        </w:tc>
        <w:tc>
          <w:tcPr>
            <w:tcW w:w="293" w:type="pct"/>
          </w:tcPr>
          <w:p w:rsidR="005C1845" w:rsidRPr="005059A1" w:rsidRDefault="005C1845" w:rsidP="00554CB2">
            <w:pPr>
              <w:jc w:val="left"/>
              <w:rPr>
                <w:rFonts w:ascii="Arial Narrow" w:hAnsi="Arial Narrow" w:cstheme="minorHAnsi"/>
                <w:color w:val="000000"/>
                <w:sz w:val="20"/>
                <w:szCs w:val="18"/>
              </w:rPr>
            </w:pPr>
            <w:r w:rsidRPr="005059A1">
              <w:rPr>
                <w:rFonts w:ascii="Arial Narrow" w:hAnsi="Arial Narrow" w:cstheme="minorHAnsi"/>
                <w:color w:val="000000"/>
                <w:sz w:val="20"/>
                <w:szCs w:val="18"/>
              </w:rPr>
              <w:t>921</w:t>
            </w:r>
          </w:p>
        </w:tc>
        <w:tc>
          <w:tcPr>
            <w:tcW w:w="808" w:type="pct"/>
          </w:tcPr>
          <w:p w:rsidR="005C1845" w:rsidRPr="005059A1" w:rsidRDefault="005C1845" w:rsidP="00554CB2">
            <w:pPr>
              <w:jc w:val="left"/>
              <w:rPr>
                <w:rFonts w:ascii="Arial Narrow" w:hAnsi="Arial Narrow" w:cstheme="minorHAnsi"/>
                <w:color w:val="000000"/>
                <w:sz w:val="20"/>
                <w:szCs w:val="18"/>
              </w:rPr>
            </w:pPr>
            <w:r w:rsidRPr="005059A1">
              <w:rPr>
                <w:rFonts w:ascii="Arial Narrow" w:hAnsi="Arial Narrow" w:cstheme="minorHAnsi"/>
                <w:color w:val="000000"/>
                <w:sz w:val="20"/>
                <w:szCs w:val="18"/>
              </w:rPr>
              <w:t>14.5</w:t>
            </w:r>
          </w:p>
        </w:tc>
        <w:tc>
          <w:tcPr>
            <w:tcW w:w="720" w:type="pct"/>
          </w:tcPr>
          <w:p w:rsidR="005C1845" w:rsidRPr="005059A1" w:rsidRDefault="005C1845" w:rsidP="00554CB2">
            <w:pPr>
              <w:jc w:val="left"/>
              <w:rPr>
                <w:rFonts w:ascii="Arial Narrow" w:hAnsi="Arial Narrow" w:cstheme="minorHAnsi"/>
                <w:color w:val="000000"/>
                <w:sz w:val="20"/>
                <w:szCs w:val="18"/>
              </w:rPr>
            </w:pPr>
            <w:r w:rsidRPr="005059A1">
              <w:rPr>
                <w:rFonts w:ascii="Arial Narrow" w:hAnsi="Arial Narrow" w:cstheme="minorHAnsi"/>
                <w:color w:val="000000"/>
                <w:sz w:val="20"/>
                <w:szCs w:val="18"/>
              </w:rPr>
              <w:t>(10.8, 14.2)</w:t>
            </w:r>
          </w:p>
        </w:tc>
        <w:tc>
          <w:tcPr>
            <w:tcW w:w="290" w:type="pct"/>
          </w:tcPr>
          <w:p w:rsidR="005C1845" w:rsidRPr="005059A1" w:rsidRDefault="005C1845" w:rsidP="00554CB2">
            <w:pPr>
              <w:jc w:val="left"/>
              <w:rPr>
                <w:rFonts w:ascii="Arial Narrow" w:hAnsi="Arial Narrow" w:cstheme="minorHAnsi"/>
                <w:color w:val="000000"/>
                <w:sz w:val="20"/>
                <w:szCs w:val="18"/>
              </w:rPr>
            </w:pPr>
            <w:r w:rsidRPr="005059A1">
              <w:rPr>
                <w:rFonts w:ascii="Arial Narrow" w:hAnsi="Arial Narrow" w:cstheme="minorHAnsi"/>
                <w:color w:val="000000"/>
                <w:sz w:val="20"/>
                <w:szCs w:val="18"/>
              </w:rPr>
              <w:t>699</w:t>
            </w:r>
          </w:p>
        </w:tc>
        <w:tc>
          <w:tcPr>
            <w:tcW w:w="808" w:type="pct"/>
          </w:tcPr>
          <w:p w:rsidR="005C1845" w:rsidRPr="005059A1" w:rsidRDefault="005C1845" w:rsidP="00554CB2">
            <w:pPr>
              <w:jc w:val="left"/>
              <w:rPr>
                <w:rFonts w:ascii="Arial Narrow" w:hAnsi="Arial Narrow" w:cstheme="minorHAnsi"/>
                <w:color w:val="000000"/>
                <w:sz w:val="20"/>
                <w:szCs w:val="18"/>
              </w:rPr>
            </w:pPr>
            <w:r w:rsidRPr="005059A1">
              <w:rPr>
                <w:rFonts w:ascii="Arial Narrow" w:hAnsi="Arial Narrow" w:cstheme="minorHAnsi"/>
                <w:color w:val="000000"/>
                <w:sz w:val="20"/>
                <w:szCs w:val="18"/>
              </w:rPr>
              <w:t>8.8</w:t>
            </w:r>
          </w:p>
        </w:tc>
        <w:tc>
          <w:tcPr>
            <w:tcW w:w="648" w:type="pct"/>
          </w:tcPr>
          <w:p w:rsidR="005C1845" w:rsidRPr="005059A1" w:rsidRDefault="005C1845" w:rsidP="00554CB2">
            <w:pPr>
              <w:jc w:val="left"/>
              <w:rPr>
                <w:rFonts w:ascii="Arial Narrow" w:hAnsi="Arial Narrow" w:cstheme="minorHAnsi"/>
                <w:color w:val="000000"/>
                <w:sz w:val="20"/>
                <w:szCs w:val="18"/>
              </w:rPr>
            </w:pPr>
            <w:r w:rsidRPr="005059A1">
              <w:rPr>
                <w:rFonts w:ascii="Arial Narrow" w:hAnsi="Arial Narrow" w:cstheme="minorHAnsi"/>
                <w:color w:val="000000"/>
                <w:sz w:val="20"/>
                <w:szCs w:val="18"/>
              </w:rPr>
              <w:t>(8.3, 9.9)</w:t>
            </w:r>
          </w:p>
        </w:tc>
        <w:tc>
          <w:tcPr>
            <w:tcW w:w="782" w:type="pct"/>
          </w:tcPr>
          <w:p w:rsidR="005C1845" w:rsidRPr="005059A1" w:rsidRDefault="005C1845" w:rsidP="00554CB2">
            <w:pPr>
              <w:jc w:val="left"/>
              <w:rPr>
                <w:rFonts w:ascii="Arial Narrow" w:hAnsi="Arial Narrow" w:cstheme="minorHAnsi"/>
                <w:color w:val="000000"/>
                <w:sz w:val="20"/>
                <w:szCs w:val="18"/>
              </w:rPr>
            </w:pPr>
            <w:r w:rsidRPr="005059A1">
              <w:rPr>
                <w:rFonts w:ascii="Arial Narrow" w:hAnsi="Arial Narrow" w:cstheme="minorHAnsi"/>
                <w:color w:val="000000"/>
                <w:sz w:val="20"/>
                <w:szCs w:val="18"/>
              </w:rPr>
              <w:t>5.7</w:t>
            </w:r>
          </w:p>
        </w:tc>
      </w:tr>
      <w:tr w:rsidR="005C1845" w:rsidRPr="005059A1" w:rsidTr="00D7706D">
        <w:tc>
          <w:tcPr>
            <w:tcW w:w="652" w:type="pct"/>
          </w:tcPr>
          <w:p w:rsidR="005C1845" w:rsidRPr="005059A1" w:rsidRDefault="005C1845" w:rsidP="00554CB2">
            <w:pPr>
              <w:jc w:val="left"/>
              <w:rPr>
                <w:rFonts w:ascii="Arial Narrow" w:hAnsi="Arial Narrow" w:cstheme="minorHAnsi"/>
                <w:color w:val="000000"/>
                <w:sz w:val="20"/>
                <w:szCs w:val="18"/>
              </w:rPr>
            </w:pPr>
            <w:r w:rsidRPr="005059A1">
              <w:rPr>
                <w:rFonts w:ascii="Arial Narrow" w:hAnsi="Arial Narrow" w:cstheme="minorHAnsi"/>
                <w:color w:val="000000"/>
                <w:sz w:val="20"/>
                <w:szCs w:val="18"/>
              </w:rPr>
              <w:t>≥65 years</w:t>
            </w:r>
          </w:p>
        </w:tc>
        <w:tc>
          <w:tcPr>
            <w:tcW w:w="293" w:type="pct"/>
          </w:tcPr>
          <w:p w:rsidR="005C1845" w:rsidRPr="005059A1" w:rsidRDefault="005C1845" w:rsidP="00554CB2">
            <w:pPr>
              <w:jc w:val="left"/>
              <w:rPr>
                <w:rFonts w:ascii="Arial Narrow" w:hAnsi="Arial Narrow" w:cstheme="minorHAnsi"/>
                <w:color w:val="000000"/>
                <w:sz w:val="20"/>
                <w:szCs w:val="18"/>
              </w:rPr>
            </w:pPr>
            <w:r w:rsidRPr="005059A1">
              <w:rPr>
                <w:rFonts w:ascii="Arial Narrow" w:hAnsi="Arial Narrow" w:cstheme="minorHAnsi"/>
                <w:color w:val="000000"/>
                <w:sz w:val="20"/>
                <w:szCs w:val="18"/>
              </w:rPr>
              <w:t>659</w:t>
            </w:r>
          </w:p>
        </w:tc>
        <w:tc>
          <w:tcPr>
            <w:tcW w:w="808" w:type="pct"/>
          </w:tcPr>
          <w:p w:rsidR="005C1845" w:rsidRPr="005059A1" w:rsidRDefault="005C1845" w:rsidP="00554CB2">
            <w:pPr>
              <w:jc w:val="left"/>
              <w:rPr>
                <w:rFonts w:ascii="Arial Narrow" w:hAnsi="Arial Narrow" w:cstheme="minorHAnsi"/>
                <w:color w:val="000000"/>
                <w:sz w:val="20"/>
                <w:szCs w:val="18"/>
              </w:rPr>
            </w:pPr>
            <w:r w:rsidRPr="005059A1">
              <w:rPr>
                <w:rFonts w:ascii="Arial Narrow" w:hAnsi="Arial Narrow" w:cstheme="minorHAnsi"/>
                <w:color w:val="000000"/>
                <w:sz w:val="20"/>
                <w:szCs w:val="18"/>
              </w:rPr>
              <w:t>14.2</w:t>
            </w:r>
          </w:p>
        </w:tc>
        <w:tc>
          <w:tcPr>
            <w:tcW w:w="720" w:type="pct"/>
          </w:tcPr>
          <w:p w:rsidR="005C1845" w:rsidRPr="005059A1" w:rsidRDefault="005C1845" w:rsidP="00554CB2">
            <w:pPr>
              <w:jc w:val="left"/>
              <w:rPr>
                <w:rFonts w:ascii="Arial Narrow" w:hAnsi="Arial Narrow" w:cstheme="minorHAnsi"/>
                <w:color w:val="000000"/>
                <w:sz w:val="20"/>
                <w:szCs w:val="18"/>
              </w:rPr>
            </w:pPr>
            <w:r w:rsidRPr="005059A1">
              <w:rPr>
                <w:rFonts w:ascii="Arial Narrow" w:hAnsi="Arial Narrow" w:cstheme="minorHAnsi"/>
                <w:color w:val="000000"/>
                <w:sz w:val="20"/>
                <w:szCs w:val="18"/>
              </w:rPr>
              <w:t>(11.0, 15.3)</w:t>
            </w:r>
          </w:p>
        </w:tc>
        <w:tc>
          <w:tcPr>
            <w:tcW w:w="290" w:type="pct"/>
          </w:tcPr>
          <w:p w:rsidR="005C1845" w:rsidRPr="005059A1" w:rsidRDefault="005C1845" w:rsidP="00554CB2">
            <w:pPr>
              <w:jc w:val="left"/>
              <w:rPr>
                <w:rFonts w:ascii="Arial Narrow" w:hAnsi="Arial Narrow" w:cstheme="minorHAnsi"/>
                <w:color w:val="000000"/>
                <w:sz w:val="20"/>
                <w:szCs w:val="18"/>
              </w:rPr>
            </w:pPr>
            <w:r w:rsidRPr="005059A1">
              <w:rPr>
                <w:rFonts w:ascii="Arial Narrow" w:hAnsi="Arial Narrow" w:cstheme="minorHAnsi"/>
                <w:color w:val="000000"/>
                <w:sz w:val="20"/>
                <w:szCs w:val="18"/>
              </w:rPr>
              <w:t>545</w:t>
            </w:r>
          </w:p>
        </w:tc>
        <w:tc>
          <w:tcPr>
            <w:tcW w:w="808" w:type="pct"/>
          </w:tcPr>
          <w:p w:rsidR="005C1845" w:rsidRPr="005059A1" w:rsidRDefault="005C1845" w:rsidP="00554CB2">
            <w:pPr>
              <w:jc w:val="left"/>
              <w:rPr>
                <w:rFonts w:ascii="Arial Narrow" w:hAnsi="Arial Narrow" w:cstheme="minorHAnsi"/>
                <w:color w:val="000000"/>
                <w:sz w:val="20"/>
                <w:szCs w:val="18"/>
              </w:rPr>
            </w:pPr>
            <w:r w:rsidRPr="005059A1">
              <w:rPr>
                <w:rFonts w:ascii="Arial Narrow" w:hAnsi="Arial Narrow" w:cstheme="minorHAnsi"/>
                <w:color w:val="000000"/>
                <w:sz w:val="20"/>
                <w:szCs w:val="18"/>
              </w:rPr>
              <w:t>9.0</w:t>
            </w:r>
          </w:p>
        </w:tc>
        <w:tc>
          <w:tcPr>
            <w:tcW w:w="648" w:type="pct"/>
          </w:tcPr>
          <w:p w:rsidR="005C1845" w:rsidRPr="005059A1" w:rsidRDefault="005C1845" w:rsidP="00554CB2">
            <w:pPr>
              <w:jc w:val="left"/>
              <w:rPr>
                <w:rFonts w:ascii="Arial Narrow" w:hAnsi="Arial Narrow" w:cstheme="minorHAnsi"/>
                <w:color w:val="000000"/>
                <w:sz w:val="20"/>
                <w:szCs w:val="18"/>
              </w:rPr>
            </w:pPr>
            <w:r w:rsidRPr="005059A1">
              <w:rPr>
                <w:rFonts w:ascii="Arial Narrow" w:hAnsi="Arial Narrow" w:cstheme="minorHAnsi"/>
                <w:color w:val="000000"/>
                <w:sz w:val="20"/>
                <w:szCs w:val="18"/>
              </w:rPr>
              <w:t>(8.3, 9.6)</w:t>
            </w:r>
          </w:p>
        </w:tc>
        <w:tc>
          <w:tcPr>
            <w:tcW w:w="782" w:type="pct"/>
          </w:tcPr>
          <w:p w:rsidR="005C1845" w:rsidRPr="005059A1" w:rsidRDefault="005C1845" w:rsidP="00554CB2">
            <w:pPr>
              <w:jc w:val="left"/>
              <w:rPr>
                <w:rFonts w:ascii="Arial Narrow" w:hAnsi="Arial Narrow" w:cstheme="minorHAnsi"/>
                <w:color w:val="000000"/>
                <w:sz w:val="20"/>
                <w:szCs w:val="18"/>
              </w:rPr>
            </w:pPr>
            <w:r w:rsidRPr="005059A1">
              <w:rPr>
                <w:rFonts w:ascii="Arial Narrow" w:hAnsi="Arial Narrow" w:cstheme="minorHAnsi"/>
                <w:color w:val="000000"/>
                <w:sz w:val="20"/>
                <w:szCs w:val="18"/>
              </w:rPr>
              <w:t>5.2</w:t>
            </w:r>
          </w:p>
        </w:tc>
      </w:tr>
      <w:tr w:rsidR="005C1845" w:rsidRPr="005059A1" w:rsidTr="00D7706D">
        <w:tc>
          <w:tcPr>
            <w:tcW w:w="652" w:type="pct"/>
          </w:tcPr>
          <w:p w:rsidR="005C1845" w:rsidRPr="005059A1" w:rsidRDefault="005C1845" w:rsidP="00554CB2">
            <w:pPr>
              <w:jc w:val="left"/>
              <w:rPr>
                <w:rFonts w:ascii="Arial Narrow" w:hAnsi="Arial Narrow" w:cstheme="minorHAnsi"/>
                <w:color w:val="000000"/>
                <w:sz w:val="20"/>
                <w:szCs w:val="18"/>
              </w:rPr>
            </w:pPr>
            <w:r w:rsidRPr="005059A1">
              <w:rPr>
                <w:rFonts w:ascii="Arial Narrow" w:hAnsi="Arial Narrow" w:cstheme="minorHAnsi"/>
                <w:color w:val="000000"/>
                <w:sz w:val="20"/>
                <w:szCs w:val="18"/>
              </w:rPr>
              <w:t>≥70 years</w:t>
            </w:r>
          </w:p>
        </w:tc>
        <w:tc>
          <w:tcPr>
            <w:tcW w:w="293" w:type="pct"/>
          </w:tcPr>
          <w:p w:rsidR="005C1845" w:rsidRPr="005059A1" w:rsidRDefault="005C1845" w:rsidP="00554CB2">
            <w:pPr>
              <w:jc w:val="left"/>
              <w:rPr>
                <w:rFonts w:ascii="Arial Narrow" w:hAnsi="Arial Narrow" w:cstheme="minorHAnsi"/>
                <w:color w:val="000000"/>
                <w:sz w:val="20"/>
                <w:szCs w:val="18"/>
              </w:rPr>
            </w:pPr>
            <w:r w:rsidRPr="005059A1">
              <w:rPr>
                <w:rFonts w:ascii="Arial Narrow" w:hAnsi="Arial Narrow" w:cstheme="minorHAnsi"/>
                <w:color w:val="000000"/>
                <w:sz w:val="20"/>
                <w:szCs w:val="18"/>
              </w:rPr>
              <w:t>300</w:t>
            </w:r>
          </w:p>
        </w:tc>
        <w:tc>
          <w:tcPr>
            <w:tcW w:w="808" w:type="pct"/>
          </w:tcPr>
          <w:p w:rsidR="005C1845" w:rsidRPr="005059A1" w:rsidRDefault="005C1845" w:rsidP="00554CB2">
            <w:pPr>
              <w:jc w:val="left"/>
              <w:rPr>
                <w:rFonts w:ascii="Arial Narrow" w:hAnsi="Arial Narrow" w:cstheme="minorHAnsi"/>
                <w:color w:val="000000"/>
                <w:sz w:val="20"/>
                <w:szCs w:val="18"/>
              </w:rPr>
            </w:pPr>
            <w:r w:rsidRPr="005059A1">
              <w:rPr>
                <w:rFonts w:ascii="Arial Narrow" w:hAnsi="Arial Narrow" w:cstheme="minorHAnsi"/>
                <w:color w:val="000000"/>
                <w:sz w:val="20"/>
                <w:szCs w:val="18"/>
              </w:rPr>
              <w:t>14.1</w:t>
            </w:r>
          </w:p>
        </w:tc>
        <w:tc>
          <w:tcPr>
            <w:tcW w:w="720" w:type="pct"/>
          </w:tcPr>
          <w:p w:rsidR="005C1845" w:rsidRPr="005059A1" w:rsidRDefault="005C1845" w:rsidP="00554CB2">
            <w:pPr>
              <w:jc w:val="left"/>
              <w:rPr>
                <w:rFonts w:ascii="Arial Narrow" w:hAnsi="Arial Narrow" w:cstheme="minorHAnsi"/>
                <w:color w:val="000000"/>
                <w:sz w:val="20"/>
                <w:szCs w:val="18"/>
              </w:rPr>
            </w:pPr>
            <w:r w:rsidRPr="005059A1">
              <w:rPr>
                <w:rFonts w:ascii="Arial Narrow" w:hAnsi="Arial Narrow" w:cstheme="minorHAnsi"/>
                <w:color w:val="000000"/>
                <w:sz w:val="20"/>
                <w:szCs w:val="18"/>
              </w:rPr>
              <w:t>(9.7, 15.0)</w:t>
            </w:r>
          </w:p>
        </w:tc>
        <w:tc>
          <w:tcPr>
            <w:tcW w:w="290" w:type="pct"/>
          </w:tcPr>
          <w:p w:rsidR="005C1845" w:rsidRPr="005059A1" w:rsidRDefault="005C1845" w:rsidP="00554CB2">
            <w:pPr>
              <w:jc w:val="left"/>
              <w:rPr>
                <w:rFonts w:ascii="Arial Narrow" w:hAnsi="Arial Narrow" w:cstheme="minorHAnsi"/>
                <w:color w:val="000000"/>
                <w:sz w:val="20"/>
                <w:szCs w:val="18"/>
              </w:rPr>
            </w:pPr>
            <w:r w:rsidRPr="005059A1">
              <w:rPr>
                <w:rFonts w:ascii="Arial Narrow" w:hAnsi="Arial Narrow" w:cstheme="minorHAnsi"/>
                <w:color w:val="000000"/>
                <w:sz w:val="20"/>
                <w:szCs w:val="18"/>
              </w:rPr>
              <w:t>240</w:t>
            </w:r>
          </w:p>
        </w:tc>
        <w:tc>
          <w:tcPr>
            <w:tcW w:w="808" w:type="pct"/>
          </w:tcPr>
          <w:p w:rsidR="005C1845" w:rsidRPr="005059A1" w:rsidRDefault="005C1845" w:rsidP="00554CB2">
            <w:pPr>
              <w:jc w:val="left"/>
              <w:rPr>
                <w:rFonts w:ascii="Arial Narrow" w:hAnsi="Arial Narrow" w:cstheme="minorHAnsi"/>
                <w:color w:val="000000"/>
                <w:sz w:val="20"/>
                <w:szCs w:val="18"/>
              </w:rPr>
            </w:pPr>
            <w:r w:rsidRPr="005059A1">
              <w:rPr>
                <w:rFonts w:ascii="Arial Narrow" w:hAnsi="Arial Narrow" w:cstheme="minorHAnsi"/>
                <w:color w:val="000000"/>
                <w:sz w:val="20"/>
                <w:szCs w:val="18"/>
              </w:rPr>
              <w:t>9.2</w:t>
            </w:r>
          </w:p>
        </w:tc>
        <w:tc>
          <w:tcPr>
            <w:tcW w:w="648" w:type="pct"/>
          </w:tcPr>
          <w:p w:rsidR="005C1845" w:rsidRPr="005059A1" w:rsidRDefault="005C1845" w:rsidP="00554CB2">
            <w:pPr>
              <w:jc w:val="left"/>
              <w:rPr>
                <w:rFonts w:ascii="Arial Narrow" w:hAnsi="Arial Narrow" w:cstheme="minorHAnsi"/>
                <w:color w:val="000000"/>
                <w:sz w:val="20"/>
                <w:szCs w:val="18"/>
              </w:rPr>
            </w:pPr>
            <w:r w:rsidRPr="005059A1">
              <w:rPr>
                <w:rFonts w:ascii="Arial Narrow" w:hAnsi="Arial Narrow" w:cstheme="minorHAnsi"/>
                <w:color w:val="000000"/>
                <w:sz w:val="20"/>
                <w:szCs w:val="18"/>
              </w:rPr>
              <w:t>(8.2, 10.5)</w:t>
            </w:r>
          </w:p>
        </w:tc>
        <w:tc>
          <w:tcPr>
            <w:tcW w:w="782" w:type="pct"/>
          </w:tcPr>
          <w:p w:rsidR="005C1845" w:rsidRPr="005059A1" w:rsidRDefault="005C1845" w:rsidP="00554CB2">
            <w:pPr>
              <w:jc w:val="left"/>
              <w:rPr>
                <w:rFonts w:ascii="Arial Narrow" w:hAnsi="Arial Narrow" w:cstheme="minorHAnsi"/>
                <w:color w:val="000000"/>
                <w:sz w:val="20"/>
                <w:szCs w:val="18"/>
              </w:rPr>
            </w:pPr>
            <w:r w:rsidRPr="005059A1">
              <w:rPr>
                <w:rFonts w:ascii="Arial Narrow" w:hAnsi="Arial Narrow" w:cstheme="minorHAnsi"/>
                <w:color w:val="000000"/>
                <w:sz w:val="20"/>
                <w:szCs w:val="18"/>
              </w:rPr>
              <w:t>4.9</w:t>
            </w:r>
          </w:p>
        </w:tc>
      </w:tr>
      <w:tr w:rsidR="005C1845" w:rsidRPr="005059A1" w:rsidTr="00D7706D">
        <w:tc>
          <w:tcPr>
            <w:tcW w:w="652" w:type="pct"/>
          </w:tcPr>
          <w:p w:rsidR="005C1845" w:rsidRPr="005059A1" w:rsidRDefault="005C1845" w:rsidP="00554CB2">
            <w:pPr>
              <w:jc w:val="left"/>
              <w:rPr>
                <w:rFonts w:ascii="Arial Narrow" w:hAnsi="Arial Narrow" w:cstheme="minorHAnsi"/>
                <w:color w:val="000000"/>
                <w:sz w:val="20"/>
                <w:szCs w:val="18"/>
              </w:rPr>
            </w:pPr>
            <w:r w:rsidRPr="005059A1">
              <w:rPr>
                <w:rFonts w:ascii="Arial Narrow" w:hAnsi="Arial Narrow" w:cstheme="minorHAnsi"/>
                <w:color w:val="000000"/>
                <w:sz w:val="20"/>
                <w:szCs w:val="18"/>
              </w:rPr>
              <w:t>≥75 years</w:t>
            </w:r>
          </w:p>
        </w:tc>
        <w:tc>
          <w:tcPr>
            <w:tcW w:w="293" w:type="pct"/>
          </w:tcPr>
          <w:p w:rsidR="005C1845" w:rsidRPr="005059A1" w:rsidRDefault="005C1845" w:rsidP="00554CB2">
            <w:pPr>
              <w:jc w:val="left"/>
              <w:rPr>
                <w:rFonts w:ascii="Arial Narrow" w:hAnsi="Arial Narrow" w:cstheme="minorHAnsi"/>
                <w:color w:val="000000"/>
                <w:sz w:val="20"/>
                <w:szCs w:val="18"/>
              </w:rPr>
            </w:pPr>
            <w:r w:rsidRPr="005059A1">
              <w:rPr>
                <w:rFonts w:ascii="Arial Narrow" w:hAnsi="Arial Narrow" w:cstheme="minorHAnsi"/>
                <w:color w:val="000000"/>
                <w:sz w:val="20"/>
                <w:szCs w:val="18"/>
              </w:rPr>
              <w:t>211</w:t>
            </w:r>
          </w:p>
        </w:tc>
        <w:tc>
          <w:tcPr>
            <w:tcW w:w="808" w:type="pct"/>
          </w:tcPr>
          <w:p w:rsidR="005C1845" w:rsidRPr="005059A1" w:rsidRDefault="005C1845" w:rsidP="00554CB2">
            <w:pPr>
              <w:jc w:val="left"/>
              <w:rPr>
                <w:rFonts w:ascii="Arial Narrow" w:hAnsi="Arial Narrow" w:cstheme="minorHAnsi"/>
                <w:color w:val="000000"/>
                <w:sz w:val="20"/>
                <w:szCs w:val="18"/>
              </w:rPr>
            </w:pPr>
            <w:r w:rsidRPr="005059A1">
              <w:rPr>
                <w:rFonts w:ascii="Arial Narrow" w:hAnsi="Arial Narrow" w:cstheme="minorHAnsi"/>
                <w:color w:val="000000"/>
                <w:sz w:val="20"/>
                <w:szCs w:val="18"/>
              </w:rPr>
              <w:t>14.7</w:t>
            </w:r>
          </w:p>
        </w:tc>
        <w:tc>
          <w:tcPr>
            <w:tcW w:w="720" w:type="pct"/>
          </w:tcPr>
          <w:p w:rsidR="005C1845" w:rsidRPr="005059A1" w:rsidRDefault="005C1845" w:rsidP="00554CB2">
            <w:pPr>
              <w:jc w:val="left"/>
              <w:rPr>
                <w:rFonts w:ascii="Arial Narrow" w:hAnsi="Arial Narrow" w:cstheme="minorHAnsi"/>
                <w:color w:val="000000"/>
                <w:sz w:val="20"/>
                <w:szCs w:val="18"/>
              </w:rPr>
            </w:pPr>
            <w:r w:rsidRPr="005059A1">
              <w:rPr>
                <w:rFonts w:ascii="Arial Narrow" w:hAnsi="Arial Narrow" w:cstheme="minorHAnsi"/>
                <w:color w:val="000000"/>
                <w:sz w:val="20"/>
                <w:szCs w:val="18"/>
              </w:rPr>
              <w:t>(9.1, 20.4)</w:t>
            </w:r>
          </w:p>
        </w:tc>
        <w:tc>
          <w:tcPr>
            <w:tcW w:w="290" w:type="pct"/>
          </w:tcPr>
          <w:p w:rsidR="005C1845" w:rsidRPr="005059A1" w:rsidRDefault="005C1845" w:rsidP="00554CB2">
            <w:pPr>
              <w:jc w:val="left"/>
              <w:rPr>
                <w:rFonts w:ascii="Arial Narrow" w:hAnsi="Arial Narrow" w:cstheme="minorHAnsi"/>
                <w:color w:val="000000"/>
                <w:sz w:val="20"/>
                <w:szCs w:val="18"/>
              </w:rPr>
            </w:pPr>
            <w:r w:rsidRPr="005059A1">
              <w:rPr>
                <w:rFonts w:ascii="Arial Narrow" w:hAnsi="Arial Narrow" w:cstheme="minorHAnsi"/>
                <w:color w:val="000000"/>
                <w:sz w:val="20"/>
                <w:szCs w:val="18"/>
              </w:rPr>
              <w:t>149</w:t>
            </w:r>
          </w:p>
        </w:tc>
        <w:tc>
          <w:tcPr>
            <w:tcW w:w="808" w:type="pct"/>
          </w:tcPr>
          <w:p w:rsidR="005C1845" w:rsidRPr="005059A1" w:rsidRDefault="005C1845" w:rsidP="00554CB2">
            <w:pPr>
              <w:jc w:val="left"/>
              <w:rPr>
                <w:rFonts w:ascii="Arial Narrow" w:hAnsi="Arial Narrow" w:cstheme="minorHAnsi"/>
                <w:color w:val="000000"/>
                <w:sz w:val="20"/>
                <w:szCs w:val="18"/>
              </w:rPr>
            </w:pPr>
            <w:r w:rsidRPr="005059A1">
              <w:rPr>
                <w:rFonts w:ascii="Arial Narrow" w:hAnsi="Arial Narrow" w:cstheme="minorHAnsi"/>
                <w:color w:val="000000"/>
                <w:sz w:val="20"/>
                <w:szCs w:val="18"/>
              </w:rPr>
              <w:t>9.5</w:t>
            </w:r>
          </w:p>
        </w:tc>
        <w:tc>
          <w:tcPr>
            <w:tcW w:w="648" w:type="pct"/>
          </w:tcPr>
          <w:p w:rsidR="005C1845" w:rsidRPr="005059A1" w:rsidRDefault="005C1845" w:rsidP="00554CB2">
            <w:pPr>
              <w:jc w:val="left"/>
              <w:rPr>
                <w:rFonts w:ascii="Arial Narrow" w:hAnsi="Arial Narrow" w:cstheme="minorHAnsi"/>
                <w:color w:val="000000"/>
                <w:sz w:val="20"/>
                <w:szCs w:val="18"/>
              </w:rPr>
            </w:pPr>
            <w:r w:rsidRPr="005059A1">
              <w:rPr>
                <w:rFonts w:ascii="Arial Narrow" w:hAnsi="Arial Narrow" w:cstheme="minorHAnsi"/>
                <w:color w:val="000000"/>
                <w:sz w:val="20"/>
                <w:szCs w:val="18"/>
              </w:rPr>
              <w:t>(8.3, 15.5)</w:t>
            </w:r>
          </w:p>
        </w:tc>
        <w:tc>
          <w:tcPr>
            <w:tcW w:w="782" w:type="pct"/>
          </w:tcPr>
          <w:p w:rsidR="005C1845" w:rsidRPr="005059A1" w:rsidRDefault="005C1845" w:rsidP="00554CB2">
            <w:pPr>
              <w:jc w:val="left"/>
              <w:rPr>
                <w:rFonts w:ascii="Arial Narrow" w:hAnsi="Arial Narrow" w:cstheme="minorHAnsi"/>
                <w:color w:val="000000"/>
                <w:sz w:val="20"/>
                <w:szCs w:val="18"/>
              </w:rPr>
            </w:pPr>
            <w:r w:rsidRPr="005059A1">
              <w:rPr>
                <w:rFonts w:ascii="Arial Narrow" w:hAnsi="Arial Narrow" w:cstheme="minorHAnsi"/>
                <w:color w:val="000000"/>
                <w:sz w:val="20"/>
                <w:szCs w:val="18"/>
              </w:rPr>
              <w:t>5.2</w:t>
            </w:r>
          </w:p>
        </w:tc>
      </w:tr>
    </w:tbl>
    <w:p w:rsidR="005C1845" w:rsidRPr="00A57A3F" w:rsidRDefault="005C1845" w:rsidP="005C1845">
      <w:pPr>
        <w:jc w:val="left"/>
        <w:rPr>
          <w:rFonts w:ascii="Arial Narrow" w:eastAsia="Calibri" w:hAnsi="Arial Narrow"/>
          <w:sz w:val="18"/>
          <w:szCs w:val="18"/>
          <w:lang w:eastAsia="en-US"/>
        </w:rPr>
      </w:pPr>
      <w:r w:rsidRPr="00A57A3F">
        <w:rPr>
          <w:rFonts w:ascii="Arial Narrow" w:eastAsia="Calibri" w:hAnsi="Arial Narrow"/>
          <w:sz w:val="18"/>
          <w:szCs w:val="18"/>
          <w:lang w:eastAsia="en-US"/>
        </w:rPr>
        <w:t>Source: Table 5 minor submission</w:t>
      </w:r>
      <w:r w:rsidRPr="00A57A3F">
        <w:rPr>
          <w:rFonts w:ascii="Arial Narrow" w:eastAsia="Calibri" w:hAnsi="Arial Narrow"/>
          <w:sz w:val="18"/>
          <w:szCs w:val="18"/>
          <w:lang w:eastAsia="en-US"/>
        </w:rPr>
        <w:br/>
        <w:t>Abbreviations: CI = confidence interval; mth = month; PD-1 = programmed cell death 1 receptor; PD-L1 = programmed death ligand 1.</w:t>
      </w:r>
    </w:p>
    <w:p w:rsidR="00B626A1" w:rsidRPr="00A57A3F" w:rsidRDefault="005C1845" w:rsidP="00CD5CC6">
      <w:pPr>
        <w:jc w:val="left"/>
        <w:rPr>
          <w:rFonts w:ascii="Arial Narrow" w:eastAsia="Calibri" w:hAnsi="Arial Narrow"/>
          <w:sz w:val="18"/>
          <w:szCs w:val="18"/>
          <w:lang w:eastAsia="en-US"/>
        </w:rPr>
      </w:pPr>
      <w:r w:rsidRPr="00A57A3F">
        <w:rPr>
          <w:rFonts w:ascii="Arial Narrow" w:eastAsia="Calibri" w:hAnsi="Arial Narrow"/>
          <w:sz w:val="18"/>
          <w:szCs w:val="18"/>
          <w:lang w:eastAsia="en-US"/>
        </w:rPr>
        <w:t>References: Marur et al 2018 (Table 3).</w:t>
      </w:r>
    </w:p>
    <w:p w:rsidR="00B626A1" w:rsidRDefault="00B626A1" w:rsidP="00CD5CC6">
      <w:pPr>
        <w:jc w:val="left"/>
        <w:rPr>
          <w:rFonts w:ascii="Arial Narrow" w:eastAsia="Calibri" w:hAnsi="Arial Narrow"/>
          <w:sz w:val="16"/>
          <w:szCs w:val="20"/>
          <w:lang w:eastAsia="en-US"/>
        </w:rPr>
      </w:pPr>
    </w:p>
    <w:p w:rsidR="00B626A1" w:rsidRPr="00DA6358" w:rsidRDefault="00B626A1" w:rsidP="002B0540">
      <w:pPr>
        <w:pStyle w:val="5-SubsectionSubheading"/>
      </w:pPr>
      <w:r w:rsidRPr="00DA6358">
        <w:t>Real world evidence</w:t>
      </w:r>
    </w:p>
    <w:p w:rsidR="009D43A3" w:rsidRDefault="00B626A1" w:rsidP="00A57A3F">
      <w:pPr>
        <w:pStyle w:val="3Bodytext"/>
        <w:jc w:val="both"/>
      </w:pPr>
      <w:r>
        <w:t xml:space="preserve">The submission presented a systematic review identifying real world data relevant to assessing the relative efficacy of nivolumab in 2L NSCLC for the relevant different age groups, which included two studies that collected data from patients in </w:t>
      </w:r>
      <w:r w:rsidR="00775F9C">
        <w:t xml:space="preserve">an </w:t>
      </w:r>
      <w:r>
        <w:t>early access/expanded access program (Italy and Canada) and one study based on a retrospectiv</w:t>
      </w:r>
      <w:r w:rsidR="00775F9C">
        <w:t>e medical chart review (Japan).</w:t>
      </w:r>
    </w:p>
    <w:p w:rsidR="00EF7232" w:rsidRDefault="00EF7232">
      <w:pPr>
        <w:jc w:val="left"/>
        <w:rPr>
          <w:rFonts w:ascii="Arial Narrow" w:eastAsia="Calibri" w:hAnsi="Arial Narrow" w:cstheme="majorBidi"/>
          <w:b/>
          <w:bCs/>
          <w:sz w:val="20"/>
          <w:szCs w:val="20"/>
          <w:lang w:eastAsia="en-US"/>
        </w:rPr>
      </w:pPr>
      <w:r>
        <w:rPr>
          <w:rFonts w:eastAsia="Calibri"/>
          <w:szCs w:val="20"/>
          <w:lang w:eastAsia="en-US"/>
        </w:rPr>
        <w:br w:type="page"/>
      </w:r>
    </w:p>
    <w:p w:rsidR="009D43A3" w:rsidRPr="009D43A3" w:rsidRDefault="009D43A3" w:rsidP="00E1321C">
      <w:pPr>
        <w:pStyle w:val="TableFigureHeading"/>
        <w:rPr>
          <w:rFonts w:eastAsia="Calibri"/>
          <w:lang w:eastAsia="en-US"/>
        </w:rPr>
      </w:pPr>
      <w:r w:rsidRPr="009D43A3">
        <w:rPr>
          <w:rFonts w:eastAsia="Calibri"/>
          <w:szCs w:val="20"/>
          <w:lang w:eastAsia="en-US"/>
        </w:rPr>
        <w:lastRenderedPageBreak/>
        <w:t xml:space="preserve">Table 4: </w:t>
      </w:r>
      <w:r w:rsidRPr="009D43A3">
        <w:rPr>
          <w:rFonts w:eastAsia="Calibri"/>
          <w:lang w:eastAsia="en-US"/>
        </w:rPr>
        <w:t>List of relevant studies pr</w:t>
      </w:r>
      <w:r w:rsidR="00AF27A1">
        <w:rPr>
          <w:rFonts w:eastAsia="Calibri"/>
          <w:lang w:eastAsia="en-US"/>
        </w:rPr>
        <w:t>esented as real world evidence</w:t>
      </w:r>
    </w:p>
    <w:tbl>
      <w:tblPr>
        <w:tblStyle w:val="ASDTable2"/>
        <w:tblW w:w="5000" w:type="pct"/>
        <w:tblLook w:val="04A0" w:firstRow="1" w:lastRow="0" w:firstColumn="1" w:lastColumn="0" w:noHBand="0" w:noVBand="1"/>
        <w:tblCaption w:val="Table 4: List of relevant studies presented as real world evidence"/>
        <w:tblDescription w:val="Table 4: List of relevant studies presented as real world evidence"/>
      </w:tblPr>
      <w:tblGrid>
        <w:gridCol w:w="1051"/>
        <w:gridCol w:w="1953"/>
        <w:gridCol w:w="6012"/>
      </w:tblGrid>
      <w:tr w:rsidR="00A13D95" w:rsidRPr="00A55AE8" w:rsidTr="00507263">
        <w:trPr>
          <w:tblHeader/>
        </w:trPr>
        <w:tc>
          <w:tcPr>
            <w:tcW w:w="583" w:type="pct"/>
            <w:shd w:val="clear" w:color="auto" w:fill="BFBFBF"/>
            <w:vAlign w:val="bottom"/>
          </w:tcPr>
          <w:p w:rsidR="00A13D95" w:rsidRPr="00CD5CC6" w:rsidRDefault="00A13D95" w:rsidP="00A13D95">
            <w:pPr>
              <w:jc w:val="left"/>
              <w:rPr>
                <w:rFonts w:ascii="Arial Narrow" w:hAnsi="Arial Narrow"/>
                <w:b/>
                <w:color w:val="000000"/>
                <w:sz w:val="20"/>
                <w:szCs w:val="18"/>
              </w:rPr>
            </w:pPr>
            <w:r w:rsidRPr="00CD5CC6">
              <w:rPr>
                <w:rFonts w:ascii="Arial Narrow" w:hAnsi="Arial Narrow"/>
                <w:b/>
                <w:color w:val="000000"/>
                <w:sz w:val="20"/>
                <w:szCs w:val="18"/>
              </w:rPr>
              <w:t>Country</w:t>
            </w:r>
          </w:p>
        </w:tc>
        <w:tc>
          <w:tcPr>
            <w:tcW w:w="1083" w:type="pct"/>
            <w:shd w:val="clear" w:color="auto" w:fill="BFBFBF"/>
            <w:vAlign w:val="bottom"/>
          </w:tcPr>
          <w:p w:rsidR="00A13D95" w:rsidRPr="00CD5CC6" w:rsidRDefault="00A13D95" w:rsidP="00A13D95">
            <w:pPr>
              <w:jc w:val="left"/>
              <w:rPr>
                <w:rFonts w:ascii="Arial Narrow" w:hAnsi="Arial Narrow"/>
                <w:b/>
                <w:color w:val="000000"/>
                <w:sz w:val="20"/>
                <w:szCs w:val="18"/>
              </w:rPr>
            </w:pPr>
            <w:r w:rsidRPr="00CD5CC6">
              <w:rPr>
                <w:rFonts w:ascii="Arial Narrow" w:hAnsi="Arial Narrow"/>
                <w:b/>
                <w:color w:val="000000"/>
                <w:sz w:val="20"/>
                <w:szCs w:val="18"/>
              </w:rPr>
              <w:t>Database</w:t>
            </w:r>
          </w:p>
        </w:tc>
        <w:tc>
          <w:tcPr>
            <w:tcW w:w="3334" w:type="pct"/>
            <w:shd w:val="clear" w:color="auto" w:fill="BFBFBF"/>
          </w:tcPr>
          <w:p w:rsidR="00A13D95" w:rsidRPr="00CD5CC6" w:rsidRDefault="00A13D95" w:rsidP="00A13D95">
            <w:pPr>
              <w:jc w:val="left"/>
              <w:rPr>
                <w:rFonts w:ascii="Arial Narrow" w:hAnsi="Arial Narrow"/>
                <w:b/>
                <w:color w:val="000000"/>
                <w:sz w:val="20"/>
                <w:szCs w:val="18"/>
              </w:rPr>
            </w:pPr>
            <w:r w:rsidRPr="00CD5CC6">
              <w:rPr>
                <w:rFonts w:ascii="Arial Narrow" w:hAnsi="Arial Narrow"/>
                <w:b/>
                <w:color w:val="000000"/>
                <w:sz w:val="20"/>
                <w:szCs w:val="18"/>
              </w:rPr>
              <w:t>Publication</w:t>
            </w:r>
          </w:p>
        </w:tc>
      </w:tr>
      <w:tr w:rsidR="00A13D95" w:rsidRPr="00A13D95" w:rsidTr="00D7706D">
        <w:tc>
          <w:tcPr>
            <w:tcW w:w="583" w:type="pct"/>
            <w:shd w:val="clear" w:color="auto" w:fill="FFFFFF"/>
          </w:tcPr>
          <w:p w:rsidR="00A13D95" w:rsidRPr="00CD5CC6" w:rsidRDefault="00A13D95" w:rsidP="00A13D95">
            <w:pPr>
              <w:jc w:val="left"/>
              <w:rPr>
                <w:rFonts w:ascii="Arial Narrow" w:hAnsi="Arial Narrow"/>
                <w:color w:val="000000"/>
                <w:sz w:val="20"/>
                <w:szCs w:val="18"/>
              </w:rPr>
            </w:pPr>
            <w:r w:rsidRPr="00CD5CC6">
              <w:rPr>
                <w:rFonts w:ascii="Arial Narrow" w:hAnsi="Arial Narrow"/>
                <w:color w:val="000000"/>
                <w:sz w:val="20"/>
                <w:szCs w:val="18"/>
              </w:rPr>
              <w:t>Italy</w:t>
            </w:r>
          </w:p>
        </w:tc>
        <w:tc>
          <w:tcPr>
            <w:tcW w:w="1083" w:type="pct"/>
            <w:shd w:val="clear" w:color="auto" w:fill="FFFFFF"/>
          </w:tcPr>
          <w:p w:rsidR="00A13D95" w:rsidRPr="00CD5CC6" w:rsidRDefault="00A13D95" w:rsidP="00A13D95">
            <w:pPr>
              <w:jc w:val="left"/>
              <w:rPr>
                <w:rFonts w:ascii="Arial Narrow" w:hAnsi="Arial Narrow"/>
                <w:bCs/>
                <w:color w:val="000000"/>
                <w:sz w:val="20"/>
                <w:szCs w:val="18"/>
              </w:rPr>
            </w:pPr>
            <w:r w:rsidRPr="00CD5CC6">
              <w:rPr>
                <w:rFonts w:ascii="Arial Narrow" w:hAnsi="Arial Narrow"/>
                <w:bCs/>
                <w:color w:val="000000"/>
                <w:sz w:val="20"/>
                <w:szCs w:val="18"/>
              </w:rPr>
              <w:t>Expanded access program</w:t>
            </w:r>
          </w:p>
        </w:tc>
        <w:tc>
          <w:tcPr>
            <w:tcW w:w="3334" w:type="pct"/>
            <w:shd w:val="clear" w:color="auto" w:fill="FFFFFF"/>
          </w:tcPr>
          <w:p w:rsidR="00A13D95" w:rsidRPr="00CD5CC6" w:rsidRDefault="00A13D95" w:rsidP="00A57A3F">
            <w:pPr>
              <w:rPr>
                <w:rFonts w:ascii="Arial Narrow" w:hAnsi="Arial Narrow"/>
                <w:color w:val="000000"/>
                <w:sz w:val="20"/>
                <w:szCs w:val="18"/>
              </w:rPr>
            </w:pPr>
            <w:r w:rsidRPr="00CD5CC6">
              <w:rPr>
                <w:rFonts w:ascii="Arial Narrow" w:hAnsi="Arial Narrow"/>
                <w:color w:val="000000"/>
                <w:sz w:val="20"/>
                <w:szCs w:val="18"/>
              </w:rPr>
              <w:t xml:space="preserve">Grossi et al. Use of nivolumab in elderly patients with advanced squamous non-small cell lung cancer: results from the Italian cohort of an expanded access programme. </w:t>
            </w:r>
            <w:r w:rsidRPr="00CD5CC6">
              <w:rPr>
                <w:rFonts w:ascii="Arial Narrow" w:hAnsi="Arial Narrow"/>
                <w:i/>
                <w:color w:val="000000"/>
                <w:sz w:val="20"/>
                <w:szCs w:val="18"/>
              </w:rPr>
              <w:t>Eur J Cancer</w:t>
            </w:r>
            <w:r w:rsidRPr="00CD5CC6">
              <w:rPr>
                <w:rFonts w:ascii="Arial Narrow" w:hAnsi="Arial Narrow"/>
                <w:color w:val="000000"/>
                <w:sz w:val="20"/>
                <w:szCs w:val="18"/>
              </w:rPr>
              <w:t xml:space="preserve"> 2018; 100: 126-134. </w:t>
            </w:r>
          </w:p>
        </w:tc>
      </w:tr>
      <w:tr w:rsidR="00A13D95" w:rsidRPr="00A13D95" w:rsidTr="00D7706D">
        <w:tc>
          <w:tcPr>
            <w:tcW w:w="583" w:type="pct"/>
            <w:shd w:val="clear" w:color="auto" w:fill="FFFFFF"/>
          </w:tcPr>
          <w:p w:rsidR="00A13D95" w:rsidRPr="00CD5CC6" w:rsidRDefault="00A13D95" w:rsidP="00A13D95">
            <w:pPr>
              <w:jc w:val="left"/>
              <w:rPr>
                <w:rFonts w:ascii="Arial Narrow" w:hAnsi="Arial Narrow"/>
                <w:color w:val="000000"/>
                <w:sz w:val="20"/>
                <w:szCs w:val="18"/>
              </w:rPr>
            </w:pPr>
            <w:r w:rsidRPr="00CD5CC6">
              <w:rPr>
                <w:rFonts w:ascii="Arial Narrow" w:hAnsi="Arial Narrow"/>
                <w:color w:val="000000"/>
                <w:sz w:val="20"/>
                <w:szCs w:val="18"/>
              </w:rPr>
              <w:t>Japan</w:t>
            </w:r>
          </w:p>
        </w:tc>
        <w:tc>
          <w:tcPr>
            <w:tcW w:w="1083" w:type="pct"/>
            <w:shd w:val="clear" w:color="auto" w:fill="FFFFFF"/>
          </w:tcPr>
          <w:p w:rsidR="00A13D95" w:rsidRPr="00CD5CC6" w:rsidRDefault="00A13D95" w:rsidP="00A13D95">
            <w:pPr>
              <w:jc w:val="left"/>
              <w:rPr>
                <w:rFonts w:ascii="Arial Narrow" w:hAnsi="Arial Narrow"/>
                <w:color w:val="000000"/>
                <w:sz w:val="20"/>
                <w:szCs w:val="18"/>
              </w:rPr>
            </w:pPr>
            <w:r w:rsidRPr="00CD5CC6">
              <w:rPr>
                <w:rFonts w:ascii="Arial Narrow" w:hAnsi="Arial Narrow"/>
                <w:color w:val="000000"/>
                <w:sz w:val="20"/>
                <w:szCs w:val="18"/>
              </w:rPr>
              <w:t>Electronic health record data</w:t>
            </w:r>
          </w:p>
        </w:tc>
        <w:tc>
          <w:tcPr>
            <w:tcW w:w="3334" w:type="pct"/>
            <w:shd w:val="clear" w:color="auto" w:fill="FFFFFF"/>
          </w:tcPr>
          <w:p w:rsidR="00A13D95" w:rsidRPr="00CD5CC6" w:rsidRDefault="00AF27A1" w:rsidP="00A57A3F">
            <w:pPr>
              <w:rPr>
                <w:rFonts w:ascii="Arial Narrow" w:hAnsi="Arial Narrow"/>
                <w:color w:val="000000"/>
                <w:sz w:val="20"/>
                <w:szCs w:val="18"/>
              </w:rPr>
            </w:pPr>
            <w:r>
              <w:rPr>
                <w:rFonts w:ascii="Arial Narrow" w:hAnsi="Arial Narrow"/>
                <w:color w:val="000000"/>
                <w:sz w:val="20"/>
                <w:szCs w:val="18"/>
              </w:rPr>
              <w:t xml:space="preserve">Okishio et al. </w:t>
            </w:r>
            <w:r w:rsidR="00A13D95" w:rsidRPr="00CD5CC6">
              <w:rPr>
                <w:rFonts w:ascii="Arial Narrow" w:hAnsi="Arial Narrow"/>
                <w:color w:val="000000"/>
                <w:sz w:val="20"/>
                <w:szCs w:val="18"/>
              </w:rPr>
              <w:t xml:space="preserve">Nivolumab treatment of elderly Japanese patients with non-small cell lung cancer: sub analysis of a real-world retrospective </w:t>
            </w:r>
            <w:r>
              <w:rPr>
                <w:rFonts w:ascii="Arial Narrow" w:hAnsi="Arial Narrow"/>
                <w:color w:val="000000"/>
                <w:sz w:val="20"/>
                <w:szCs w:val="18"/>
              </w:rPr>
              <w:t xml:space="preserve">observational study (CA209-9CR). </w:t>
            </w:r>
            <w:r w:rsidR="00A13D95" w:rsidRPr="00CD5CC6">
              <w:rPr>
                <w:rFonts w:ascii="Arial Narrow" w:hAnsi="Arial Narrow"/>
                <w:i/>
                <w:color w:val="000000"/>
                <w:sz w:val="20"/>
                <w:szCs w:val="18"/>
              </w:rPr>
              <w:t>ESMO Open</w:t>
            </w:r>
            <w:r w:rsidR="00A13D95" w:rsidRPr="00CD5CC6">
              <w:rPr>
                <w:rFonts w:ascii="Arial Narrow" w:hAnsi="Arial Narrow"/>
                <w:color w:val="000000"/>
                <w:sz w:val="20"/>
                <w:szCs w:val="18"/>
              </w:rPr>
              <w:t xml:space="preserve"> 2020: 5: e000656.</w:t>
            </w:r>
          </w:p>
          <w:p w:rsidR="00A13D95" w:rsidRPr="00CD5CC6" w:rsidRDefault="00A13D95" w:rsidP="00A57A3F">
            <w:pPr>
              <w:rPr>
                <w:rFonts w:ascii="Arial Narrow" w:hAnsi="Arial Narrow"/>
                <w:color w:val="000000"/>
                <w:sz w:val="20"/>
                <w:szCs w:val="18"/>
              </w:rPr>
            </w:pPr>
          </w:p>
          <w:p w:rsidR="00A13D95" w:rsidRPr="00DA6358" w:rsidRDefault="00A13D95" w:rsidP="00A57A3F">
            <w:pPr>
              <w:rPr>
                <w:rFonts w:ascii="Arial Narrow" w:hAnsi="Arial Narrow"/>
                <w:color w:val="000000"/>
                <w:sz w:val="20"/>
                <w:szCs w:val="18"/>
              </w:rPr>
            </w:pPr>
            <w:r w:rsidRPr="00DA6358">
              <w:rPr>
                <w:rFonts w:ascii="Arial Narrow" w:hAnsi="Arial Narrow"/>
                <w:color w:val="000000"/>
                <w:sz w:val="20"/>
                <w:szCs w:val="18"/>
              </w:rPr>
              <w:t>Additional study details available in:</w:t>
            </w:r>
          </w:p>
          <w:p w:rsidR="00A13D95" w:rsidRPr="00CD5CC6" w:rsidRDefault="00A13D95" w:rsidP="00A57A3F">
            <w:pPr>
              <w:rPr>
                <w:rFonts w:ascii="Arial Narrow" w:hAnsi="Arial Narrow"/>
                <w:color w:val="000000"/>
                <w:sz w:val="20"/>
                <w:szCs w:val="18"/>
              </w:rPr>
            </w:pPr>
            <w:r w:rsidRPr="00CD5CC6">
              <w:rPr>
                <w:rFonts w:ascii="Arial Narrow" w:hAnsi="Arial Narrow"/>
                <w:color w:val="000000"/>
                <w:sz w:val="20"/>
                <w:szCs w:val="18"/>
              </w:rPr>
              <w:t>Morita et al.</w:t>
            </w:r>
            <w:r w:rsidR="00AF27A1">
              <w:rPr>
                <w:rFonts w:ascii="Arial Narrow" w:hAnsi="Arial Narrow"/>
                <w:color w:val="000000"/>
                <w:sz w:val="20"/>
                <w:szCs w:val="18"/>
              </w:rPr>
              <w:t xml:space="preserve"> </w:t>
            </w:r>
            <w:r w:rsidRPr="00CD5CC6">
              <w:rPr>
                <w:rFonts w:ascii="Arial Narrow" w:hAnsi="Arial Narrow"/>
                <w:color w:val="000000"/>
                <w:sz w:val="20"/>
                <w:szCs w:val="18"/>
              </w:rPr>
              <w:t>Real world effectiveness and safety of nivolumab in patients with non-small cell lung cancer: A multicentre retrospectiv</w:t>
            </w:r>
            <w:r w:rsidR="00AF27A1">
              <w:rPr>
                <w:rFonts w:ascii="Arial Narrow" w:hAnsi="Arial Narrow"/>
                <w:color w:val="000000"/>
                <w:sz w:val="20"/>
                <w:szCs w:val="18"/>
              </w:rPr>
              <w:t xml:space="preserve">e observational study in Japan. </w:t>
            </w:r>
            <w:r w:rsidRPr="00CD5CC6">
              <w:rPr>
                <w:rFonts w:ascii="Arial Narrow" w:hAnsi="Arial Narrow"/>
                <w:i/>
                <w:color w:val="000000"/>
                <w:sz w:val="20"/>
                <w:szCs w:val="18"/>
              </w:rPr>
              <w:t>Lung Cancer</w:t>
            </w:r>
            <w:r w:rsidR="00507263">
              <w:rPr>
                <w:rFonts w:ascii="Arial Narrow" w:hAnsi="Arial Narrow"/>
                <w:color w:val="000000"/>
                <w:sz w:val="20"/>
                <w:szCs w:val="18"/>
              </w:rPr>
              <w:t xml:space="preserve"> 2020: 8-18.</w:t>
            </w:r>
          </w:p>
        </w:tc>
      </w:tr>
      <w:tr w:rsidR="00A13D95" w:rsidRPr="00A13D95" w:rsidTr="00D7706D">
        <w:tc>
          <w:tcPr>
            <w:tcW w:w="583" w:type="pct"/>
            <w:shd w:val="clear" w:color="auto" w:fill="FFFFFF"/>
          </w:tcPr>
          <w:p w:rsidR="00A13D95" w:rsidRPr="00CD5CC6" w:rsidRDefault="00A13D95" w:rsidP="00A13D95">
            <w:pPr>
              <w:jc w:val="left"/>
              <w:rPr>
                <w:rFonts w:ascii="Arial Narrow" w:hAnsi="Arial Narrow"/>
                <w:color w:val="000000"/>
                <w:sz w:val="20"/>
                <w:szCs w:val="18"/>
              </w:rPr>
            </w:pPr>
            <w:r w:rsidRPr="00CD5CC6">
              <w:rPr>
                <w:rFonts w:ascii="Arial Narrow" w:hAnsi="Arial Narrow"/>
                <w:color w:val="000000"/>
                <w:sz w:val="20"/>
                <w:szCs w:val="18"/>
              </w:rPr>
              <w:t>Canada</w:t>
            </w:r>
          </w:p>
        </w:tc>
        <w:tc>
          <w:tcPr>
            <w:tcW w:w="1083" w:type="pct"/>
            <w:shd w:val="clear" w:color="auto" w:fill="FFFFFF"/>
          </w:tcPr>
          <w:p w:rsidR="00A13D95" w:rsidRPr="00CD5CC6" w:rsidRDefault="00A13D95" w:rsidP="00A13D95">
            <w:pPr>
              <w:jc w:val="left"/>
              <w:rPr>
                <w:rFonts w:ascii="Arial Narrow" w:hAnsi="Arial Narrow"/>
                <w:color w:val="000000"/>
                <w:sz w:val="20"/>
                <w:szCs w:val="18"/>
              </w:rPr>
            </w:pPr>
            <w:r w:rsidRPr="00CD5CC6">
              <w:rPr>
                <w:rFonts w:ascii="Arial Narrow" w:hAnsi="Arial Narrow"/>
                <w:bCs/>
                <w:color w:val="000000"/>
                <w:sz w:val="20"/>
                <w:szCs w:val="18"/>
              </w:rPr>
              <w:t>Expanded access program</w:t>
            </w:r>
          </w:p>
        </w:tc>
        <w:tc>
          <w:tcPr>
            <w:tcW w:w="3334" w:type="pct"/>
            <w:shd w:val="clear" w:color="auto" w:fill="FFFFFF"/>
          </w:tcPr>
          <w:p w:rsidR="00A13D95" w:rsidRPr="00CD5CC6" w:rsidRDefault="00A13D95" w:rsidP="00A57A3F">
            <w:pPr>
              <w:rPr>
                <w:rFonts w:ascii="Arial Narrow" w:hAnsi="Arial Narrow"/>
                <w:color w:val="000000"/>
                <w:sz w:val="20"/>
                <w:szCs w:val="18"/>
              </w:rPr>
            </w:pPr>
            <w:r w:rsidRPr="00CD5CC6">
              <w:rPr>
                <w:rFonts w:ascii="Arial Narrow" w:hAnsi="Arial Narrow"/>
                <w:color w:val="000000"/>
                <w:sz w:val="20"/>
                <w:szCs w:val="18"/>
              </w:rPr>
              <w:t>Juergens et al. Real world benefit of nivolumab in a Canadian non</w:t>
            </w:r>
            <w:r w:rsidR="00AF27A1">
              <w:rPr>
                <w:rFonts w:ascii="Arial Narrow" w:hAnsi="Arial Narrow"/>
                <w:color w:val="000000"/>
                <w:sz w:val="20"/>
                <w:szCs w:val="18"/>
              </w:rPr>
              <w:t>-small cell lung cancer cohort.</w:t>
            </w:r>
            <w:r w:rsidRPr="00CD5CC6">
              <w:rPr>
                <w:rFonts w:ascii="Arial Narrow" w:hAnsi="Arial Narrow"/>
                <w:color w:val="000000"/>
                <w:sz w:val="20"/>
                <w:szCs w:val="18"/>
              </w:rPr>
              <w:t xml:space="preserve"> </w:t>
            </w:r>
            <w:r w:rsidRPr="00CD5CC6">
              <w:rPr>
                <w:rFonts w:ascii="Arial Narrow" w:hAnsi="Arial Narrow"/>
                <w:i/>
                <w:color w:val="000000"/>
                <w:sz w:val="20"/>
                <w:szCs w:val="18"/>
              </w:rPr>
              <w:t>Curr Oncol</w:t>
            </w:r>
            <w:r w:rsidRPr="00CD5CC6">
              <w:rPr>
                <w:rFonts w:ascii="Arial Narrow" w:hAnsi="Arial Narrow"/>
                <w:color w:val="000000"/>
                <w:sz w:val="20"/>
                <w:szCs w:val="18"/>
              </w:rPr>
              <w:t xml:space="preserve"> 2018; 25: 384-392.</w:t>
            </w:r>
          </w:p>
        </w:tc>
      </w:tr>
    </w:tbl>
    <w:p w:rsidR="00A13D95" w:rsidRPr="00A57A3F" w:rsidRDefault="00A13D95" w:rsidP="00E1321C">
      <w:pPr>
        <w:pStyle w:val="TableFigureFooter"/>
      </w:pPr>
      <w:r w:rsidRPr="00A57A3F">
        <w:rPr>
          <w:rFonts w:eastAsiaTheme="minorHAnsi"/>
        </w:rPr>
        <w:t>Source: Table 6, minor submission</w:t>
      </w:r>
    </w:p>
    <w:p w:rsidR="00E13994" w:rsidRDefault="00E13994" w:rsidP="00A57A3F">
      <w:pPr>
        <w:pStyle w:val="3Bodytext"/>
        <w:jc w:val="both"/>
      </w:pPr>
      <w:r>
        <w:t>A reduced mean OS was reported for patients</w:t>
      </w:r>
      <w:r w:rsidR="00A5064C">
        <w:t xml:space="preserve"> who were</w:t>
      </w:r>
      <w:r>
        <w:t xml:space="preserve"> ≥ 75 years </w:t>
      </w:r>
      <w:r w:rsidR="00775F9C">
        <w:t xml:space="preserve">of age </w:t>
      </w:r>
      <w:r>
        <w:t>in Grossi et al (2018). However, the submission contends that the difference was not statistically different from patients aged 65-75 years</w:t>
      </w:r>
      <w:r w:rsidR="00775F9C">
        <w:t xml:space="preserve"> old</w:t>
      </w:r>
      <w:r>
        <w:t>, and that the population in the publication</w:t>
      </w:r>
      <w:r w:rsidR="00775F9C">
        <w:t xml:space="preserve"> had only</w:t>
      </w:r>
      <w:r>
        <w:t xml:space="preserve"> squamous </w:t>
      </w:r>
      <w:r w:rsidR="00775F9C">
        <w:t>NSCLC</w:t>
      </w:r>
      <w:r>
        <w:t xml:space="preserve"> and that the ≥ 75 age subgroup was more likely to have other comorbidities that may have contributed to an i</w:t>
      </w:r>
      <w:r w:rsidR="00504149">
        <w:t>n</w:t>
      </w:r>
      <w:r>
        <w:t xml:space="preserve">creased risk of death. </w:t>
      </w:r>
    </w:p>
    <w:p w:rsidR="00504149" w:rsidRPr="00CD5CC6" w:rsidRDefault="00504149" w:rsidP="00E1321C">
      <w:pPr>
        <w:pStyle w:val="Tabletitles"/>
      </w:pPr>
      <w:r w:rsidRPr="00CD5CC6">
        <w:t xml:space="preserve">Table </w:t>
      </w:r>
      <w:r w:rsidR="005D29C8">
        <w:t>5</w:t>
      </w:r>
      <w:r w:rsidRPr="00CD5CC6">
        <w:t xml:space="preserve">: Median overall survival reported in </w:t>
      </w:r>
      <w:r w:rsidR="00D746F1" w:rsidRPr="00CD5CC6">
        <w:t>included studies</w:t>
      </w:r>
    </w:p>
    <w:tbl>
      <w:tblPr>
        <w:tblStyle w:val="TableGrid"/>
        <w:tblW w:w="5000" w:type="pct"/>
        <w:tblLook w:val="04A0" w:firstRow="1" w:lastRow="0" w:firstColumn="1" w:lastColumn="0" w:noHBand="0" w:noVBand="1"/>
        <w:tblCaption w:val="Table 5: Median overall survival reported in included studies"/>
        <w:tblDescription w:val="Table 5: Median overall survival reported in included studies"/>
      </w:tblPr>
      <w:tblGrid>
        <w:gridCol w:w="1830"/>
        <w:gridCol w:w="2395"/>
        <w:gridCol w:w="2396"/>
        <w:gridCol w:w="2395"/>
      </w:tblGrid>
      <w:tr w:rsidR="00504149" w:rsidRPr="00C530BA" w:rsidTr="00D7706D">
        <w:trPr>
          <w:tblHeader/>
        </w:trPr>
        <w:tc>
          <w:tcPr>
            <w:tcW w:w="1015" w:type="pct"/>
            <w:shd w:val="clear" w:color="auto" w:fill="BFBFBF" w:themeFill="background1" w:themeFillShade="BF"/>
          </w:tcPr>
          <w:p w:rsidR="00504149" w:rsidRPr="00C530BA" w:rsidRDefault="00504149" w:rsidP="00554CB2">
            <w:pPr>
              <w:pStyle w:val="TableText0"/>
              <w:rPr>
                <w:rFonts w:eastAsiaTheme="minorHAnsi"/>
                <w:b/>
              </w:rPr>
            </w:pPr>
            <w:r w:rsidRPr="00C530BA">
              <w:rPr>
                <w:rFonts w:eastAsiaTheme="minorHAnsi"/>
                <w:b/>
              </w:rPr>
              <w:t>Characteristic</w:t>
            </w:r>
          </w:p>
        </w:tc>
        <w:tc>
          <w:tcPr>
            <w:tcW w:w="3985" w:type="pct"/>
            <w:gridSpan w:val="3"/>
            <w:shd w:val="clear" w:color="auto" w:fill="BFBFBF" w:themeFill="background1" w:themeFillShade="BF"/>
          </w:tcPr>
          <w:p w:rsidR="00504149" w:rsidRPr="00C530BA" w:rsidRDefault="00504149" w:rsidP="00554CB2">
            <w:pPr>
              <w:pStyle w:val="TableText0"/>
              <w:rPr>
                <w:rFonts w:eastAsiaTheme="minorHAnsi"/>
                <w:b/>
              </w:rPr>
            </w:pPr>
            <w:r w:rsidRPr="00C530BA">
              <w:rPr>
                <w:rFonts w:eastAsiaTheme="minorHAnsi"/>
                <w:b/>
              </w:rPr>
              <w:t>Median OS (95%CI), mths</w:t>
            </w:r>
          </w:p>
        </w:tc>
      </w:tr>
      <w:tr w:rsidR="00504149" w:rsidRPr="00C530BA" w:rsidTr="00D7706D">
        <w:trPr>
          <w:tblHeader/>
        </w:trPr>
        <w:tc>
          <w:tcPr>
            <w:tcW w:w="1015" w:type="pct"/>
            <w:shd w:val="clear" w:color="auto" w:fill="BFBFBF" w:themeFill="background1" w:themeFillShade="BF"/>
          </w:tcPr>
          <w:p w:rsidR="00504149" w:rsidRPr="00C530BA" w:rsidRDefault="00504149" w:rsidP="00554CB2">
            <w:pPr>
              <w:pStyle w:val="TableText0"/>
              <w:rPr>
                <w:rFonts w:eastAsiaTheme="minorHAnsi"/>
                <w:b/>
              </w:rPr>
            </w:pPr>
            <w:r w:rsidRPr="00C530BA">
              <w:rPr>
                <w:rFonts w:eastAsiaTheme="minorHAnsi"/>
                <w:b/>
              </w:rPr>
              <w:t>Author (year)</w:t>
            </w:r>
          </w:p>
          <w:p w:rsidR="00504149" w:rsidRPr="00C530BA" w:rsidRDefault="00504149" w:rsidP="00554CB2">
            <w:pPr>
              <w:pStyle w:val="TableText0"/>
              <w:rPr>
                <w:rFonts w:eastAsiaTheme="minorHAnsi"/>
                <w:b/>
              </w:rPr>
            </w:pPr>
            <w:r w:rsidRPr="00C530BA">
              <w:rPr>
                <w:rFonts w:eastAsiaTheme="minorHAnsi"/>
                <w:b/>
              </w:rPr>
              <w:t>Total patients</w:t>
            </w:r>
          </w:p>
        </w:tc>
        <w:tc>
          <w:tcPr>
            <w:tcW w:w="1328" w:type="pct"/>
            <w:shd w:val="clear" w:color="auto" w:fill="BFBFBF" w:themeFill="background1" w:themeFillShade="BF"/>
          </w:tcPr>
          <w:p w:rsidR="00504149" w:rsidRPr="00C530BA" w:rsidRDefault="00504149" w:rsidP="00554CB2">
            <w:pPr>
              <w:pStyle w:val="TableText0"/>
              <w:rPr>
                <w:rFonts w:eastAsiaTheme="minorHAnsi"/>
                <w:b/>
              </w:rPr>
            </w:pPr>
            <w:r w:rsidRPr="00C530BA">
              <w:rPr>
                <w:rFonts w:eastAsiaTheme="minorHAnsi"/>
                <w:b/>
              </w:rPr>
              <w:t>Grossi et al (2018)</w:t>
            </w:r>
          </w:p>
          <w:p w:rsidR="00504149" w:rsidRPr="00C530BA" w:rsidRDefault="00504149" w:rsidP="00554CB2">
            <w:pPr>
              <w:pStyle w:val="TableText0"/>
              <w:rPr>
                <w:rFonts w:eastAsiaTheme="minorHAnsi"/>
                <w:b/>
              </w:rPr>
            </w:pPr>
            <w:r w:rsidRPr="00C530BA">
              <w:rPr>
                <w:rFonts w:eastAsiaTheme="minorHAnsi"/>
                <w:b/>
              </w:rPr>
              <w:t>n=371</w:t>
            </w:r>
          </w:p>
        </w:tc>
        <w:tc>
          <w:tcPr>
            <w:tcW w:w="1329" w:type="pct"/>
            <w:shd w:val="clear" w:color="auto" w:fill="BFBFBF" w:themeFill="background1" w:themeFillShade="BF"/>
          </w:tcPr>
          <w:p w:rsidR="00504149" w:rsidRPr="00C530BA" w:rsidRDefault="00504149" w:rsidP="00554CB2">
            <w:pPr>
              <w:pStyle w:val="TableText0"/>
              <w:rPr>
                <w:rFonts w:eastAsiaTheme="minorHAnsi"/>
                <w:b/>
              </w:rPr>
            </w:pPr>
            <w:r w:rsidRPr="00C530BA">
              <w:rPr>
                <w:rFonts w:eastAsiaTheme="minorHAnsi"/>
                <w:b/>
              </w:rPr>
              <w:t>Okishio et al (2020)</w:t>
            </w:r>
          </w:p>
          <w:p w:rsidR="00504149" w:rsidRPr="00C530BA" w:rsidRDefault="00504149" w:rsidP="00554CB2">
            <w:pPr>
              <w:pStyle w:val="TableText0"/>
              <w:rPr>
                <w:rFonts w:eastAsiaTheme="minorHAnsi"/>
                <w:b/>
              </w:rPr>
            </w:pPr>
            <w:r w:rsidRPr="00C530BA">
              <w:rPr>
                <w:rFonts w:eastAsiaTheme="minorHAnsi"/>
                <w:b/>
              </w:rPr>
              <w:t>n=901</w:t>
            </w:r>
          </w:p>
        </w:tc>
        <w:tc>
          <w:tcPr>
            <w:tcW w:w="1329" w:type="pct"/>
            <w:shd w:val="clear" w:color="auto" w:fill="BFBFBF" w:themeFill="background1" w:themeFillShade="BF"/>
          </w:tcPr>
          <w:p w:rsidR="00504149" w:rsidRPr="00C530BA" w:rsidRDefault="00504149" w:rsidP="00554CB2">
            <w:pPr>
              <w:pStyle w:val="TableText0"/>
              <w:rPr>
                <w:rFonts w:eastAsiaTheme="minorHAnsi"/>
                <w:b/>
              </w:rPr>
            </w:pPr>
            <w:r w:rsidRPr="00C530BA">
              <w:rPr>
                <w:rFonts w:eastAsiaTheme="minorHAnsi"/>
                <w:b/>
              </w:rPr>
              <w:t>Juergens et al (2018)</w:t>
            </w:r>
          </w:p>
          <w:p w:rsidR="00504149" w:rsidRPr="00C530BA" w:rsidRDefault="00504149" w:rsidP="00554CB2">
            <w:pPr>
              <w:pStyle w:val="TableText0"/>
              <w:rPr>
                <w:rFonts w:eastAsiaTheme="minorHAnsi"/>
                <w:b/>
              </w:rPr>
            </w:pPr>
            <w:r w:rsidRPr="00C530BA">
              <w:rPr>
                <w:rFonts w:eastAsiaTheme="minorHAnsi"/>
                <w:b/>
              </w:rPr>
              <w:t>n=472</w:t>
            </w:r>
          </w:p>
        </w:tc>
      </w:tr>
      <w:tr w:rsidR="00504149" w:rsidRPr="00C530BA" w:rsidTr="00D7706D">
        <w:tc>
          <w:tcPr>
            <w:tcW w:w="1015" w:type="pct"/>
          </w:tcPr>
          <w:p w:rsidR="00504149" w:rsidRPr="00C530BA" w:rsidRDefault="00504149" w:rsidP="00554CB2">
            <w:pPr>
              <w:pStyle w:val="TableText0"/>
              <w:rPr>
                <w:rFonts w:eastAsiaTheme="minorHAnsi"/>
              </w:rPr>
            </w:pPr>
            <w:r w:rsidRPr="00C530BA">
              <w:rPr>
                <w:rFonts w:eastAsiaTheme="minorHAnsi"/>
              </w:rPr>
              <w:t xml:space="preserve"> &lt;65 years </w:t>
            </w:r>
          </w:p>
          <w:p w:rsidR="00504149" w:rsidRPr="00C530BA" w:rsidRDefault="00504149" w:rsidP="00554CB2">
            <w:pPr>
              <w:pStyle w:val="TableText0"/>
              <w:rPr>
                <w:rFonts w:eastAsiaTheme="minorHAnsi"/>
              </w:rPr>
            </w:pPr>
            <w:r w:rsidRPr="00C530BA">
              <w:rPr>
                <w:rFonts w:eastAsiaTheme="minorHAnsi"/>
              </w:rPr>
              <w:t xml:space="preserve"> 65-&lt;75 years</w:t>
            </w:r>
          </w:p>
          <w:p w:rsidR="00504149" w:rsidRPr="00C530BA" w:rsidRDefault="00504149" w:rsidP="00507263">
            <w:pPr>
              <w:pStyle w:val="TableText0"/>
              <w:rPr>
                <w:rFonts w:eastAsiaTheme="minorHAnsi"/>
              </w:rPr>
            </w:pPr>
            <w:r w:rsidRPr="00C530BA">
              <w:rPr>
                <w:rFonts w:eastAsiaTheme="minorHAnsi"/>
              </w:rPr>
              <w:t xml:space="preserve"> &lt;75 years</w:t>
            </w:r>
          </w:p>
        </w:tc>
        <w:tc>
          <w:tcPr>
            <w:tcW w:w="1328" w:type="pct"/>
          </w:tcPr>
          <w:p w:rsidR="00504149" w:rsidRPr="00C530BA" w:rsidRDefault="00504149" w:rsidP="00554CB2">
            <w:pPr>
              <w:pStyle w:val="TableText0"/>
              <w:rPr>
                <w:rFonts w:eastAsiaTheme="minorHAnsi"/>
              </w:rPr>
            </w:pPr>
            <w:r w:rsidRPr="00C530BA">
              <w:rPr>
                <w:rFonts w:eastAsiaTheme="minorHAnsi"/>
              </w:rPr>
              <w:t>8.6 (5.2, 11.9)</w:t>
            </w:r>
          </w:p>
          <w:p w:rsidR="00504149" w:rsidRPr="00C530BA" w:rsidRDefault="00504149" w:rsidP="00554CB2">
            <w:pPr>
              <w:pStyle w:val="TableText0"/>
              <w:rPr>
                <w:rFonts w:eastAsiaTheme="minorHAnsi"/>
              </w:rPr>
            </w:pPr>
            <w:r w:rsidRPr="00C530BA">
              <w:rPr>
                <w:rFonts w:eastAsiaTheme="minorHAnsi"/>
              </w:rPr>
              <w:t>8.0 (5.6, 10.4)</w:t>
            </w:r>
          </w:p>
          <w:p w:rsidR="00504149" w:rsidRPr="00C530BA" w:rsidRDefault="00504149" w:rsidP="00554CB2">
            <w:pPr>
              <w:pStyle w:val="TableText0"/>
              <w:rPr>
                <w:rFonts w:eastAsiaTheme="minorHAnsi"/>
              </w:rPr>
            </w:pPr>
            <w:r w:rsidRPr="00C530BA">
              <w:rPr>
                <w:rFonts w:eastAsiaTheme="minorHAnsi"/>
              </w:rPr>
              <w:t>NR</w:t>
            </w:r>
          </w:p>
        </w:tc>
        <w:tc>
          <w:tcPr>
            <w:tcW w:w="1329" w:type="pct"/>
          </w:tcPr>
          <w:p w:rsidR="00504149" w:rsidRPr="00C530BA" w:rsidRDefault="00504149" w:rsidP="00554CB2">
            <w:pPr>
              <w:pStyle w:val="TableText0"/>
              <w:rPr>
                <w:rFonts w:eastAsiaTheme="minorHAnsi"/>
              </w:rPr>
            </w:pPr>
            <w:r w:rsidRPr="00C530BA">
              <w:rPr>
                <w:rFonts w:eastAsiaTheme="minorHAnsi"/>
              </w:rPr>
              <w:t>NR</w:t>
            </w:r>
          </w:p>
          <w:p w:rsidR="00504149" w:rsidRPr="00C530BA" w:rsidRDefault="00504149" w:rsidP="00554CB2">
            <w:pPr>
              <w:pStyle w:val="TableText0"/>
              <w:rPr>
                <w:rFonts w:eastAsiaTheme="minorHAnsi"/>
              </w:rPr>
            </w:pPr>
            <w:r w:rsidRPr="00C530BA">
              <w:rPr>
                <w:rFonts w:eastAsiaTheme="minorHAnsi"/>
              </w:rPr>
              <w:t>NR</w:t>
            </w:r>
          </w:p>
          <w:p w:rsidR="00504149" w:rsidRPr="00C530BA" w:rsidRDefault="00504149" w:rsidP="00554CB2">
            <w:pPr>
              <w:pStyle w:val="TableText0"/>
              <w:rPr>
                <w:rFonts w:eastAsiaTheme="minorHAnsi"/>
              </w:rPr>
            </w:pPr>
            <w:r w:rsidRPr="00C530BA">
              <w:rPr>
                <w:rFonts w:eastAsiaTheme="minorHAnsi"/>
              </w:rPr>
              <w:t>14.7 (12.5, 16.5)</w:t>
            </w:r>
          </w:p>
        </w:tc>
        <w:tc>
          <w:tcPr>
            <w:tcW w:w="1329" w:type="pct"/>
          </w:tcPr>
          <w:p w:rsidR="00504149" w:rsidRPr="00C530BA" w:rsidRDefault="00504149" w:rsidP="00554CB2">
            <w:pPr>
              <w:pStyle w:val="TableText0"/>
              <w:rPr>
                <w:rFonts w:eastAsiaTheme="minorHAnsi"/>
              </w:rPr>
            </w:pPr>
            <w:r w:rsidRPr="00C530BA">
              <w:rPr>
                <w:rFonts w:eastAsiaTheme="minorHAnsi"/>
              </w:rPr>
              <w:t xml:space="preserve">11.50 (9.04, 14.10) </w:t>
            </w:r>
          </w:p>
          <w:p w:rsidR="00504149" w:rsidRPr="00C530BA" w:rsidRDefault="00504149" w:rsidP="00554CB2">
            <w:pPr>
              <w:pStyle w:val="TableText0"/>
              <w:rPr>
                <w:rFonts w:eastAsiaTheme="minorHAnsi"/>
              </w:rPr>
            </w:pPr>
            <w:r w:rsidRPr="00C530BA">
              <w:rPr>
                <w:rFonts w:eastAsiaTheme="minorHAnsi"/>
              </w:rPr>
              <w:t>12.60 (10.97, 17.70)</w:t>
            </w:r>
          </w:p>
          <w:p w:rsidR="00504149" w:rsidRPr="00C530BA" w:rsidRDefault="00504149" w:rsidP="00554CB2">
            <w:pPr>
              <w:pStyle w:val="TableText0"/>
              <w:rPr>
                <w:rFonts w:eastAsiaTheme="minorHAnsi"/>
              </w:rPr>
            </w:pPr>
            <w:r w:rsidRPr="00C530BA">
              <w:rPr>
                <w:rFonts w:eastAsiaTheme="minorHAnsi"/>
              </w:rPr>
              <w:t>NR</w:t>
            </w:r>
          </w:p>
        </w:tc>
      </w:tr>
      <w:tr w:rsidR="00504149" w:rsidRPr="00C530BA" w:rsidTr="00D7706D">
        <w:tc>
          <w:tcPr>
            <w:tcW w:w="1015" w:type="pct"/>
            <w:shd w:val="clear" w:color="auto" w:fill="auto"/>
          </w:tcPr>
          <w:p w:rsidR="00504149" w:rsidRPr="00C530BA" w:rsidRDefault="00504149" w:rsidP="00507263">
            <w:pPr>
              <w:pStyle w:val="TableText0"/>
              <w:rPr>
                <w:rFonts w:eastAsiaTheme="minorHAnsi"/>
              </w:rPr>
            </w:pPr>
            <w:r w:rsidRPr="00C530BA">
              <w:rPr>
                <w:rFonts w:eastAsiaTheme="minorHAnsi"/>
              </w:rPr>
              <w:t xml:space="preserve"> ≥75 years</w:t>
            </w:r>
          </w:p>
        </w:tc>
        <w:tc>
          <w:tcPr>
            <w:tcW w:w="1328" w:type="pct"/>
            <w:shd w:val="clear" w:color="auto" w:fill="auto"/>
          </w:tcPr>
          <w:p w:rsidR="00504149" w:rsidRPr="00C530BA" w:rsidRDefault="00504149" w:rsidP="00554CB2">
            <w:pPr>
              <w:pStyle w:val="TableText0"/>
              <w:rPr>
                <w:rFonts w:eastAsiaTheme="minorHAnsi"/>
              </w:rPr>
            </w:pPr>
            <w:r w:rsidRPr="00C530BA">
              <w:rPr>
                <w:rFonts w:eastAsiaTheme="minorHAnsi"/>
              </w:rPr>
              <w:t>5.8 (3.5, 8.1)</w:t>
            </w:r>
          </w:p>
        </w:tc>
        <w:tc>
          <w:tcPr>
            <w:tcW w:w="1329" w:type="pct"/>
            <w:shd w:val="clear" w:color="auto" w:fill="auto"/>
          </w:tcPr>
          <w:p w:rsidR="00504149" w:rsidRPr="00C530BA" w:rsidRDefault="00504149" w:rsidP="00554CB2">
            <w:pPr>
              <w:pStyle w:val="TableText0"/>
              <w:rPr>
                <w:rFonts w:eastAsiaTheme="minorHAnsi"/>
              </w:rPr>
            </w:pPr>
            <w:r w:rsidRPr="00C530BA">
              <w:rPr>
                <w:rFonts w:eastAsiaTheme="minorHAnsi"/>
              </w:rPr>
              <w:t>12.3 (8.3, 16.0)</w:t>
            </w:r>
          </w:p>
        </w:tc>
        <w:tc>
          <w:tcPr>
            <w:tcW w:w="1329" w:type="pct"/>
            <w:shd w:val="clear" w:color="auto" w:fill="auto"/>
          </w:tcPr>
          <w:p w:rsidR="00504149" w:rsidRPr="00C530BA" w:rsidRDefault="00504149" w:rsidP="00554CB2">
            <w:pPr>
              <w:pStyle w:val="TableText0"/>
              <w:rPr>
                <w:rFonts w:eastAsiaTheme="minorHAnsi"/>
              </w:rPr>
            </w:pPr>
            <w:r w:rsidRPr="00C530BA">
              <w:rPr>
                <w:rFonts w:eastAsiaTheme="minorHAnsi"/>
              </w:rPr>
              <w:t>12.10 (6.60, NA)</w:t>
            </w:r>
          </w:p>
        </w:tc>
      </w:tr>
      <w:tr w:rsidR="00504149" w:rsidRPr="00C530BA" w:rsidTr="00D7706D">
        <w:tc>
          <w:tcPr>
            <w:tcW w:w="5000" w:type="pct"/>
            <w:gridSpan w:val="4"/>
            <w:shd w:val="clear" w:color="auto" w:fill="D9D9D9" w:themeFill="background1" w:themeFillShade="D9"/>
          </w:tcPr>
          <w:p w:rsidR="00504149" w:rsidRPr="00D901ED" w:rsidRDefault="00504149" w:rsidP="00554CB2">
            <w:pPr>
              <w:pStyle w:val="TableText0"/>
              <w:rPr>
                <w:rFonts w:eastAsiaTheme="minorHAnsi"/>
                <w:b/>
              </w:rPr>
            </w:pPr>
            <w:r w:rsidRPr="00D901ED">
              <w:rPr>
                <w:rFonts w:eastAsiaTheme="minorHAnsi"/>
                <w:b/>
              </w:rPr>
              <w:t>Test for association between age and survival, HR (95% CI)</w:t>
            </w:r>
          </w:p>
        </w:tc>
      </w:tr>
      <w:tr w:rsidR="00504149" w:rsidRPr="00C530BA" w:rsidTr="00D7706D">
        <w:tc>
          <w:tcPr>
            <w:tcW w:w="1015" w:type="pct"/>
            <w:shd w:val="clear" w:color="auto" w:fill="auto"/>
          </w:tcPr>
          <w:p w:rsidR="00504149" w:rsidRPr="00C530BA" w:rsidRDefault="00504149" w:rsidP="00554CB2">
            <w:pPr>
              <w:pStyle w:val="TableText0"/>
              <w:rPr>
                <w:rFonts w:eastAsiaTheme="minorHAnsi"/>
              </w:rPr>
            </w:pPr>
            <w:r>
              <w:rPr>
                <w:rFonts w:eastAsiaTheme="minorHAnsi"/>
              </w:rPr>
              <w:t>Age ≥75 vs. 65-&lt;75</w:t>
            </w:r>
          </w:p>
        </w:tc>
        <w:tc>
          <w:tcPr>
            <w:tcW w:w="1328" w:type="pct"/>
            <w:shd w:val="clear" w:color="auto" w:fill="auto"/>
          </w:tcPr>
          <w:p w:rsidR="00504149" w:rsidRPr="00C530BA" w:rsidRDefault="00504149" w:rsidP="00554CB2">
            <w:pPr>
              <w:pStyle w:val="TableText0"/>
              <w:rPr>
                <w:rFonts w:eastAsiaTheme="minorHAnsi"/>
              </w:rPr>
            </w:pPr>
            <w:r>
              <w:rPr>
                <w:rFonts w:eastAsiaTheme="minorHAnsi"/>
              </w:rPr>
              <w:t>1.15 (0.82, 1.61), P=0.42</w:t>
            </w:r>
          </w:p>
        </w:tc>
        <w:tc>
          <w:tcPr>
            <w:tcW w:w="1329" w:type="pct"/>
            <w:shd w:val="clear" w:color="auto" w:fill="auto"/>
          </w:tcPr>
          <w:p w:rsidR="00504149" w:rsidRPr="00C530BA" w:rsidRDefault="00504149" w:rsidP="00554CB2">
            <w:pPr>
              <w:pStyle w:val="TableText0"/>
              <w:rPr>
                <w:rFonts w:eastAsiaTheme="minorHAnsi"/>
              </w:rPr>
            </w:pPr>
            <w:r>
              <w:rPr>
                <w:rFonts w:eastAsiaTheme="minorHAnsi"/>
              </w:rPr>
              <w:t>-</w:t>
            </w:r>
          </w:p>
        </w:tc>
        <w:tc>
          <w:tcPr>
            <w:tcW w:w="1329" w:type="pct"/>
            <w:shd w:val="clear" w:color="auto" w:fill="auto"/>
          </w:tcPr>
          <w:p w:rsidR="00504149" w:rsidRPr="00C530BA" w:rsidRDefault="00504149" w:rsidP="00554CB2">
            <w:pPr>
              <w:pStyle w:val="TableText0"/>
              <w:rPr>
                <w:rFonts w:eastAsiaTheme="minorHAnsi"/>
              </w:rPr>
            </w:pPr>
            <w:r>
              <w:rPr>
                <w:rFonts w:eastAsiaTheme="minorHAnsi"/>
              </w:rPr>
              <w:t>-</w:t>
            </w:r>
          </w:p>
        </w:tc>
      </w:tr>
      <w:tr w:rsidR="00504149" w:rsidRPr="00C530BA" w:rsidTr="00D7706D">
        <w:tc>
          <w:tcPr>
            <w:tcW w:w="1015" w:type="pct"/>
            <w:shd w:val="clear" w:color="auto" w:fill="auto"/>
          </w:tcPr>
          <w:p w:rsidR="00504149" w:rsidRPr="00C530BA" w:rsidRDefault="00504149" w:rsidP="00554CB2">
            <w:pPr>
              <w:pStyle w:val="TableText0"/>
              <w:rPr>
                <w:rFonts w:eastAsiaTheme="minorHAnsi"/>
              </w:rPr>
            </w:pPr>
            <w:r>
              <w:rPr>
                <w:rFonts w:eastAsiaTheme="minorHAnsi"/>
              </w:rPr>
              <w:t>Age ≥75 vs. &lt;75</w:t>
            </w:r>
          </w:p>
        </w:tc>
        <w:tc>
          <w:tcPr>
            <w:tcW w:w="1328" w:type="pct"/>
            <w:shd w:val="clear" w:color="auto" w:fill="auto"/>
          </w:tcPr>
          <w:p w:rsidR="00504149" w:rsidRPr="00C530BA" w:rsidRDefault="00504149" w:rsidP="00554CB2">
            <w:pPr>
              <w:pStyle w:val="TableText0"/>
              <w:rPr>
                <w:rFonts w:eastAsiaTheme="minorHAnsi"/>
              </w:rPr>
            </w:pPr>
            <w:r>
              <w:rPr>
                <w:rFonts w:eastAsiaTheme="minorHAnsi"/>
              </w:rPr>
              <w:t>-</w:t>
            </w:r>
          </w:p>
        </w:tc>
        <w:tc>
          <w:tcPr>
            <w:tcW w:w="1329" w:type="pct"/>
            <w:shd w:val="clear" w:color="auto" w:fill="auto"/>
          </w:tcPr>
          <w:p w:rsidR="00504149" w:rsidRPr="00C530BA" w:rsidRDefault="00504149" w:rsidP="00554CB2">
            <w:pPr>
              <w:pStyle w:val="TableText0"/>
              <w:rPr>
                <w:rFonts w:eastAsiaTheme="minorHAnsi"/>
              </w:rPr>
            </w:pPr>
            <w:r>
              <w:rPr>
                <w:rFonts w:eastAsiaTheme="minorHAnsi"/>
              </w:rPr>
              <w:t>NR, p=0.3272 (LR test)</w:t>
            </w:r>
          </w:p>
        </w:tc>
        <w:tc>
          <w:tcPr>
            <w:tcW w:w="1329" w:type="pct"/>
            <w:shd w:val="clear" w:color="auto" w:fill="auto"/>
          </w:tcPr>
          <w:p w:rsidR="00504149" w:rsidRPr="00C530BA" w:rsidRDefault="00504149" w:rsidP="00554CB2">
            <w:pPr>
              <w:pStyle w:val="TableText0"/>
              <w:rPr>
                <w:rFonts w:eastAsiaTheme="minorHAnsi"/>
              </w:rPr>
            </w:pPr>
            <w:r>
              <w:rPr>
                <w:rFonts w:eastAsiaTheme="minorHAnsi"/>
              </w:rPr>
              <w:t>-</w:t>
            </w:r>
          </w:p>
        </w:tc>
      </w:tr>
      <w:tr w:rsidR="00504149" w:rsidRPr="00C530BA" w:rsidTr="00D7706D">
        <w:tc>
          <w:tcPr>
            <w:tcW w:w="1015" w:type="pct"/>
            <w:shd w:val="clear" w:color="auto" w:fill="auto"/>
          </w:tcPr>
          <w:p w:rsidR="00504149" w:rsidRPr="00C530BA" w:rsidRDefault="00504149" w:rsidP="00507263">
            <w:pPr>
              <w:pStyle w:val="TableText0"/>
              <w:rPr>
                <w:rFonts w:eastAsiaTheme="minorHAnsi"/>
              </w:rPr>
            </w:pPr>
            <w:r>
              <w:rPr>
                <w:rFonts w:eastAsiaTheme="minorHAnsi"/>
              </w:rPr>
              <w:t xml:space="preserve">Age &lt;65 vs. ≥75 </w:t>
            </w:r>
          </w:p>
        </w:tc>
        <w:tc>
          <w:tcPr>
            <w:tcW w:w="1328" w:type="pct"/>
            <w:shd w:val="clear" w:color="auto" w:fill="auto"/>
          </w:tcPr>
          <w:p w:rsidR="00504149" w:rsidRPr="00C530BA" w:rsidRDefault="00504149" w:rsidP="00554CB2">
            <w:pPr>
              <w:pStyle w:val="TableText0"/>
              <w:rPr>
                <w:rFonts w:eastAsiaTheme="minorHAnsi"/>
              </w:rPr>
            </w:pPr>
            <w:r>
              <w:rPr>
                <w:rFonts w:eastAsiaTheme="minorHAnsi"/>
              </w:rPr>
              <w:t>-</w:t>
            </w:r>
          </w:p>
        </w:tc>
        <w:tc>
          <w:tcPr>
            <w:tcW w:w="1329" w:type="pct"/>
            <w:shd w:val="clear" w:color="auto" w:fill="auto"/>
          </w:tcPr>
          <w:p w:rsidR="00504149" w:rsidRPr="00C530BA" w:rsidRDefault="00504149" w:rsidP="00554CB2">
            <w:pPr>
              <w:pStyle w:val="TableText0"/>
              <w:rPr>
                <w:rFonts w:eastAsiaTheme="minorHAnsi"/>
              </w:rPr>
            </w:pPr>
            <w:r>
              <w:rPr>
                <w:rFonts w:eastAsiaTheme="minorHAnsi"/>
              </w:rPr>
              <w:t>-</w:t>
            </w:r>
          </w:p>
        </w:tc>
        <w:tc>
          <w:tcPr>
            <w:tcW w:w="1329" w:type="pct"/>
            <w:shd w:val="clear" w:color="auto" w:fill="auto"/>
          </w:tcPr>
          <w:p w:rsidR="00504149" w:rsidRPr="00C530BA" w:rsidRDefault="00504149" w:rsidP="00554CB2">
            <w:pPr>
              <w:pStyle w:val="TableText0"/>
              <w:rPr>
                <w:rFonts w:eastAsiaTheme="minorHAnsi"/>
              </w:rPr>
            </w:pPr>
            <w:r>
              <w:rPr>
                <w:rFonts w:eastAsiaTheme="minorHAnsi"/>
              </w:rPr>
              <w:t>0.89 (0.60, 1.44), p=0.57</w:t>
            </w:r>
          </w:p>
        </w:tc>
      </w:tr>
    </w:tbl>
    <w:p w:rsidR="00504149" w:rsidRPr="00A57A3F" w:rsidRDefault="00504149" w:rsidP="00504149">
      <w:pPr>
        <w:pStyle w:val="Tablenotes0"/>
        <w:rPr>
          <w:rFonts w:ascii="Arial Narrow" w:eastAsiaTheme="minorHAnsi" w:hAnsi="Arial Narrow"/>
          <w:sz w:val="18"/>
          <w:szCs w:val="18"/>
        </w:rPr>
      </w:pPr>
      <w:r w:rsidRPr="00A57A3F">
        <w:rPr>
          <w:rFonts w:ascii="Arial Narrow" w:eastAsiaTheme="minorHAnsi" w:hAnsi="Arial Narrow"/>
          <w:sz w:val="18"/>
          <w:szCs w:val="18"/>
        </w:rPr>
        <w:t>Source: Table 7, minor submission</w:t>
      </w:r>
    </w:p>
    <w:p w:rsidR="00504149" w:rsidRPr="00A57A3F" w:rsidRDefault="00504149" w:rsidP="00504149">
      <w:pPr>
        <w:pStyle w:val="Tablenotes0"/>
        <w:rPr>
          <w:rFonts w:ascii="Arial Narrow" w:eastAsiaTheme="minorHAnsi" w:hAnsi="Arial Narrow"/>
          <w:sz w:val="18"/>
          <w:szCs w:val="18"/>
        </w:rPr>
      </w:pPr>
      <w:r w:rsidRPr="00A57A3F">
        <w:rPr>
          <w:rFonts w:ascii="Arial Narrow" w:eastAsiaTheme="minorHAnsi" w:hAnsi="Arial Narrow"/>
          <w:sz w:val="18"/>
          <w:szCs w:val="18"/>
        </w:rPr>
        <w:t>Abbreviations: CI = confidence interval; LR = log rank; mths = months; NA = not applicable; NR = not reported; OS = overall survival.</w:t>
      </w:r>
    </w:p>
    <w:p w:rsidR="00504149" w:rsidRDefault="00504149" w:rsidP="00504149">
      <w:pPr>
        <w:pStyle w:val="Tablenotes0"/>
        <w:rPr>
          <w:rFonts w:eastAsiaTheme="minorHAnsi"/>
        </w:rPr>
      </w:pPr>
    </w:p>
    <w:p w:rsidR="004436EB" w:rsidRPr="00DA6358" w:rsidRDefault="004436EB" w:rsidP="002B0540">
      <w:pPr>
        <w:pStyle w:val="5-SubsectionSubheading"/>
      </w:pPr>
      <w:r w:rsidRPr="00DA6358">
        <w:t>Longer term trial data from pivotal 2L NSCLC trials</w:t>
      </w:r>
    </w:p>
    <w:p w:rsidR="0076420C" w:rsidRDefault="00A86325" w:rsidP="00A57A3F">
      <w:pPr>
        <w:pStyle w:val="3Bodytext"/>
        <w:jc w:val="both"/>
      </w:pPr>
      <w:r>
        <w:t>A</w:t>
      </w:r>
      <w:r w:rsidR="00877153" w:rsidRPr="00877153">
        <w:t>t the time of the initial PBS listing of nivolumab for the treatment of 2L NSCLC</w:t>
      </w:r>
      <w:r w:rsidR="004436EB">
        <w:t xml:space="preserve">, the </w:t>
      </w:r>
      <w:r>
        <w:t>submission state</w:t>
      </w:r>
      <w:r w:rsidR="00207DDF">
        <w:t>d</w:t>
      </w:r>
      <w:r>
        <w:t xml:space="preserve"> that the </w:t>
      </w:r>
      <w:r w:rsidR="00877153" w:rsidRPr="00877153">
        <w:t>overall survival data available was relatively immature (17-18 months follow-up) and atezolizumab had not</w:t>
      </w:r>
      <w:r w:rsidR="00F4221A">
        <w:t xml:space="preserve"> yet</w:t>
      </w:r>
      <w:r w:rsidR="00877153" w:rsidRPr="00877153">
        <w:t xml:space="preserve"> been considered by the PBAC for use in this indication. </w:t>
      </w:r>
      <w:r>
        <w:t>L</w:t>
      </w:r>
      <w:r w:rsidR="00877153" w:rsidRPr="00877153">
        <w:t xml:space="preserve">onger term overall survival data </w:t>
      </w:r>
      <w:r w:rsidR="00207DDF">
        <w:t>has since been</w:t>
      </w:r>
      <w:r>
        <w:t xml:space="preserve"> provided </w:t>
      </w:r>
      <w:r w:rsidR="00877153" w:rsidRPr="00877153">
        <w:t xml:space="preserve">for the pivotal clinical trials </w:t>
      </w:r>
      <w:r w:rsidR="004436EB">
        <w:t xml:space="preserve">which </w:t>
      </w:r>
      <w:r w:rsidR="00877153" w:rsidRPr="00877153">
        <w:t>support</w:t>
      </w:r>
      <w:r w:rsidR="004436EB">
        <w:t>ed</w:t>
      </w:r>
      <w:r w:rsidR="00877153" w:rsidRPr="00877153">
        <w:t xml:space="preserve"> </w:t>
      </w:r>
      <w:r w:rsidR="009116BF">
        <w:t xml:space="preserve">the </w:t>
      </w:r>
      <w:r w:rsidR="00877153" w:rsidRPr="00877153">
        <w:t xml:space="preserve">existing PBS listings </w:t>
      </w:r>
      <w:r w:rsidR="009116BF">
        <w:t xml:space="preserve">for nivolumab and atezolizumab in 2L NSCLC. </w:t>
      </w:r>
    </w:p>
    <w:p w:rsidR="0076420C" w:rsidRPr="00BF092C" w:rsidRDefault="00980B0E" w:rsidP="00A57A3F">
      <w:pPr>
        <w:pStyle w:val="3Bodytext"/>
        <w:jc w:val="both"/>
      </w:pPr>
      <w:r w:rsidRPr="009722B3">
        <w:t>Details of the trials presented in the submission are provided in the table below.</w:t>
      </w:r>
    </w:p>
    <w:p w:rsidR="00EF7232" w:rsidRDefault="00EF7232">
      <w:pPr>
        <w:jc w:val="left"/>
        <w:rPr>
          <w:rFonts w:ascii="Arial Narrow" w:hAnsi="Arial Narrow"/>
          <w:b/>
          <w:sz w:val="20"/>
          <w:szCs w:val="22"/>
        </w:rPr>
      </w:pPr>
      <w:r>
        <w:br w:type="page"/>
      </w:r>
    </w:p>
    <w:p w:rsidR="00BF092C" w:rsidRDefault="00BF092C" w:rsidP="00A57A3F">
      <w:pPr>
        <w:pStyle w:val="Tabletitles"/>
        <w:spacing w:after="0"/>
      </w:pPr>
      <w:bookmarkStart w:id="0" w:name="_GoBack"/>
      <w:bookmarkEnd w:id="0"/>
      <w:r>
        <w:lastRenderedPageBreak/>
        <w:t>Table</w:t>
      </w:r>
      <w:r w:rsidR="00EE31A2" w:rsidRPr="00C5151E">
        <w:rPr>
          <w:rFonts w:eastAsiaTheme="majorEastAsia"/>
        </w:rPr>
        <w:t xml:space="preserve"> </w:t>
      </w:r>
      <w:r w:rsidR="00652D4C">
        <w:rPr>
          <w:rFonts w:eastAsiaTheme="majorEastAsia"/>
        </w:rPr>
        <w:t>6</w:t>
      </w:r>
      <w:r w:rsidR="00EE31A2" w:rsidRPr="00C5151E">
        <w:rPr>
          <w:rFonts w:eastAsiaTheme="majorEastAsia"/>
        </w:rPr>
        <w:t xml:space="preserve">: </w:t>
      </w:r>
      <w:r w:rsidRPr="00100D45">
        <w:t>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6: Trials and associated reports presented in the re-submission"/>
        <w:tblDescription w:val="Table 6: Trials and associated reports presented in the re-submission"/>
      </w:tblPr>
      <w:tblGrid>
        <w:gridCol w:w="1590"/>
        <w:gridCol w:w="5381"/>
        <w:gridCol w:w="2045"/>
      </w:tblGrid>
      <w:tr w:rsidR="0076420C" w:rsidRPr="00F36CCB" w:rsidTr="00D7706D">
        <w:trPr>
          <w:cantSplit/>
          <w:trHeight w:val="539"/>
          <w:tblHeader/>
        </w:trPr>
        <w:tc>
          <w:tcPr>
            <w:tcW w:w="882" w:type="pct"/>
          </w:tcPr>
          <w:p w:rsidR="0076420C" w:rsidRPr="00917D69" w:rsidRDefault="0076420C" w:rsidP="00917D69">
            <w:pPr>
              <w:pStyle w:val="TableText0"/>
              <w:rPr>
                <w:b/>
              </w:rPr>
            </w:pPr>
            <w:r w:rsidRPr="00917D69">
              <w:rPr>
                <w:b/>
              </w:rPr>
              <w:t>Trial ID</w:t>
            </w:r>
            <w:r w:rsidR="006670BE" w:rsidRPr="00917D69">
              <w:rPr>
                <w:b/>
              </w:rPr>
              <w:t>/First Author</w:t>
            </w:r>
          </w:p>
        </w:tc>
        <w:tc>
          <w:tcPr>
            <w:tcW w:w="2984" w:type="pct"/>
          </w:tcPr>
          <w:p w:rsidR="0076420C" w:rsidRPr="00917D69" w:rsidRDefault="0076420C" w:rsidP="00917D69">
            <w:pPr>
              <w:pStyle w:val="TableText0"/>
              <w:rPr>
                <w:b/>
              </w:rPr>
            </w:pPr>
            <w:r w:rsidRPr="00917D69">
              <w:rPr>
                <w:b/>
              </w:rPr>
              <w:t>Protocol title/ Publication title</w:t>
            </w:r>
          </w:p>
        </w:tc>
        <w:tc>
          <w:tcPr>
            <w:tcW w:w="1134" w:type="pct"/>
          </w:tcPr>
          <w:p w:rsidR="0076420C" w:rsidRPr="00917D69" w:rsidRDefault="0076420C" w:rsidP="00917D69">
            <w:pPr>
              <w:pStyle w:val="TableText0"/>
              <w:rPr>
                <w:b/>
              </w:rPr>
            </w:pPr>
            <w:r w:rsidRPr="00917D69">
              <w:rPr>
                <w:b/>
              </w:rPr>
              <w:t>Publication citation</w:t>
            </w:r>
          </w:p>
        </w:tc>
      </w:tr>
      <w:tr w:rsidR="0076420C" w:rsidRPr="00F36CCB" w:rsidTr="00D7706D">
        <w:trPr>
          <w:cantSplit/>
          <w:trHeight w:val="317"/>
        </w:trPr>
        <w:tc>
          <w:tcPr>
            <w:tcW w:w="5000" w:type="pct"/>
            <w:gridSpan w:val="3"/>
          </w:tcPr>
          <w:p w:rsidR="0076420C" w:rsidRPr="00A55AE8" w:rsidRDefault="0076420C" w:rsidP="00917D69">
            <w:pPr>
              <w:pStyle w:val="TableText0"/>
              <w:rPr>
                <w:b/>
              </w:rPr>
            </w:pPr>
            <w:r w:rsidRPr="00A55AE8">
              <w:rPr>
                <w:b/>
              </w:rPr>
              <w:t>Direct randomised trial</w:t>
            </w:r>
            <w:r w:rsidR="00B176C8" w:rsidRPr="00A55AE8">
              <w:rPr>
                <w:b/>
              </w:rPr>
              <w:t>(</w:t>
            </w:r>
            <w:r w:rsidRPr="00A55AE8">
              <w:rPr>
                <w:b/>
              </w:rPr>
              <w:t>s</w:t>
            </w:r>
            <w:r w:rsidR="00B176C8" w:rsidRPr="00A55AE8">
              <w:rPr>
                <w:b/>
              </w:rPr>
              <w:t>)</w:t>
            </w:r>
          </w:p>
        </w:tc>
      </w:tr>
      <w:tr w:rsidR="0076420C" w:rsidRPr="00F36CCB" w:rsidTr="00D7706D">
        <w:trPr>
          <w:cantSplit/>
          <w:trHeight w:val="317"/>
        </w:trPr>
        <w:tc>
          <w:tcPr>
            <w:tcW w:w="882" w:type="pct"/>
          </w:tcPr>
          <w:p w:rsidR="00DA1F75" w:rsidRPr="00CD5CC6" w:rsidRDefault="00DA1F75" w:rsidP="00A55AE8">
            <w:pPr>
              <w:pStyle w:val="Default"/>
              <w:rPr>
                <w:rFonts w:ascii="Arial Narrow" w:hAnsi="Arial Narrow"/>
                <w:sz w:val="20"/>
                <w:szCs w:val="20"/>
              </w:rPr>
            </w:pPr>
            <w:r w:rsidRPr="00CD5CC6">
              <w:rPr>
                <w:rFonts w:ascii="Arial Narrow" w:hAnsi="Arial Narrow"/>
                <w:sz w:val="20"/>
                <w:szCs w:val="20"/>
              </w:rPr>
              <w:t>CM017</w:t>
            </w:r>
          </w:p>
          <w:p w:rsidR="0076420C" w:rsidRPr="00A55AE8" w:rsidRDefault="0076420C" w:rsidP="00A55AE8">
            <w:pPr>
              <w:pStyle w:val="TableText0"/>
            </w:pPr>
          </w:p>
        </w:tc>
        <w:tc>
          <w:tcPr>
            <w:tcW w:w="2984" w:type="pct"/>
          </w:tcPr>
          <w:p w:rsidR="0076420C" w:rsidRPr="00CD5CC6" w:rsidRDefault="00DA1F75" w:rsidP="00DA1F75">
            <w:pPr>
              <w:pStyle w:val="Default"/>
              <w:rPr>
                <w:rFonts w:ascii="Arial Narrow" w:hAnsi="Arial Narrow"/>
                <w:sz w:val="20"/>
                <w:szCs w:val="20"/>
              </w:rPr>
            </w:pPr>
            <w:r w:rsidRPr="00CD5CC6">
              <w:rPr>
                <w:rFonts w:ascii="Arial Narrow" w:hAnsi="Arial Narrow"/>
                <w:sz w:val="20"/>
                <w:szCs w:val="20"/>
              </w:rPr>
              <w:t xml:space="preserve">Brahmer et al. Nivolumab versus docetaxel in advanced squamous-cell non-small-cell lung cancer. </w:t>
            </w:r>
          </w:p>
        </w:tc>
        <w:tc>
          <w:tcPr>
            <w:tcW w:w="1134" w:type="pct"/>
          </w:tcPr>
          <w:p w:rsidR="00877153" w:rsidRPr="00CD5CC6" w:rsidRDefault="00DA1F75" w:rsidP="00877153">
            <w:pPr>
              <w:pStyle w:val="Default"/>
              <w:rPr>
                <w:rFonts w:ascii="Arial Narrow" w:hAnsi="Arial Narrow"/>
                <w:i/>
                <w:iCs/>
                <w:sz w:val="20"/>
                <w:szCs w:val="20"/>
              </w:rPr>
            </w:pPr>
            <w:r w:rsidRPr="00CD5CC6">
              <w:rPr>
                <w:rFonts w:ascii="Arial Narrow" w:hAnsi="Arial Narrow"/>
                <w:i/>
                <w:iCs/>
                <w:sz w:val="20"/>
                <w:szCs w:val="20"/>
              </w:rPr>
              <w:t>New Engl J Med 2015</w:t>
            </w:r>
            <w:r w:rsidRPr="00CD5CC6">
              <w:rPr>
                <w:rFonts w:ascii="Arial Narrow" w:hAnsi="Arial Narrow"/>
                <w:sz w:val="20"/>
                <w:szCs w:val="20"/>
              </w:rPr>
              <w:t>; 373: 123-35.</w:t>
            </w:r>
          </w:p>
          <w:p w:rsidR="0076420C" w:rsidRPr="00CD5CC6" w:rsidRDefault="0076420C" w:rsidP="00DA1F75">
            <w:pPr>
              <w:pStyle w:val="Default"/>
              <w:rPr>
                <w:rFonts w:ascii="Arial Narrow" w:hAnsi="Arial Narrow"/>
              </w:rPr>
            </w:pPr>
          </w:p>
        </w:tc>
      </w:tr>
      <w:tr w:rsidR="0076420C" w:rsidRPr="00F36CCB" w:rsidTr="00D7706D">
        <w:trPr>
          <w:cantSplit/>
          <w:trHeight w:val="317"/>
        </w:trPr>
        <w:tc>
          <w:tcPr>
            <w:tcW w:w="882" w:type="pct"/>
            <w:tcBorders>
              <w:bottom w:val="single" w:sz="4" w:space="0" w:color="auto"/>
            </w:tcBorders>
          </w:tcPr>
          <w:p w:rsidR="00DA1F75" w:rsidRPr="00CD5CC6" w:rsidRDefault="00DA1F75" w:rsidP="00CD5CC6">
            <w:pPr>
              <w:pStyle w:val="Default"/>
              <w:rPr>
                <w:rFonts w:ascii="Arial Narrow" w:hAnsi="Arial Narrow"/>
                <w:sz w:val="20"/>
                <w:szCs w:val="20"/>
              </w:rPr>
            </w:pPr>
            <w:r w:rsidRPr="00CD5CC6">
              <w:rPr>
                <w:rFonts w:ascii="Arial Narrow" w:hAnsi="Arial Narrow"/>
                <w:sz w:val="20"/>
                <w:szCs w:val="20"/>
              </w:rPr>
              <w:t>CM057</w:t>
            </w:r>
          </w:p>
          <w:p w:rsidR="0076420C" w:rsidRPr="00A55AE8" w:rsidRDefault="0076420C" w:rsidP="00CD5CC6">
            <w:pPr>
              <w:pStyle w:val="TableText0"/>
            </w:pPr>
          </w:p>
        </w:tc>
        <w:tc>
          <w:tcPr>
            <w:tcW w:w="2984" w:type="pct"/>
            <w:tcBorders>
              <w:bottom w:val="single" w:sz="4" w:space="0" w:color="auto"/>
            </w:tcBorders>
          </w:tcPr>
          <w:p w:rsidR="00DA1F75" w:rsidRPr="00CD5CC6" w:rsidRDefault="00DA1F75" w:rsidP="00DA1F75">
            <w:pPr>
              <w:pStyle w:val="Default"/>
              <w:rPr>
                <w:rFonts w:ascii="Arial Narrow" w:hAnsi="Arial Narrow"/>
                <w:sz w:val="20"/>
                <w:szCs w:val="20"/>
              </w:rPr>
            </w:pPr>
            <w:r w:rsidRPr="00CD5CC6">
              <w:rPr>
                <w:rFonts w:ascii="Arial Narrow" w:hAnsi="Arial Narrow"/>
                <w:sz w:val="20"/>
                <w:szCs w:val="20"/>
              </w:rPr>
              <w:t>Borghaei et al. Nivolumab versus docetaxel in advanced non</w:t>
            </w:r>
            <w:r w:rsidR="00A5064C">
              <w:rPr>
                <w:rFonts w:ascii="Arial Narrow" w:hAnsi="Arial Narrow"/>
                <w:sz w:val="20"/>
                <w:szCs w:val="20"/>
              </w:rPr>
              <w:t>-</w:t>
            </w:r>
            <w:r w:rsidRPr="00CD5CC6">
              <w:rPr>
                <w:rFonts w:ascii="Arial Narrow" w:hAnsi="Arial Narrow"/>
                <w:sz w:val="20"/>
                <w:szCs w:val="20"/>
              </w:rPr>
              <w:t xml:space="preserve">squamous non-small-cell lung cancer. </w:t>
            </w:r>
          </w:p>
          <w:p w:rsidR="0076420C" w:rsidRPr="00A55AE8" w:rsidRDefault="0076420C" w:rsidP="00917D69">
            <w:pPr>
              <w:pStyle w:val="TableText0"/>
            </w:pPr>
          </w:p>
        </w:tc>
        <w:tc>
          <w:tcPr>
            <w:tcW w:w="1134" w:type="pct"/>
            <w:tcBorders>
              <w:bottom w:val="single" w:sz="4" w:space="0" w:color="auto"/>
            </w:tcBorders>
          </w:tcPr>
          <w:p w:rsidR="0076420C" w:rsidRPr="00A55AE8" w:rsidRDefault="00DA1F75" w:rsidP="00917D69">
            <w:pPr>
              <w:pStyle w:val="TableText0"/>
            </w:pPr>
            <w:r w:rsidRPr="00A55AE8">
              <w:rPr>
                <w:i/>
                <w:iCs/>
                <w:szCs w:val="20"/>
              </w:rPr>
              <w:t xml:space="preserve">N Engl J Med </w:t>
            </w:r>
            <w:r w:rsidRPr="00A55AE8">
              <w:rPr>
                <w:szCs w:val="20"/>
              </w:rPr>
              <w:t>2015; 373: 1627-39.</w:t>
            </w:r>
          </w:p>
        </w:tc>
      </w:tr>
      <w:tr w:rsidR="00DA1F75" w:rsidRPr="00F36CCB" w:rsidTr="00D7706D">
        <w:trPr>
          <w:cantSplit/>
          <w:trHeight w:val="317"/>
        </w:trPr>
        <w:tc>
          <w:tcPr>
            <w:tcW w:w="882" w:type="pct"/>
            <w:tcBorders>
              <w:top w:val="single" w:sz="4" w:space="0" w:color="auto"/>
              <w:left w:val="single" w:sz="4" w:space="0" w:color="auto"/>
              <w:bottom w:val="single" w:sz="4" w:space="0" w:color="auto"/>
            </w:tcBorders>
          </w:tcPr>
          <w:p w:rsidR="00DA1F75" w:rsidRPr="00CD5CC6" w:rsidRDefault="00DA1F75" w:rsidP="00CD5CC6">
            <w:pPr>
              <w:pStyle w:val="Default"/>
              <w:rPr>
                <w:rFonts w:ascii="Arial Narrow" w:hAnsi="Arial Narrow"/>
                <w:sz w:val="20"/>
                <w:szCs w:val="20"/>
              </w:rPr>
            </w:pPr>
            <w:r w:rsidRPr="00CD5CC6">
              <w:rPr>
                <w:rFonts w:ascii="Arial Narrow" w:hAnsi="Arial Narrow"/>
                <w:sz w:val="20"/>
                <w:szCs w:val="20"/>
              </w:rPr>
              <w:t>CM017/CM057 pooled</w:t>
            </w:r>
          </w:p>
          <w:p w:rsidR="00DA1F75" w:rsidRPr="00CD5CC6" w:rsidRDefault="00DA1F75" w:rsidP="00CD5CC6">
            <w:pPr>
              <w:pStyle w:val="Default"/>
              <w:rPr>
                <w:rFonts w:ascii="Arial Narrow" w:hAnsi="Arial Narrow"/>
                <w:sz w:val="20"/>
                <w:szCs w:val="20"/>
              </w:rPr>
            </w:pPr>
          </w:p>
        </w:tc>
        <w:tc>
          <w:tcPr>
            <w:tcW w:w="2984" w:type="pct"/>
            <w:tcBorders>
              <w:top w:val="single" w:sz="4" w:space="0" w:color="auto"/>
              <w:bottom w:val="single" w:sz="4" w:space="0" w:color="auto"/>
            </w:tcBorders>
          </w:tcPr>
          <w:p w:rsidR="00DA1F75" w:rsidRPr="00CD5CC6" w:rsidRDefault="00DA1F75" w:rsidP="00DA1F75">
            <w:pPr>
              <w:pStyle w:val="Default"/>
              <w:rPr>
                <w:rFonts w:ascii="Arial Narrow" w:hAnsi="Arial Narrow"/>
                <w:sz w:val="20"/>
                <w:szCs w:val="20"/>
              </w:rPr>
            </w:pPr>
            <w:r w:rsidRPr="00CD5CC6">
              <w:rPr>
                <w:rFonts w:ascii="Arial Narrow" w:hAnsi="Arial Narrow"/>
                <w:sz w:val="20"/>
                <w:szCs w:val="20"/>
              </w:rPr>
              <w:t xml:space="preserve">Gettinger et al. Five-year outcomes from the randomized, phase 3 trials CheckMate 017/057: Nivolumab vs docetaxel in previously treated NSCLC. </w:t>
            </w:r>
          </w:p>
          <w:p w:rsidR="00DA1F75" w:rsidRPr="00CD5CC6" w:rsidRDefault="00DA1F75" w:rsidP="00DA1F75">
            <w:pPr>
              <w:pStyle w:val="Default"/>
              <w:rPr>
                <w:rFonts w:ascii="Arial Narrow" w:hAnsi="Arial Narrow"/>
                <w:sz w:val="20"/>
                <w:szCs w:val="20"/>
              </w:rPr>
            </w:pPr>
          </w:p>
          <w:p w:rsidR="00DA1F75" w:rsidRPr="00CD5CC6" w:rsidRDefault="00DA1F75" w:rsidP="00DA1F75">
            <w:pPr>
              <w:pStyle w:val="Default"/>
              <w:rPr>
                <w:rFonts w:ascii="Arial Narrow" w:hAnsi="Arial Narrow"/>
                <w:sz w:val="20"/>
                <w:szCs w:val="20"/>
              </w:rPr>
            </w:pPr>
            <w:r w:rsidRPr="00CD5CC6">
              <w:rPr>
                <w:rFonts w:ascii="Arial Narrow" w:hAnsi="Arial Narrow"/>
                <w:sz w:val="20"/>
                <w:szCs w:val="20"/>
              </w:rPr>
              <w:t xml:space="preserve">Horn et al. Nivolumab versus docetaxel in previously treated patients with advanced non-small-cell lung cancer: Tow-year outcome from two randomized, open-label, phase III trials (CheckMate 017 and CheckMate 057). </w:t>
            </w:r>
          </w:p>
          <w:p w:rsidR="00DA1F75" w:rsidRPr="00CD5CC6" w:rsidRDefault="00DA1F75" w:rsidP="00DA1F75">
            <w:pPr>
              <w:pStyle w:val="Default"/>
              <w:rPr>
                <w:rFonts w:ascii="Arial Narrow" w:hAnsi="Arial Narrow"/>
                <w:sz w:val="20"/>
                <w:szCs w:val="20"/>
              </w:rPr>
            </w:pPr>
          </w:p>
          <w:p w:rsidR="00DA1F75" w:rsidRPr="00CD5CC6" w:rsidRDefault="00DA1F75" w:rsidP="00DA1F75">
            <w:pPr>
              <w:pStyle w:val="Default"/>
              <w:rPr>
                <w:rFonts w:ascii="Arial Narrow" w:hAnsi="Arial Narrow"/>
                <w:sz w:val="20"/>
                <w:szCs w:val="20"/>
              </w:rPr>
            </w:pPr>
            <w:r w:rsidRPr="00CD5CC6">
              <w:rPr>
                <w:rFonts w:ascii="Arial Narrow" w:hAnsi="Arial Narrow"/>
                <w:sz w:val="20"/>
                <w:szCs w:val="20"/>
              </w:rPr>
              <w:t xml:space="preserve">Vokes et al. Nivolumab versus docetaxel in previously treated advanced non-small-cell lung cancer (CheckMate 017 and CheckMate 057): 3-year update and outcomes in patients with liver metastases. </w:t>
            </w:r>
          </w:p>
        </w:tc>
        <w:tc>
          <w:tcPr>
            <w:tcW w:w="1134" w:type="pct"/>
            <w:tcBorders>
              <w:top w:val="single" w:sz="4" w:space="0" w:color="auto"/>
              <w:bottom w:val="single" w:sz="4" w:space="0" w:color="auto"/>
              <w:right w:val="single" w:sz="4" w:space="0" w:color="auto"/>
            </w:tcBorders>
          </w:tcPr>
          <w:p w:rsidR="00DA1F75" w:rsidRPr="00A55AE8" w:rsidRDefault="00DA1F75" w:rsidP="00917D69">
            <w:pPr>
              <w:pStyle w:val="TableText0"/>
              <w:rPr>
                <w:i/>
                <w:iCs/>
                <w:szCs w:val="20"/>
              </w:rPr>
            </w:pPr>
            <w:r w:rsidRPr="00A55AE8">
              <w:rPr>
                <w:szCs w:val="20"/>
              </w:rPr>
              <w:t xml:space="preserve">Poster presented at </w:t>
            </w:r>
            <w:r w:rsidRPr="00A55AE8">
              <w:rPr>
                <w:i/>
                <w:iCs/>
                <w:szCs w:val="20"/>
              </w:rPr>
              <w:t xml:space="preserve">Florida Society of Clinical Oncology </w:t>
            </w:r>
            <w:r w:rsidRPr="00A55AE8">
              <w:rPr>
                <w:szCs w:val="20"/>
              </w:rPr>
              <w:t>2019.</w:t>
            </w:r>
            <w:r w:rsidRPr="00A55AE8">
              <w:rPr>
                <w:i/>
                <w:iCs/>
                <w:szCs w:val="20"/>
              </w:rPr>
              <w:t xml:space="preserve"> </w:t>
            </w:r>
          </w:p>
          <w:p w:rsidR="00DA1F75" w:rsidRPr="00A55AE8" w:rsidRDefault="00DA1F75" w:rsidP="00917D69">
            <w:pPr>
              <w:pStyle w:val="TableText0"/>
              <w:rPr>
                <w:i/>
                <w:iCs/>
                <w:szCs w:val="20"/>
              </w:rPr>
            </w:pPr>
          </w:p>
          <w:p w:rsidR="00DA1F75" w:rsidRPr="00A55AE8" w:rsidRDefault="00DA1F75" w:rsidP="00917D69">
            <w:pPr>
              <w:pStyle w:val="TableText0"/>
              <w:rPr>
                <w:i/>
                <w:iCs/>
                <w:szCs w:val="20"/>
              </w:rPr>
            </w:pPr>
            <w:r w:rsidRPr="00A55AE8">
              <w:rPr>
                <w:i/>
                <w:iCs/>
                <w:szCs w:val="20"/>
              </w:rPr>
              <w:t xml:space="preserve">J Clin Oncol </w:t>
            </w:r>
            <w:r w:rsidRPr="00A55AE8">
              <w:rPr>
                <w:szCs w:val="20"/>
              </w:rPr>
              <w:t>2017; 35 (35): 3924-3933.</w:t>
            </w:r>
          </w:p>
          <w:p w:rsidR="00DA1F75" w:rsidRPr="00A55AE8" w:rsidRDefault="00DA1F75" w:rsidP="00917D69">
            <w:pPr>
              <w:pStyle w:val="TableText0"/>
              <w:rPr>
                <w:i/>
                <w:iCs/>
                <w:szCs w:val="20"/>
              </w:rPr>
            </w:pPr>
          </w:p>
          <w:p w:rsidR="00DA1F75" w:rsidRPr="00A55AE8" w:rsidRDefault="00DA1F75" w:rsidP="00917D69">
            <w:pPr>
              <w:pStyle w:val="TableText0"/>
            </w:pPr>
            <w:r w:rsidRPr="00A55AE8">
              <w:rPr>
                <w:i/>
                <w:iCs/>
                <w:szCs w:val="20"/>
              </w:rPr>
              <w:t xml:space="preserve">Annals of Oncol </w:t>
            </w:r>
            <w:r w:rsidRPr="00A55AE8">
              <w:rPr>
                <w:szCs w:val="20"/>
              </w:rPr>
              <w:t>2018; 29: 959-965.</w:t>
            </w:r>
          </w:p>
        </w:tc>
      </w:tr>
      <w:tr w:rsidR="00DA1F75" w:rsidRPr="00F36CCB" w:rsidTr="00D7706D">
        <w:trPr>
          <w:cantSplit/>
          <w:trHeight w:val="317"/>
        </w:trPr>
        <w:tc>
          <w:tcPr>
            <w:tcW w:w="882" w:type="pct"/>
            <w:tcBorders>
              <w:top w:val="single" w:sz="4" w:space="0" w:color="auto"/>
            </w:tcBorders>
          </w:tcPr>
          <w:p w:rsidR="00DA1F75" w:rsidRPr="00CD5CC6" w:rsidRDefault="00DA1F75" w:rsidP="00CD5CC6">
            <w:pPr>
              <w:pStyle w:val="Default"/>
              <w:rPr>
                <w:rFonts w:ascii="Arial Narrow" w:hAnsi="Arial Narrow"/>
                <w:sz w:val="20"/>
                <w:szCs w:val="20"/>
              </w:rPr>
            </w:pPr>
            <w:r w:rsidRPr="00CD5CC6">
              <w:rPr>
                <w:rFonts w:ascii="Arial Narrow" w:hAnsi="Arial Narrow"/>
                <w:sz w:val="20"/>
                <w:szCs w:val="20"/>
              </w:rPr>
              <w:t>OAK</w:t>
            </w:r>
          </w:p>
          <w:p w:rsidR="00DA1F75" w:rsidRPr="00CD5CC6" w:rsidRDefault="00DA1F75" w:rsidP="00CD5CC6">
            <w:pPr>
              <w:pStyle w:val="Default"/>
              <w:rPr>
                <w:rFonts w:ascii="Arial Narrow" w:hAnsi="Arial Narrow"/>
                <w:sz w:val="20"/>
                <w:szCs w:val="20"/>
              </w:rPr>
            </w:pPr>
          </w:p>
        </w:tc>
        <w:tc>
          <w:tcPr>
            <w:tcW w:w="2984" w:type="pct"/>
            <w:tcBorders>
              <w:top w:val="single" w:sz="4" w:space="0" w:color="auto"/>
            </w:tcBorders>
          </w:tcPr>
          <w:p w:rsidR="00DA1F75" w:rsidRPr="00CD5CC6" w:rsidRDefault="00DA1F75" w:rsidP="00DA1F75">
            <w:pPr>
              <w:pStyle w:val="Default"/>
              <w:tabs>
                <w:tab w:val="left" w:pos="1459"/>
              </w:tabs>
              <w:rPr>
                <w:rFonts w:ascii="Arial Narrow" w:hAnsi="Arial Narrow"/>
                <w:sz w:val="20"/>
                <w:szCs w:val="20"/>
              </w:rPr>
            </w:pPr>
            <w:r w:rsidRPr="00CD5CC6">
              <w:rPr>
                <w:rFonts w:ascii="Arial Narrow" w:hAnsi="Arial Narrow"/>
                <w:sz w:val="20"/>
                <w:szCs w:val="20"/>
              </w:rPr>
              <w:t xml:space="preserve">Fehrenbacher et al. Updated efficacy analysis including secondary population results for OAK: A randomised phase III study of atezolizumab versus docetaxel in patients with previously treated advanced non-small cell lung cancer. </w:t>
            </w:r>
          </w:p>
          <w:p w:rsidR="00DA1F75" w:rsidRPr="00CD5CC6" w:rsidRDefault="00DA1F75" w:rsidP="00DA1F75">
            <w:pPr>
              <w:pStyle w:val="Default"/>
              <w:tabs>
                <w:tab w:val="left" w:pos="1459"/>
              </w:tabs>
              <w:rPr>
                <w:rFonts w:ascii="Arial Narrow" w:hAnsi="Arial Narrow"/>
                <w:sz w:val="20"/>
                <w:szCs w:val="20"/>
              </w:rPr>
            </w:pPr>
          </w:p>
          <w:p w:rsidR="00DA1F75" w:rsidRPr="00CD5CC6" w:rsidRDefault="00DA1F75" w:rsidP="00DA1F75">
            <w:pPr>
              <w:pStyle w:val="Default"/>
              <w:tabs>
                <w:tab w:val="left" w:pos="1459"/>
              </w:tabs>
              <w:rPr>
                <w:rFonts w:ascii="Arial Narrow" w:hAnsi="Arial Narrow"/>
                <w:sz w:val="20"/>
                <w:szCs w:val="20"/>
              </w:rPr>
            </w:pPr>
            <w:r w:rsidRPr="00CD5CC6">
              <w:rPr>
                <w:rFonts w:ascii="Arial Narrow" w:hAnsi="Arial Narrow"/>
                <w:sz w:val="20"/>
                <w:szCs w:val="20"/>
              </w:rPr>
              <w:t xml:space="preserve">Rittmeyer et al. Atezolizumab versus docetaxel in patients with previously treated non-small-cell lung cancer (OAK): a phase 3, open-label, multicentre randomised controlled trial. </w:t>
            </w:r>
          </w:p>
        </w:tc>
        <w:tc>
          <w:tcPr>
            <w:tcW w:w="1134" w:type="pct"/>
            <w:tcBorders>
              <w:top w:val="single" w:sz="4" w:space="0" w:color="auto"/>
            </w:tcBorders>
          </w:tcPr>
          <w:p w:rsidR="00DA1F75" w:rsidRPr="00A55AE8" w:rsidRDefault="00DA1F75" w:rsidP="00917D69">
            <w:pPr>
              <w:pStyle w:val="TableText0"/>
              <w:rPr>
                <w:i/>
                <w:iCs/>
                <w:szCs w:val="20"/>
              </w:rPr>
            </w:pPr>
            <w:r w:rsidRPr="00A55AE8">
              <w:rPr>
                <w:i/>
                <w:iCs/>
                <w:szCs w:val="20"/>
              </w:rPr>
              <w:t xml:space="preserve">J Thorac Oncol </w:t>
            </w:r>
            <w:r w:rsidRPr="00A55AE8">
              <w:rPr>
                <w:szCs w:val="20"/>
              </w:rPr>
              <w:t>2018; 18 (8): 1156-70.</w:t>
            </w:r>
          </w:p>
          <w:p w:rsidR="00DA1F75" w:rsidRPr="00A55AE8" w:rsidRDefault="00DA1F75" w:rsidP="00917D69">
            <w:pPr>
              <w:pStyle w:val="TableText0"/>
              <w:rPr>
                <w:i/>
                <w:iCs/>
                <w:szCs w:val="20"/>
              </w:rPr>
            </w:pPr>
          </w:p>
          <w:p w:rsidR="00DA1F75" w:rsidRPr="00A55AE8" w:rsidRDefault="00DA1F75" w:rsidP="00917D69">
            <w:pPr>
              <w:pStyle w:val="TableText0"/>
            </w:pPr>
            <w:r w:rsidRPr="00A55AE8">
              <w:rPr>
                <w:i/>
                <w:iCs/>
                <w:szCs w:val="20"/>
              </w:rPr>
              <w:t xml:space="preserve">Lancet </w:t>
            </w:r>
            <w:r w:rsidRPr="00A55AE8">
              <w:rPr>
                <w:szCs w:val="20"/>
              </w:rPr>
              <w:t>2017; 389: 255-65.</w:t>
            </w:r>
          </w:p>
        </w:tc>
      </w:tr>
      <w:tr w:rsidR="00DA1F75" w:rsidRPr="00F36CCB" w:rsidTr="00D7706D">
        <w:trPr>
          <w:cantSplit/>
          <w:trHeight w:val="317"/>
        </w:trPr>
        <w:tc>
          <w:tcPr>
            <w:tcW w:w="882" w:type="pct"/>
          </w:tcPr>
          <w:p w:rsidR="00DA1F75" w:rsidRPr="00CD5CC6" w:rsidRDefault="00DA1F75" w:rsidP="00CD5CC6">
            <w:pPr>
              <w:pStyle w:val="Default"/>
              <w:rPr>
                <w:rFonts w:ascii="Arial Narrow" w:hAnsi="Arial Narrow"/>
                <w:sz w:val="20"/>
                <w:szCs w:val="20"/>
              </w:rPr>
            </w:pPr>
            <w:r w:rsidRPr="00CD5CC6">
              <w:rPr>
                <w:rFonts w:ascii="Arial Narrow" w:hAnsi="Arial Narrow"/>
                <w:sz w:val="20"/>
                <w:szCs w:val="20"/>
              </w:rPr>
              <w:t>POPLAR</w:t>
            </w:r>
          </w:p>
          <w:p w:rsidR="00DA1F75" w:rsidRPr="00CD5CC6" w:rsidRDefault="00DA1F75" w:rsidP="00CD5CC6">
            <w:pPr>
              <w:pStyle w:val="Default"/>
              <w:rPr>
                <w:rFonts w:ascii="Arial Narrow" w:hAnsi="Arial Narrow"/>
                <w:sz w:val="20"/>
                <w:szCs w:val="20"/>
              </w:rPr>
            </w:pPr>
          </w:p>
        </w:tc>
        <w:tc>
          <w:tcPr>
            <w:tcW w:w="2984" w:type="pct"/>
          </w:tcPr>
          <w:p w:rsidR="00DA1F75" w:rsidRPr="00CD5CC6" w:rsidRDefault="00DA1F75" w:rsidP="00DA1F75">
            <w:pPr>
              <w:pStyle w:val="Default"/>
              <w:rPr>
                <w:rFonts w:ascii="Arial Narrow" w:hAnsi="Arial Narrow"/>
                <w:sz w:val="20"/>
                <w:szCs w:val="20"/>
              </w:rPr>
            </w:pPr>
            <w:r w:rsidRPr="00CD5CC6">
              <w:rPr>
                <w:rFonts w:ascii="Arial Narrow" w:hAnsi="Arial Narrow"/>
                <w:sz w:val="20"/>
                <w:szCs w:val="20"/>
              </w:rPr>
              <w:t xml:space="preserve">Fehrenbacher et al. Atezolizumab versus docetaxel for patients with previously treated non-small-cell lung cancer (POPLAR): a multicentre, open-label, phase 2 randomised controlled trial. </w:t>
            </w:r>
          </w:p>
          <w:p w:rsidR="00DA1F75" w:rsidRPr="00CD5CC6" w:rsidRDefault="00DA1F75" w:rsidP="00DA1F75">
            <w:pPr>
              <w:pStyle w:val="Default"/>
              <w:tabs>
                <w:tab w:val="left" w:pos="1459"/>
              </w:tabs>
              <w:rPr>
                <w:rFonts w:ascii="Arial Narrow" w:hAnsi="Arial Narrow"/>
                <w:sz w:val="20"/>
                <w:szCs w:val="20"/>
              </w:rPr>
            </w:pPr>
          </w:p>
        </w:tc>
        <w:tc>
          <w:tcPr>
            <w:tcW w:w="1134" w:type="pct"/>
          </w:tcPr>
          <w:p w:rsidR="00DA1F75" w:rsidRPr="00A55AE8" w:rsidRDefault="00DA1F75" w:rsidP="00917D69">
            <w:pPr>
              <w:pStyle w:val="TableText0"/>
            </w:pPr>
            <w:r w:rsidRPr="00A55AE8">
              <w:rPr>
                <w:i/>
                <w:iCs/>
                <w:szCs w:val="20"/>
              </w:rPr>
              <w:t xml:space="preserve">Lancet </w:t>
            </w:r>
            <w:r w:rsidRPr="00A55AE8">
              <w:rPr>
                <w:szCs w:val="20"/>
              </w:rPr>
              <w:t>2016; 387: 1837-46.</w:t>
            </w:r>
          </w:p>
        </w:tc>
      </w:tr>
      <w:tr w:rsidR="00DA1F75" w:rsidRPr="00F36CCB" w:rsidTr="00D7706D">
        <w:trPr>
          <w:cantSplit/>
          <w:trHeight w:val="317"/>
        </w:trPr>
        <w:tc>
          <w:tcPr>
            <w:tcW w:w="882" w:type="pct"/>
          </w:tcPr>
          <w:p w:rsidR="00DA1F75" w:rsidRPr="00CD5CC6" w:rsidRDefault="00DA1F75" w:rsidP="00CD5CC6">
            <w:pPr>
              <w:pStyle w:val="Default"/>
              <w:rPr>
                <w:rFonts w:ascii="Arial Narrow" w:hAnsi="Arial Narrow"/>
                <w:sz w:val="20"/>
                <w:szCs w:val="20"/>
              </w:rPr>
            </w:pPr>
            <w:r w:rsidRPr="00CD5CC6">
              <w:rPr>
                <w:rFonts w:ascii="Arial Narrow" w:hAnsi="Arial Narrow"/>
                <w:sz w:val="20"/>
                <w:szCs w:val="20"/>
              </w:rPr>
              <w:t>OAK/POPLAR pooled</w:t>
            </w:r>
          </w:p>
          <w:p w:rsidR="00DA1F75" w:rsidRPr="00CD5CC6" w:rsidRDefault="00DA1F75" w:rsidP="00CD5CC6">
            <w:pPr>
              <w:pStyle w:val="Default"/>
              <w:rPr>
                <w:rFonts w:ascii="Arial Narrow" w:hAnsi="Arial Narrow"/>
                <w:sz w:val="20"/>
                <w:szCs w:val="20"/>
              </w:rPr>
            </w:pPr>
          </w:p>
        </w:tc>
        <w:tc>
          <w:tcPr>
            <w:tcW w:w="2984" w:type="pct"/>
          </w:tcPr>
          <w:p w:rsidR="00DA1F75" w:rsidRPr="00CD5CC6" w:rsidRDefault="00DA1F75" w:rsidP="00DA1F75">
            <w:pPr>
              <w:pStyle w:val="Default"/>
              <w:rPr>
                <w:rFonts w:ascii="Arial Narrow" w:hAnsi="Arial Narrow"/>
                <w:sz w:val="20"/>
                <w:szCs w:val="20"/>
              </w:rPr>
            </w:pPr>
            <w:r w:rsidRPr="00CD5CC6">
              <w:rPr>
                <w:rFonts w:ascii="Arial Narrow" w:hAnsi="Arial Narrow"/>
                <w:sz w:val="20"/>
                <w:szCs w:val="20"/>
              </w:rPr>
              <w:t xml:space="preserve">Mazieres et al. 4-year survival in randomised phase II (POPLAR) and phase II (OAK) studies of atezolizumab (atezo) vs docetaxel (doc) in pre-treated NSCLC. </w:t>
            </w:r>
          </w:p>
          <w:p w:rsidR="00DA1F75" w:rsidRPr="00CD5CC6" w:rsidRDefault="00DA1F75" w:rsidP="00DA1F75">
            <w:pPr>
              <w:pStyle w:val="Default"/>
              <w:rPr>
                <w:rFonts w:ascii="Arial Narrow" w:hAnsi="Arial Narrow"/>
                <w:sz w:val="20"/>
                <w:szCs w:val="20"/>
              </w:rPr>
            </w:pPr>
          </w:p>
        </w:tc>
        <w:tc>
          <w:tcPr>
            <w:tcW w:w="1134" w:type="pct"/>
          </w:tcPr>
          <w:p w:rsidR="00DA1F75" w:rsidRPr="00A55AE8" w:rsidRDefault="00DA1F75" w:rsidP="00917D69">
            <w:pPr>
              <w:pStyle w:val="TableText0"/>
            </w:pPr>
            <w:r w:rsidRPr="00A55AE8">
              <w:rPr>
                <w:i/>
                <w:iCs/>
                <w:szCs w:val="20"/>
              </w:rPr>
              <w:t xml:space="preserve">Annals of Oncol </w:t>
            </w:r>
            <w:r w:rsidRPr="00A55AE8">
              <w:rPr>
                <w:szCs w:val="20"/>
              </w:rPr>
              <w:t>2020; 31 (4): abstract 1271P.</w:t>
            </w:r>
          </w:p>
        </w:tc>
      </w:tr>
    </w:tbl>
    <w:p w:rsidR="00F4221A" w:rsidRDefault="00F4221A" w:rsidP="00CD5CC6">
      <w:pPr>
        <w:pStyle w:val="3Bodytext"/>
        <w:numPr>
          <w:ilvl w:val="0"/>
          <w:numId w:val="0"/>
        </w:numPr>
      </w:pPr>
    </w:p>
    <w:p w:rsidR="00E161EB" w:rsidRDefault="00E161EB" w:rsidP="00A57A3F">
      <w:pPr>
        <w:pStyle w:val="3Bodytext"/>
        <w:jc w:val="both"/>
      </w:pPr>
      <w:r>
        <w:t>The submission presented data comparing</w:t>
      </w:r>
      <w:r w:rsidR="00207DDF">
        <w:t xml:space="preserve"> the</w:t>
      </w:r>
      <w:r w:rsidR="008634C3">
        <w:t xml:space="preserve"> longer term</w:t>
      </w:r>
      <w:r>
        <w:t xml:space="preserve"> </w:t>
      </w:r>
      <w:r w:rsidR="008634C3">
        <w:t>overall survival</w:t>
      </w:r>
      <w:r w:rsidR="00207DDF">
        <w:t xml:space="preserve"> outcomes</w:t>
      </w:r>
      <w:r w:rsidR="008634C3">
        <w:t xml:space="preserve"> o</w:t>
      </w:r>
      <w:r w:rsidR="00207DDF">
        <w:t>f</w:t>
      </w:r>
      <w:r w:rsidR="008634C3">
        <w:t xml:space="preserve"> nivolumab and atezolizumab across the 2L studies </w:t>
      </w:r>
      <w:r w:rsidR="00FB74D7">
        <w:t>to support the</w:t>
      </w:r>
      <w:r>
        <w:t xml:space="preserve"> claim that there is no evidence of difference in </w:t>
      </w:r>
      <w:r w:rsidR="00207DDF">
        <w:t xml:space="preserve">the </w:t>
      </w:r>
      <w:r>
        <w:t>primary efficacy outcome</w:t>
      </w:r>
      <w:r w:rsidR="00207DDF">
        <w:t>s</w:t>
      </w:r>
      <w:r>
        <w:t xml:space="preserve"> between the treatments</w:t>
      </w:r>
      <w:r w:rsidR="00207DDF">
        <w:t>,</w:t>
      </w:r>
      <w:r>
        <w:t xml:space="preserve"> and that conditions should be equitable.</w:t>
      </w:r>
    </w:p>
    <w:p w:rsidR="00E161EB" w:rsidRPr="005059A1" w:rsidRDefault="00E161EB" w:rsidP="00507263">
      <w:pPr>
        <w:pStyle w:val="TableFigureHeading"/>
        <w:rPr>
          <w:rFonts w:eastAsiaTheme="minorHAnsi"/>
        </w:rPr>
      </w:pPr>
      <w:r w:rsidRPr="005059A1">
        <w:rPr>
          <w:rFonts w:eastAsiaTheme="minorHAnsi"/>
        </w:rPr>
        <w:lastRenderedPageBreak/>
        <w:t>Table</w:t>
      </w:r>
      <w:r w:rsidR="00652D4C">
        <w:rPr>
          <w:rFonts w:eastAsiaTheme="minorHAnsi"/>
        </w:rPr>
        <w:t xml:space="preserve"> 7</w:t>
      </w:r>
      <w:r w:rsidRPr="005059A1">
        <w:rPr>
          <w:rFonts w:eastAsiaTheme="minorHAnsi"/>
        </w:rPr>
        <w:t>: Overall survival for patients in the 2L included studies</w:t>
      </w:r>
    </w:p>
    <w:tbl>
      <w:tblPr>
        <w:tblStyle w:val="TableGrid"/>
        <w:tblW w:w="5000" w:type="pct"/>
        <w:tblLook w:val="04A0" w:firstRow="1" w:lastRow="0" w:firstColumn="1" w:lastColumn="0" w:noHBand="0" w:noVBand="1"/>
        <w:tblCaption w:val="Table 7: Overall survival for patients in the 2L included studies"/>
        <w:tblDescription w:val="Table 7: Overall survival for patients in the 2L included studies"/>
      </w:tblPr>
      <w:tblGrid>
        <w:gridCol w:w="1288"/>
        <w:gridCol w:w="1154"/>
        <w:gridCol w:w="1154"/>
        <w:gridCol w:w="1154"/>
        <w:gridCol w:w="1154"/>
        <w:gridCol w:w="1154"/>
        <w:gridCol w:w="1958"/>
      </w:tblGrid>
      <w:tr w:rsidR="00E161EB" w:rsidRPr="005059A1" w:rsidTr="00507263">
        <w:trPr>
          <w:tblHeader/>
        </w:trPr>
        <w:tc>
          <w:tcPr>
            <w:tcW w:w="714" w:type="pct"/>
            <w:vMerge w:val="restart"/>
            <w:shd w:val="clear" w:color="auto" w:fill="BFBFBF" w:themeFill="background1" w:themeFillShade="BF"/>
          </w:tcPr>
          <w:p w:rsidR="00E161EB" w:rsidRPr="005059A1" w:rsidRDefault="00E161EB" w:rsidP="00554CB2">
            <w:pPr>
              <w:pStyle w:val="TableText0"/>
              <w:rPr>
                <w:rFonts w:eastAsiaTheme="minorHAnsi"/>
                <w:b/>
              </w:rPr>
            </w:pPr>
          </w:p>
        </w:tc>
        <w:tc>
          <w:tcPr>
            <w:tcW w:w="3199" w:type="pct"/>
            <w:gridSpan w:val="5"/>
            <w:shd w:val="clear" w:color="auto" w:fill="BFBFBF" w:themeFill="background1" w:themeFillShade="BF"/>
          </w:tcPr>
          <w:p w:rsidR="00E161EB" w:rsidRPr="005059A1" w:rsidRDefault="00E161EB" w:rsidP="00554CB2">
            <w:pPr>
              <w:pStyle w:val="TableText0"/>
              <w:jc w:val="center"/>
              <w:rPr>
                <w:rFonts w:eastAsiaTheme="minorHAnsi"/>
                <w:b/>
              </w:rPr>
            </w:pPr>
            <w:r w:rsidRPr="005059A1">
              <w:rPr>
                <w:rFonts w:eastAsiaTheme="minorHAnsi"/>
                <w:b/>
              </w:rPr>
              <w:t>% patients treated with ATEZO or NIVO alive</w:t>
            </w:r>
          </w:p>
        </w:tc>
        <w:tc>
          <w:tcPr>
            <w:tcW w:w="1087" w:type="pct"/>
            <w:vMerge w:val="restart"/>
            <w:shd w:val="clear" w:color="auto" w:fill="BFBFBF" w:themeFill="background1" w:themeFillShade="BF"/>
          </w:tcPr>
          <w:p w:rsidR="00E161EB" w:rsidRPr="005059A1" w:rsidRDefault="00E161EB" w:rsidP="00554CB2">
            <w:pPr>
              <w:pStyle w:val="TableText0"/>
              <w:rPr>
                <w:rFonts w:eastAsiaTheme="minorHAnsi"/>
                <w:b/>
              </w:rPr>
            </w:pPr>
            <w:r w:rsidRPr="005059A1">
              <w:rPr>
                <w:rFonts w:eastAsiaTheme="minorHAnsi"/>
                <w:b/>
              </w:rPr>
              <w:t>Median OS (95%CI), mths</w:t>
            </w:r>
          </w:p>
        </w:tc>
      </w:tr>
      <w:tr w:rsidR="00E161EB" w:rsidRPr="005059A1" w:rsidTr="00507263">
        <w:trPr>
          <w:tblHeader/>
        </w:trPr>
        <w:tc>
          <w:tcPr>
            <w:tcW w:w="714" w:type="pct"/>
            <w:vMerge/>
          </w:tcPr>
          <w:p w:rsidR="00E161EB" w:rsidRPr="005059A1" w:rsidRDefault="00E161EB" w:rsidP="00554CB2">
            <w:pPr>
              <w:pStyle w:val="TableText0"/>
              <w:rPr>
                <w:rFonts w:eastAsiaTheme="minorHAnsi"/>
              </w:rPr>
            </w:pPr>
          </w:p>
        </w:tc>
        <w:tc>
          <w:tcPr>
            <w:tcW w:w="640" w:type="pct"/>
            <w:shd w:val="clear" w:color="auto" w:fill="BFBFBF" w:themeFill="background1" w:themeFillShade="BF"/>
          </w:tcPr>
          <w:p w:rsidR="00E161EB" w:rsidRPr="005059A1" w:rsidRDefault="00E161EB" w:rsidP="00554CB2">
            <w:pPr>
              <w:pStyle w:val="TableText0"/>
              <w:jc w:val="center"/>
              <w:rPr>
                <w:rFonts w:eastAsiaTheme="minorHAnsi"/>
                <w:b/>
              </w:rPr>
            </w:pPr>
            <w:r w:rsidRPr="005059A1">
              <w:rPr>
                <w:rFonts w:eastAsiaTheme="minorHAnsi"/>
                <w:b/>
              </w:rPr>
              <w:t>1-year</w:t>
            </w:r>
          </w:p>
        </w:tc>
        <w:tc>
          <w:tcPr>
            <w:tcW w:w="640" w:type="pct"/>
            <w:shd w:val="clear" w:color="auto" w:fill="BFBFBF" w:themeFill="background1" w:themeFillShade="BF"/>
          </w:tcPr>
          <w:p w:rsidR="00E161EB" w:rsidRPr="005059A1" w:rsidRDefault="00E161EB" w:rsidP="00554CB2">
            <w:pPr>
              <w:pStyle w:val="TableText0"/>
              <w:jc w:val="center"/>
              <w:rPr>
                <w:rFonts w:eastAsiaTheme="minorHAnsi"/>
                <w:b/>
              </w:rPr>
            </w:pPr>
            <w:r w:rsidRPr="005059A1">
              <w:rPr>
                <w:rFonts w:eastAsiaTheme="minorHAnsi"/>
                <w:b/>
              </w:rPr>
              <w:t>2-year</w:t>
            </w:r>
          </w:p>
        </w:tc>
        <w:tc>
          <w:tcPr>
            <w:tcW w:w="640" w:type="pct"/>
            <w:shd w:val="clear" w:color="auto" w:fill="BFBFBF" w:themeFill="background1" w:themeFillShade="BF"/>
          </w:tcPr>
          <w:p w:rsidR="00E161EB" w:rsidRPr="005059A1" w:rsidRDefault="00E161EB" w:rsidP="00554CB2">
            <w:pPr>
              <w:pStyle w:val="TableText0"/>
              <w:jc w:val="center"/>
              <w:rPr>
                <w:rFonts w:eastAsiaTheme="minorHAnsi"/>
                <w:b/>
              </w:rPr>
            </w:pPr>
            <w:r w:rsidRPr="005059A1">
              <w:rPr>
                <w:rFonts w:eastAsiaTheme="minorHAnsi"/>
                <w:b/>
              </w:rPr>
              <w:t>3-year</w:t>
            </w:r>
          </w:p>
        </w:tc>
        <w:tc>
          <w:tcPr>
            <w:tcW w:w="640" w:type="pct"/>
            <w:shd w:val="clear" w:color="auto" w:fill="BFBFBF" w:themeFill="background1" w:themeFillShade="BF"/>
          </w:tcPr>
          <w:p w:rsidR="00E161EB" w:rsidRPr="005059A1" w:rsidRDefault="00E161EB" w:rsidP="00554CB2">
            <w:pPr>
              <w:pStyle w:val="TableText0"/>
              <w:jc w:val="center"/>
              <w:rPr>
                <w:rFonts w:eastAsiaTheme="minorHAnsi"/>
                <w:b/>
              </w:rPr>
            </w:pPr>
            <w:r w:rsidRPr="005059A1">
              <w:rPr>
                <w:rFonts w:eastAsiaTheme="minorHAnsi"/>
                <w:b/>
              </w:rPr>
              <w:t>4-year</w:t>
            </w:r>
          </w:p>
        </w:tc>
        <w:tc>
          <w:tcPr>
            <w:tcW w:w="640" w:type="pct"/>
            <w:shd w:val="clear" w:color="auto" w:fill="BFBFBF" w:themeFill="background1" w:themeFillShade="BF"/>
          </w:tcPr>
          <w:p w:rsidR="00E161EB" w:rsidRPr="005059A1" w:rsidRDefault="00E161EB" w:rsidP="00554CB2">
            <w:pPr>
              <w:pStyle w:val="TableText0"/>
              <w:jc w:val="center"/>
              <w:rPr>
                <w:rFonts w:eastAsiaTheme="minorHAnsi"/>
                <w:b/>
              </w:rPr>
            </w:pPr>
            <w:r w:rsidRPr="005059A1">
              <w:rPr>
                <w:rFonts w:eastAsiaTheme="minorHAnsi"/>
                <w:b/>
              </w:rPr>
              <w:t>5-year</w:t>
            </w:r>
          </w:p>
        </w:tc>
        <w:tc>
          <w:tcPr>
            <w:tcW w:w="1087" w:type="pct"/>
            <w:vMerge/>
          </w:tcPr>
          <w:p w:rsidR="00E161EB" w:rsidRPr="005059A1" w:rsidRDefault="00E161EB" w:rsidP="00554CB2">
            <w:pPr>
              <w:pStyle w:val="TableText0"/>
              <w:rPr>
                <w:rFonts w:eastAsiaTheme="minorHAnsi"/>
              </w:rPr>
            </w:pPr>
          </w:p>
        </w:tc>
      </w:tr>
      <w:tr w:rsidR="00E161EB" w:rsidRPr="005059A1" w:rsidTr="00D7706D">
        <w:tc>
          <w:tcPr>
            <w:tcW w:w="714" w:type="pct"/>
          </w:tcPr>
          <w:p w:rsidR="00E161EB" w:rsidRPr="005059A1" w:rsidRDefault="00E161EB" w:rsidP="00554CB2">
            <w:pPr>
              <w:pStyle w:val="TableText0"/>
              <w:rPr>
                <w:rFonts w:eastAsiaTheme="minorHAnsi"/>
              </w:rPr>
            </w:pPr>
            <w:r w:rsidRPr="005059A1">
              <w:rPr>
                <w:rFonts w:eastAsiaTheme="minorHAnsi"/>
              </w:rPr>
              <w:t>OAK</w:t>
            </w:r>
          </w:p>
        </w:tc>
        <w:tc>
          <w:tcPr>
            <w:tcW w:w="640" w:type="pct"/>
          </w:tcPr>
          <w:p w:rsidR="00E161EB" w:rsidRPr="005059A1" w:rsidRDefault="00E161EB" w:rsidP="00554CB2">
            <w:pPr>
              <w:pStyle w:val="TableText0"/>
              <w:jc w:val="center"/>
              <w:rPr>
                <w:rFonts w:eastAsiaTheme="minorHAnsi"/>
              </w:rPr>
            </w:pPr>
            <w:r w:rsidRPr="005059A1">
              <w:rPr>
                <w:rFonts w:eastAsiaTheme="minorHAnsi"/>
              </w:rPr>
              <w:t>54.7%</w:t>
            </w:r>
            <w:r w:rsidRPr="005059A1">
              <w:rPr>
                <w:rFonts w:eastAsiaTheme="minorHAnsi"/>
                <w:vertAlign w:val="superscript"/>
              </w:rPr>
              <w:t>3</w:t>
            </w:r>
          </w:p>
        </w:tc>
        <w:tc>
          <w:tcPr>
            <w:tcW w:w="640" w:type="pct"/>
          </w:tcPr>
          <w:p w:rsidR="00E161EB" w:rsidRPr="005059A1" w:rsidRDefault="00E161EB" w:rsidP="00554CB2">
            <w:pPr>
              <w:pStyle w:val="TableText0"/>
              <w:jc w:val="center"/>
              <w:rPr>
                <w:rFonts w:eastAsiaTheme="minorHAnsi"/>
              </w:rPr>
            </w:pPr>
            <w:r w:rsidRPr="005059A1">
              <w:rPr>
                <w:rFonts w:eastAsiaTheme="minorHAnsi"/>
              </w:rPr>
              <w:t>30.9%</w:t>
            </w:r>
            <w:r w:rsidRPr="005059A1">
              <w:rPr>
                <w:rFonts w:eastAsiaTheme="minorHAnsi"/>
                <w:vertAlign w:val="superscript"/>
              </w:rPr>
              <w:t>3</w:t>
            </w:r>
          </w:p>
        </w:tc>
        <w:tc>
          <w:tcPr>
            <w:tcW w:w="640" w:type="pct"/>
          </w:tcPr>
          <w:p w:rsidR="00E161EB" w:rsidRPr="005059A1" w:rsidRDefault="00E161EB" w:rsidP="00554CB2">
            <w:pPr>
              <w:pStyle w:val="TableText0"/>
              <w:jc w:val="center"/>
              <w:rPr>
                <w:rFonts w:eastAsiaTheme="minorHAnsi"/>
              </w:rPr>
            </w:pPr>
            <w:r w:rsidRPr="005059A1">
              <w:rPr>
                <w:rFonts w:eastAsiaTheme="minorHAnsi"/>
              </w:rPr>
              <w:t>NR</w:t>
            </w:r>
          </w:p>
        </w:tc>
        <w:tc>
          <w:tcPr>
            <w:tcW w:w="640" w:type="pct"/>
          </w:tcPr>
          <w:p w:rsidR="00E161EB" w:rsidRPr="005059A1" w:rsidRDefault="00E161EB" w:rsidP="00554CB2">
            <w:pPr>
              <w:pStyle w:val="TableText0"/>
              <w:jc w:val="center"/>
              <w:rPr>
                <w:rFonts w:eastAsiaTheme="minorHAnsi"/>
              </w:rPr>
            </w:pPr>
            <w:r w:rsidRPr="005059A1">
              <w:rPr>
                <w:rFonts w:eastAsiaTheme="minorHAnsi"/>
              </w:rPr>
              <w:t>14.8%</w:t>
            </w:r>
            <w:r w:rsidRPr="005059A1">
              <w:rPr>
                <w:rFonts w:eastAsiaTheme="minorHAnsi"/>
                <w:vertAlign w:val="superscript"/>
              </w:rPr>
              <w:t>1</w:t>
            </w:r>
          </w:p>
        </w:tc>
        <w:tc>
          <w:tcPr>
            <w:tcW w:w="640" w:type="pct"/>
          </w:tcPr>
          <w:p w:rsidR="00E161EB" w:rsidRPr="005059A1" w:rsidRDefault="00E161EB" w:rsidP="00554CB2">
            <w:pPr>
              <w:pStyle w:val="TableText0"/>
              <w:jc w:val="center"/>
              <w:rPr>
                <w:rFonts w:eastAsiaTheme="minorHAnsi"/>
              </w:rPr>
            </w:pPr>
            <w:r w:rsidRPr="005059A1">
              <w:rPr>
                <w:rFonts w:eastAsiaTheme="minorHAnsi"/>
              </w:rPr>
              <w:t>NR</w:t>
            </w:r>
          </w:p>
        </w:tc>
        <w:tc>
          <w:tcPr>
            <w:tcW w:w="1087" w:type="pct"/>
          </w:tcPr>
          <w:p w:rsidR="00E161EB" w:rsidRPr="005059A1" w:rsidRDefault="00E161EB" w:rsidP="00554CB2">
            <w:pPr>
              <w:pStyle w:val="TableText0"/>
              <w:rPr>
                <w:rFonts w:eastAsiaTheme="minorHAnsi"/>
              </w:rPr>
            </w:pPr>
            <w:r w:rsidRPr="005059A1">
              <w:rPr>
                <w:rFonts w:eastAsiaTheme="minorHAnsi"/>
              </w:rPr>
              <w:t>13.8 (11.8, 15.7)</w:t>
            </w:r>
            <w:r w:rsidRPr="005059A1">
              <w:rPr>
                <w:rFonts w:eastAsiaTheme="minorHAnsi"/>
                <w:vertAlign w:val="superscript"/>
              </w:rPr>
              <w:t>3</w:t>
            </w:r>
          </w:p>
        </w:tc>
      </w:tr>
      <w:tr w:rsidR="00E161EB" w:rsidRPr="005059A1" w:rsidTr="00D7706D">
        <w:tc>
          <w:tcPr>
            <w:tcW w:w="714" w:type="pct"/>
          </w:tcPr>
          <w:p w:rsidR="00E161EB" w:rsidRPr="005059A1" w:rsidRDefault="00E161EB" w:rsidP="00554CB2">
            <w:pPr>
              <w:pStyle w:val="TableText0"/>
              <w:rPr>
                <w:rFonts w:eastAsiaTheme="minorHAnsi"/>
              </w:rPr>
            </w:pPr>
            <w:r w:rsidRPr="005059A1">
              <w:rPr>
                <w:rFonts w:eastAsiaTheme="minorHAnsi"/>
              </w:rPr>
              <w:t>POPLAR</w:t>
            </w:r>
          </w:p>
        </w:tc>
        <w:tc>
          <w:tcPr>
            <w:tcW w:w="640" w:type="pct"/>
          </w:tcPr>
          <w:p w:rsidR="00E161EB" w:rsidRPr="005059A1" w:rsidRDefault="00E161EB" w:rsidP="00554CB2">
            <w:pPr>
              <w:pStyle w:val="TableText0"/>
              <w:jc w:val="center"/>
              <w:rPr>
                <w:rFonts w:eastAsiaTheme="minorHAnsi"/>
              </w:rPr>
            </w:pPr>
            <w:r w:rsidRPr="005059A1">
              <w:rPr>
                <w:rFonts w:eastAsiaTheme="minorHAnsi"/>
              </w:rPr>
              <w:t>~52%</w:t>
            </w:r>
            <w:r w:rsidRPr="005059A1">
              <w:rPr>
                <w:rFonts w:eastAsiaTheme="minorHAnsi"/>
                <w:vertAlign w:val="superscript"/>
              </w:rPr>
              <w:t>7</w:t>
            </w:r>
          </w:p>
        </w:tc>
        <w:tc>
          <w:tcPr>
            <w:tcW w:w="640" w:type="pct"/>
          </w:tcPr>
          <w:p w:rsidR="00E161EB" w:rsidRPr="005059A1" w:rsidRDefault="00E161EB" w:rsidP="00554CB2">
            <w:pPr>
              <w:pStyle w:val="TableText0"/>
              <w:jc w:val="center"/>
              <w:rPr>
                <w:rFonts w:eastAsiaTheme="minorHAnsi"/>
              </w:rPr>
            </w:pPr>
            <w:r w:rsidRPr="005059A1">
              <w:rPr>
                <w:rFonts w:eastAsiaTheme="minorHAnsi"/>
              </w:rPr>
              <w:t>32.2%</w:t>
            </w:r>
            <w:r w:rsidRPr="005059A1">
              <w:rPr>
                <w:rFonts w:eastAsiaTheme="minorHAnsi"/>
                <w:vertAlign w:val="superscript"/>
              </w:rPr>
              <w:t>4</w:t>
            </w:r>
          </w:p>
        </w:tc>
        <w:tc>
          <w:tcPr>
            <w:tcW w:w="640" w:type="pct"/>
          </w:tcPr>
          <w:p w:rsidR="00E161EB" w:rsidRPr="005059A1" w:rsidRDefault="00E161EB" w:rsidP="00554CB2">
            <w:pPr>
              <w:pStyle w:val="TableText0"/>
              <w:jc w:val="center"/>
              <w:rPr>
                <w:rFonts w:eastAsiaTheme="minorHAnsi"/>
              </w:rPr>
            </w:pPr>
            <w:r w:rsidRPr="005059A1">
              <w:rPr>
                <w:rFonts w:eastAsiaTheme="minorHAnsi"/>
              </w:rPr>
              <w:t>18.7%</w:t>
            </w:r>
            <w:r w:rsidRPr="005059A1">
              <w:rPr>
                <w:rFonts w:eastAsiaTheme="minorHAnsi"/>
                <w:vertAlign w:val="superscript"/>
              </w:rPr>
              <w:t>4</w:t>
            </w:r>
          </w:p>
        </w:tc>
        <w:tc>
          <w:tcPr>
            <w:tcW w:w="640" w:type="pct"/>
          </w:tcPr>
          <w:p w:rsidR="00E161EB" w:rsidRPr="005059A1" w:rsidRDefault="00E161EB" w:rsidP="00554CB2">
            <w:pPr>
              <w:pStyle w:val="TableText0"/>
              <w:jc w:val="center"/>
              <w:rPr>
                <w:rFonts w:eastAsiaTheme="minorHAnsi"/>
              </w:rPr>
            </w:pPr>
            <w:r w:rsidRPr="005059A1">
              <w:rPr>
                <w:rFonts w:eastAsiaTheme="minorHAnsi"/>
              </w:rPr>
              <w:t>15.5%</w:t>
            </w:r>
            <w:r w:rsidRPr="005059A1">
              <w:rPr>
                <w:rFonts w:eastAsiaTheme="minorHAnsi"/>
                <w:vertAlign w:val="superscript"/>
              </w:rPr>
              <w:t>1</w:t>
            </w:r>
          </w:p>
        </w:tc>
        <w:tc>
          <w:tcPr>
            <w:tcW w:w="640" w:type="pct"/>
          </w:tcPr>
          <w:p w:rsidR="00E161EB" w:rsidRPr="005059A1" w:rsidRDefault="00E161EB" w:rsidP="00554CB2">
            <w:pPr>
              <w:pStyle w:val="TableText0"/>
              <w:jc w:val="center"/>
              <w:rPr>
                <w:rFonts w:eastAsiaTheme="minorHAnsi"/>
              </w:rPr>
            </w:pPr>
            <w:r w:rsidRPr="005059A1">
              <w:rPr>
                <w:rFonts w:eastAsiaTheme="minorHAnsi"/>
              </w:rPr>
              <w:t>NR</w:t>
            </w:r>
          </w:p>
        </w:tc>
        <w:tc>
          <w:tcPr>
            <w:tcW w:w="1087" w:type="pct"/>
          </w:tcPr>
          <w:p w:rsidR="00E161EB" w:rsidRPr="005059A1" w:rsidRDefault="00E161EB" w:rsidP="00554CB2">
            <w:pPr>
              <w:pStyle w:val="TableText0"/>
              <w:rPr>
                <w:rFonts w:eastAsiaTheme="minorHAnsi"/>
              </w:rPr>
            </w:pPr>
            <w:r w:rsidRPr="005059A1">
              <w:rPr>
                <w:rFonts w:eastAsiaTheme="minorHAnsi"/>
              </w:rPr>
              <w:t>9.7 (8.6, 12.0)</w:t>
            </w:r>
            <w:r w:rsidRPr="005059A1">
              <w:rPr>
                <w:rFonts w:eastAsiaTheme="minorHAnsi"/>
                <w:vertAlign w:val="superscript"/>
              </w:rPr>
              <w:t>7</w:t>
            </w:r>
          </w:p>
        </w:tc>
      </w:tr>
      <w:tr w:rsidR="00E161EB" w:rsidRPr="005059A1" w:rsidTr="00D7706D">
        <w:tc>
          <w:tcPr>
            <w:tcW w:w="714" w:type="pct"/>
            <w:shd w:val="clear" w:color="auto" w:fill="auto"/>
          </w:tcPr>
          <w:p w:rsidR="00E161EB" w:rsidRPr="005059A1" w:rsidRDefault="00E161EB" w:rsidP="00554CB2">
            <w:pPr>
              <w:pStyle w:val="TableText0"/>
              <w:rPr>
                <w:rFonts w:eastAsiaTheme="minorHAnsi"/>
              </w:rPr>
            </w:pPr>
            <w:r w:rsidRPr="005059A1">
              <w:rPr>
                <w:rFonts w:eastAsiaTheme="minorHAnsi"/>
              </w:rPr>
              <w:t>CM017/057</w:t>
            </w:r>
            <w:r w:rsidRPr="005059A1">
              <w:rPr>
                <w:rFonts w:eastAsiaTheme="minorHAnsi"/>
                <w:vertAlign w:val="superscript"/>
              </w:rPr>
              <w:t>2</w:t>
            </w:r>
          </w:p>
        </w:tc>
        <w:tc>
          <w:tcPr>
            <w:tcW w:w="640" w:type="pct"/>
            <w:shd w:val="clear" w:color="auto" w:fill="auto"/>
          </w:tcPr>
          <w:p w:rsidR="00E161EB" w:rsidRPr="005059A1" w:rsidRDefault="00E161EB" w:rsidP="00554CB2">
            <w:pPr>
              <w:pStyle w:val="TableText0"/>
              <w:jc w:val="center"/>
              <w:rPr>
                <w:rFonts w:eastAsiaTheme="minorHAnsi"/>
              </w:rPr>
            </w:pPr>
            <w:r w:rsidRPr="005059A1">
              <w:rPr>
                <w:rFonts w:eastAsiaTheme="minorHAnsi"/>
              </w:rPr>
              <w:t>48.0%</w:t>
            </w:r>
          </w:p>
        </w:tc>
        <w:tc>
          <w:tcPr>
            <w:tcW w:w="640" w:type="pct"/>
            <w:shd w:val="clear" w:color="auto" w:fill="auto"/>
          </w:tcPr>
          <w:p w:rsidR="00E161EB" w:rsidRPr="005059A1" w:rsidRDefault="00E161EB" w:rsidP="00554CB2">
            <w:pPr>
              <w:pStyle w:val="TableText0"/>
              <w:jc w:val="center"/>
              <w:rPr>
                <w:rFonts w:eastAsiaTheme="minorHAnsi"/>
              </w:rPr>
            </w:pPr>
            <w:r w:rsidRPr="005059A1">
              <w:rPr>
                <w:rFonts w:eastAsiaTheme="minorHAnsi"/>
              </w:rPr>
              <w:t>26.9%</w:t>
            </w:r>
          </w:p>
        </w:tc>
        <w:tc>
          <w:tcPr>
            <w:tcW w:w="640" w:type="pct"/>
            <w:shd w:val="clear" w:color="auto" w:fill="auto"/>
          </w:tcPr>
          <w:p w:rsidR="00E161EB" w:rsidRPr="005059A1" w:rsidRDefault="00E161EB" w:rsidP="00554CB2">
            <w:pPr>
              <w:pStyle w:val="TableText0"/>
              <w:jc w:val="center"/>
              <w:rPr>
                <w:rFonts w:eastAsiaTheme="minorHAnsi"/>
              </w:rPr>
            </w:pPr>
            <w:r w:rsidRPr="005059A1">
              <w:rPr>
                <w:rFonts w:eastAsiaTheme="minorHAnsi"/>
              </w:rPr>
              <w:t>17.1%</w:t>
            </w:r>
          </w:p>
        </w:tc>
        <w:tc>
          <w:tcPr>
            <w:tcW w:w="640" w:type="pct"/>
          </w:tcPr>
          <w:p w:rsidR="00E161EB" w:rsidRPr="005059A1" w:rsidRDefault="00E161EB" w:rsidP="00554CB2">
            <w:pPr>
              <w:pStyle w:val="TableText0"/>
              <w:jc w:val="center"/>
              <w:rPr>
                <w:rFonts w:eastAsiaTheme="minorHAnsi"/>
              </w:rPr>
            </w:pPr>
            <w:r w:rsidRPr="005059A1">
              <w:rPr>
                <w:rFonts w:eastAsiaTheme="minorHAnsi"/>
              </w:rPr>
              <w:t>14.2%</w:t>
            </w:r>
          </w:p>
        </w:tc>
        <w:tc>
          <w:tcPr>
            <w:tcW w:w="640" w:type="pct"/>
          </w:tcPr>
          <w:p w:rsidR="00E161EB" w:rsidRPr="005059A1" w:rsidRDefault="00E161EB" w:rsidP="00554CB2">
            <w:pPr>
              <w:pStyle w:val="TableText0"/>
              <w:jc w:val="center"/>
              <w:rPr>
                <w:rFonts w:eastAsiaTheme="minorHAnsi"/>
              </w:rPr>
            </w:pPr>
            <w:r w:rsidRPr="005059A1">
              <w:rPr>
                <w:rFonts w:eastAsiaTheme="minorHAnsi"/>
              </w:rPr>
              <w:t>13.4%</w:t>
            </w:r>
          </w:p>
        </w:tc>
        <w:tc>
          <w:tcPr>
            <w:tcW w:w="1087" w:type="pct"/>
          </w:tcPr>
          <w:p w:rsidR="00E161EB" w:rsidRPr="005059A1" w:rsidRDefault="00E161EB" w:rsidP="00554CB2">
            <w:pPr>
              <w:pStyle w:val="TableText0"/>
              <w:rPr>
                <w:rFonts w:eastAsiaTheme="minorHAnsi"/>
              </w:rPr>
            </w:pPr>
            <w:r w:rsidRPr="005059A1">
              <w:rPr>
                <w:rFonts w:eastAsiaTheme="minorHAnsi"/>
              </w:rPr>
              <w:t>11.1 (9.2, 13.1)</w:t>
            </w:r>
          </w:p>
        </w:tc>
      </w:tr>
      <w:tr w:rsidR="00E161EB" w:rsidRPr="005059A1" w:rsidTr="00D7706D">
        <w:tc>
          <w:tcPr>
            <w:tcW w:w="714" w:type="pct"/>
            <w:shd w:val="clear" w:color="auto" w:fill="auto"/>
          </w:tcPr>
          <w:p w:rsidR="00E161EB" w:rsidRPr="005059A1" w:rsidRDefault="00E161EB" w:rsidP="00554CB2">
            <w:pPr>
              <w:pStyle w:val="TableText0"/>
              <w:rPr>
                <w:rFonts w:eastAsiaTheme="minorHAnsi"/>
              </w:rPr>
            </w:pPr>
            <w:r w:rsidRPr="005059A1">
              <w:rPr>
                <w:rFonts w:eastAsiaTheme="minorHAnsi"/>
              </w:rPr>
              <w:t>CM017</w:t>
            </w:r>
          </w:p>
        </w:tc>
        <w:tc>
          <w:tcPr>
            <w:tcW w:w="640" w:type="pct"/>
            <w:shd w:val="clear" w:color="auto" w:fill="auto"/>
          </w:tcPr>
          <w:p w:rsidR="00E161EB" w:rsidRPr="005059A1" w:rsidRDefault="00E161EB" w:rsidP="00554CB2">
            <w:pPr>
              <w:pStyle w:val="TableText0"/>
              <w:jc w:val="center"/>
              <w:rPr>
                <w:rFonts w:eastAsiaTheme="minorHAnsi"/>
              </w:rPr>
            </w:pPr>
            <w:r w:rsidRPr="005059A1">
              <w:rPr>
                <w:rFonts w:eastAsiaTheme="minorHAnsi"/>
              </w:rPr>
              <w:t>42%</w:t>
            </w:r>
            <w:r w:rsidRPr="005059A1">
              <w:rPr>
                <w:rFonts w:eastAsiaTheme="minorHAnsi"/>
                <w:vertAlign w:val="superscript"/>
              </w:rPr>
              <w:t>5</w:t>
            </w:r>
          </w:p>
        </w:tc>
        <w:tc>
          <w:tcPr>
            <w:tcW w:w="640" w:type="pct"/>
            <w:shd w:val="clear" w:color="auto" w:fill="auto"/>
          </w:tcPr>
          <w:p w:rsidR="00E161EB" w:rsidRPr="005059A1" w:rsidRDefault="00E161EB" w:rsidP="00554CB2">
            <w:pPr>
              <w:pStyle w:val="TableText0"/>
              <w:jc w:val="center"/>
              <w:rPr>
                <w:rFonts w:eastAsiaTheme="minorHAnsi"/>
              </w:rPr>
            </w:pPr>
            <w:r w:rsidRPr="005059A1">
              <w:rPr>
                <w:rFonts w:eastAsiaTheme="minorHAnsi"/>
              </w:rPr>
              <w:t>23%</w:t>
            </w:r>
            <w:r w:rsidRPr="005059A1">
              <w:rPr>
                <w:rFonts w:eastAsiaTheme="minorHAnsi"/>
                <w:vertAlign w:val="superscript"/>
              </w:rPr>
              <w:t>8</w:t>
            </w:r>
          </w:p>
        </w:tc>
        <w:tc>
          <w:tcPr>
            <w:tcW w:w="640" w:type="pct"/>
            <w:shd w:val="clear" w:color="auto" w:fill="auto"/>
          </w:tcPr>
          <w:p w:rsidR="00E161EB" w:rsidRPr="005059A1" w:rsidRDefault="00E161EB" w:rsidP="00554CB2">
            <w:pPr>
              <w:pStyle w:val="TableText0"/>
              <w:jc w:val="center"/>
              <w:rPr>
                <w:rFonts w:eastAsiaTheme="minorHAnsi"/>
              </w:rPr>
            </w:pPr>
            <w:r w:rsidRPr="005059A1">
              <w:rPr>
                <w:rFonts w:eastAsiaTheme="minorHAnsi"/>
              </w:rPr>
              <w:t>16%</w:t>
            </w:r>
            <w:r w:rsidRPr="005059A1">
              <w:rPr>
                <w:rFonts w:eastAsiaTheme="minorHAnsi"/>
                <w:vertAlign w:val="superscript"/>
              </w:rPr>
              <w:t>9</w:t>
            </w:r>
          </w:p>
        </w:tc>
        <w:tc>
          <w:tcPr>
            <w:tcW w:w="640" w:type="pct"/>
          </w:tcPr>
          <w:p w:rsidR="00E161EB" w:rsidRPr="005059A1" w:rsidRDefault="00E161EB" w:rsidP="00554CB2">
            <w:pPr>
              <w:pStyle w:val="TableText0"/>
              <w:jc w:val="center"/>
              <w:rPr>
                <w:rFonts w:eastAsiaTheme="minorHAnsi"/>
              </w:rPr>
            </w:pPr>
            <w:r w:rsidRPr="005059A1">
              <w:rPr>
                <w:rFonts w:eastAsiaTheme="minorHAnsi"/>
              </w:rPr>
              <w:t>13.1%</w:t>
            </w:r>
            <w:r w:rsidRPr="005059A1">
              <w:rPr>
                <w:rFonts w:eastAsiaTheme="minorHAnsi"/>
                <w:vertAlign w:val="superscript"/>
              </w:rPr>
              <w:t>10</w:t>
            </w:r>
          </w:p>
        </w:tc>
        <w:tc>
          <w:tcPr>
            <w:tcW w:w="640" w:type="pct"/>
          </w:tcPr>
          <w:p w:rsidR="00E161EB" w:rsidRPr="005059A1" w:rsidRDefault="00E161EB" w:rsidP="00554CB2">
            <w:pPr>
              <w:pStyle w:val="TableText0"/>
              <w:jc w:val="center"/>
              <w:rPr>
                <w:rFonts w:eastAsiaTheme="minorHAnsi"/>
              </w:rPr>
            </w:pPr>
            <w:r w:rsidRPr="005059A1">
              <w:rPr>
                <w:rFonts w:eastAsiaTheme="minorHAnsi"/>
              </w:rPr>
              <w:t>12.3%</w:t>
            </w:r>
            <w:r w:rsidRPr="005059A1">
              <w:rPr>
                <w:rFonts w:eastAsiaTheme="minorHAnsi"/>
                <w:vertAlign w:val="superscript"/>
              </w:rPr>
              <w:t>10</w:t>
            </w:r>
          </w:p>
        </w:tc>
        <w:tc>
          <w:tcPr>
            <w:tcW w:w="1087" w:type="pct"/>
          </w:tcPr>
          <w:p w:rsidR="00E161EB" w:rsidRPr="005059A1" w:rsidRDefault="00E161EB" w:rsidP="00554CB2">
            <w:pPr>
              <w:pStyle w:val="TableText0"/>
              <w:rPr>
                <w:rFonts w:eastAsiaTheme="minorHAnsi"/>
              </w:rPr>
            </w:pPr>
            <w:r w:rsidRPr="005059A1">
              <w:rPr>
                <w:rFonts w:eastAsiaTheme="minorHAnsi"/>
              </w:rPr>
              <w:t>9.2 (7.3, 12.6)</w:t>
            </w:r>
            <w:r w:rsidRPr="005059A1">
              <w:rPr>
                <w:rFonts w:eastAsiaTheme="minorHAnsi"/>
                <w:vertAlign w:val="superscript"/>
              </w:rPr>
              <w:t>9</w:t>
            </w:r>
          </w:p>
        </w:tc>
      </w:tr>
      <w:tr w:rsidR="00E161EB" w:rsidRPr="005059A1" w:rsidTr="00D7706D">
        <w:tc>
          <w:tcPr>
            <w:tcW w:w="714" w:type="pct"/>
            <w:shd w:val="clear" w:color="auto" w:fill="auto"/>
          </w:tcPr>
          <w:p w:rsidR="00E161EB" w:rsidRPr="005059A1" w:rsidRDefault="00E161EB" w:rsidP="00554CB2">
            <w:pPr>
              <w:pStyle w:val="TableText0"/>
              <w:rPr>
                <w:rFonts w:eastAsiaTheme="minorHAnsi"/>
              </w:rPr>
            </w:pPr>
            <w:r w:rsidRPr="005059A1">
              <w:rPr>
                <w:rFonts w:eastAsiaTheme="minorHAnsi"/>
              </w:rPr>
              <w:t>CM057</w:t>
            </w:r>
          </w:p>
        </w:tc>
        <w:tc>
          <w:tcPr>
            <w:tcW w:w="640" w:type="pct"/>
            <w:shd w:val="clear" w:color="auto" w:fill="auto"/>
          </w:tcPr>
          <w:p w:rsidR="00E161EB" w:rsidRPr="005059A1" w:rsidRDefault="00E161EB" w:rsidP="00554CB2">
            <w:pPr>
              <w:pStyle w:val="TableText0"/>
              <w:jc w:val="center"/>
              <w:rPr>
                <w:rFonts w:eastAsiaTheme="minorHAnsi"/>
              </w:rPr>
            </w:pPr>
            <w:r w:rsidRPr="005059A1">
              <w:rPr>
                <w:rFonts w:eastAsiaTheme="minorHAnsi"/>
              </w:rPr>
              <w:t>51%</w:t>
            </w:r>
            <w:r w:rsidRPr="005059A1">
              <w:rPr>
                <w:rFonts w:eastAsiaTheme="minorHAnsi"/>
                <w:vertAlign w:val="superscript"/>
              </w:rPr>
              <w:t>6</w:t>
            </w:r>
          </w:p>
        </w:tc>
        <w:tc>
          <w:tcPr>
            <w:tcW w:w="640" w:type="pct"/>
            <w:shd w:val="clear" w:color="auto" w:fill="auto"/>
          </w:tcPr>
          <w:p w:rsidR="00E161EB" w:rsidRPr="005059A1" w:rsidRDefault="00E161EB" w:rsidP="00554CB2">
            <w:pPr>
              <w:pStyle w:val="TableText0"/>
              <w:jc w:val="center"/>
              <w:rPr>
                <w:rFonts w:eastAsiaTheme="minorHAnsi"/>
              </w:rPr>
            </w:pPr>
            <w:r w:rsidRPr="005059A1">
              <w:rPr>
                <w:rFonts w:eastAsiaTheme="minorHAnsi"/>
              </w:rPr>
              <w:t>29%</w:t>
            </w:r>
            <w:r w:rsidRPr="005059A1">
              <w:rPr>
                <w:rFonts w:eastAsiaTheme="minorHAnsi"/>
                <w:vertAlign w:val="superscript"/>
              </w:rPr>
              <w:t>8</w:t>
            </w:r>
          </w:p>
        </w:tc>
        <w:tc>
          <w:tcPr>
            <w:tcW w:w="640" w:type="pct"/>
            <w:shd w:val="clear" w:color="auto" w:fill="auto"/>
          </w:tcPr>
          <w:p w:rsidR="00E161EB" w:rsidRPr="005059A1" w:rsidRDefault="00E161EB" w:rsidP="00554CB2">
            <w:pPr>
              <w:pStyle w:val="TableText0"/>
              <w:jc w:val="center"/>
              <w:rPr>
                <w:rFonts w:eastAsiaTheme="minorHAnsi"/>
              </w:rPr>
            </w:pPr>
            <w:r w:rsidRPr="005059A1">
              <w:rPr>
                <w:rFonts w:eastAsiaTheme="minorHAnsi"/>
              </w:rPr>
              <w:t>18%</w:t>
            </w:r>
            <w:r w:rsidRPr="005059A1">
              <w:rPr>
                <w:rFonts w:eastAsiaTheme="minorHAnsi"/>
                <w:vertAlign w:val="superscript"/>
              </w:rPr>
              <w:t>9</w:t>
            </w:r>
          </w:p>
        </w:tc>
        <w:tc>
          <w:tcPr>
            <w:tcW w:w="640" w:type="pct"/>
          </w:tcPr>
          <w:p w:rsidR="00E161EB" w:rsidRPr="005059A1" w:rsidRDefault="00E161EB" w:rsidP="00554CB2">
            <w:pPr>
              <w:pStyle w:val="TableText0"/>
              <w:jc w:val="center"/>
              <w:rPr>
                <w:rFonts w:eastAsiaTheme="minorHAnsi"/>
              </w:rPr>
            </w:pPr>
            <w:r w:rsidRPr="005059A1">
              <w:rPr>
                <w:rFonts w:eastAsiaTheme="minorHAnsi"/>
              </w:rPr>
              <w:t>14.7%</w:t>
            </w:r>
            <w:r w:rsidRPr="005059A1">
              <w:rPr>
                <w:rFonts w:eastAsiaTheme="minorHAnsi"/>
                <w:vertAlign w:val="superscript"/>
              </w:rPr>
              <w:t>11</w:t>
            </w:r>
          </w:p>
        </w:tc>
        <w:tc>
          <w:tcPr>
            <w:tcW w:w="640" w:type="pct"/>
          </w:tcPr>
          <w:p w:rsidR="00E161EB" w:rsidRPr="005059A1" w:rsidRDefault="00E161EB" w:rsidP="00554CB2">
            <w:pPr>
              <w:pStyle w:val="TableText0"/>
              <w:jc w:val="center"/>
              <w:rPr>
                <w:rFonts w:eastAsiaTheme="minorHAnsi"/>
              </w:rPr>
            </w:pPr>
            <w:r w:rsidRPr="005059A1">
              <w:rPr>
                <w:rFonts w:eastAsiaTheme="minorHAnsi"/>
              </w:rPr>
              <w:t>14.0%</w:t>
            </w:r>
            <w:r w:rsidRPr="005059A1">
              <w:rPr>
                <w:rFonts w:eastAsiaTheme="minorHAnsi"/>
                <w:vertAlign w:val="superscript"/>
              </w:rPr>
              <w:t>11</w:t>
            </w:r>
          </w:p>
        </w:tc>
        <w:tc>
          <w:tcPr>
            <w:tcW w:w="1087" w:type="pct"/>
          </w:tcPr>
          <w:p w:rsidR="00E161EB" w:rsidRPr="005059A1" w:rsidRDefault="00E161EB" w:rsidP="00554CB2">
            <w:pPr>
              <w:pStyle w:val="TableText0"/>
              <w:rPr>
                <w:rFonts w:eastAsiaTheme="minorHAnsi"/>
              </w:rPr>
            </w:pPr>
            <w:r w:rsidRPr="005059A1">
              <w:rPr>
                <w:rFonts w:eastAsiaTheme="minorHAnsi"/>
              </w:rPr>
              <w:t>12.2 (9.7, 15.1)</w:t>
            </w:r>
            <w:r w:rsidRPr="005059A1">
              <w:rPr>
                <w:rFonts w:eastAsiaTheme="minorHAnsi"/>
                <w:vertAlign w:val="superscript"/>
              </w:rPr>
              <w:t>9</w:t>
            </w:r>
          </w:p>
        </w:tc>
      </w:tr>
    </w:tbl>
    <w:p w:rsidR="000B419D" w:rsidRPr="00A57A3F" w:rsidRDefault="00E161EB" w:rsidP="00CD5CC6">
      <w:pPr>
        <w:pStyle w:val="Tablenotes0"/>
        <w:rPr>
          <w:rFonts w:ascii="Arial Narrow" w:hAnsi="Arial Narrow"/>
          <w:sz w:val="18"/>
          <w:szCs w:val="18"/>
        </w:rPr>
      </w:pPr>
      <w:r w:rsidRPr="00A57A3F">
        <w:rPr>
          <w:rFonts w:ascii="Arial Narrow" w:eastAsia="Calibri" w:hAnsi="Arial Narrow"/>
          <w:sz w:val="18"/>
          <w:szCs w:val="18"/>
        </w:rPr>
        <w:t>Source: Table 11 minor submission</w:t>
      </w:r>
      <w:r w:rsidRPr="00A57A3F">
        <w:rPr>
          <w:rFonts w:ascii="Arial Narrow" w:eastAsia="Calibri" w:hAnsi="Arial Narrow"/>
          <w:sz w:val="18"/>
          <w:szCs w:val="18"/>
        </w:rPr>
        <w:br/>
      </w:r>
      <w:r w:rsidRPr="00A57A3F">
        <w:rPr>
          <w:rFonts w:ascii="Arial Narrow" w:eastAsiaTheme="minorHAnsi" w:hAnsi="Arial Narrow"/>
          <w:sz w:val="18"/>
          <w:szCs w:val="18"/>
        </w:rPr>
        <w:t>Abbreviations: ATEZO = atezolizumab; CI = confidence interval; CM017 = Checkmate017; CM057 = Checkmate 057; mths = months; OS = overall survival; NIVO =</w:t>
      </w:r>
      <w:r w:rsidR="00507263">
        <w:rPr>
          <w:rFonts w:ascii="Arial Narrow" w:eastAsiaTheme="minorHAnsi" w:hAnsi="Arial Narrow"/>
          <w:sz w:val="18"/>
          <w:szCs w:val="18"/>
        </w:rPr>
        <w:t xml:space="preserve"> nivolumab; NR = not reported.</w:t>
      </w:r>
    </w:p>
    <w:p w:rsidR="003F2B67" w:rsidRDefault="00E161EB" w:rsidP="00A025DC">
      <w:pPr>
        <w:pStyle w:val="Tablenotes0"/>
        <w:rPr>
          <w:rFonts w:ascii="Arial Narrow" w:eastAsiaTheme="minorHAnsi" w:hAnsi="Arial Narrow"/>
          <w:sz w:val="18"/>
          <w:szCs w:val="18"/>
        </w:rPr>
      </w:pPr>
      <w:r w:rsidRPr="00A57A3F">
        <w:rPr>
          <w:rFonts w:ascii="Arial Narrow" w:eastAsiaTheme="minorHAnsi" w:hAnsi="Arial Narrow"/>
          <w:sz w:val="18"/>
          <w:szCs w:val="18"/>
        </w:rPr>
        <w:t>References: 1. Mazieres et al 2020, 2. Gettinger et al 2020, 3. Fehrenbacher et al 2018, 4. Mazieres et al 2018;</w:t>
      </w:r>
      <w:r w:rsidR="00507263">
        <w:rPr>
          <w:rFonts w:ascii="Arial Narrow" w:eastAsiaTheme="minorHAnsi" w:hAnsi="Arial Narrow"/>
          <w:sz w:val="18"/>
          <w:szCs w:val="18"/>
        </w:rPr>
        <w:t xml:space="preserve"> </w:t>
      </w:r>
      <w:r w:rsidRPr="00A57A3F">
        <w:rPr>
          <w:rFonts w:ascii="Arial Narrow" w:eastAsiaTheme="minorHAnsi" w:hAnsi="Arial Narrow"/>
          <w:sz w:val="18"/>
          <w:szCs w:val="18"/>
        </w:rPr>
        <w:t>5. Brahmer et al 2015; 6. Borghaei et al 2015; 7. Fehrenbacher et al 2016; 8. Horn et al 2017; 9</w:t>
      </w:r>
      <w:r w:rsidR="00507263">
        <w:rPr>
          <w:rFonts w:ascii="Arial Narrow" w:eastAsiaTheme="minorHAnsi" w:hAnsi="Arial Narrow"/>
          <w:sz w:val="18"/>
          <w:szCs w:val="18"/>
        </w:rPr>
        <w:t xml:space="preserve">. Vokes et al 2018 (Fig S3AB); </w:t>
      </w:r>
      <w:r w:rsidRPr="00A57A3F">
        <w:rPr>
          <w:rFonts w:ascii="Arial Narrow" w:eastAsiaTheme="minorHAnsi" w:hAnsi="Arial Narrow"/>
          <w:sz w:val="18"/>
          <w:szCs w:val="18"/>
        </w:rPr>
        <w:t>10. CM017 Clinical Study Report Addendum 04 dated 18 Jul 19 (Section 5.1); 11. CM057 Clinical Study Report Addendum 02 dated 18 Jul 19 (Section 5.1).</w:t>
      </w:r>
    </w:p>
    <w:p w:rsidR="003F2B67" w:rsidRDefault="003F2B67" w:rsidP="00A025DC">
      <w:pPr>
        <w:pStyle w:val="Tablenotes0"/>
        <w:rPr>
          <w:rFonts w:ascii="Arial Narrow" w:eastAsiaTheme="minorHAnsi" w:hAnsi="Arial Narrow"/>
          <w:sz w:val="18"/>
          <w:szCs w:val="18"/>
        </w:rPr>
      </w:pPr>
    </w:p>
    <w:p w:rsidR="00087D22" w:rsidRPr="000F7490" w:rsidRDefault="009116BF" w:rsidP="00E7159C">
      <w:pPr>
        <w:pStyle w:val="3Bodytext"/>
        <w:jc w:val="both"/>
      </w:pPr>
      <w:r w:rsidRPr="003F2B67">
        <w:t xml:space="preserve">The minor submission stated that longer term follow up data from the pivotal trials (CA209-017) and (CA209-057) for PBS listed IO agents for 2L NSCLC demonstrate </w:t>
      </w:r>
      <w:r w:rsidRPr="000D31B2">
        <w:t>comparable median overall survival across the pooled nivolumab trials (CM017/CM057) and OAK trial between the &lt; and ≥65 year old age groups.</w:t>
      </w:r>
    </w:p>
    <w:p w:rsidR="00D14A46" w:rsidRPr="000F7490" w:rsidRDefault="00755B0F" w:rsidP="00CD5CC6">
      <w:pPr>
        <w:pStyle w:val="4-SubsectionHeading"/>
        <w:rPr>
          <w:lang w:eastAsia="en-US"/>
        </w:rPr>
      </w:pPr>
      <w:r w:rsidRPr="000F7490">
        <w:rPr>
          <w:lang w:eastAsia="en-US"/>
        </w:rPr>
        <w:t>Pricing considerations</w:t>
      </w:r>
    </w:p>
    <w:p w:rsidR="00B1533D" w:rsidRPr="000F7490" w:rsidRDefault="00B1533D" w:rsidP="00A57A3F">
      <w:pPr>
        <w:pStyle w:val="3Bodytext"/>
        <w:jc w:val="both"/>
        <w:rPr>
          <w:rFonts w:ascii="Trebuchet MS" w:eastAsia="Calibri" w:hAnsi="Trebuchet MS"/>
          <w:sz w:val="16"/>
          <w:szCs w:val="20"/>
          <w:lang w:eastAsia="en-US"/>
        </w:rPr>
      </w:pPr>
      <w:r w:rsidRPr="000F7490">
        <w:t xml:space="preserve">Nivolumab was originally recommended for 2L NSCLC on the basis of a risk sharing arrangement intended to address concerns regarding </w:t>
      </w:r>
      <w:r w:rsidR="008B374F" w:rsidRPr="000F7490">
        <w:t xml:space="preserve">the </w:t>
      </w:r>
      <w:r w:rsidRPr="000F7490">
        <w:t>possible variation in the extent of effectiveness in patient 75 years or older, uncertainties regarding the ICERs presented in the November 2016 submissions, the overall number</w:t>
      </w:r>
      <w:r w:rsidR="008B374F" w:rsidRPr="000F7490">
        <w:t xml:space="preserve"> of patient</w:t>
      </w:r>
      <w:r w:rsidRPr="000F7490">
        <w:t xml:space="preserve">s using nivolumab in NSCLC, </w:t>
      </w:r>
      <w:r w:rsidR="008B374F" w:rsidRPr="000F7490">
        <w:t xml:space="preserve">the </w:t>
      </w:r>
      <w:r w:rsidRPr="000F7490">
        <w:t xml:space="preserve">risk of leakage outside the intended </w:t>
      </w:r>
      <w:r w:rsidR="008B374F" w:rsidRPr="000F7490">
        <w:t>population</w:t>
      </w:r>
      <w:r w:rsidRPr="000F7490">
        <w:t>,</w:t>
      </w:r>
      <w:r w:rsidR="008B374F" w:rsidRPr="000F7490">
        <w:t xml:space="preserve"> and the duration of treatment.</w:t>
      </w:r>
    </w:p>
    <w:p w:rsidR="002E17EB" w:rsidRPr="00507263" w:rsidRDefault="005F2A46" w:rsidP="00D92BFF">
      <w:pPr>
        <w:pStyle w:val="3Bodytext"/>
        <w:jc w:val="both"/>
      </w:pPr>
      <w:r w:rsidRPr="000F7490">
        <w:t>The PBAC recommended a</w:t>
      </w:r>
      <w:r w:rsidR="00B1533D" w:rsidRPr="000F7490">
        <w:t xml:space="preserve">n overall cap on patient numbers and cost per patient to ensure that the estimated ICER </w:t>
      </w:r>
      <w:r w:rsidR="008B374F" w:rsidRPr="000F7490">
        <w:t>wa</w:t>
      </w:r>
      <w:r w:rsidR="00B1533D" w:rsidRPr="000F7490">
        <w:t xml:space="preserve">s not exceeded. </w:t>
      </w:r>
      <w:r w:rsidR="006E6CCE" w:rsidRPr="000F7490">
        <w:t xml:space="preserve">The total cost per patient was to be based on an average of </w:t>
      </w:r>
      <w:r w:rsidR="0068525B">
        <w:rPr>
          <w:noProof/>
          <w:color w:val="000000"/>
          <w:highlight w:val="black"/>
        </w:rPr>
        <w:t>''''''</w:t>
      </w:r>
      <w:r w:rsidR="006E6CCE" w:rsidRPr="000F7490">
        <w:t xml:space="preserve"> infusion</w:t>
      </w:r>
      <w:r w:rsidR="00A55AE8" w:rsidRPr="000F7490">
        <w:t>s</w:t>
      </w:r>
      <w:r w:rsidR="006E6CCE" w:rsidRPr="000F7490">
        <w:t xml:space="preserve"> </w:t>
      </w:r>
      <w:r w:rsidR="001833BC" w:rsidRPr="000F7490">
        <w:t xml:space="preserve">per patient. </w:t>
      </w:r>
      <w:r w:rsidR="00B1533D" w:rsidRPr="000F7490">
        <w:t xml:space="preserve">It should be noted that Commonwealth expenditure on nivolumab to date has been significantly lower than estimated at </w:t>
      </w:r>
      <w:r w:rsidR="0038574A" w:rsidRPr="000F7490">
        <w:t xml:space="preserve">the </w:t>
      </w:r>
      <w:r w:rsidR="00B1533D" w:rsidRPr="000F7490">
        <w:t>time of listing and for the basis of the RSA caps</w:t>
      </w:r>
      <w:r w:rsidR="00A55AE8" w:rsidRPr="000F7490">
        <w:t xml:space="preserve"> (</w:t>
      </w:r>
      <w:r w:rsidR="0068525B">
        <w:rPr>
          <w:noProof/>
          <w:color w:val="000000"/>
          <w:highlight w:val="black"/>
        </w:rPr>
        <w:t>'''''</w:t>
      </w:r>
      <w:r w:rsidR="00A55AE8" w:rsidRPr="000F7490">
        <w:t>%</w:t>
      </w:r>
      <w:r w:rsidR="00755B0F" w:rsidRPr="000F7490">
        <w:t xml:space="preserve"> of </w:t>
      </w:r>
      <w:r w:rsidR="0038574A" w:rsidRPr="000F7490">
        <w:t xml:space="preserve">the </w:t>
      </w:r>
      <w:r w:rsidR="00755B0F" w:rsidRPr="000F7490">
        <w:t>cap</w:t>
      </w:r>
      <w:r w:rsidR="0038574A" w:rsidRPr="000F7490">
        <w:t xml:space="preserve"> was</w:t>
      </w:r>
      <w:r w:rsidR="00755B0F" w:rsidRPr="000F7490">
        <w:t xml:space="preserve"> reached</w:t>
      </w:r>
      <w:r w:rsidR="00A55AE8" w:rsidRPr="000F7490">
        <w:t xml:space="preserve"> in Year 1 and reducing in subsequent years)</w:t>
      </w:r>
      <w:r w:rsidR="00755B0F" w:rsidRPr="000F7490">
        <w:t xml:space="preserve">. It is </w:t>
      </w:r>
      <w:r w:rsidR="00D177D6" w:rsidRPr="000F7490">
        <w:t xml:space="preserve">likely </w:t>
      </w:r>
      <w:r w:rsidR="00B1533D" w:rsidRPr="000F7490">
        <w:t xml:space="preserve">that the target cost per </w:t>
      </w:r>
      <w:r w:rsidR="00B1533D" w:rsidRPr="00C4750B">
        <w:t>patient (</w:t>
      </w:r>
      <w:r w:rsidR="00D177D6" w:rsidRPr="00C4750B">
        <w:t>~</w:t>
      </w:r>
      <w:r w:rsidR="00B1533D" w:rsidRPr="00C4750B">
        <w:t>$</w:t>
      </w:r>
      <w:r w:rsidR="0068525B">
        <w:rPr>
          <w:noProof/>
          <w:color w:val="000000"/>
          <w:highlight w:val="black"/>
        </w:rPr>
        <w:t>''''''''''''''</w:t>
      </w:r>
      <w:r w:rsidR="00B1533D" w:rsidRPr="00C4750B">
        <w:t>) to achieve the intended ICERs has not</w:t>
      </w:r>
      <w:r w:rsidR="0038574A" w:rsidRPr="00C4750B">
        <w:t xml:space="preserve"> yet</w:t>
      </w:r>
      <w:r w:rsidR="00B1533D" w:rsidRPr="00C4750B">
        <w:t xml:space="preserve"> been achieved</w:t>
      </w:r>
      <w:r w:rsidR="00D177D6" w:rsidRPr="00C4750B">
        <w:t xml:space="preserve"> as the RSA caps were significantly overestimated</w:t>
      </w:r>
      <w:r w:rsidR="00B1533D" w:rsidRPr="00C4750B">
        <w:t>.</w:t>
      </w:r>
      <w:r w:rsidR="00692280" w:rsidRPr="00C4750B">
        <w:t xml:space="preserve"> Previous analysis </w:t>
      </w:r>
      <w:r w:rsidR="008D5882" w:rsidRPr="00C4750B">
        <w:t xml:space="preserve">(from </w:t>
      </w:r>
      <w:r w:rsidR="00D868E8" w:rsidRPr="00C4750B">
        <w:t>July 2019</w:t>
      </w:r>
      <w:r w:rsidR="008D5882" w:rsidRPr="00C4750B">
        <w:t>)</w:t>
      </w:r>
      <w:r w:rsidR="00D868E8" w:rsidRPr="00C4750B">
        <w:t xml:space="preserve"> </w:t>
      </w:r>
      <w:r w:rsidR="00692280" w:rsidRPr="00C4750B">
        <w:t xml:space="preserve">by the Department post-PBS listing showed that the mean number of scripts per patient </w:t>
      </w:r>
      <w:r w:rsidR="00D868E8" w:rsidRPr="00C4750B">
        <w:t xml:space="preserve">for nivolumab </w:t>
      </w:r>
      <w:r w:rsidR="00692280" w:rsidRPr="00C4750B">
        <w:t xml:space="preserve">was 14.4, equivalent to 6.6 months of treatment, which resulted in a cost higher than </w:t>
      </w:r>
      <w:r w:rsidR="00F57C57" w:rsidRPr="00C4750B">
        <w:t xml:space="preserve">what was </w:t>
      </w:r>
      <w:r w:rsidR="00692280" w:rsidRPr="00C4750B">
        <w:t>originally accepted by the PBAC.</w:t>
      </w:r>
      <w:r w:rsidR="002A664D" w:rsidRPr="000F7490">
        <w:t xml:space="preserve"> </w:t>
      </w:r>
    </w:p>
    <w:p w:rsidR="00D868E8" w:rsidRPr="008306F3" w:rsidRDefault="00D868E8" w:rsidP="001722CF">
      <w:pPr>
        <w:pStyle w:val="4-SubsectionHeading"/>
        <w:rPr>
          <w:lang w:eastAsia="en-US"/>
        </w:rPr>
      </w:pPr>
      <w:r w:rsidRPr="003C2FB5">
        <w:rPr>
          <w:lang w:eastAsia="en-US"/>
        </w:rPr>
        <w:t>Estimated PBS usage &amp; financial implications</w:t>
      </w:r>
    </w:p>
    <w:p w:rsidR="00D868E8" w:rsidRDefault="00D868E8" w:rsidP="00414120">
      <w:pPr>
        <w:pStyle w:val="3Bodytext"/>
      </w:pPr>
      <w:r w:rsidRPr="00D868E8">
        <w:t xml:space="preserve">The minor submission did not provide any information on the financial implications of removing the age-related RSA rebate. </w:t>
      </w:r>
      <w:r w:rsidRPr="00DA6358">
        <w:t xml:space="preserve">Given that a rebate has been payable </w:t>
      </w:r>
      <w:r w:rsidR="00680748" w:rsidRPr="00DA6358">
        <w:t>in relation to</w:t>
      </w:r>
      <w:r w:rsidR="00E46A54" w:rsidRPr="00DA6358">
        <w:t xml:space="preserve"> the age-related RSA for nivolumab </w:t>
      </w:r>
      <w:r w:rsidRPr="00DA6358">
        <w:t xml:space="preserve">each year since listing, removal of the rebate is likely to result in a cost to the Commonwealth. While there is </w:t>
      </w:r>
      <w:r w:rsidR="00EA721C" w:rsidRPr="00DA6358">
        <w:t xml:space="preserve">a subsidisation cap arrangement in place, </w:t>
      </w:r>
      <w:r w:rsidR="0038574A" w:rsidRPr="00DA6358">
        <w:t xml:space="preserve">the </w:t>
      </w:r>
      <w:r w:rsidR="002E17EB" w:rsidRPr="00DA6358">
        <w:t xml:space="preserve">expenditure in Year 1 and 2 </w:t>
      </w:r>
      <w:r w:rsidR="0038574A" w:rsidRPr="00DA6358">
        <w:t>was</w:t>
      </w:r>
      <w:r w:rsidR="002E17EB" w:rsidRPr="00DA6358">
        <w:t xml:space="preserve"> significantly below the caps and has</w:t>
      </w:r>
      <w:r w:rsidR="00EA721C" w:rsidRPr="00DA6358">
        <w:t xml:space="preserve"> only </w:t>
      </w:r>
      <w:r w:rsidR="002E17EB" w:rsidRPr="00DA6358">
        <w:t>been slightly</w:t>
      </w:r>
      <w:r w:rsidR="00EA721C" w:rsidRPr="00DA6358">
        <w:t xml:space="preserve"> exceeded in Year 3 of the </w:t>
      </w:r>
      <w:r w:rsidR="00EA721C" w:rsidRPr="00DA6358">
        <w:lastRenderedPageBreak/>
        <w:t>Deed (</w:t>
      </w:r>
      <w:r w:rsidR="0038574A" w:rsidRPr="00DA6358">
        <w:t xml:space="preserve">the </w:t>
      </w:r>
      <w:r w:rsidR="00EA721C" w:rsidRPr="00DA6358">
        <w:t>most recent complete year)</w:t>
      </w:r>
      <w:r w:rsidR="002E17EB" w:rsidRPr="00DA6358">
        <w:t>.</w:t>
      </w:r>
      <w:r w:rsidR="00042E70">
        <w:t xml:space="preserve"> The pre-PBAC response claimed that it is likely that the Year 4 cap will be exceeded</w:t>
      </w:r>
      <w:r w:rsidR="00FF7DF6">
        <w:t xml:space="preserve"> by approximately</w:t>
      </w:r>
      <w:r w:rsidR="00414120">
        <w:t xml:space="preserve"> </w:t>
      </w:r>
      <w:r w:rsidR="00414120" w:rsidRPr="00414120">
        <w:t>$20 million to &lt; $30 million</w:t>
      </w:r>
      <w:r w:rsidR="00FF7DF6">
        <w:t>,</w:t>
      </w:r>
      <w:r w:rsidR="00042E70">
        <w:t xml:space="preserve"> and therefore that removal of the age-related RSA rebate would not result in additional cost to the Commonwealth.</w:t>
      </w:r>
    </w:p>
    <w:p w:rsidR="00913C41" w:rsidRPr="00D868E8" w:rsidRDefault="00913C41" w:rsidP="00E1321C">
      <w:pPr>
        <w:pStyle w:val="3Bodytext"/>
        <w:numPr>
          <w:ilvl w:val="0"/>
          <w:numId w:val="0"/>
        </w:numPr>
        <w:ind w:left="720"/>
        <w:jc w:val="both"/>
      </w:pPr>
      <w:r w:rsidRPr="006845B7">
        <w:rPr>
          <w:rFonts w:cstheme="minorHAnsi"/>
          <w:i/>
        </w:rPr>
        <w:t xml:space="preserve">For more detail on PBAC’s view, see section </w:t>
      </w:r>
      <w:r>
        <w:rPr>
          <w:rFonts w:cstheme="minorHAnsi"/>
          <w:i/>
        </w:rPr>
        <w:t>5</w:t>
      </w:r>
      <w:r w:rsidRPr="006845B7">
        <w:rPr>
          <w:rFonts w:cstheme="minorHAnsi"/>
          <w:i/>
        </w:rPr>
        <w:t xml:space="preserve"> PBAC outcome</w:t>
      </w:r>
    </w:p>
    <w:p w:rsidR="00DA6358" w:rsidRDefault="00DA6358" w:rsidP="00DA6358">
      <w:pPr>
        <w:pStyle w:val="2-SectionHeading"/>
        <w:rPr>
          <w:lang w:eastAsia="en-US"/>
        </w:rPr>
      </w:pPr>
      <w:r>
        <w:rPr>
          <w:lang w:eastAsia="en-US"/>
        </w:rPr>
        <w:t>PBAC Outcome</w:t>
      </w:r>
    </w:p>
    <w:p w:rsidR="00DA6358" w:rsidRPr="00A85AF8" w:rsidRDefault="005B3848" w:rsidP="009379C0">
      <w:pPr>
        <w:pStyle w:val="3Bodytext"/>
        <w:jc w:val="both"/>
        <w:rPr>
          <w:snapToGrid w:val="0"/>
          <w:lang w:eastAsia="en-US"/>
        </w:rPr>
      </w:pPr>
      <w:r>
        <w:rPr>
          <w:snapToGrid w:val="0"/>
          <w:lang w:eastAsia="en-US"/>
        </w:rPr>
        <w:t xml:space="preserve">The </w:t>
      </w:r>
      <w:r w:rsidR="00E079F6">
        <w:rPr>
          <w:snapToGrid w:val="0"/>
          <w:lang w:eastAsia="en-US"/>
        </w:rPr>
        <w:t xml:space="preserve">PBAC </w:t>
      </w:r>
      <w:r w:rsidR="000F7490">
        <w:rPr>
          <w:snapToGrid w:val="0"/>
          <w:lang w:eastAsia="en-US"/>
        </w:rPr>
        <w:t>advise</w:t>
      </w:r>
      <w:r w:rsidR="00CF3DCE">
        <w:rPr>
          <w:snapToGrid w:val="0"/>
          <w:lang w:eastAsia="en-US"/>
        </w:rPr>
        <w:t>d against</w:t>
      </w:r>
      <w:r w:rsidR="00E079F6">
        <w:rPr>
          <w:snapToGrid w:val="0"/>
          <w:lang w:eastAsia="en-US"/>
        </w:rPr>
        <w:t xml:space="preserve"> the</w:t>
      </w:r>
      <w:r w:rsidR="007521EB">
        <w:rPr>
          <w:snapToGrid w:val="0"/>
          <w:lang w:eastAsia="en-US"/>
        </w:rPr>
        <w:t xml:space="preserve"> </w:t>
      </w:r>
      <w:r w:rsidR="007521EB">
        <w:t xml:space="preserve">removal of the </w:t>
      </w:r>
      <w:r w:rsidR="007521EB" w:rsidRPr="00256D17">
        <w:t xml:space="preserve">rebate </w:t>
      </w:r>
      <w:r w:rsidR="007521EB">
        <w:t xml:space="preserve">for patients initiating treatment at the age of 75 years or older in the Deed </w:t>
      </w:r>
      <w:r w:rsidR="00291A41">
        <w:t xml:space="preserve">of Agreement </w:t>
      </w:r>
      <w:r w:rsidR="007521EB">
        <w:t xml:space="preserve">for nivolumab for the treatment of </w:t>
      </w:r>
      <w:r w:rsidR="00F57C57">
        <w:t>NSCLC</w:t>
      </w:r>
      <w:r w:rsidR="009708EC">
        <w:t xml:space="preserve"> (</w:t>
      </w:r>
      <w:r w:rsidR="00A6059B">
        <w:t xml:space="preserve">as </w:t>
      </w:r>
      <w:r w:rsidR="009708EC">
        <w:t>second-line drug therapy)</w:t>
      </w:r>
      <w:r w:rsidR="00F57C57">
        <w:t>.</w:t>
      </w:r>
      <w:r w:rsidR="00672B98">
        <w:t xml:space="preserve"> The PBAC considered that</w:t>
      </w:r>
      <w:r w:rsidR="00CF3DCE">
        <w:t>,</w:t>
      </w:r>
      <w:r w:rsidR="00672B98">
        <w:t xml:space="preserve"> </w:t>
      </w:r>
      <w:r w:rsidR="00A6059B">
        <w:t>while the submission presented</w:t>
      </w:r>
      <w:r w:rsidR="009708EC">
        <w:t xml:space="preserve"> some evidence to support </w:t>
      </w:r>
      <w:r w:rsidR="00A6059B">
        <w:t xml:space="preserve">similar </w:t>
      </w:r>
      <w:r w:rsidR="00FB7353">
        <w:t>overall survival</w:t>
      </w:r>
      <w:r w:rsidR="00744478">
        <w:t xml:space="preserve"> benefit</w:t>
      </w:r>
      <w:r w:rsidR="00FB7353">
        <w:t xml:space="preserve"> </w:t>
      </w:r>
      <w:r w:rsidR="00A6059B">
        <w:t>in patients aged 75 years and older</w:t>
      </w:r>
      <w:r w:rsidR="0051490B">
        <w:t xml:space="preserve"> compared with those under 75 years</w:t>
      </w:r>
      <w:r w:rsidR="00A6059B">
        <w:t xml:space="preserve">, any amendment to the risk sharing arrangements for nivolumab </w:t>
      </w:r>
      <w:r w:rsidR="0076772D">
        <w:t>should</w:t>
      </w:r>
      <w:r w:rsidR="00A6059B">
        <w:t xml:space="preserve"> be considered </w:t>
      </w:r>
      <w:r w:rsidR="003558EA">
        <w:t>with regard</w:t>
      </w:r>
      <w:r w:rsidR="00A6059B">
        <w:t xml:space="preserve"> </w:t>
      </w:r>
      <w:r w:rsidR="003558EA">
        <w:t xml:space="preserve">to </w:t>
      </w:r>
      <w:r w:rsidR="00A6059B">
        <w:t>its overall cost-effectiveness</w:t>
      </w:r>
      <w:r w:rsidR="00244134">
        <w:t xml:space="preserve"> and</w:t>
      </w:r>
      <w:r w:rsidR="000F7490">
        <w:t xml:space="preserve"> </w:t>
      </w:r>
      <w:r w:rsidR="006F17E3">
        <w:t>in the broader context of the</w:t>
      </w:r>
      <w:r w:rsidR="006F17E3" w:rsidRPr="006F17E3">
        <w:t xml:space="preserve"> subsidisation caps </w:t>
      </w:r>
      <w:r w:rsidR="000F7490">
        <w:t>and</w:t>
      </w:r>
      <w:r w:rsidR="00650DB8">
        <w:t xml:space="preserve"> the</w:t>
      </w:r>
      <w:r w:rsidR="0076772D">
        <w:t xml:space="preserve"> total</w:t>
      </w:r>
      <w:r w:rsidR="000F7490">
        <w:t xml:space="preserve"> cost per patient</w:t>
      </w:r>
      <w:r w:rsidR="006F17E3" w:rsidRPr="006F17E3">
        <w:t>.</w:t>
      </w:r>
    </w:p>
    <w:p w:rsidR="00BA1B68" w:rsidRPr="0035601F" w:rsidRDefault="00BA1B68" w:rsidP="009379C0">
      <w:pPr>
        <w:pStyle w:val="3Bodytext"/>
        <w:jc w:val="both"/>
        <w:rPr>
          <w:snapToGrid w:val="0"/>
          <w:lang w:eastAsia="en-US"/>
        </w:rPr>
      </w:pPr>
      <w:r>
        <w:t xml:space="preserve">The PBAC considered that the </w:t>
      </w:r>
      <w:r w:rsidR="00EC379B">
        <w:t xml:space="preserve">Marur et al (2018) </w:t>
      </w:r>
      <w:r>
        <w:t>meta-analyses of the pooled FDA trials provided som</w:t>
      </w:r>
      <w:r w:rsidR="005C755B">
        <w:t xml:space="preserve">e support that the </w:t>
      </w:r>
      <w:r w:rsidR="007E7CF3">
        <w:t>OS benefit</w:t>
      </w:r>
      <w:r w:rsidR="005C755B">
        <w:t xml:space="preserve"> of nivolumab </w:t>
      </w:r>
      <w:r w:rsidR="002C5855">
        <w:t>would be</w:t>
      </w:r>
      <w:r w:rsidR="005C755B">
        <w:t xml:space="preserve"> similar in patient</w:t>
      </w:r>
      <w:r w:rsidR="00FB7353">
        <w:t>s</w:t>
      </w:r>
      <w:r w:rsidR="005C755B">
        <w:t xml:space="preserve"> 75 years and over compared </w:t>
      </w:r>
      <w:r w:rsidR="0051490B">
        <w:t>with</w:t>
      </w:r>
      <w:r w:rsidR="005C755B">
        <w:t xml:space="preserve"> patients under 75 years.</w:t>
      </w:r>
      <w:r w:rsidR="002C5855">
        <w:t xml:space="preserve"> However, the PBAC also noted that patients in</w:t>
      </w:r>
      <w:r w:rsidR="00E21E93">
        <w:t>cluded in</w:t>
      </w:r>
      <w:r w:rsidR="002C5855">
        <w:t xml:space="preserve"> clinical trials are likely to </w:t>
      </w:r>
      <w:r w:rsidR="007B0941">
        <w:t>d</w:t>
      </w:r>
      <w:r w:rsidR="00FC3158">
        <w:t>erive more benefit</w:t>
      </w:r>
      <w:r w:rsidR="002C5855">
        <w:t xml:space="preserve"> </w:t>
      </w:r>
      <w:r w:rsidR="007B0941">
        <w:t xml:space="preserve">compared </w:t>
      </w:r>
      <w:r w:rsidR="002C5855">
        <w:t>to the PBS population</w:t>
      </w:r>
      <w:r w:rsidR="00E21E93">
        <w:t>.</w:t>
      </w:r>
    </w:p>
    <w:p w:rsidR="007E7CF3" w:rsidRPr="00A85AF8" w:rsidRDefault="007E7CF3" w:rsidP="009379C0">
      <w:pPr>
        <w:pStyle w:val="3Bodytext"/>
        <w:jc w:val="both"/>
        <w:rPr>
          <w:snapToGrid w:val="0"/>
          <w:lang w:eastAsia="en-US"/>
        </w:rPr>
      </w:pPr>
      <w:r>
        <w:t xml:space="preserve">The PBAC noted that the Grossi et al </w:t>
      </w:r>
      <w:r w:rsidR="00650DB8">
        <w:t xml:space="preserve">(2018) </w:t>
      </w:r>
      <w:r>
        <w:t>and Okishio et al</w:t>
      </w:r>
      <w:r w:rsidR="00650DB8">
        <w:t xml:space="preserve"> (2020)</w:t>
      </w:r>
      <w:r>
        <w:t xml:space="preserve"> studies</w:t>
      </w:r>
      <w:r w:rsidR="0055471B">
        <w:t>,</w:t>
      </w:r>
      <w:r>
        <w:t xml:space="preserve"> provided</w:t>
      </w:r>
      <w:r w:rsidR="0055471B">
        <w:t xml:space="preserve"> by</w:t>
      </w:r>
      <w:r w:rsidR="0035601F">
        <w:t xml:space="preserve"> </w:t>
      </w:r>
      <w:r w:rsidR="0055471B">
        <w:t>the submission</w:t>
      </w:r>
      <w:r>
        <w:t xml:space="preserve"> as real world evidence</w:t>
      </w:r>
      <w:r w:rsidR="0055471B">
        <w:t>,</w:t>
      </w:r>
      <w:r>
        <w:t xml:space="preserve"> reported numerically lower OS in patient</w:t>
      </w:r>
      <w:r w:rsidR="00763E4C">
        <w:t>s</w:t>
      </w:r>
      <w:r>
        <w:t xml:space="preserve"> 75</w:t>
      </w:r>
      <w:r w:rsidR="00C77D06">
        <w:t> </w:t>
      </w:r>
      <w:r>
        <w:t>years and over, although the</w:t>
      </w:r>
      <w:r w:rsidR="00E22E9B">
        <w:t xml:space="preserve"> </w:t>
      </w:r>
      <w:r>
        <w:t xml:space="preserve">PBAC </w:t>
      </w:r>
      <w:r w:rsidR="00CF3DCE">
        <w:t>noted</w:t>
      </w:r>
      <w:r>
        <w:t xml:space="preserve"> that the differences were not statistically significant. </w:t>
      </w:r>
    </w:p>
    <w:p w:rsidR="005F57FF" w:rsidRPr="004E0324" w:rsidRDefault="005F57FF" w:rsidP="009379C0">
      <w:pPr>
        <w:pStyle w:val="3Bodytext"/>
        <w:jc w:val="both"/>
        <w:rPr>
          <w:snapToGrid w:val="0"/>
          <w:lang w:eastAsia="en-US"/>
        </w:rPr>
      </w:pPr>
      <w:r>
        <w:t xml:space="preserve">The PBAC </w:t>
      </w:r>
      <w:r w:rsidR="00CF3DB3">
        <w:t>found</w:t>
      </w:r>
      <w:r w:rsidR="00BE5975">
        <w:t xml:space="preserve"> the</w:t>
      </w:r>
      <w:r>
        <w:t xml:space="preserve"> </w:t>
      </w:r>
      <w:r w:rsidR="006F6A2A">
        <w:t xml:space="preserve">comparison of median OS </w:t>
      </w:r>
      <w:r w:rsidR="00763E4C">
        <w:t>between</w:t>
      </w:r>
      <w:r w:rsidR="006F6A2A">
        <w:t xml:space="preserve"> patients under 65</w:t>
      </w:r>
      <w:r w:rsidR="00D22D8F">
        <w:t xml:space="preserve"> years</w:t>
      </w:r>
      <w:r w:rsidR="006F6A2A">
        <w:t xml:space="preserve"> and 65 years and over in the 2L</w:t>
      </w:r>
      <w:r w:rsidR="00763E4C">
        <w:t xml:space="preserve"> NSCLC</w:t>
      </w:r>
      <w:r w:rsidR="006F6A2A">
        <w:t xml:space="preserve"> trials</w:t>
      </w:r>
      <w:r w:rsidR="00763E4C">
        <w:t xml:space="preserve"> for nivolumab and atezolizumab</w:t>
      </w:r>
      <w:r>
        <w:t xml:space="preserve"> </w:t>
      </w:r>
      <w:r w:rsidR="00CF3DB3">
        <w:t xml:space="preserve">less </w:t>
      </w:r>
      <w:r>
        <w:t xml:space="preserve">informative as it did not address the </w:t>
      </w:r>
      <w:r w:rsidR="00A85AF8">
        <w:t>key issue regarding effectiveness in patients aged 75 years and over.</w:t>
      </w:r>
    </w:p>
    <w:p w:rsidR="00ED0B59" w:rsidRDefault="00ED0B59" w:rsidP="009379C0">
      <w:pPr>
        <w:pStyle w:val="3Bodytext"/>
        <w:jc w:val="both"/>
        <w:rPr>
          <w:snapToGrid w:val="0"/>
          <w:lang w:eastAsia="en-US"/>
        </w:rPr>
      </w:pPr>
      <w:r>
        <w:t xml:space="preserve">The PBAC recalled that </w:t>
      </w:r>
      <w:r w:rsidRPr="007521EB">
        <w:rPr>
          <w:snapToGrid w:val="0"/>
          <w:lang w:eastAsia="en-US"/>
        </w:rPr>
        <w:t>nivolumab</w:t>
      </w:r>
      <w:r>
        <w:rPr>
          <w:snapToGrid w:val="0"/>
          <w:lang w:eastAsia="en-US"/>
        </w:rPr>
        <w:t xml:space="preserve"> for 2L NSCLC</w:t>
      </w:r>
      <w:r w:rsidRPr="007521EB">
        <w:rPr>
          <w:snapToGrid w:val="0"/>
          <w:lang w:eastAsia="en-US"/>
        </w:rPr>
        <w:t xml:space="preserve"> was originally recommended in conjunction with various arrangements to achieve cost-effectiveness, including an overall cap on patient numbers and cost per patient</w:t>
      </w:r>
      <w:r w:rsidR="00061C89">
        <w:rPr>
          <w:snapToGrid w:val="0"/>
          <w:lang w:eastAsia="en-US"/>
        </w:rPr>
        <w:t>,</w:t>
      </w:r>
      <w:r w:rsidRPr="007521EB">
        <w:rPr>
          <w:snapToGrid w:val="0"/>
          <w:lang w:eastAsia="en-US"/>
        </w:rPr>
        <w:t xml:space="preserve"> to ensure that the </w:t>
      </w:r>
      <w:r>
        <w:rPr>
          <w:snapToGrid w:val="0"/>
          <w:lang w:eastAsia="en-US"/>
        </w:rPr>
        <w:t>estimated ICER</w:t>
      </w:r>
      <w:r w:rsidR="00B13DF1">
        <w:rPr>
          <w:snapToGrid w:val="0"/>
          <w:lang w:eastAsia="en-US"/>
        </w:rPr>
        <w:t>s</w:t>
      </w:r>
      <w:r>
        <w:rPr>
          <w:snapToGrid w:val="0"/>
          <w:lang w:eastAsia="en-US"/>
        </w:rPr>
        <w:t xml:space="preserve"> </w:t>
      </w:r>
      <w:r w:rsidR="00B13DF1">
        <w:rPr>
          <w:snapToGrid w:val="0"/>
          <w:lang w:eastAsia="en-US"/>
        </w:rPr>
        <w:t>were</w:t>
      </w:r>
      <w:r>
        <w:rPr>
          <w:snapToGrid w:val="0"/>
          <w:lang w:eastAsia="en-US"/>
        </w:rPr>
        <w:t xml:space="preserve"> not exceeded.</w:t>
      </w:r>
      <w:r w:rsidRPr="00ED0B59">
        <w:rPr>
          <w:snapToGrid w:val="0"/>
          <w:lang w:eastAsia="en-US"/>
        </w:rPr>
        <w:t xml:space="preserve"> </w:t>
      </w:r>
      <w:r>
        <w:rPr>
          <w:snapToGrid w:val="0"/>
          <w:lang w:eastAsia="en-US"/>
        </w:rPr>
        <w:t xml:space="preserve">The PBAC noted </w:t>
      </w:r>
      <w:r w:rsidRPr="00DA6358">
        <w:t xml:space="preserve">that </w:t>
      </w:r>
      <w:r w:rsidR="00B13DF1">
        <w:t xml:space="preserve">it is likely that the target cost per patient </w:t>
      </w:r>
      <w:r w:rsidR="00DB6E4F">
        <w:t xml:space="preserve">required </w:t>
      </w:r>
      <w:r w:rsidR="00B13DF1">
        <w:t>to achieve the</w:t>
      </w:r>
      <w:r w:rsidRPr="00DA6358">
        <w:t xml:space="preserve"> intended ICERs </w:t>
      </w:r>
      <w:r w:rsidR="00B13DF1">
        <w:t>has</w:t>
      </w:r>
      <w:r w:rsidR="00A57E67">
        <w:t xml:space="preserve"> </w:t>
      </w:r>
      <w:r w:rsidRPr="00DA6358">
        <w:t xml:space="preserve">not been </w:t>
      </w:r>
      <w:r w:rsidR="00DB6E4F">
        <w:t>realised</w:t>
      </w:r>
      <w:r w:rsidR="00061C89">
        <w:t>,</w:t>
      </w:r>
      <w:r w:rsidRPr="00DA6358">
        <w:t xml:space="preserve"> as the RSA caps were significantly overestimated</w:t>
      </w:r>
      <w:r w:rsidR="00336729">
        <w:t xml:space="preserve"> and were therefore not an adequate device to ensure the target cost per patient</w:t>
      </w:r>
      <w:r w:rsidR="00061C89">
        <w:t>.</w:t>
      </w:r>
      <w:r w:rsidR="00D471D4">
        <w:t xml:space="preserve"> </w:t>
      </w:r>
      <w:r w:rsidR="00061C89">
        <w:t>P</w:t>
      </w:r>
      <w:r w:rsidR="00D471D4">
        <w:t xml:space="preserve">revious Departmental analysis </w:t>
      </w:r>
      <w:r w:rsidR="00D22932">
        <w:t xml:space="preserve">of PBS data </w:t>
      </w:r>
      <w:r w:rsidR="00D471D4">
        <w:t>show</w:t>
      </w:r>
      <w:r w:rsidR="00061C89">
        <w:t>ed</w:t>
      </w:r>
      <w:r w:rsidR="00D471D4">
        <w:t xml:space="preserve"> a longer </w:t>
      </w:r>
      <w:r w:rsidR="00C77D06">
        <w:t xml:space="preserve">actual </w:t>
      </w:r>
      <w:r w:rsidR="00D471D4">
        <w:t xml:space="preserve">duration of treatment </w:t>
      </w:r>
      <w:r w:rsidR="00BF360E">
        <w:t xml:space="preserve">with nivolumab </w:t>
      </w:r>
      <w:r w:rsidR="00D471D4">
        <w:t>compared to the basis of the RSA</w:t>
      </w:r>
      <w:r w:rsidR="00E17E66">
        <w:t xml:space="preserve"> caps</w:t>
      </w:r>
      <w:r w:rsidR="00D471D4">
        <w:t xml:space="preserve"> (14.4 </w:t>
      </w:r>
      <w:r w:rsidR="000F4914">
        <w:t>(</w:t>
      </w:r>
      <w:r w:rsidR="00D471D4">
        <w:t>mean</w:t>
      </w:r>
      <w:r w:rsidR="000F4914">
        <w:t>)</w:t>
      </w:r>
      <w:r w:rsidR="00D471D4">
        <w:t xml:space="preserve"> </w:t>
      </w:r>
      <w:r w:rsidR="00061C89">
        <w:t xml:space="preserve">prescriptions </w:t>
      </w:r>
      <w:r w:rsidR="00D471D4">
        <w:t xml:space="preserve">per patient vs </w:t>
      </w:r>
      <w:r w:rsidR="0068525B">
        <w:rPr>
          <w:noProof/>
          <w:color w:val="000000"/>
          <w:highlight w:val="black"/>
        </w:rPr>
        <w:t>'''''</w:t>
      </w:r>
      <w:r w:rsidR="00D471D4">
        <w:t xml:space="preserve"> infusions per patient)</w:t>
      </w:r>
      <w:r w:rsidRPr="00DA6358">
        <w:t>.</w:t>
      </w:r>
    </w:p>
    <w:p w:rsidR="002761A0" w:rsidRPr="004E0324" w:rsidRDefault="00FD663D" w:rsidP="009379C0">
      <w:pPr>
        <w:pStyle w:val="3Bodytext"/>
        <w:jc w:val="both"/>
        <w:rPr>
          <w:snapToGrid w:val="0"/>
          <w:lang w:eastAsia="en-US"/>
        </w:rPr>
      </w:pPr>
      <w:r>
        <w:t>Overall, the PBAC considered</w:t>
      </w:r>
      <w:r w:rsidR="005359F1">
        <w:t xml:space="preserve"> that while the </w:t>
      </w:r>
      <w:r w:rsidR="00563DC5">
        <w:t xml:space="preserve">Marur et al (2018) </w:t>
      </w:r>
      <w:r w:rsidR="005359F1">
        <w:t>meta-analyses</w:t>
      </w:r>
      <w:r>
        <w:t xml:space="preserve"> presented by the submission </w:t>
      </w:r>
      <w:r w:rsidR="00F87FE4">
        <w:t xml:space="preserve">provided some </w:t>
      </w:r>
      <w:r>
        <w:t>support</w:t>
      </w:r>
      <w:r w:rsidR="00F87FE4">
        <w:t xml:space="preserve"> </w:t>
      </w:r>
      <w:r w:rsidR="00C77D06">
        <w:t>in addressing the Committee’s previous concerns</w:t>
      </w:r>
      <w:r w:rsidR="00C77D06" w:rsidRPr="00C77D06">
        <w:t xml:space="preserve"> about the incremental effectiveness of nivolumab in patients aged </w:t>
      </w:r>
      <w:r w:rsidR="00C77D06" w:rsidRPr="00C77D06">
        <w:lastRenderedPageBreak/>
        <w:t>75 years or older</w:t>
      </w:r>
      <w:r>
        <w:t xml:space="preserve">, there </w:t>
      </w:r>
      <w:r w:rsidR="00563DC5">
        <w:t>remained a</w:t>
      </w:r>
      <w:r>
        <w:t xml:space="preserve"> concern about the broader cost-effectiveness of nivolumab i</w:t>
      </w:r>
      <w:r w:rsidR="00F87FE4">
        <w:t xml:space="preserve">n this setting, since </w:t>
      </w:r>
      <w:r w:rsidR="005037D9">
        <w:t xml:space="preserve">the actual </w:t>
      </w:r>
      <w:r>
        <w:t>cost per patient in practice</w:t>
      </w:r>
      <w:r w:rsidR="005037D9">
        <w:t xml:space="preserve"> </w:t>
      </w:r>
      <w:r w:rsidR="00F87FE4">
        <w:t>was likely</w:t>
      </w:r>
      <w:r w:rsidR="005037D9">
        <w:t xml:space="preserve"> higher than</w:t>
      </w:r>
      <w:r>
        <w:t xml:space="preserve"> the target</w:t>
      </w:r>
      <w:r w:rsidR="005037D9">
        <w:t xml:space="preserve"> cost recommended</w:t>
      </w:r>
      <w:r w:rsidR="00FA6D00">
        <w:t xml:space="preserve"> to achieve the </w:t>
      </w:r>
      <w:r w:rsidR="000F4914">
        <w:t>intended</w:t>
      </w:r>
      <w:r w:rsidR="00FA6D00">
        <w:t xml:space="preserve"> ICERs</w:t>
      </w:r>
      <w:r>
        <w:t>.</w:t>
      </w:r>
      <w:r w:rsidR="00ED0B59">
        <w:t xml:space="preserve"> </w:t>
      </w:r>
    </w:p>
    <w:p w:rsidR="00FD663D" w:rsidRDefault="002761A0" w:rsidP="009379C0">
      <w:pPr>
        <w:pStyle w:val="3Bodytext"/>
        <w:jc w:val="both"/>
        <w:rPr>
          <w:snapToGrid w:val="0"/>
          <w:lang w:eastAsia="en-US"/>
        </w:rPr>
      </w:pPr>
      <w:r>
        <w:t xml:space="preserve">The PBAC therefore considered that removal of the age-related rebate </w:t>
      </w:r>
      <w:r w:rsidR="004A562F">
        <w:t xml:space="preserve">would </w:t>
      </w:r>
      <w:r>
        <w:t xml:space="preserve">need to be considered as part of a broader </w:t>
      </w:r>
      <w:r w:rsidR="0035601F">
        <w:t>review of</w:t>
      </w:r>
      <w:r>
        <w:t xml:space="preserve"> the subsidisation caps and </w:t>
      </w:r>
      <w:r w:rsidR="000D31B2">
        <w:t>a potential</w:t>
      </w:r>
      <w:r>
        <w:t xml:space="preserve"> price reduction to </w:t>
      </w:r>
      <w:r w:rsidR="000F4914">
        <w:t>reach alignment</w:t>
      </w:r>
      <w:r w:rsidR="004A562F">
        <w:t xml:space="preserve"> with</w:t>
      </w:r>
      <w:r>
        <w:t xml:space="preserve"> the target cost per patient.</w:t>
      </w:r>
      <w:r w:rsidR="00FD663D">
        <w:t xml:space="preserve"> </w:t>
      </w:r>
    </w:p>
    <w:p w:rsidR="002610D0" w:rsidRDefault="00061C89" w:rsidP="009379C0">
      <w:pPr>
        <w:pStyle w:val="3Bodytext"/>
        <w:jc w:val="both"/>
      </w:pPr>
      <w:r>
        <w:t>The pre-PBAC response contended that if the subsidisation caps were to be exceeded, removal of the rebate would not result in any additional cost to government</w:t>
      </w:r>
      <w:r w:rsidRPr="00DA6358">
        <w:t>.</w:t>
      </w:r>
      <w:r>
        <w:t xml:space="preserve"> </w:t>
      </w:r>
      <w:r w:rsidR="000C1A35">
        <w:t xml:space="preserve">The PBAC </w:t>
      </w:r>
      <w:r w:rsidR="000D31B2">
        <w:t>considered</w:t>
      </w:r>
      <w:r w:rsidR="00F57C57">
        <w:t xml:space="preserve"> </w:t>
      </w:r>
      <w:r w:rsidR="007B0941">
        <w:t>that</w:t>
      </w:r>
      <w:r w:rsidR="00F57C57">
        <w:t xml:space="preserve"> </w:t>
      </w:r>
      <w:r w:rsidR="000C1A35" w:rsidRPr="00DA6358">
        <w:t xml:space="preserve">removal of the </w:t>
      </w:r>
      <w:r w:rsidR="000C1A35">
        <w:t xml:space="preserve">age related </w:t>
      </w:r>
      <w:r w:rsidR="000C1A35" w:rsidRPr="00DA6358">
        <w:t xml:space="preserve">rebate </w:t>
      </w:r>
      <w:r w:rsidR="00C53CCB">
        <w:t>may</w:t>
      </w:r>
      <w:r w:rsidR="000C1A35" w:rsidRPr="00DA6358">
        <w:t xml:space="preserve"> result in a cost to the Commonwealth</w:t>
      </w:r>
      <w:r>
        <w:t>,</w:t>
      </w:r>
      <w:r w:rsidR="000C1A35" w:rsidRPr="00DA6358">
        <w:t xml:space="preserve"> </w:t>
      </w:r>
      <w:r w:rsidR="000C1A35">
        <w:t>g</w:t>
      </w:r>
      <w:r w:rsidR="000C1A35" w:rsidRPr="00DA6358">
        <w:t xml:space="preserve">iven that </w:t>
      </w:r>
      <w:r w:rsidR="000C1A35">
        <w:t>the</w:t>
      </w:r>
      <w:r w:rsidR="000C1A35" w:rsidRPr="00DA6358">
        <w:t xml:space="preserve"> rebate ha</w:t>
      </w:r>
      <w:r w:rsidR="00F57C57">
        <w:t>d</w:t>
      </w:r>
      <w:r w:rsidR="000C1A35" w:rsidRPr="00DA6358">
        <w:t xml:space="preserve"> been payable in relation to the age-related RSA for nivolumab each year since listing</w:t>
      </w:r>
      <w:r>
        <w:t>.</w:t>
      </w:r>
    </w:p>
    <w:p w:rsidR="00F57C57" w:rsidRDefault="00A8064E" w:rsidP="009379C0">
      <w:pPr>
        <w:pStyle w:val="3Bodytext"/>
        <w:jc w:val="both"/>
      </w:pPr>
      <w:r>
        <w:t xml:space="preserve">The PBAC </w:t>
      </w:r>
      <w:r w:rsidR="00F7413C">
        <w:t>noted</w:t>
      </w:r>
      <w:r>
        <w:t xml:space="preserve"> that it was </w:t>
      </w:r>
      <w:r w:rsidR="00F7413C">
        <w:t xml:space="preserve">also </w:t>
      </w:r>
      <w:r>
        <w:t xml:space="preserve">open to the sponsor to </w:t>
      </w:r>
      <w:r w:rsidR="006808FD">
        <w:t>propose</w:t>
      </w:r>
      <w:r>
        <w:t xml:space="preserve"> a </w:t>
      </w:r>
      <w:r w:rsidR="00CC50FE">
        <w:t xml:space="preserve">corresponding </w:t>
      </w:r>
      <w:r>
        <w:t xml:space="preserve">price reduction </w:t>
      </w:r>
      <w:r w:rsidR="00926674">
        <w:t xml:space="preserve">to </w:t>
      </w:r>
      <w:r w:rsidR="00F7413C">
        <w:t>facilitate</w:t>
      </w:r>
      <w:r w:rsidR="00926674">
        <w:t xml:space="preserve"> the removal of the age-related </w:t>
      </w:r>
      <w:r w:rsidR="006F2DCF">
        <w:t xml:space="preserve">RSA </w:t>
      </w:r>
      <w:r w:rsidR="00926674">
        <w:t xml:space="preserve">rebate. </w:t>
      </w:r>
    </w:p>
    <w:p w:rsidR="005B3848" w:rsidRDefault="005B3848" w:rsidP="009379C0">
      <w:pPr>
        <w:pStyle w:val="3Bodytext"/>
        <w:jc w:val="both"/>
        <w:rPr>
          <w:snapToGrid w:val="0"/>
          <w:lang w:eastAsia="en-US"/>
        </w:rPr>
      </w:pPr>
      <w:r w:rsidRPr="00525B39">
        <w:rPr>
          <w:rFonts w:cs="Arial"/>
          <w:bCs/>
          <w:snapToGrid w:val="0"/>
          <w:lang w:val="en-GB"/>
        </w:rPr>
        <w:t xml:space="preserve">The PBAC noted that this submission is </w:t>
      </w:r>
      <w:r w:rsidR="003F5EB4">
        <w:rPr>
          <w:rFonts w:cs="Arial"/>
          <w:bCs/>
          <w:snapToGrid w:val="0"/>
          <w:lang w:val="en-GB"/>
        </w:rPr>
        <w:t xml:space="preserve">not </w:t>
      </w:r>
      <w:r w:rsidRPr="00525B39">
        <w:rPr>
          <w:rFonts w:cs="Arial"/>
          <w:bCs/>
          <w:snapToGrid w:val="0"/>
          <w:lang w:val="en-GB"/>
        </w:rPr>
        <w:t>eligible for an Independent Review.</w:t>
      </w:r>
    </w:p>
    <w:p w:rsidR="00DA6358" w:rsidRDefault="00DA6358">
      <w:pPr>
        <w:pStyle w:val="3Bodytext"/>
        <w:numPr>
          <w:ilvl w:val="0"/>
          <w:numId w:val="0"/>
        </w:numPr>
        <w:rPr>
          <w:snapToGrid w:val="0"/>
          <w:lang w:eastAsia="en-US"/>
        </w:rPr>
      </w:pPr>
      <w:r w:rsidRPr="00DA6358">
        <w:rPr>
          <w:b/>
          <w:snapToGrid w:val="0"/>
          <w:lang w:eastAsia="en-US"/>
        </w:rPr>
        <w:t>Outcome</w:t>
      </w:r>
      <w:r w:rsidR="00507263" w:rsidRPr="00DA6358">
        <w:rPr>
          <w:b/>
          <w:snapToGrid w:val="0"/>
          <w:lang w:eastAsia="en-US"/>
        </w:rPr>
        <w:t xml:space="preserve">: </w:t>
      </w:r>
      <w:r w:rsidR="007521EB">
        <w:rPr>
          <w:snapToGrid w:val="0"/>
          <w:lang w:eastAsia="en-US"/>
        </w:rPr>
        <w:br/>
      </w:r>
      <w:r w:rsidRPr="00DA6358">
        <w:rPr>
          <w:snapToGrid w:val="0"/>
          <w:lang w:eastAsia="en-US"/>
        </w:rPr>
        <w:t>Rejected</w:t>
      </w:r>
    </w:p>
    <w:p w:rsidR="00B028B3" w:rsidRPr="0068525B" w:rsidRDefault="00B028B3" w:rsidP="0068525B">
      <w:pPr>
        <w:pStyle w:val="2-SectionHeading"/>
        <w:rPr>
          <w:lang w:eastAsia="en-US"/>
        </w:rPr>
      </w:pPr>
      <w:r w:rsidRPr="00C07617">
        <w:rPr>
          <w:lang w:eastAsia="en-US"/>
        </w:rPr>
        <w:t>Context for Decision</w:t>
      </w:r>
    </w:p>
    <w:p w:rsidR="00B028B3" w:rsidRPr="007129F2" w:rsidRDefault="00B028B3" w:rsidP="00B028B3">
      <w:pPr>
        <w:spacing w:after="120"/>
        <w:ind w:left="426"/>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B028B3" w:rsidRPr="0068525B" w:rsidRDefault="00B028B3" w:rsidP="0068525B">
      <w:pPr>
        <w:pStyle w:val="2-SectionHeading"/>
        <w:rPr>
          <w:b w:val="0"/>
          <w:lang w:eastAsia="en-US"/>
        </w:rPr>
      </w:pPr>
      <w:r>
        <w:rPr>
          <w:lang w:eastAsia="en-US"/>
        </w:rPr>
        <w:t>Sponsor’s Comment</w:t>
      </w:r>
    </w:p>
    <w:p w:rsidR="00B028B3" w:rsidRPr="001179AC" w:rsidRDefault="00B028B3" w:rsidP="00B028B3">
      <w:pPr>
        <w:spacing w:after="120"/>
        <w:ind w:left="426"/>
        <w:rPr>
          <w:rFonts w:asciiTheme="minorHAnsi" w:hAnsiTheme="minorHAnsi" w:cs="Arial"/>
          <w:bCs/>
        </w:rPr>
      </w:pPr>
      <w:r w:rsidRPr="00C07617">
        <w:rPr>
          <w:rFonts w:asciiTheme="minorHAnsi" w:hAnsiTheme="minorHAnsi" w:cs="Arial"/>
          <w:bCs/>
        </w:rPr>
        <w:t>The sponsor had no comment.</w:t>
      </w:r>
    </w:p>
    <w:p w:rsidR="00B028B3" w:rsidRPr="00291A41" w:rsidRDefault="00B028B3">
      <w:pPr>
        <w:pStyle w:val="3Bodytext"/>
        <w:numPr>
          <w:ilvl w:val="0"/>
          <w:numId w:val="0"/>
        </w:numPr>
        <w:rPr>
          <w:snapToGrid w:val="0"/>
          <w:lang w:eastAsia="en-US"/>
        </w:rPr>
      </w:pPr>
    </w:p>
    <w:sectPr w:rsidR="00B028B3" w:rsidRPr="00291A41"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25B" w:rsidRDefault="0068525B">
      <w:r>
        <w:separator/>
      </w:r>
    </w:p>
    <w:p w:rsidR="0068525B" w:rsidRDefault="0068525B"/>
  </w:endnote>
  <w:endnote w:type="continuationSeparator" w:id="0">
    <w:p w:rsidR="0068525B" w:rsidRDefault="0068525B">
      <w:r>
        <w:continuationSeparator/>
      </w:r>
    </w:p>
    <w:p w:rsidR="0068525B" w:rsidRDefault="006852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altName w:val="Optima"/>
    <w:panose1 w:val="020B0704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8072E8" w:rsidTr="005A3173">
      <w:trPr>
        <w:trHeight w:val="151"/>
      </w:trPr>
      <w:tc>
        <w:tcPr>
          <w:tcW w:w="2250" w:type="pct"/>
          <w:tcBorders>
            <w:top w:val="nil"/>
            <w:left w:val="nil"/>
            <w:bottom w:val="single" w:sz="4" w:space="0" w:color="4F81BD"/>
            <w:right w:val="nil"/>
          </w:tcBorders>
        </w:tcPr>
        <w:p w:rsidR="008072E8" w:rsidRPr="005A3173" w:rsidRDefault="008072E8" w:rsidP="005A3173">
          <w:pPr>
            <w:pStyle w:val="Header"/>
            <w:spacing w:line="276" w:lineRule="auto"/>
            <w:rPr>
              <w:rFonts w:eastAsia="MS Gothic"/>
              <w:b/>
              <w:bCs/>
              <w:color w:val="4F81BD"/>
            </w:rPr>
          </w:pPr>
        </w:p>
      </w:tc>
      <w:tc>
        <w:tcPr>
          <w:tcW w:w="500" w:type="pct"/>
          <w:vMerge w:val="restart"/>
          <w:noWrap/>
          <w:vAlign w:val="center"/>
          <w:hideMark/>
        </w:tcPr>
        <w:p w:rsidR="008072E8" w:rsidRPr="005A3173" w:rsidRDefault="008072E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072E8" w:rsidRPr="005A3173" w:rsidRDefault="008072E8" w:rsidP="005A3173">
          <w:pPr>
            <w:pStyle w:val="Header"/>
            <w:spacing w:line="276" w:lineRule="auto"/>
            <w:rPr>
              <w:rFonts w:eastAsia="MS Gothic"/>
              <w:b/>
              <w:bCs/>
              <w:color w:val="4F81BD"/>
            </w:rPr>
          </w:pPr>
        </w:p>
      </w:tc>
    </w:tr>
    <w:tr w:rsidR="008072E8" w:rsidTr="005A3173">
      <w:trPr>
        <w:trHeight w:val="150"/>
      </w:trPr>
      <w:tc>
        <w:tcPr>
          <w:tcW w:w="2250" w:type="pct"/>
          <w:tcBorders>
            <w:top w:val="single" w:sz="4" w:space="0" w:color="4F81BD"/>
            <w:left w:val="nil"/>
            <w:bottom w:val="nil"/>
            <w:right w:val="nil"/>
          </w:tcBorders>
        </w:tcPr>
        <w:p w:rsidR="008072E8" w:rsidRPr="005A3173" w:rsidRDefault="008072E8" w:rsidP="005A3173">
          <w:pPr>
            <w:pStyle w:val="Header"/>
            <w:spacing w:line="276" w:lineRule="auto"/>
            <w:rPr>
              <w:rFonts w:eastAsia="MS Gothic"/>
              <w:b/>
              <w:bCs/>
              <w:color w:val="4F81BD"/>
            </w:rPr>
          </w:pPr>
        </w:p>
      </w:tc>
      <w:tc>
        <w:tcPr>
          <w:tcW w:w="0" w:type="auto"/>
          <w:vMerge/>
          <w:vAlign w:val="center"/>
          <w:hideMark/>
        </w:tcPr>
        <w:p w:rsidR="008072E8" w:rsidRPr="005A3173" w:rsidRDefault="008072E8" w:rsidP="005A3173">
          <w:pPr>
            <w:rPr>
              <w:color w:val="365F91"/>
              <w:sz w:val="22"/>
              <w:szCs w:val="22"/>
            </w:rPr>
          </w:pPr>
        </w:p>
      </w:tc>
      <w:tc>
        <w:tcPr>
          <w:tcW w:w="2250" w:type="pct"/>
          <w:tcBorders>
            <w:top w:val="single" w:sz="4" w:space="0" w:color="4F81BD"/>
            <w:left w:val="nil"/>
            <w:bottom w:val="nil"/>
            <w:right w:val="nil"/>
          </w:tcBorders>
        </w:tcPr>
        <w:p w:rsidR="008072E8" w:rsidRPr="005A3173" w:rsidRDefault="008072E8" w:rsidP="005A3173">
          <w:pPr>
            <w:pStyle w:val="Header"/>
            <w:spacing w:line="276" w:lineRule="auto"/>
            <w:rPr>
              <w:rFonts w:eastAsia="MS Gothic"/>
              <w:b/>
              <w:bCs/>
              <w:color w:val="4F81BD"/>
            </w:rPr>
          </w:pPr>
        </w:p>
      </w:tc>
    </w:tr>
  </w:tbl>
  <w:p w:rsidR="008072E8" w:rsidRDefault="008072E8"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72E8" w:rsidRDefault="008072E8">
    <w:pPr>
      <w:pStyle w:val="Footer"/>
    </w:pPr>
  </w:p>
  <w:p w:rsidR="008072E8" w:rsidRDefault="008072E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2E8" w:rsidRDefault="008072E8" w:rsidP="00E27234">
    <w:pPr>
      <w:pStyle w:val="PBACFooter"/>
      <w:rPr>
        <w:rFonts w:asciiTheme="minorHAnsi" w:hAnsiTheme="minorHAnsi" w:cstheme="minorHAnsi"/>
        <w:sz w:val="24"/>
      </w:rPr>
    </w:pPr>
  </w:p>
  <w:p w:rsidR="008072E8" w:rsidRDefault="008072E8" w:rsidP="00E27234">
    <w:pPr>
      <w:pStyle w:val="PBACFooter"/>
      <w:rPr>
        <w:rFonts w:asciiTheme="minorHAnsi" w:hAnsiTheme="minorHAnsi" w:cstheme="minorHAnsi"/>
        <w:sz w:val="24"/>
      </w:rPr>
    </w:pPr>
    <w:r>
      <w:rPr>
        <w:rFonts w:asciiTheme="minorHAnsi" w:hAnsiTheme="minorHAnsi" w:cstheme="minorHAnsi"/>
        <w:sz w:val="24"/>
      </w:rPr>
      <w:fldChar w:fldCharType="begin"/>
    </w:r>
    <w:r>
      <w:rPr>
        <w:rFonts w:asciiTheme="minorHAnsi" w:hAnsiTheme="minorHAnsi" w:cstheme="minorHAnsi"/>
        <w:sz w:val="24"/>
      </w:rPr>
      <w:instrText xml:space="preserve"> PAGE   \* MERGEFORMAT </w:instrText>
    </w:r>
    <w:r>
      <w:rPr>
        <w:rFonts w:asciiTheme="minorHAnsi" w:hAnsiTheme="minorHAnsi" w:cstheme="minorHAnsi"/>
        <w:sz w:val="24"/>
      </w:rPr>
      <w:fldChar w:fldCharType="separate"/>
    </w:r>
    <w:r w:rsidR="00D2191D">
      <w:rPr>
        <w:rFonts w:asciiTheme="minorHAnsi" w:hAnsiTheme="minorHAnsi" w:cstheme="minorHAnsi"/>
        <w:noProof/>
        <w:sz w:val="24"/>
      </w:rPr>
      <w:t>10</w:t>
    </w:r>
    <w:r>
      <w:rPr>
        <w:rFonts w:asciiTheme="minorHAnsi" w:hAnsiTheme="minorHAnsi" w:cstheme="minorHAnsi"/>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8072E8" w:rsidTr="005A3173">
      <w:trPr>
        <w:trHeight w:val="151"/>
      </w:trPr>
      <w:tc>
        <w:tcPr>
          <w:tcW w:w="2250" w:type="pct"/>
          <w:tcBorders>
            <w:top w:val="nil"/>
            <w:left w:val="nil"/>
            <w:bottom w:val="single" w:sz="4" w:space="0" w:color="4F81BD"/>
            <w:right w:val="nil"/>
          </w:tcBorders>
        </w:tcPr>
        <w:p w:rsidR="008072E8" w:rsidRPr="005A3173" w:rsidRDefault="008072E8" w:rsidP="005A3173">
          <w:pPr>
            <w:pStyle w:val="Header"/>
            <w:spacing w:line="276" w:lineRule="auto"/>
            <w:rPr>
              <w:rFonts w:eastAsia="MS Gothic"/>
              <w:b/>
              <w:bCs/>
              <w:color w:val="4F81BD"/>
            </w:rPr>
          </w:pPr>
        </w:p>
      </w:tc>
      <w:tc>
        <w:tcPr>
          <w:tcW w:w="500" w:type="pct"/>
          <w:vMerge w:val="restart"/>
          <w:noWrap/>
          <w:vAlign w:val="center"/>
          <w:hideMark/>
        </w:tcPr>
        <w:p w:rsidR="008072E8" w:rsidRPr="005A3173" w:rsidRDefault="008072E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072E8" w:rsidRPr="005A3173" w:rsidRDefault="008072E8" w:rsidP="005A3173">
          <w:pPr>
            <w:pStyle w:val="Header"/>
            <w:spacing w:line="276" w:lineRule="auto"/>
            <w:rPr>
              <w:rFonts w:eastAsia="MS Gothic"/>
              <w:b/>
              <w:bCs/>
              <w:color w:val="4F81BD"/>
            </w:rPr>
          </w:pPr>
        </w:p>
      </w:tc>
    </w:tr>
    <w:tr w:rsidR="008072E8" w:rsidTr="005A3173">
      <w:trPr>
        <w:trHeight w:val="150"/>
      </w:trPr>
      <w:tc>
        <w:tcPr>
          <w:tcW w:w="2250" w:type="pct"/>
          <w:tcBorders>
            <w:top w:val="single" w:sz="4" w:space="0" w:color="4F81BD"/>
            <w:left w:val="nil"/>
            <w:bottom w:val="nil"/>
            <w:right w:val="nil"/>
          </w:tcBorders>
        </w:tcPr>
        <w:p w:rsidR="008072E8" w:rsidRPr="005A3173" w:rsidRDefault="008072E8" w:rsidP="005A3173">
          <w:pPr>
            <w:pStyle w:val="Header"/>
            <w:spacing w:line="276" w:lineRule="auto"/>
            <w:rPr>
              <w:rFonts w:eastAsia="MS Gothic"/>
              <w:b/>
              <w:bCs/>
              <w:color w:val="4F81BD"/>
            </w:rPr>
          </w:pPr>
        </w:p>
      </w:tc>
      <w:tc>
        <w:tcPr>
          <w:tcW w:w="0" w:type="auto"/>
          <w:vMerge/>
          <w:vAlign w:val="center"/>
          <w:hideMark/>
        </w:tcPr>
        <w:p w:rsidR="008072E8" w:rsidRPr="005A3173" w:rsidRDefault="008072E8" w:rsidP="005A3173">
          <w:pPr>
            <w:rPr>
              <w:color w:val="365F91"/>
              <w:sz w:val="22"/>
              <w:szCs w:val="22"/>
            </w:rPr>
          </w:pPr>
        </w:p>
      </w:tc>
      <w:tc>
        <w:tcPr>
          <w:tcW w:w="2250" w:type="pct"/>
          <w:tcBorders>
            <w:top w:val="single" w:sz="4" w:space="0" w:color="4F81BD"/>
            <w:left w:val="nil"/>
            <w:bottom w:val="nil"/>
            <w:right w:val="nil"/>
          </w:tcBorders>
        </w:tcPr>
        <w:p w:rsidR="008072E8" w:rsidRPr="005A3173" w:rsidRDefault="008072E8"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8072E8" w:rsidTr="005A3173">
      <w:trPr>
        <w:trHeight w:val="151"/>
      </w:trPr>
      <w:tc>
        <w:tcPr>
          <w:tcW w:w="2250" w:type="pct"/>
          <w:tcBorders>
            <w:top w:val="nil"/>
            <w:left w:val="nil"/>
            <w:bottom w:val="single" w:sz="4" w:space="0" w:color="4F81BD"/>
            <w:right w:val="nil"/>
          </w:tcBorders>
        </w:tcPr>
        <w:p w:rsidR="008072E8" w:rsidRPr="005A3173" w:rsidRDefault="008072E8" w:rsidP="005A3173">
          <w:pPr>
            <w:pStyle w:val="Header"/>
            <w:spacing w:line="276" w:lineRule="auto"/>
            <w:rPr>
              <w:rFonts w:eastAsia="MS Gothic"/>
              <w:b/>
              <w:bCs/>
              <w:color w:val="4F81BD"/>
            </w:rPr>
          </w:pPr>
        </w:p>
      </w:tc>
      <w:tc>
        <w:tcPr>
          <w:tcW w:w="500" w:type="pct"/>
          <w:vMerge w:val="restart"/>
          <w:noWrap/>
          <w:vAlign w:val="center"/>
          <w:hideMark/>
        </w:tcPr>
        <w:p w:rsidR="008072E8" w:rsidRPr="005A3173" w:rsidRDefault="008072E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072E8" w:rsidRPr="005A3173" w:rsidRDefault="008072E8" w:rsidP="005A3173">
          <w:pPr>
            <w:pStyle w:val="Header"/>
            <w:spacing w:line="276" w:lineRule="auto"/>
            <w:rPr>
              <w:rFonts w:eastAsia="MS Gothic"/>
              <w:b/>
              <w:bCs/>
              <w:color w:val="4F81BD"/>
            </w:rPr>
          </w:pPr>
        </w:p>
      </w:tc>
    </w:tr>
    <w:tr w:rsidR="008072E8" w:rsidTr="005A3173">
      <w:trPr>
        <w:trHeight w:val="150"/>
      </w:trPr>
      <w:tc>
        <w:tcPr>
          <w:tcW w:w="2250" w:type="pct"/>
          <w:tcBorders>
            <w:top w:val="single" w:sz="4" w:space="0" w:color="4F81BD"/>
            <w:left w:val="nil"/>
            <w:bottom w:val="nil"/>
            <w:right w:val="nil"/>
          </w:tcBorders>
        </w:tcPr>
        <w:p w:rsidR="008072E8" w:rsidRPr="005A3173" w:rsidRDefault="008072E8" w:rsidP="005A3173">
          <w:pPr>
            <w:pStyle w:val="Header"/>
            <w:spacing w:line="276" w:lineRule="auto"/>
            <w:rPr>
              <w:rFonts w:eastAsia="MS Gothic"/>
              <w:b/>
              <w:bCs/>
              <w:color w:val="4F81BD"/>
            </w:rPr>
          </w:pPr>
        </w:p>
      </w:tc>
      <w:tc>
        <w:tcPr>
          <w:tcW w:w="0" w:type="auto"/>
          <w:vMerge/>
          <w:vAlign w:val="center"/>
          <w:hideMark/>
        </w:tcPr>
        <w:p w:rsidR="008072E8" w:rsidRPr="005A3173" w:rsidRDefault="008072E8" w:rsidP="005A3173">
          <w:pPr>
            <w:rPr>
              <w:color w:val="365F91"/>
              <w:sz w:val="22"/>
              <w:szCs w:val="22"/>
            </w:rPr>
          </w:pPr>
        </w:p>
      </w:tc>
      <w:tc>
        <w:tcPr>
          <w:tcW w:w="2250" w:type="pct"/>
          <w:tcBorders>
            <w:top w:val="single" w:sz="4" w:space="0" w:color="4F81BD"/>
            <w:left w:val="nil"/>
            <w:bottom w:val="nil"/>
            <w:right w:val="nil"/>
          </w:tcBorders>
        </w:tcPr>
        <w:p w:rsidR="008072E8" w:rsidRPr="005A3173" w:rsidRDefault="008072E8" w:rsidP="005A3173">
          <w:pPr>
            <w:pStyle w:val="Header"/>
            <w:spacing w:line="276" w:lineRule="auto"/>
            <w:rPr>
              <w:rFonts w:eastAsia="MS Gothic"/>
              <w:b/>
              <w:bCs/>
              <w:color w:val="4F81BD"/>
            </w:rPr>
          </w:pPr>
        </w:p>
      </w:tc>
    </w:tr>
  </w:tbl>
  <w:p w:rsidR="008072E8" w:rsidRPr="007C0F57" w:rsidRDefault="008072E8"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8A1D44">
      <w:rPr>
        <w:rStyle w:val="PageNumber"/>
        <w:noProof/>
      </w:rPr>
      <w:t>1</w:t>
    </w:r>
    <w:r>
      <w:rPr>
        <w:rStyle w:val="PageNumber"/>
      </w:rPr>
      <w:fldChar w:fldCharType="end"/>
    </w:r>
    <w:r w:rsidRPr="007C0F57">
      <w:rPr>
        <w:b/>
        <w:i/>
        <w:sz w:val="20"/>
        <w:szCs w:val="20"/>
      </w:rPr>
      <w:t>BAC Meeting</w:t>
    </w:r>
  </w:p>
  <w:p w:rsidR="008072E8" w:rsidRPr="007C0F57" w:rsidRDefault="008072E8" w:rsidP="007C0F57">
    <w:pPr>
      <w:pStyle w:val="Footer"/>
      <w:jc w:val="center"/>
      <w:rPr>
        <w:b/>
        <w:i/>
        <w:sz w:val="20"/>
        <w:szCs w:val="20"/>
      </w:rPr>
    </w:pPr>
    <w:r w:rsidRPr="007C0F57">
      <w:rPr>
        <w:b/>
        <w:i/>
        <w:sz w:val="20"/>
        <w:szCs w:val="20"/>
      </w:rPr>
      <w:t>Commercial-in-Confidence</w:t>
    </w:r>
  </w:p>
  <w:p w:rsidR="008072E8" w:rsidRDefault="008072E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25B" w:rsidRDefault="0068525B">
      <w:r>
        <w:separator/>
      </w:r>
    </w:p>
    <w:p w:rsidR="0068525B" w:rsidRDefault="0068525B"/>
  </w:footnote>
  <w:footnote w:type="continuationSeparator" w:id="0">
    <w:p w:rsidR="0068525B" w:rsidRDefault="0068525B">
      <w:r>
        <w:continuationSeparator/>
      </w:r>
    </w:p>
    <w:p w:rsidR="0068525B" w:rsidRDefault="0068525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8072E8" w:rsidRPr="008E0D90" w:rsidTr="00A06225">
      <w:trPr>
        <w:trHeight w:val="151"/>
      </w:trPr>
      <w:tc>
        <w:tcPr>
          <w:tcW w:w="2389" w:type="pct"/>
          <w:tcBorders>
            <w:top w:val="nil"/>
            <w:left w:val="nil"/>
            <w:bottom w:val="single" w:sz="4" w:space="0" w:color="4F81BD"/>
            <w:right w:val="nil"/>
          </w:tcBorders>
        </w:tcPr>
        <w:p w:rsidR="008072E8" w:rsidRPr="00A06225" w:rsidRDefault="008072E8">
          <w:pPr>
            <w:pStyle w:val="Header"/>
            <w:spacing w:line="276" w:lineRule="auto"/>
            <w:rPr>
              <w:rFonts w:ascii="Cambria" w:eastAsia="MS Gothic" w:hAnsi="Cambria"/>
              <w:b/>
              <w:bCs/>
              <w:color w:val="4F81BD"/>
            </w:rPr>
          </w:pPr>
        </w:p>
      </w:tc>
      <w:tc>
        <w:tcPr>
          <w:tcW w:w="333" w:type="pct"/>
          <w:vMerge w:val="restart"/>
          <w:noWrap/>
          <w:vAlign w:val="center"/>
          <w:hideMark/>
        </w:tcPr>
        <w:p w:rsidR="008072E8" w:rsidRPr="00A06225" w:rsidRDefault="008072E8"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8072E8" w:rsidRPr="00A06225" w:rsidRDefault="008072E8">
          <w:pPr>
            <w:pStyle w:val="Header"/>
            <w:spacing w:line="276" w:lineRule="auto"/>
            <w:rPr>
              <w:rFonts w:ascii="Cambria" w:eastAsia="MS Gothic" w:hAnsi="Cambria"/>
              <w:b/>
              <w:bCs/>
              <w:color w:val="4F81BD"/>
            </w:rPr>
          </w:pPr>
        </w:p>
      </w:tc>
    </w:tr>
    <w:tr w:rsidR="008072E8" w:rsidRPr="008E0D90" w:rsidTr="00A06225">
      <w:trPr>
        <w:trHeight w:val="150"/>
      </w:trPr>
      <w:tc>
        <w:tcPr>
          <w:tcW w:w="2389" w:type="pct"/>
          <w:tcBorders>
            <w:top w:val="single" w:sz="4" w:space="0" w:color="4F81BD"/>
            <w:left w:val="nil"/>
            <w:bottom w:val="nil"/>
            <w:right w:val="nil"/>
          </w:tcBorders>
        </w:tcPr>
        <w:p w:rsidR="008072E8" w:rsidRPr="00A06225" w:rsidRDefault="008072E8">
          <w:pPr>
            <w:pStyle w:val="Header"/>
            <w:spacing w:line="276" w:lineRule="auto"/>
            <w:rPr>
              <w:rFonts w:ascii="Cambria" w:eastAsia="MS Gothic" w:hAnsi="Cambria"/>
              <w:b/>
              <w:bCs/>
              <w:color w:val="4F81BD"/>
            </w:rPr>
          </w:pPr>
        </w:p>
      </w:tc>
      <w:tc>
        <w:tcPr>
          <w:tcW w:w="0" w:type="auto"/>
          <w:vMerge/>
          <w:vAlign w:val="center"/>
          <w:hideMark/>
        </w:tcPr>
        <w:p w:rsidR="008072E8" w:rsidRPr="00A06225" w:rsidRDefault="008072E8">
          <w:pPr>
            <w:rPr>
              <w:rFonts w:ascii="Cambria" w:hAnsi="Cambria"/>
              <w:color w:val="4F81BD"/>
              <w:sz w:val="22"/>
              <w:szCs w:val="22"/>
            </w:rPr>
          </w:pPr>
        </w:p>
      </w:tc>
      <w:tc>
        <w:tcPr>
          <w:tcW w:w="2278" w:type="pct"/>
          <w:tcBorders>
            <w:top w:val="single" w:sz="4" w:space="0" w:color="4F81BD"/>
            <w:left w:val="nil"/>
            <w:bottom w:val="nil"/>
            <w:right w:val="nil"/>
          </w:tcBorders>
        </w:tcPr>
        <w:p w:rsidR="008072E8" w:rsidRPr="00A06225" w:rsidRDefault="008072E8">
          <w:pPr>
            <w:pStyle w:val="Header"/>
            <w:spacing w:line="276" w:lineRule="auto"/>
            <w:rPr>
              <w:rFonts w:ascii="Cambria" w:eastAsia="MS Gothic" w:hAnsi="Cambria"/>
              <w:b/>
              <w:bCs/>
              <w:color w:val="4F81BD"/>
            </w:rPr>
          </w:pPr>
        </w:p>
      </w:tc>
    </w:tr>
  </w:tbl>
  <w:p w:rsidR="008072E8" w:rsidRDefault="008072E8">
    <w:pPr>
      <w:pStyle w:val="Header"/>
    </w:pPr>
  </w:p>
  <w:p w:rsidR="008072E8" w:rsidRDefault="008072E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2E8" w:rsidRPr="000E43BF" w:rsidRDefault="00B028B3" w:rsidP="000E43BF">
    <w:pPr>
      <w:pStyle w:val="Header"/>
      <w:rPr>
        <w:i/>
      </w:rPr>
    </w:pPr>
    <w:r>
      <w:rPr>
        <w:i/>
      </w:rPr>
      <w:t>Public Summary Document</w:t>
    </w:r>
    <w:r w:rsidR="008072E8" w:rsidRPr="000E43BF">
      <w:rPr>
        <w:i/>
      </w:rPr>
      <w:t xml:space="preserve"> – March 2021 PBAC Meeting</w:t>
    </w:r>
  </w:p>
  <w:p w:rsidR="008072E8" w:rsidRPr="000E43BF" w:rsidRDefault="008072E8" w:rsidP="000E43BF">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91D" w:rsidRDefault="00D21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DAE17FD"/>
    <w:multiLevelType w:val="hybridMultilevel"/>
    <w:tmpl w:val="F02C5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C54097"/>
    <w:multiLevelType w:val="hybridMultilevel"/>
    <w:tmpl w:val="30768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635BF7"/>
    <w:multiLevelType w:val="hybridMultilevel"/>
    <w:tmpl w:val="BE16CFA6"/>
    <w:lvl w:ilvl="0" w:tplc="0C090001">
      <w:start w:val="1"/>
      <w:numFmt w:val="bullet"/>
      <w:lvlText w:val=""/>
      <w:lvlJc w:val="left"/>
      <w:pPr>
        <w:ind w:left="1497" w:hanging="360"/>
      </w:pPr>
      <w:rPr>
        <w:rFonts w:ascii="Symbol" w:hAnsi="Symbol" w:hint="default"/>
      </w:rPr>
    </w:lvl>
    <w:lvl w:ilvl="1" w:tplc="0C090003" w:tentative="1">
      <w:start w:val="1"/>
      <w:numFmt w:val="bullet"/>
      <w:lvlText w:val="o"/>
      <w:lvlJc w:val="left"/>
      <w:pPr>
        <w:ind w:left="2217" w:hanging="360"/>
      </w:pPr>
      <w:rPr>
        <w:rFonts w:ascii="Courier New" w:hAnsi="Courier New" w:cs="Courier New" w:hint="default"/>
      </w:rPr>
    </w:lvl>
    <w:lvl w:ilvl="2" w:tplc="0C090005" w:tentative="1">
      <w:start w:val="1"/>
      <w:numFmt w:val="bullet"/>
      <w:lvlText w:val=""/>
      <w:lvlJc w:val="left"/>
      <w:pPr>
        <w:ind w:left="2937" w:hanging="360"/>
      </w:pPr>
      <w:rPr>
        <w:rFonts w:ascii="Wingdings" w:hAnsi="Wingdings" w:hint="default"/>
      </w:rPr>
    </w:lvl>
    <w:lvl w:ilvl="3" w:tplc="0C090001" w:tentative="1">
      <w:start w:val="1"/>
      <w:numFmt w:val="bullet"/>
      <w:lvlText w:val=""/>
      <w:lvlJc w:val="left"/>
      <w:pPr>
        <w:ind w:left="3657" w:hanging="360"/>
      </w:pPr>
      <w:rPr>
        <w:rFonts w:ascii="Symbol" w:hAnsi="Symbol" w:hint="default"/>
      </w:rPr>
    </w:lvl>
    <w:lvl w:ilvl="4" w:tplc="0C090003" w:tentative="1">
      <w:start w:val="1"/>
      <w:numFmt w:val="bullet"/>
      <w:lvlText w:val="o"/>
      <w:lvlJc w:val="left"/>
      <w:pPr>
        <w:ind w:left="4377" w:hanging="360"/>
      </w:pPr>
      <w:rPr>
        <w:rFonts w:ascii="Courier New" w:hAnsi="Courier New" w:cs="Courier New" w:hint="default"/>
      </w:rPr>
    </w:lvl>
    <w:lvl w:ilvl="5" w:tplc="0C090005" w:tentative="1">
      <w:start w:val="1"/>
      <w:numFmt w:val="bullet"/>
      <w:lvlText w:val=""/>
      <w:lvlJc w:val="left"/>
      <w:pPr>
        <w:ind w:left="5097" w:hanging="360"/>
      </w:pPr>
      <w:rPr>
        <w:rFonts w:ascii="Wingdings" w:hAnsi="Wingdings" w:hint="default"/>
      </w:rPr>
    </w:lvl>
    <w:lvl w:ilvl="6" w:tplc="0C090001" w:tentative="1">
      <w:start w:val="1"/>
      <w:numFmt w:val="bullet"/>
      <w:lvlText w:val=""/>
      <w:lvlJc w:val="left"/>
      <w:pPr>
        <w:ind w:left="5817" w:hanging="360"/>
      </w:pPr>
      <w:rPr>
        <w:rFonts w:ascii="Symbol" w:hAnsi="Symbol" w:hint="default"/>
      </w:rPr>
    </w:lvl>
    <w:lvl w:ilvl="7" w:tplc="0C090003" w:tentative="1">
      <w:start w:val="1"/>
      <w:numFmt w:val="bullet"/>
      <w:lvlText w:val="o"/>
      <w:lvlJc w:val="left"/>
      <w:pPr>
        <w:ind w:left="6537" w:hanging="360"/>
      </w:pPr>
      <w:rPr>
        <w:rFonts w:ascii="Courier New" w:hAnsi="Courier New" w:cs="Courier New" w:hint="default"/>
      </w:rPr>
    </w:lvl>
    <w:lvl w:ilvl="8" w:tplc="0C090005" w:tentative="1">
      <w:start w:val="1"/>
      <w:numFmt w:val="bullet"/>
      <w:lvlText w:val=""/>
      <w:lvlJc w:val="left"/>
      <w:pPr>
        <w:ind w:left="7257" w:hanging="360"/>
      </w:pPr>
      <w:rPr>
        <w:rFonts w:ascii="Wingdings" w:hAnsi="Wingdings" w:hint="default"/>
      </w:rPr>
    </w:lvl>
  </w:abstractNum>
  <w:abstractNum w:abstractNumId="5"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6"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D5C2E66"/>
    <w:multiLevelType w:val="hybridMultilevel"/>
    <w:tmpl w:val="067E814E"/>
    <w:lvl w:ilvl="0" w:tplc="5FE43D02">
      <w:start w:val="100"/>
      <w:numFmt w:val="bullet"/>
      <w:lvlText w:val="-"/>
      <w:lvlJc w:val="left"/>
      <w:pPr>
        <w:ind w:left="1080" w:hanging="360"/>
      </w:pPr>
      <w:rPr>
        <w:rFonts w:ascii="Calibri" w:eastAsiaTheme="minorHAnsi" w:hAnsi="Calibri" w:cs="Calibri"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E143392"/>
    <w:multiLevelType w:val="hybridMultilevel"/>
    <w:tmpl w:val="00529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B71517"/>
    <w:multiLevelType w:val="hybridMultilevel"/>
    <w:tmpl w:val="6F382174"/>
    <w:lvl w:ilvl="0" w:tplc="0C090001">
      <w:start w:val="1"/>
      <w:numFmt w:val="bullet"/>
      <w:lvlText w:val=""/>
      <w:lvlJc w:val="left"/>
      <w:pPr>
        <w:ind w:left="1497" w:hanging="360"/>
      </w:pPr>
      <w:rPr>
        <w:rFonts w:ascii="Symbol" w:hAnsi="Symbol" w:hint="default"/>
      </w:rPr>
    </w:lvl>
    <w:lvl w:ilvl="1" w:tplc="0C090003" w:tentative="1">
      <w:start w:val="1"/>
      <w:numFmt w:val="bullet"/>
      <w:lvlText w:val="o"/>
      <w:lvlJc w:val="left"/>
      <w:pPr>
        <w:ind w:left="2217" w:hanging="360"/>
      </w:pPr>
      <w:rPr>
        <w:rFonts w:ascii="Courier New" w:hAnsi="Courier New" w:cs="Courier New" w:hint="default"/>
      </w:rPr>
    </w:lvl>
    <w:lvl w:ilvl="2" w:tplc="0C090005" w:tentative="1">
      <w:start w:val="1"/>
      <w:numFmt w:val="bullet"/>
      <w:lvlText w:val=""/>
      <w:lvlJc w:val="left"/>
      <w:pPr>
        <w:ind w:left="2937" w:hanging="360"/>
      </w:pPr>
      <w:rPr>
        <w:rFonts w:ascii="Wingdings" w:hAnsi="Wingdings" w:hint="default"/>
      </w:rPr>
    </w:lvl>
    <w:lvl w:ilvl="3" w:tplc="0C090001" w:tentative="1">
      <w:start w:val="1"/>
      <w:numFmt w:val="bullet"/>
      <w:lvlText w:val=""/>
      <w:lvlJc w:val="left"/>
      <w:pPr>
        <w:ind w:left="3657" w:hanging="360"/>
      </w:pPr>
      <w:rPr>
        <w:rFonts w:ascii="Symbol" w:hAnsi="Symbol" w:hint="default"/>
      </w:rPr>
    </w:lvl>
    <w:lvl w:ilvl="4" w:tplc="0C090003" w:tentative="1">
      <w:start w:val="1"/>
      <w:numFmt w:val="bullet"/>
      <w:lvlText w:val="o"/>
      <w:lvlJc w:val="left"/>
      <w:pPr>
        <w:ind w:left="4377" w:hanging="360"/>
      </w:pPr>
      <w:rPr>
        <w:rFonts w:ascii="Courier New" w:hAnsi="Courier New" w:cs="Courier New" w:hint="default"/>
      </w:rPr>
    </w:lvl>
    <w:lvl w:ilvl="5" w:tplc="0C090005" w:tentative="1">
      <w:start w:val="1"/>
      <w:numFmt w:val="bullet"/>
      <w:lvlText w:val=""/>
      <w:lvlJc w:val="left"/>
      <w:pPr>
        <w:ind w:left="5097" w:hanging="360"/>
      </w:pPr>
      <w:rPr>
        <w:rFonts w:ascii="Wingdings" w:hAnsi="Wingdings" w:hint="default"/>
      </w:rPr>
    </w:lvl>
    <w:lvl w:ilvl="6" w:tplc="0C090001" w:tentative="1">
      <w:start w:val="1"/>
      <w:numFmt w:val="bullet"/>
      <w:lvlText w:val=""/>
      <w:lvlJc w:val="left"/>
      <w:pPr>
        <w:ind w:left="5817" w:hanging="360"/>
      </w:pPr>
      <w:rPr>
        <w:rFonts w:ascii="Symbol" w:hAnsi="Symbol" w:hint="default"/>
      </w:rPr>
    </w:lvl>
    <w:lvl w:ilvl="7" w:tplc="0C090003" w:tentative="1">
      <w:start w:val="1"/>
      <w:numFmt w:val="bullet"/>
      <w:lvlText w:val="o"/>
      <w:lvlJc w:val="left"/>
      <w:pPr>
        <w:ind w:left="6537" w:hanging="360"/>
      </w:pPr>
      <w:rPr>
        <w:rFonts w:ascii="Courier New" w:hAnsi="Courier New" w:cs="Courier New" w:hint="default"/>
      </w:rPr>
    </w:lvl>
    <w:lvl w:ilvl="8" w:tplc="0C090005" w:tentative="1">
      <w:start w:val="1"/>
      <w:numFmt w:val="bullet"/>
      <w:lvlText w:val=""/>
      <w:lvlJc w:val="left"/>
      <w:pPr>
        <w:ind w:left="7257" w:hanging="360"/>
      </w:pPr>
      <w:rPr>
        <w:rFonts w:ascii="Wingdings" w:hAnsi="Wingdings" w:hint="default"/>
      </w:rPr>
    </w:lvl>
  </w:abstractNum>
  <w:abstractNum w:abstractNumId="12"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74553E3A"/>
    <w:multiLevelType w:val="hybridMultilevel"/>
    <w:tmpl w:val="CE4858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84D033C"/>
    <w:multiLevelType w:val="multilevel"/>
    <w:tmpl w:val="47D2C464"/>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asciiTheme="minorHAnsi" w:hAnsiTheme="minorHAnsi" w:cstheme="minorHAnsi"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4"/>
  </w:num>
  <w:num w:numId="2">
    <w:abstractNumId w:val="0"/>
  </w:num>
  <w:num w:numId="3">
    <w:abstractNumId w:val="14"/>
  </w:num>
  <w:num w:numId="4">
    <w:abstractNumId w:val="7"/>
  </w:num>
  <w:num w:numId="5">
    <w:abstractNumId w:val="15"/>
  </w:num>
  <w:num w:numId="6">
    <w:abstractNumId w:val="8"/>
  </w:num>
  <w:num w:numId="7">
    <w:abstractNumId w:val="12"/>
  </w:num>
  <w:num w:numId="8">
    <w:abstractNumId w:val="6"/>
  </w:num>
  <w:num w:numId="9">
    <w:abstractNumId w:val="5"/>
  </w:num>
  <w:num w:numId="10">
    <w:abstractNumId w:val="1"/>
  </w:num>
  <w:num w:numId="11">
    <w:abstractNumId w:val="14"/>
  </w:num>
  <w:num w:numId="12">
    <w:abstractNumId w:val="10"/>
  </w:num>
  <w:num w:numId="13">
    <w:abstractNumId w:val="3"/>
  </w:num>
  <w:num w:numId="14">
    <w:abstractNumId w:val="14"/>
  </w:num>
  <w:num w:numId="15">
    <w:abstractNumId w:val="14"/>
  </w:num>
  <w:num w:numId="16">
    <w:abstractNumId w:val="14"/>
  </w:num>
  <w:num w:numId="17">
    <w:abstractNumId w:val="14"/>
  </w:num>
  <w:num w:numId="18">
    <w:abstractNumId w:val="14"/>
  </w:num>
  <w:num w:numId="19">
    <w:abstractNumId w:val="9"/>
  </w:num>
  <w:num w:numId="20">
    <w:abstractNumId w:val="14"/>
  </w:num>
  <w:num w:numId="21">
    <w:abstractNumId w:val="14"/>
  </w:num>
  <w:num w:numId="22">
    <w:abstractNumId w:val="13"/>
  </w:num>
  <w:num w:numId="23">
    <w:abstractNumId w:val="14"/>
  </w:num>
  <w:num w:numId="24">
    <w:abstractNumId w:val="14"/>
  </w:num>
  <w:num w:numId="25">
    <w:abstractNumId w:val="14"/>
  </w:num>
  <w:num w:numId="26">
    <w:abstractNumId w:val="4"/>
  </w:num>
  <w:num w:numId="27">
    <w:abstractNumId w:val="11"/>
  </w:num>
  <w:num w:numId="28">
    <w:abstractNumId w:val="2"/>
  </w:num>
  <w:num w:numId="29">
    <w:abstractNumId w:val="14"/>
  </w:num>
  <w:num w:numId="30">
    <w:abstractNumId w:val="14"/>
  </w:num>
  <w:num w:numId="31">
    <w:abstractNumId w:val="14"/>
  </w:num>
  <w:num w:numId="32">
    <w:abstractNumId w:val="14"/>
  </w:num>
  <w:num w:numId="3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06D3B"/>
    <w:rsid w:val="00011A59"/>
    <w:rsid w:val="00016A41"/>
    <w:rsid w:val="000214D1"/>
    <w:rsid w:val="0002464A"/>
    <w:rsid w:val="000255F1"/>
    <w:rsid w:val="00027839"/>
    <w:rsid w:val="0003106B"/>
    <w:rsid w:val="00034905"/>
    <w:rsid w:val="000421A1"/>
    <w:rsid w:val="0004240E"/>
    <w:rsid w:val="00042E70"/>
    <w:rsid w:val="00045E26"/>
    <w:rsid w:val="00050678"/>
    <w:rsid w:val="000514B5"/>
    <w:rsid w:val="0005675B"/>
    <w:rsid w:val="00060E64"/>
    <w:rsid w:val="00061C89"/>
    <w:rsid w:val="00063ABE"/>
    <w:rsid w:val="00066755"/>
    <w:rsid w:val="00066BD3"/>
    <w:rsid w:val="00067722"/>
    <w:rsid w:val="000724A5"/>
    <w:rsid w:val="000763D5"/>
    <w:rsid w:val="000769A0"/>
    <w:rsid w:val="00077143"/>
    <w:rsid w:val="00082169"/>
    <w:rsid w:val="000828AC"/>
    <w:rsid w:val="000843BC"/>
    <w:rsid w:val="00087D22"/>
    <w:rsid w:val="000918CB"/>
    <w:rsid w:val="00091B06"/>
    <w:rsid w:val="000951C4"/>
    <w:rsid w:val="00095ADA"/>
    <w:rsid w:val="000969AD"/>
    <w:rsid w:val="000A3AA2"/>
    <w:rsid w:val="000A44B2"/>
    <w:rsid w:val="000A4DCD"/>
    <w:rsid w:val="000A52F6"/>
    <w:rsid w:val="000A57AE"/>
    <w:rsid w:val="000B419D"/>
    <w:rsid w:val="000B44C3"/>
    <w:rsid w:val="000B558D"/>
    <w:rsid w:val="000B7B72"/>
    <w:rsid w:val="000C1A35"/>
    <w:rsid w:val="000C5F95"/>
    <w:rsid w:val="000C6996"/>
    <w:rsid w:val="000D09E9"/>
    <w:rsid w:val="000D113F"/>
    <w:rsid w:val="000D1BB7"/>
    <w:rsid w:val="000D23BA"/>
    <w:rsid w:val="000D31B2"/>
    <w:rsid w:val="000D4457"/>
    <w:rsid w:val="000D545E"/>
    <w:rsid w:val="000E236F"/>
    <w:rsid w:val="000E43BF"/>
    <w:rsid w:val="000E5EA1"/>
    <w:rsid w:val="000E681E"/>
    <w:rsid w:val="000F0003"/>
    <w:rsid w:val="000F2B76"/>
    <w:rsid w:val="000F2FFB"/>
    <w:rsid w:val="000F3384"/>
    <w:rsid w:val="000F3A3C"/>
    <w:rsid w:val="000F4914"/>
    <w:rsid w:val="000F4BF3"/>
    <w:rsid w:val="000F4E6A"/>
    <w:rsid w:val="000F7354"/>
    <w:rsid w:val="000F7490"/>
    <w:rsid w:val="00101ABE"/>
    <w:rsid w:val="00102202"/>
    <w:rsid w:val="00104227"/>
    <w:rsid w:val="001107BF"/>
    <w:rsid w:val="00113649"/>
    <w:rsid w:val="00122B40"/>
    <w:rsid w:val="0012417C"/>
    <w:rsid w:val="0012749D"/>
    <w:rsid w:val="00142395"/>
    <w:rsid w:val="00142714"/>
    <w:rsid w:val="001452ED"/>
    <w:rsid w:val="00147D84"/>
    <w:rsid w:val="001549C1"/>
    <w:rsid w:val="0016117F"/>
    <w:rsid w:val="00162945"/>
    <w:rsid w:val="00162BDD"/>
    <w:rsid w:val="00162D4E"/>
    <w:rsid w:val="00163329"/>
    <w:rsid w:val="00164623"/>
    <w:rsid w:val="001652DE"/>
    <w:rsid w:val="00165B64"/>
    <w:rsid w:val="001722CF"/>
    <w:rsid w:val="00176B9D"/>
    <w:rsid w:val="00180713"/>
    <w:rsid w:val="00180720"/>
    <w:rsid w:val="001830CE"/>
    <w:rsid w:val="001833BC"/>
    <w:rsid w:val="001836E3"/>
    <w:rsid w:val="0018643B"/>
    <w:rsid w:val="00187A75"/>
    <w:rsid w:val="00187DF1"/>
    <w:rsid w:val="00196307"/>
    <w:rsid w:val="001A33EA"/>
    <w:rsid w:val="001A4C4F"/>
    <w:rsid w:val="001A76FB"/>
    <w:rsid w:val="001B017F"/>
    <w:rsid w:val="001B2BBC"/>
    <w:rsid w:val="001B3A40"/>
    <w:rsid w:val="001B3FFE"/>
    <w:rsid w:val="001B5129"/>
    <w:rsid w:val="001B53BC"/>
    <w:rsid w:val="001B60DC"/>
    <w:rsid w:val="001C0B4C"/>
    <w:rsid w:val="001C1195"/>
    <w:rsid w:val="001C2E42"/>
    <w:rsid w:val="001D1F5F"/>
    <w:rsid w:val="001E06D2"/>
    <w:rsid w:val="001E29D5"/>
    <w:rsid w:val="001F005B"/>
    <w:rsid w:val="001F1850"/>
    <w:rsid w:val="001F3189"/>
    <w:rsid w:val="001F5201"/>
    <w:rsid w:val="002010B0"/>
    <w:rsid w:val="00203FAC"/>
    <w:rsid w:val="00207DDF"/>
    <w:rsid w:val="00213CFB"/>
    <w:rsid w:val="00214308"/>
    <w:rsid w:val="0021553C"/>
    <w:rsid w:val="0021557B"/>
    <w:rsid w:val="002174FD"/>
    <w:rsid w:val="00217BE1"/>
    <w:rsid w:val="00222D14"/>
    <w:rsid w:val="00224074"/>
    <w:rsid w:val="00234252"/>
    <w:rsid w:val="00237AC6"/>
    <w:rsid w:val="00244134"/>
    <w:rsid w:val="00244490"/>
    <w:rsid w:val="00245B9C"/>
    <w:rsid w:val="00253499"/>
    <w:rsid w:val="002551A4"/>
    <w:rsid w:val="00256D17"/>
    <w:rsid w:val="00257664"/>
    <w:rsid w:val="002610D0"/>
    <w:rsid w:val="0026512C"/>
    <w:rsid w:val="00265151"/>
    <w:rsid w:val="00265C2C"/>
    <w:rsid w:val="00266509"/>
    <w:rsid w:val="002701F2"/>
    <w:rsid w:val="00271BA1"/>
    <w:rsid w:val="002761A0"/>
    <w:rsid w:val="002762FA"/>
    <w:rsid w:val="00277505"/>
    <w:rsid w:val="002823B6"/>
    <w:rsid w:val="00290FA6"/>
    <w:rsid w:val="00291A41"/>
    <w:rsid w:val="00294274"/>
    <w:rsid w:val="0029458F"/>
    <w:rsid w:val="00295E4D"/>
    <w:rsid w:val="002A06CA"/>
    <w:rsid w:val="002A0E04"/>
    <w:rsid w:val="002A104C"/>
    <w:rsid w:val="002A1EF7"/>
    <w:rsid w:val="002A494D"/>
    <w:rsid w:val="002A4960"/>
    <w:rsid w:val="002A664D"/>
    <w:rsid w:val="002B0540"/>
    <w:rsid w:val="002B0AE0"/>
    <w:rsid w:val="002B1AE6"/>
    <w:rsid w:val="002B1D51"/>
    <w:rsid w:val="002B2DE8"/>
    <w:rsid w:val="002B30F8"/>
    <w:rsid w:val="002B388A"/>
    <w:rsid w:val="002B5596"/>
    <w:rsid w:val="002C212F"/>
    <w:rsid w:val="002C3EBC"/>
    <w:rsid w:val="002C5855"/>
    <w:rsid w:val="002C7485"/>
    <w:rsid w:val="002D283A"/>
    <w:rsid w:val="002D2A25"/>
    <w:rsid w:val="002D4543"/>
    <w:rsid w:val="002E17EB"/>
    <w:rsid w:val="002E3153"/>
    <w:rsid w:val="002E5292"/>
    <w:rsid w:val="002E5AFD"/>
    <w:rsid w:val="002E72CA"/>
    <w:rsid w:val="002E7461"/>
    <w:rsid w:val="002F600D"/>
    <w:rsid w:val="003004D2"/>
    <w:rsid w:val="00300AD6"/>
    <w:rsid w:val="00300B1B"/>
    <w:rsid w:val="003019D0"/>
    <w:rsid w:val="003064AF"/>
    <w:rsid w:val="00310B68"/>
    <w:rsid w:val="00313761"/>
    <w:rsid w:val="0031384F"/>
    <w:rsid w:val="00317C6C"/>
    <w:rsid w:val="00320CD3"/>
    <w:rsid w:val="00326E79"/>
    <w:rsid w:val="003301B1"/>
    <w:rsid w:val="00331189"/>
    <w:rsid w:val="0033263D"/>
    <w:rsid w:val="0033267C"/>
    <w:rsid w:val="0033518A"/>
    <w:rsid w:val="0033638A"/>
    <w:rsid w:val="00336729"/>
    <w:rsid w:val="003367EF"/>
    <w:rsid w:val="00341AE4"/>
    <w:rsid w:val="003461A0"/>
    <w:rsid w:val="00346ADD"/>
    <w:rsid w:val="003476EE"/>
    <w:rsid w:val="003541DD"/>
    <w:rsid w:val="003558EA"/>
    <w:rsid w:val="0035601F"/>
    <w:rsid w:val="00356E5B"/>
    <w:rsid w:val="003736C9"/>
    <w:rsid w:val="00381E13"/>
    <w:rsid w:val="00384988"/>
    <w:rsid w:val="0038574A"/>
    <w:rsid w:val="003872CF"/>
    <w:rsid w:val="0039782C"/>
    <w:rsid w:val="003A3834"/>
    <w:rsid w:val="003A5B4A"/>
    <w:rsid w:val="003A5D95"/>
    <w:rsid w:val="003B23C5"/>
    <w:rsid w:val="003B29FA"/>
    <w:rsid w:val="003B2A75"/>
    <w:rsid w:val="003B6124"/>
    <w:rsid w:val="003B7D76"/>
    <w:rsid w:val="003C093A"/>
    <w:rsid w:val="003C1ECF"/>
    <w:rsid w:val="003C2FB5"/>
    <w:rsid w:val="003C5383"/>
    <w:rsid w:val="003D0A0B"/>
    <w:rsid w:val="003D24C5"/>
    <w:rsid w:val="003D4AC4"/>
    <w:rsid w:val="003D50B3"/>
    <w:rsid w:val="003D63B7"/>
    <w:rsid w:val="003D71A2"/>
    <w:rsid w:val="003D74C5"/>
    <w:rsid w:val="003E468B"/>
    <w:rsid w:val="003E62BD"/>
    <w:rsid w:val="003E753A"/>
    <w:rsid w:val="003F0C3A"/>
    <w:rsid w:val="003F1BB9"/>
    <w:rsid w:val="003F2B67"/>
    <w:rsid w:val="003F3228"/>
    <w:rsid w:val="003F5C8C"/>
    <w:rsid w:val="003F5EB4"/>
    <w:rsid w:val="003F63CE"/>
    <w:rsid w:val="003F775A"/>
    <w:rsid w:val="00400E55"/>
    <w:rsid w:val="0040128E"/>
    <w:rsid w:val="0040216B"/>
    <w:rsid w:val="00405A81"/>
    <w:rsid w:val="00411516"/>
    <w:rsid w:val="00414120"/>
    <w:rsid w:val="004142CD"/>
    <w:rsid w:val="004252EC"/>
    <w:rsid w:val="00430A45"/>
    <w:rsid w:val="00430D39"/>
    <w:rsid w:val="004366AA"/>
    <w:rsid w:val="004436EB"/>
    <w:rsid w:val="00444C75"/>
    <w:rsid w:val="004465BD"/>
    <w:rsid w:val="00446938"/>
    <w:rsid w:val="00461A44"/>
    <w:rsid w:val="00466ADA"/>
    <w:rsid w:val="004702BB"/>
    <w:rsid w:val="00472CEF"/>
    <w:rsid w:val="0047494B"/>
    <w:rsid w:val="00476245"/>
    <w:rsid w:val="00477A9B"/>
    <w:rsid w:val="00481253"/>
    <w:rsid w:val="00483035"/>
    <w:rsid w:val="00485940"/>
    <w:rsid w:val="004904B9"/>
    <w:rsid w:val="0049282F"/>
    <w:rsid w:val="00496662"/>
    <w:rsid w:val="004A203C"/>
    <w:rsid w:val="004A2484"/>
    <w:rsid w:val="004A562F"/>
    <w:rsid w:val="004A5A85"/>
    <w:rsid w:val="004A71D1"/>
    <w:rsid w:val="004A7C5B"/>
    <w:rsid w:val="004B0B42"/>
    <w:rsid w:val="004B1845"/>
    <w:rsid w:val="004B2348"/>
    <w:rsid w:val="004B2E98"/>
    <w:rsid w:val="004B5640"/>
    <w:rsid w:val="004B658B"/>
    <w:rsid w:val="004C03D0"/>
    <w:rsid w:val="004C1BD7"/>
    <w:rsid w:val="004C31FE"/>
    <w:rsid w:val="004C323E"/>
    <w:rsid w:val="004C524C"/>
    <w:rsid w:val="004C5810"/>
    <w:rsid w:val="004C5FFA"/>
    <w:rsid w:val="004C691D"/>
    <w:rsid w:val="004C6C07"/>
    <w:rsid w:val="004C7E15"/>
    <w:rsid w:val="004D4FF6"/>
    <w:rsid w:val="004D715E"/>
    <w:rsid w:val="004E0324"/>
    <w:rsid w:val="004E692D"/>
    <w:rsid w:val="004E7D87"/>
    <w:rsid w:val="004F2553"/>
    <w:rsid w:val="004F7D65"/>
    <w:rsid w:val="00500785"/>
    <w:rsid w:val="00501554"/>
    <w:rsid w:val="00502AFE"/>
    <w:rsid w:val="005037D9"/>
    <w:rsid w:val="00503AD7"/>
    <w:rsid w:val="00504149"/>
    <w:rsid w:val="00504E0C"/>
    <w:rsid w:val="00507263"/>
    <w:rsid w:val="005109D4"/>
    <w:rsid w:val="0051490B"/>
    <w:rsid w:val="00514CD7"/>
    <w:rsid w:val="00520D6A"/>
    <w:rsid w:val="00522DB6"/>
    <w:rsid w:val="00524A02"/>
    <w:rsid w:val="0052792D"/>
    <w:rsid w:val="00531067"/>
    <w:rsid w:val="005319B2"/>
    <w:rsid w:val="00532402"/>
    <w:rsid w:val="00532C74"/>
    <w:rsid w:val="00532E14"/>
    <w:rsid w:val="00534E2E"/>
    <w:rsid w:val="005359F1"/>
    <w:rsid w:val="0054262A"/>
    <w:rsid w:val="005438A3"/>
    <w:rsid w:val="00544552"/>
    <w:rsid w:val="00545130"/>
    <w:rsid w:val="0055286A"/>
    <w:rsid w:val="0055471B"/>
    <w:rsid w:val="00554CB2"/>
    <w:rsid w:val="00555745"/>
    <w:rsid w:val="00557D4F"/>
    <w:rsid w:val="0056225D"/>
    <w:rsid w:val="0056357B"/>
    <w:rsid w:val="00563DC5"/>
    <w:rsid w:val="0056484E"/>
    <w:rsid w:val="0056653D"/>
    <w:rsid w:val="005764CD"/>
    <w:rsid w:val="00577C4D"/>
    <w:rsid w:val="00580532"/>
    <w:rsid w:val="00581932"/>
    <w:rsid w:val="00593B92"/>
    <w:rsid w:val="005956E0"/>
    <w:rsid w:val="0059581C"/>
    <w:rsid w:val="005963BB"/>
    <w:rsid w:val="005A3173"/>
    <w:rsid w:val="005A3223"/>
    <w:rsid w:val="005A3DA3"/>
    <w:rsid w:val="005A52C4"/>
    <w:rsid w:val="005A585D"/>
    <w:rsid w:val="005A63A1"/>
    <w:rsid w:val="005B332D"/>
    <w:rsid w:val="005B3848"/>
    <w:rsid w:val="005C1845"/>
    <w:rsid w:val="005C4F73"/>
    <w:rsid w:val="005C755B"/>
    <w:rsid w:val="005D03AB"/>
    <w:rsid w:val="005D29C8"/>
    <w:rsid w:val="005D5017"/>
    <w:rsid w:val="005D63FA"/>
    <w:rsid w:val="005E0D82"/>
    <w:rsid w:val="005E1333"/>
    <w:rsid w:val="005E3136"/>
    <w:rsid w:val="005E507D"/>
    <w:rsid w:val="005E7434"/>
    <w:rsid w:val="005E7F3F"/>
    <w:rsid w:val="005F2A46"/>
    <w:rsid w:val="005F57FF"/>
    <w:rsid w:val="00601A91"/>
    <w:rsid w:val="00602BA3"/>
    <w:rsid w:val="00605B63"/>
    <w:rsid w:val="00605F9A"/>
    <w:rsid w:val="00606EED"/>
    <w:rsid w:val="00612E34"/>
    <w:rsid w:val="00612F22"/>
    <w:rsid w:val="00614159"/>
    <w:rsid w:val="00616C5F"/>
    <w:rsid w:val="00616DAC"/>
    <w:rsid w:val="00617C00"/>
    <w:rsid w:val="00617E1C"/>
    <w:rsid w:val="00620BCE"/>
    <w:rsid w:val="006263BF"/>
    <w:rsid w:val="0062748A"/>
    <w:rsid w:val="00630A2C"/>
    <w:rsid w:val="00631502"/>
    <w:rsid w:val="00632FC0"/>
    <w:rsid w:val="0063682E"/>
    <w:rsid w:val="00642DA8"/>
    <w:rsid w:val="006436CD"/>
    <w:rsid w:val="00650312"/>
    <w:rsid w:val="00650DB8"/>
    <w:rsid w:val="00651169"/>
    <w:rsid w:val="00652D4C"/>
    <w:rsid w:val="00653D69"/>
    <w:rsid w:val="006552E6"/>
    <w:rsid w:val="00655794"/>
    <w:rsid w:val="00657C63"/>
    <w:rsid w:val="00663A94"/>
    <w:rsid w:val="006670BE"/>
    <w:rsid w:val="00670A76"/>
    <w:rsid w:val="006711AA"/>
    <w:rsid w:val="0067153E"/>
    <w:rsid w:val="00672197"/>
    <w:rsid w:val="00672B57"/>
    <w:rsid w:val="00672B98"/>
    <w:rsid w:val="00673F1F"/>
    <w:rsid w:val="00674A5C"/>
    <w:rsid w:val="00675622"/>
    <w:rsid w:val="0067747D"/>
    <w:rsid w:val="00680748"/>
    <w:rsid w:val="006808FD"/>
    <w:rsid w:val="00680AA1"/>
    <w:rsid w:val="006818D5"/>
    <w:rsid w:val="00681CA4"/>
    <w:rsid w:val="0068525B"/>
    <w:rsid w:val="00687299"/>
    <w:rsid w:val="0069039D"/>
    <w:rsid w:val="006906DB"/>
    <w:rsid w:val="00691E6C"/>
    <w:rsid w:val="00692280"/>
    <w:rsid w:val="00692920"/>
    <w:rsid w:val="00693DFB"/>
    <w:rsid w:val="0069501D"/>
    <w:rsid w:val="00696129"/>
    <w:rsid w:val="00697CF2"/>
    <w:rsid w:val="006A006B"/>
    <w:rsid w:val="006A049C"/>
    <w:rsid w:val="006A12A5"/>
    <w:rsid w:val="006A2E0D"/>
    <w:rsid w:val="006A5A52"/>
    <w:rsid w:val="006A5E20"/>
    <w:rsid w:val="006A7A73"/>
    <w:rsid w:val="006B0D94"/>
    <w:rsid w:val="006B485D"/>
    <w:rsid w:val="006C0C45"/>
    <w:rsid w:val="006C2B2D"/>
    <w:rsid w:val="006C334C"/>
    <w:rsid w:val="006C3F3F"/>
    <w:rsid w:val="006C708E"/>
    <w:rsid w:val="006C7627"/>
    <w:rsid w:val="006D14E7"/>
    <w:rsid w:val="006D4444"/>
    <w:rsid w:val="006D6493"/>
    <w:rsid w:val="006D6EC7"/>
    <w:rsid w:val="006E08F6"/>
    <w:rsid w:val="006E1BCD"/>
    <w:rsid w:val="006E6CCE"/>
    <w:rsid w:val="006F0A71"/>
    <w:rsid w:val="006F17E3"/>
    <w:rsid w:val="006F2DCF"/>
    <w:rsid w:val="006F40C2"/>
    <w:rsid w:val="006F5125"/>
    <w:rsid w:val="006F6A2A"/>
    <w:rsid w:val="006F733D"/>
    <w:rsid w:val="00702B6F"/>
    <w:rsid w:val="00704ECF"/>
    <w:rsid w:val="00706A2F"/>
    <w:rsid w:val="0070718E"/>
    <w:rsid w:val="007078D9"/>
    <w:rsid w:val="00710259"/>
    <w:rsid w:val="0071031F"/>
    <w:rsid w:val="0071340B"/>
    <w:rsid w:val="00715BBB"/>
    <w:rsid w:val="007174BB"/>
    <w:rsid w:val="0072025D"/>
    <w:rsid w:val="00723328"/>
    <w:rsid w:val="00730EF5"/>
    <w:rsid w:val="0073137C"/>
    <w:rsid w:val="007353D3"/>
    <w:rsid w:val="0074156B"/>
    <w:rsid w:val="00744478"/>
    <w:rsid w:val="007455AE"/>
    <w:rsid w:val="00747092"/>
    <w:rsid w:val="007521EB"/>
    <w:rsid w:val="00752E74"/>
    <w:rsid w:val="007555E8"/>
    <w:rsid w:val="00755B0F"/>
    <w:rsid w:val="00761E5A"/>
    <w:rsid w:val="00763C31"/>
    <w:rsid w:val="00763E4C"/>
    <w:rsid w:val="0076420C"/>
    <w:rsid w:val="0076772D"/>
    <w:rsid w:val="00771D07"/>
    <w:rsid w:val="00773BE3"/>
    <w:rsid w:val="007743DD"/>
    <w:rsid w:val="00774E2C"/>
    <w:rsid w:val="007753C2"/>
    <w:rsid w:val="00775F9C"/>
    <w:rsid w:val="007838B8"/>
    <w:rsid w:val="007915BA"/>
    <w:rsid w:val="00794F87"/>
    <w:rsid w:val="007A7510"/>
    <w:rsid w:val="007B0941"/>
    <w:rsid w:val="007B3DDC"/>
    <w:rsid w:val="007B72A6"/>
    <w:rsid w:val="007C0F57"/>
    <w:rsid w:val="007C40B6"/>
    <w:rsid w:val="007C55D4"/>
    <w:rsid w:val="007C6219"/>
    <w:rsid w:val="007C729F"/>
    <w:rsid w:val="007D503D"/>
    <w:rsid w:val="007E1D28"/>
    <w:rsid w:val="007E36D2"/>
    <w:rsid w:val="007E4019"/>
    <w:rsid w:val="007E4AA7"/>
    <w:rsid w:val="007E7CF3"/>
    <w:rsid w:val="007F0021"/>
    <w:rsid w:val="007F2641"/>
    <w:rsid w:val="007F619D"/>
    <w:rsid w:val="007F7C36"/>
    <w:rsid w:val="00802805"/>
    <w:rsid w:val="00806796"/>
    <w:rsid w:val="008072E8"/>
    <w:rsid w:val="00811CC0"/>
    <w:rsid w:val="008151D6"/>
    <w:rsid w:val="00821527"/>
    <w:rsid w:val="008225B3"/>
    <w:rsid w:val="00822696"/>
    <w:rsid w:val="008268BB"/>
    <w:rsid w:val="00826CA4"/>
    <w:rsid w:val="00826F6D"/>
    <w:rsid w:val="008306F3"/>
    <w:rsid w:val="00830A27"/>
    <w:rsid w:val="00830E40"/>
    <w:rsid w:val="00833679"/>
    <w:rsid w:val="00835C62"/>
    <w:rsid w:val="00846056"/>
    <w:rsid w:val="00847EC0"/>
    <w:rsid w:val="0085240C"/>
    <w:rsid w:val="00855FD6"/>
    <w:rsid w:val="00856DDD"/>
    <w:rsid w:val="008634C3"/>
    <w:rsid w:val="00863E68"/>
    <w:rsid w:val="008647B5"/>
    <w:rsid w:val="00875DCB"/>
    <w:rsid w:val="00877153"/>
    <w:rsid w:val="00882085"/>
    <w:rsid w:val="00883188"/>
    <w:rsid w:val="008838BC"/>
    <w:rsid w:val="00887A38"/>
    <w:rsid w:val="00894B3A"/>
    <w:rsid w:val="00897D58"/>
    <w:rsid w:val="00897F22"/>
    <w:rsid w:val="008A0B39"/>
    <w:rsid w:val="008A1956"/>
    <w:rsid w:val="008A1D44"/>
    <w:rsid w:val="008A4937"/>
    <w:rsid w:val="008A50F1"/>
    <w:rsid w:val="008A59D9"/>
    <w:rsid w:val="008A6819"/>
    <w:rsid w:val="008B0734"/>
    <w:rsid w:val="008B1796"/>
    <w:rsid w:val="008B2EC0"/>
    <w:rsid w:val="008B374F"/>
    <w:rsid w:val="008D1B5C"/>
    <w:rsid w:val="008D3C82"/>
    <w:rsid w:val="008D3EA1"/>
    <w:rsid w:val="008D447E"/>
    <w:rsid w:val="008D5882"/>
    <w:rsid w:val="008D78BE"/>
    <w:rsid w:val="008D7A41"/>
    <w:rsid w:val="008E0123"/>
    <w:rsid w:val="008E2C72"/>
    <w:rsid w:val="008E3680"/>
    <w:rsid w:val="008E3D60"/>
    <w:rsid w:val="008E5870"/>
    <w:rsid w:val="008E7319"/>
    <w:rsid w:val="008F0213"/>
    <w:rsid w:val="008F1434"/>
    <w:rsid w:val="008F54C3"/>
    <w:rsid w:val="008F6F73"/>
    <w:rsid w:val="008F7355"/>
    <w:rsid w:val="00900508"/>
    <w:rsid w:val="009023DC"/>
    <w:rsid w:val="009027C5"/>
    <w:rsid w:val="009067B7"/>
    <w:rsid w:val="009116BF"/>
    <w:rsid w:val="00912B57"/>
    <w:rsid w:val="00913C41"/>
    <w:rsid w:val="00917D69"/>
    <w:rsid w:val="00920A09"/>
    <w:rsid w:val="009243D0"/>
    <w:rsid w:val="00926560"/>
    <w:rsid w:val="00926674"/>
    <w:rsid w:val="00930937"/>
    <w:rsid w:val="009324A6"/>
    <w:rsid w:val="00933E6C"/>
    <w:rsid w:val="00937958"/>
    <w:rsid w:val="009379C0"/>
    <w:rsid w:val="0094030B"/>
    <w:rsid w:val="00941602"/>
    <w:rsid w:val="00942160"/>
    <w:rsid w:val="009448EC"/>
    <w:rsid w:val="0095146F"/>
    <w:rsid w:val="00952464"/>
    <w:rsid w:val="00957944"/>
    <w:rsid w:val="009602C5"/>
    <w:rsid w:val="009608F3"/>
    <w:rsid w:val="00962223"/>
    <w:rsid w:val="00966D0D"/>
    <w:rsid w:val="0096783C"/>
    <w:rsid w:val="009707FB"/>
    <w:rsid w:val="009708EC"/>
    <w:rsid w:val="009722B3"/>
    <w:rsid w:val="00974C21"/>
    <w:rsid w:val="00975948"/>
    <w:rsid w:val="00977BF3"/>
    <w:rsid w:val="009803E4"/>
    <w:rsid w:val="00980B0E"/>
    <w:rsid w:val="009836A3"/>
    <w:rsid w:val="009855A8"/>
    <w:rsid w:val="00985990"/>
    <w:rsid w:val="009913F4"/>
    <w:rsid w:val="00991782"/>
    <w:rsid w:val="0099465B"/>
    <w:rsid w:val="00994867"/>
    <w:rsid w:val="009951A1"/>
    <w:rsid w:val="009A0CDD"/>
    <w:rsid w:val="009A3168"/>
    <w:rsid w:val="009A5BE7"/>
    <w:rsid w:val="009A61CA"/>
    <w:rsid w:val="009B0C64"/>
    <w:rsid w:val="009B0F67"/>
    <w:rsid w:val="009B5175"/>
    <w:rsid w:val="009C703C"/>
    <w:rsid w:val="009D123F"/>
    <w:rsid w:val="009D206E"/>
    <w:rsid w:val="009D3CAA"/>
    <w:rsid w:val="009D43A3"/>
    <w:rsid w:val="009D6532"/>
    <w:rsid w:val="009E2E8E"/>
    <w:rsid w:val="009E40E1"/>
    <w:rsid w:val="009E5003"/>
    <w:rsid w:val="009E563C"/>
    <w:rsid w:val="009E5B7A"/>
    <w:rsid w:val="009E5E1C"/>
    <w:rsid w:val="009E66CF"/>
    <w:rsid w:val="009F0EFA"/>
    <w:rsid w:val="009F37E4"/>
    <w:rsid w:val="009F4E46"/>
    <w:rsid w:val="009F5B65"/>
    <w:rsid w:val="009F5F2E"/>
    <w:rsid w:val="00A01432"/>
    <w:rsid w:val="00A025DC"/>
    <w:rsid w:val="00A035F7"/>
    <w:rsid w:val="00A06225"/>
    <w:rsid w:val="00A121FB"/>
    <w:rsid w:val="00A128E6"/>
    <w:rsid w:val="00A13D95"/>
    <w:rsid w:val="00A144D3"/>
    <w:rsid w:val="00A22AC3"/>
    <w:rsid w:val="00A23F3F"/>
    <w:rsid w:val="00A24067"/>
    <w:rsid w:val="00A2744D"/>
    <w:rsid w:val="00A31D21"/>
    <w:rsid w:val="00A34E6C"/>
    <w:rsid w:val="00A36398"/>
    <w:rsid w:val="00A37AFA"/>
    <w:rsid w:val="00A37C8D"/>
    <w:rsid w:val="00A4020E"/>
    <w:rsid w:val="00A40FB5"/>
    <w:rsid w:val="00A42826"/>
    <w:rsid w:val="00A429B3"/>
    <w:rsid w:val="00A5064C"/>
    <w:rsid w:val="00A510E4"/>
    <w:rsid w:val="00A5273B"/>
    <w:rsid w:val="00A53A9D"/>
    <w:rsid w:val="00A55AE8"/>
    <w:rsid w:val="00A55FEE"/>
    <w:rsid w:val="00A57422"/>
    <w:rsid w:val="00A57A3F"/>
    <w:rsid w:val="00A57E67"/>
    <w:rsid w:val="00A6059B"/>
    <w:rsid w:val="00A628C1"/>
    <w:rsid w:val="00A62C1A"/>
    <w:rsid w:val="00A6426D"/>
    <w:rsid w:val="00A665C1"/>
    <w:rsid w:val="00A673A4"/>
    <w:rsid w:val="00A7001A"/>
    <w:rsid w:val="00A70622"/>
    <w:rsid w:val="00A70977"/>
    <w:rsid w:val="00A70D58"/>
    <w:rsid w:val="00A744F9"/>
    <w:rsid w:val="00A77613"/>
    <w:rsid w:val="00A8064E"/>
    <w:rsid w:val="00A81851"/>
    <w:rsid w:val="00A82035"/>
    <w:rsid w:val="00A8390C"/>
    <w:rsid w:val="00A85AF8"/>
    <w:rsid w:val="00A86325"/>
    <w:rsid w:val="00A86AE0"/>
    <w:rsid w:val="00A928BD"/>
    <w:rsid w:val="00A951BE"/>
    <w:rsid w:val="00A97DE9"/>
    <w:rsid w:val="00AA12CD"/>
    <w:rsid w:val="00AA49A2"/>
    <w:rsid w:val="00AA4C42"/>
    <w:rsid w:val="00AA4D1C"/>
    <w:rsid w:val="00AA52FD"/>
    <w:rsid w:val="00AA7FDA"/>
    <w:rsid w:val="00AB5856"/>
    <w:rsid w:val="00AC193C"/>
    <w:rsid w:val="00AC44BE"/>
    <w:rsid w:val="00AC4DE5"/>
    <w:rsid w:val="00AC5206"/>
    <w:rsid w:val="00AD0FBD"/>
    <w:rsid w:val="00AD4322"/>
    <w:rsid w:val="00AD4AC1"/>
    <w:rsid w:val="00AE11A5"/>
    <w:rsid w:val="00AE13E2"/>
    <w:rsid w:val="00AE18B2"/>
    <w:rsid w:val="00AE2264"/>
    <w:rsid w:val="00AE22D3"/>
    <w:rsid w:val="00AE5A49"/>
    <w:rsid w:val="00AF1B18"/>
    <w:rsid w:val="00AF27A1"/>
    <w:rsid w:val="00AF496C"/>
    <w:rsid w:val="00AF62DF"/>
    <w:rsid w:val="00AF68CC"/>
    <w:rsid w:val="00AF70D7"/>
    <w:rsid w:val="00B028B3"/>
    <w:rsid w:val="00B06478"/>
    <w:rsid w:val="00B07CFB"/>
    <w:rsid w:val="00B1059E"/>
    <w:rsid w:val="00B13DF1"/>
    <w:rsid w:val="00B1533D"/>
    <w:rsid w:val="00B16273"/>
    <w:rsid w:val="00B170A5"/>
    <w:rsid w:val="00B176C8"/>
    <w:rsid w:val="00B17EE5"/>
    <w:rsid w:val="00B205AA"/>
    <w:rsid w:val="00B22E84"/>
    <w:rsid w:val="00B233AD"/>
    <w:rsid w:val="00B23E25"/>
    <w:rsid w:val="00B25F75"/>
    <w:rsid w:val="00B26B3F"/>
    <w:rsid w:val="00B2778F"/>
    <w:rsid w:val="00B33635"/>
    <w:rsid w:val="00B3388D"/>
    <w:rsid w:val="00B35D6B"/>
    <w:rsid w:val="00B42AF4"/>
    <w:rsid w:val="00B43E90"/>
    <w:rsid w:val="00B467DC"/>
    <w:rsid w:val="00B55B79"/>
    <w:rsid w:val="00B56118"/>
    <w:rsid w:val="00B626A1"/>
    <w:rsid w:val="00B63DB0"/>
    <w:rsid w:val="00B6773F"/>
    <w:rsid w:val="00B70EB3"/>
    <w:rsid w:val="00B7525E"/>
    <w:rsid w:val="00B760FB"/>
    <w:rsid w:val="00B767AB"/>
    <w:rsid w:val="00B801BA"/>
    <w:rsid w:val="00B84D5C"/>
    <w:rsid w:val="00B86CFB"/>
    <w:rsid w:val="00B92184"/>
    <w:rsid w:val="00BA0185"/>
    <w:rsid w:val="00BA1B68"/>
    <w:rsid w:val="00BA2DA8"/>
    <w:rsid w:val="00BA347C"/>
    <w:rsid w:val="00BA3814"/>
    <w:rsid w:val="00BB1A21"/>
    <w:rsid w:val="00BB1F41"/>
    <w:rsid w:val="00BB5C49"/>
    <w:rsid w:val="00BB6240"/>
    <w:rsid w:val="00BB69F5"/>
    <w:rsid w:val="00BB7EC3"/>
    <w:rsid w:val="00BC4B9A"/>
    <w:rsid w:val="00BD02C3"/>
    <w:rsid w:val="00BD02F5"/>
    <w:rsid w:val="00BD7483"/>
    <w:rsid w:val="00BD784C"/>
    <w:rsid w:val="00BE020A"/>
    <w:rsid w:val="00BE13DF"/>
    <w:rsid w:val="00BE29A5"/>
    <w:rsid w:val="00BE5975"/>
    <w:rsid w:val="00BE7BD7"/>
    <w:rsid w:val="00BF092C"/>
    <w:rsid w:val="00BF27A0"/>
    <w:rsid w:val="00BF360E"/>
    <w:rsid w:val="00BF4CB6"/>
    <w:rsid w:val="00BF7226"/>
    <w:rsid w:val="00C00DA7"/>
    <w:rsid w:val="00C00E52"/>
    <w:rsid w:val="00C0132A"/>
    <w:rsid w:val="00C04CDE"/>
    <w:rsid w:val="00C12642"/>
    <w:rsid w:val="00C12768"/>
    <w:rsid w:val="00C12D70"/>
    <w:rsid w:val="00C150DB"/>
    <w:rsid w:val="00C214E9"/>
    <w:rsid w:val="00C21B09"/>
    <w:rsid w:val="00C25379"/>
    <w:rsid w:val="00C2673A"/>
    <w:rsid w:val="00C26F5B"/>
    <w:rsid w:val="00C27B58"/>
    <w:rsid w:val="00C33186"/>
    <w:rsid w:val="00C35996"/>
    <w:rsid w:val="00C44889"/>
    <w:rsid w:val="00C46FFD"/>
    <w:rsid w:val="00C4747E"/>
    <w:rsid w:val="00C4750B"/>
    <w:rsid w:val="00C5151E"/>
    <w:rsid w:val="00C5342C"/>
    <w:rsid w:val="00C53B2B"/>
    <w:rsid w:val="00C53CCB"/>
    <w:rsid w:val="00C60272"/>
    <w:rsid w:val="00C603D4"/>
    <w:rsid w:val="00C6256A"/>
    <w:rsid w:val="00C700A2"/>
    <w:rsid w:val="00C710E2"/>
    <w:rsid w:val="00C714D4"/>
    <w:rsid w:val="00C71C3F"/>
    <w:rsid w:val="00C7409E"/>
    <w:rsid w:val="00C74D6D"/>
    <w:rsid w:val="00C76E76"/>
    <w:rsid w:val="00C77891"/>
    <w:rsid w:val="00C77D06"/>
    <w:rsid w:val="00C910BD"/>
    <w:rsid w:val="00C91449"/>
    <w:rsid w:val="00C92D10"/>
    <w:rsid w:val="00C96540"/>
    <w:rsid w:val="00CA48D9"/>
    <w:rsid w:val="00CA7764"/>
    <w:rsid w:val="00CB1193"/>
    <w:rsid w:val="00CB4767"/>
    <w:rsid w:val="00CB493D"/>
    <w:rsid w:val="00CC3B97"/>
    <w:rsid w:val="00CC50FE"/>
    <w:rsid w:val="00CC69AC"/>
    <w:rsid w:val="00CD5CC6"/>
    <w:rsid w:val="00CE10C4"/>
    <w:rsid w:val="00CE27B5"/>
    <w:rsid w:val="00CE6DAF"/>
    <w:rsid w:val="00CE7065"/>
    <w:rsid w:val="00CE7C94"/>
    <w:rsid w:val="00CF3949"/>
    <w:rsid w:val="00CF3DB3"/>
    <w:rsid w:val="00CF3DCE"/>
    <w:rsid w:val="00CF410A"/>
    <w:rsid w:val="00CF5177"/>
    <w:rsid w:val="00D00704"/>
    <w:rsid w:val="00D0321E"/>
    <w:rsid w:val="00D033F6"/>
    <w:rsid w:val="00D0458D"/>
    <w:rsid w:val="00D07A8A"/>
    <w:rsid w:val="00D1455A"/>
    <w:rsid w:val="00D14A46"/>
    <w:rsid w:val="00D14A70"/>
    <w:rsid w:val="00D15B9D"/>
    <w:rsid w:val="00D177D6"/>
    <w:rsid w:val="00D2191D"/>
    <w:rsid w:val="00D22093"/>
    <w:rsid w:val="00D22932"/>
    <w:rsid w:val="00D22D8F"/>
    <w:rsid w:val="00D31150"/>
    <w:rsid w:val="00D3138B"/>
    <w:rsid w:val="00D3280C"/>
    <w:rsid w:val="00D3406A"/>
    <w:rsid w:val="00D40B11"/>
    <w:rsid w:val="00D441F1"/>
    <w:rsid w:val="00D4572C"/>
    <w:rsid w:val="00D469B2"/>
    <w:rsid w:val="00D471D4"/>
    <w:rsid w:val="00D50146"/>
    <w:rsid w:val="00D54B09"/>
    <w:rsid w:val="00D6243E"/>
    <w:rsid w:val="00D65658"/>
    <w:rsid w:val="00D6753F"/>
    <w:rsid w:val="00D72B6F"/>
    <w:rsid w:val="00D73BA8"/>
    <w:rsid w:val="00D741EB"/>
    <w:rsid w:val="00D746F1"/>
    <w:rsid w:val="00D76405"/>
    <w:rsid w:val="00D7679C"/>
    <w:rsid w:val="00D7706D"/>
    <w:rsid w:val="00D820F3"/>
    <w:rsid w:val="00D83605"/>
    <w:rsid w:val="00D84934"/>
    <w:rsid w:val="00D84A09"/>
    <w:rsid w:val="00D84EF9"/>
    <w:rsid w:val="00D868E8"/>
    <w:rsid w:val="00D91271"/>
    <w:rsid w:val="00D919F5"/>
    <w:rsid w:val="00D92BFF"/>
    <w:rsid w:val="00D94F03"/>
    <w:rsid w:val="00DA0A82"/>
    <w:rsid w:val="00DA0D14"/>
    <w:rsid w:val="00DA1F75"/>
    <w:rsid w:val="00DA1FC9"/>
    <w:rsid w:val="00DA2CB5"/>
    <w:rsid w:val="00DA3247"/>
    <w:rsid w:val="00DA4BAC"/>
    <w:rsid w:val="00DA6358"/>
    <w:rsid w:val="00DB0151"/>
    <w:rsid w:val="00DB055D"/>
    <w:rsid w:val="00DB1A43"/>
    <w:rsid w:val="00DB58CA"/>
    <w:rsid w:val="00DB6E4F"/>
    <w:rsid w:val="00DC2C3E"/>
    <w:rsid w:val="00DC3137"/>
    <w:rsid w:val="00DC4880"/>
    <w:rsid w:val="00DD74EB"/>
    <w:rsid w:val="00DE6D27"/>
    <w:rsid w:val="00DF01F8"/>
    <w:rsid w:val="00DF217D"/>
    <w:rsid w:val="00DF26A7"/>
    <w:rsid w:val="00DF3277"/>
    <w:rsid w:val="00DF7919"/>
    <w:rsid w:val="00E0207E"/>
    <w:rsid w:val="00E02C41"/>
    <w:rsid w:val="00E03912"/>
    <w:rsid w:val="00E0397B"/>
    <w:rsid w:val="00E078D9"/>
    <w:rsid w:val="00E079F6"/>
    <w:rsid w:val="00E10293"/>
    <w:rsid w:val="00E1321C"/>
    <w:rsid w:val="00E13994"/>
    <w:rsid w:val="00E15627"/>
    <w:rsid w:val="00E161EB"/>
    <w:rsid w:val="00E164B3"/>
    <w:rsid w:val="00E16910"/>
    <w:rsid w:val="00E17E66"/>
    <w:rsid w:val="00E21E93"/>
    <w:rsid w:val="00E22E9B"/>
    <w:rsid w:val="00E24E09"/>
    <w:rsid w:val="00E27234"/>
    <w:rsid w:val="00E30711"/>
    <w:rsid w:val="00E3495C"/>
    <w:rsid w:val="00E42BDB"/>
    <w:rsid w:val="00E45F14"/>
    <w:rsid w:val="00E46A54"/>
    <w:rsid w:val="00E566F7"/>
    <w:rsid w:val="00E57EEB"/>
    <w:rsid w:val="00E62D94"/>
    <w:rsid w:val="00E64F37"/>
    <w:rsid w:val="00E65091"/>
    <w:rsid w:val="00E65E54"/>
    <w:rsid w:val="00E661C7"/>
    <w:rsid w:val="00E737F9"/>
    <w:rsid w:val="00E74792"/>
    <w:rsid w:val="00E74B3C"/>
    <w:rsid w:val="00E75F1B"/>
    <w:rsid w:val="00E80155"/>
    <w:rsid w:val="00E80B67"/>
    <w:rsid w:val="00E8134B"/>
    <w:rsid w:val="00E81ADB"/>
    <w:rsid w:val="00E81E0D"/>
    <w:rsid w:val="00E81F28"/>
    <w:rsid w:val="00E848C0"/>
    <w:rsid w:val="00E91B96"/>
    <w:rsid w:val="00E934F0"/>
    <w:rsid w:val="00E93D1E"/>
    <w:rsid w:val="00E941A1"/>
    <w:rsid w:val="00E95CE3"/>
    <w:rsid w:val="00E967FB"/>
    <w:rsid w:val="00EA23C2"/>
    <w:rsid w:val="00EA252F"/>
    <w:rsid w:val="00EA2825"/>
    <w:rsid w:val="00EA41AB"/>
    <w:rsid w:val="00EA51A4"/>
    <w:rsid w:val="00EA5413"/>
    <w:rsid w:val="00EA6518"/>
    <w:rsid w:val="00EA721C"/>
    <w:rsid w:val="00EA7466"/>
    <w:rsid w:val="00EA7EDE"/>
    <w:rsid w:val="00EB0B63"/>
    <w:rsid w:val="00EB1936"/>
    <w:rsid w:val="00EB37BE"/>
    <w:rsid w:val="00EB5088"/>
    <w:rsid w:val="00EC379B"/>
    <w:rsid w:val="00EC7157"/>
    <w:rsid w:val="00ED0B59"/>
    <w:rsid w:val="00ED1644"/>
    <w:rsid w:val="00ED209D"/>
    <w:rsid w:val="00ED2593"/>
    <w:rsid w:val="00ED77E9"/>
    <w:rsid w:val="00ED7D55"/>
    <w:rsid w:val="00ED7D9C"/>
    <w:rsid w:val="00EE31A2"/>
    <w:rsid w:val="00EF0069"/>
    <w:rsid w:val="00EF44A0"/>
    <w:rsid w:val="00EF4FED"/>
    <w:rsid w:val="00EF6801"/>
    <w:rsid w:val="00EF69B3"/>
    <w:rsid w:val="00EF6FB3"/>
    <w:rsid w:val="00EF7232"/>
    <w:rsid w:val="00F007C6"/>
    <w:rsid w:val="00F0172E"/>
    <w:rsid w:val="00F050BD"/>
    <w:rsid w:val="00F05657"/>
    <w:rsid w:val="00F1644F"/>
    <w:rsid w:val="00F17ED6"/>
    <w:rsid w:val="00F209E2"/>
    <w:rsid w:val="00F25578"/>
    <w:rsid w:val="00F258E5"/>
    <w:rsid w:val="00F25B9C"/>
    <w:rsid w:val="00F26CC6"/>
    <w:rsid w:val="00F300BC"/>
    <w:rsid w:val="00F3263C"/>
    <w:rsid w:val="00F3334E"/>
    <w:rsid w:val="00F36CCB"/>
    <w:rsid w:val="00F374E5"/>
    <w:rsid w:val="00F374E9"/>
    <w:rsid w:val="00F37B93"/>
    <w:rsid w:val="00F37BAD"/>
    <w:rsid w:val="00F37ECA"/>
    <w:rsid w:val="00F4221A"/>
    <w:rsid w:val="00F43AF2"/>
    <w:rsid w:val="00F47124"/>
    <w:rsid w:val="00F5007E"/>
    <w:rsid w:val="00F50EC4"/>
    <w:rsid w:val="00F52218"/>
    <w:rsid w:val="00F52232"/>
    <w:rsid w:val="00F550CF"/>
    <w:rsid w:val="00F57A6D"/>
    <w:rsid w:val="00F57C57"/>
    <w:rsid w:val="00F638CC"/>
    <w:rsid w:val="00F64C9E"/>
    <w:rsid w:val="00F64CC1"/>
    <w:rsid w:val="00F72317"/>
    <w:rsid w:val="00F7413C"/>
    <w:rsid w:val="00F74FFA"/>
    <w:rsid w:val="00F80475"/>
    <w:rsid w:val="00F8247A"/>
    <w:rsid w:val="00F82E5C"/>
    <w:rsid w:val="00F84834"/>
    <w:rsid w:val="00F87FE4"/>
    <w:rsid w:val="00F9018B"/>
    <w:rsid w:val="00F92BC7"/>
    <w:rsid w:val="00F9629A"/>
    <w:rsid w:val="00F97EFC"/>
    <w:rsid w:val="00FA1BDD"/>
    <w:rsid w:val="00FA305C"/>
    <w:rsid w:val="00FA4DD5"/>
    <w:rsid w:val="00FA5883"/>
    <w:rsid w:val="00FA6055"/>
    <w:rsid w:val="00FA6D00"/>
    <w:rsid w:val="00FB0B39"/>
    <w:rsid w:val="00FB322F"/>
    <w:rsid w:val="00FB442F"/>
    <w:rsid w:val="00FB7353"/>
    <w:rsid w:val="00FB74D7"/>
    <w:rsid w:val="00FC118C"/>
    <w:rsid w:val="00FC1929"/>
    <w:rsid w:val="00FC2844"/>
    <w:rsid w:val="00FC3158"/>
    <w:rsid w:val="00FC4561"/>
    <w:rsid w:val="00FC5B46"/>
    <w:rsid w:val="00FD663D"/>
    <w:rsid w:val="00FD6D8E"/>
    <w:rsid w:val="00FE0663"/>
    <w:rsid w:val="00FE08D0"/>
    <w:rsid w:val="00FE0E94"/>
    <w:rsid w:val="00FE3CD9"/>
    <w:rsid w:val="00FF00BD"/>
    <w:rsid w:val="00FF1ED4"/>
    <w:rsid w:val="00FF2801"/>
    <w:rsid w:val="00FF7D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ASD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9"/>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10"/>
      </w:numPr>
      <w:contextualSpacing/>
    </w:pPr>
  </w:style>
  <w:style w:type="paragraph" w:customStyle="1" w:styleId="Default">
    <w:name w:val="Default"/>
    <w:rsid w:val="00877153"/>
    <w:pPr>
      <w:autoSpaceDE w:val="0"/>
      <w:autoSpaceDN w:val="0"/>
      <w:adjustRightInd w:val="0"/>
    </w:pPr>
    <w:rPr>
      <w:rFonts w:ascii="Arial" w:hAnsi="Arial" w:cs="Arial"/>
      <w:color w:val="000000"/>
      <w:sz w:val="24"/>
      <w:szCs w:val="24"/>
    </w:rPr>
  </w:style>
  <w:style w:type="table" w:customStyle="1" w:styleId="ASDTable1">
    <w:name w:val="ASD Table1"/>
    <w:basedOn w:val="TableNormal"/>
    <w:next w:val="TableGrid"/>
    <w:uiPriority w:val="39"/>
    <w:rsid w:val="003F1BB9"/>
    <w:rPr>
      <w:rFonts w:ascii="Trebuchet MS" w:eastAsia="Calibri" w:hAnsi="Trebuchet M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0">
    <w:name w:val="Table notes"/>
    <w:basedOn w:val="Normal"/>
    <w:link w:val="TablenotesChar"/>
    <w:qFormat/>
    <w:rsid w:val="00087D22"/>
    <w:pPr>
      <w:jc w:val="left"/>
    </w:pPr>
    <w:rPr>
      <w:rFonts w:ascii="Trebuchet MS" w:hAnsi="Trebuchet MS"/>
      <w:sz w:val="16"/>
      <w:szCs w:val="20"/>
      <w:lang w:eastAsia="en-US"/>
    </w:rPr>
  </w:style>
  <w:style w:type="character" w:customStyle="1" w:styleId="TablenotesChar">
    <w:name w:val="Table notes Char"/>
    <w:basedOn w:val="DefaultParagraphFont"/>
    <w:link w:val="Tablenotes0"/>
    <w:rsid w:val="00087D22"/>
    <w:rPr>
      <w:rFonts w:ascii="Trebuchet MS" w:hAnsi="Trebuchet MS"/>
      <w:sz w:val="16"/>
      <w:lang w:eastAsia="en-US"/>
    </w:rPr>
  </w:style>
  <w:style w:type="table" w:customStyle="1" w:styleId="ASDTable2">
    <w:name w:val="ASD Table2"/>
    <w:basedOn w:val="TableNormal"/>
    <w:next w:val="TableGrid"/>
    <w:uiPriority w:val="39"/>
    <w:rsid w:val="00A13D95"/>
    <w:rPr>
      <w:rFonts w:ascii="Trebuchet MS" w:eastAsia="Calibri" w:hAnsi="Trebuchet M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A55AE8"/>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713DE-A4AF-46DF-9C97-0CD789415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3901</Words>
  <Characters>20984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2021-06-29T04:02:00Z</dcterms:created>
  <dcterms:modified xsi:type="dcterms:W3CDTF">2021-06-29T04:02:00Z</dcterms:modified>
</cp:coreProperties>
</file>