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EF" w:rsidRPr="007F116C" w:rsidRDefault="005E15EF" w:rsidP="00E275A0">
      <w:pPr>
        <w:ind w:left="720" w:hanging="720"/>
        <w:jc w:val="left"/>
        <w:outlineLvl w:val="0"/>
        <w:rPr>
          <w:b/>
          <w:sz w:val="36"/>
          <w:szCs w:val="36"/>
        </w:rPr>
      </w:pPr>
      <w:bookmarkStart w:id="0" w:name="_Toc341702043"/>
      <w:bookmarkStart w:id="1" w:name="_Toc380742621"/>
      <w:bookmarkStart w:id="2" w:name="_Toc380746188"/>
      <w:bookmarkStart w:id="3" w:name="_Toc380746314"/>
      <w:bookmarkStart w:id="4" w:name="_Toc380746595"/>
      <w:r w:rsidRPr="007F116C">
        <w:rPr>
          <w:b/>
          <w:sz w:val="36"/>
          <w:szCs w:val="36"/>
        </w:rPr>
        <w:t>5.</w:t>
      </w:r>
      <w:r w:rsidR="00FB653A" w:rsidRPr="007F116C">
        <w:rPr>
          <w:b/>
          <w:sz w:val="36"/>
          <w:szCs w:val="36"/>
        </w:rPr>
        <w:t>13</w:t>
      </w:r>
      <w:r w:rsidRPr="007F116C">
        <w:rPr>
          <w:b/>
          <w:sz w:val="36"/>
          <w:szCs w:val="36"/>
        </w:rPr>
        <w:tab/>
        <w:t xml:space="preserve">OFATUMUMAB, </w:t>
      </w:r>
      <w:r w:rsidR="002F3E9A" w:rsidRPr="007F116C">
        <w:rPr>
          <w:b/>
          <w:sz w:val="36"/>
          <w:szCs w:val="36"/>
        </w:rPr>
        <w:br/>
      </w:r>
      <w:r w:rsidR="00177FB4" w:rsidRPr="007F116C">
        <w:rPr>
          <w:rFonts w:asciiTheme="minorHAnsi" w:hAnsiTheme="minorHAnsi"/>
          <w:b/>
          <w:sz w:val="36"/>
          <w:szCs w:val="36"/>
        </w:rPr>
        <w:t>Injection 20 mg in 0.4 mL single use pre-filled pen</w:t>
      </w:r>
      <w:r w:rsidR="002F3E9A" w:rsidRPr="007F116C">
        <w:rPr>
          <w:b/>
          <w:sz w:val="36"/>
          <w:szCs w:val="36"/>
        </w:rPr>
        <w:t xml:space="preserve">, </w:t>
      </w:r>
      <w:r w:rsidR="002F3E9A" w:rsidRPr="007F116C">
        <w:rPr>
          <w:b/>
          <w:sz w:val="36"/>
          <w:szCs w:val="36"/>
        </w:rPr>
        <w:br/>
      </w:r>
      <w:r w:rsidRPr="007F116C">
        <w:rPr>
          <w:b/>
          <w:sz w:val="36"/>
          <w:szCs w:val="36"/>
        </w:rPr>
        <w:t>Kesimpta</w:t>
      </w:r>
      <w:r w:rsidRPr="007F116C">
        <w:rPr>
          <w:b/>
          <w:sz w:val="36"/>
          <w:szCs w:val="36"/>
          <w:vertAlign w:val="superscript"/>
        </w:rPr>
        <w:t>®</w:t>
      </w:r>
      <w:r w:rsidRPr="007F116C">
        <w:rPr>
          <w:b/>
          <w:sz w:val="36"/>
          <w:szCs w:val="36"/>
        </w:rPr>
        <w:t xml:space="preserve">, </w:t>
      </w:r>
      <w:r w:rsidR="002F3E9A" w:rsidRPr="007F116C">
        <w:rPr>
          <w:b/>
          <w:sz w:val="36"/>
          <w:szCs w:val="36"/>
        </w:rPr>
        <w:br/>
      </w:r>
      <w:r w:rsidRPr="007F116C">
        <w:rPr>
          <w:b/>
          <w:sz w:val="36"/>
          <w:szCs w:val="36"/>
        </w:rPr>
        <w:t>Novartis</w:t>
      </w:r>
      <w:r w:rsidR="002F3E9A" w:rsidRPr="007F116C">
        <w:rPr>
          <w:b/>
          <w:sz w:val="36"/>
          <w:szCs w:val="36"/>
        </w:rPr>
        <w:t xml:space="preserve"> Pharmaceuticals</w:t>
      </w:r>
      <w:r w:rsidR="00177FB4" w:rsidRPr="007F116C">
        <w:rPr>
          <w:b/>
          <w:sz w:val="36"/>
          <w:szCs w:val="36"/>
        </w:rPr>
        <w:t xml:space="preserve"> Australia Pty Ltd</w:t>
      </w:r>
    </w:p>
    <w:p w:rsidR="005E15EF" w:rsidRPr="007F116C" w:rsidRDefault="005E15EF" w:rsidP="005E15EF"/>
    <w:p w:rsidR="005E15EF" w:rsidRPr="007F116C" w:rsidRDefault="005E15EF" w:rsidP="005E15EF">
      <w:pPr>
        <w:pStyle w:val="PBACHeading1"/>
      </w:pPr>
      <w:bookmarkStart w:id="5" w:name="_Toc62048838"/>
      <w:r w:rsidRPr="007F116C">
        <w:t>Purpose of Application</w:t>
      </w:r>
      <w:bookmarkEnd w:id="5"/>
    </w:p>
    <w:p w:rsidR="005E15EF" w:rsidRPr="007F116C" w:rsidRDefault="005E15EF" w:rsidP="005E15EF"/>
    <w:p w:rsidR="005E15EF" w:rsidRPr="007F116C" w:rsidRDefault="00524BC1" w:rsidP="005E15EF">
      <w:pPr>
        <w:pStyle w:val="ListParagraph"/>
        <w:widowControl/>
        <w:numPr>
          <w:ilvl w:val="1"/>
          <w:numId w:val="2"/>
        </w:numPr>
      </w:pPr>
      <w:r w:rsidRPr="007F116C">
        <w:t>The submission requested a General Schedule,</w:t>
      </w:r>
      <w:r w:rsidR="005E15EF" w:rsidRPr="007F116C">
        <w:t xml:space="preserve"> Authority Required (S</w:t>
      </w:r>
      <w:r w:rsidRPr="007F116C">
        <w:t>TREAMLINED</w:t>
      </w:r>
      <w:r w:rsidR="005E15EF" w:rsidRPr="007F116C">
        <w:t>) listing for ofatumumab</w:t>
      </w:r>
      <w:r w:rsidR="003C02E1" w:rsidRPr="007F116C">
        <w:t xml:space="preserve"> (OFA)</w:t>
      </w:r>
      <w:r w:rsidR="005E15EF" w:rsidRPr="007F116C">
        <w:t xml:space="preserve"> for treatment of relapsing</w:t>
      </w:r>
      <w:r w:rsidRPr="007F116C">
        <w:t>-remitting</w:t>
      </w:r>
      <w:r w:rsidR="005E15EF" w:rsidRPr="007F116C">
        <w:t xml:space="preserve"> multiple sclerosis (R</w:t>
      </w:r>
      <w:r w:rsidRPr="007F116C">
        <w:t>R</w:t>
      </w:r>
      <w:r w:rsidR="005E15EF" w:rsidRPr="007F116C">
        <w:t>MS). This is the first submission for ofatumumab in R</w:t>
      </w:r>
      <w:r w:rsidRPr="007F116C">
        <w:t>R</w:t>
      </w:r>
      <w:r w:rsidR="005E15EF" w:rsidRPr="007F116C">
        <w:t>MS</w:t>
      </w:r>
      <w:r w:rsidRPr="007F116C">
        <w:t>.</w:t>
      </w:r>
      <w:r w:rsidR="005E15EF" w:rsidRPr="007F116C">
        <w:t xml:space="preserve"> </w:t>
      </w:r>
    </w:p>
    <w:p w:rsidR="005E15EF" w:rsidRPr="007F116C" w:rsidRDefault="005E15EF" w:rsidP="005E15EF">
      <w:pPr>
        <w:pStyle w:val="ListParagraph"/>
        <w:widowControl/>
        <w:numPr>
          <w:ilvl w:val="1"/>
          <w:numId w:val="2"/>
        </w:numPr>
        <w:spacing w:after="120"/>
      </w:pPr>
      <w:r w:rsidRPr="007F116C">
        <w:t>The</w:t>
      </w:r>
      <w:r w:rsidR="00524BC1" w:rsidRPr="007F116C">
        <w:t xml:space="preserve"> </w:t>
      </w:r>
      <w:r w:rsidR="00BD2CB5" w:rsidRPr="007F116C">
        <w:t>listing is</w:t>
      </w:r>
      <w:r w:rsidRPr="007F116C">
        <w:t xml:space="preserve"> requested</w:t>
      </w:r>
      <w:r w:rsidR="00524BC1" w:rsidRPr="007F116C">
        <w:t xml:space="preserve"> on a</w:t>
      </w:r>
      <w:r w:rsidRPr="007F116C">
        <w:t xml:space="preserve"> cost-minimisation</w:t>
      </w:r>
      <w:r w:rsidR="00524BC1" w:rsidRPr="007F116C">
        <w:t xml:space="preserve"> basis</w:t>
      </w:r>
      <w:r w:rsidRPr="007F116C">
        <w:t xml:space="preserve"> to fingolimod</w:t>
      </w:r>
      <w:r w:rsidR="00524BC1" w:rsidRPr="007F116C">
        <w:t>,</w:t>
      </w:r>
      <w:r w:rsidRPr="007F116C">
        <w:t xml:space="preserve"> as a reference comparator for the nominated comparators fingolimod, cladribine, ocrelizumab, and natalizumab.</w:t>
      </w:r>
    </w:p>
    <w:p w:rsidR="005E15EF" w:rsidRPr="007F116C" w:rsidRDefault="00522713" w:rsidP="005E15EF">
      <w:pPr>
        <w:pStyle w:val="ListParagraph"/>
        <w:widowControl/>
        <w:numPr>
          <w:ilvl w:val="1"/>
          <w:numId w:val="2"/>
        </w:numPr>
        <w:spacing w:after="120"/>
      </w:pPr>
      <w:r w:rsidRPr="007F116C">
        <w:rPr>
          <w:rStyle w:val="CommentReference"/>
          <w:rFonts w:asciiTheme="minorHAnsi" w:hAnsiTheme="minorHAnsi" w:cstheme="minorHAnsi"/>
          <w:b w:val="0"/>
          <w:bCs/>
          <w:sz w:val="24"/>
          <w:szCs w:val="24"/>
        </w:rPr>
        <w:t>Table 1</w:t>
      </w:r>
      <w:r w:rsidR="005E15EF" w:rsidRPr="007F116C">
        <w:rPr>
          <w:rFonts w:asciiTheme="minorHAnsi" w:hAnsiTheme="minorHAnsi" w:cstheme="minorHAnsi"/>
          <w:b/>
          <w:bCs/>
          <w:szCs w:val="24"/>
        </w:rPr>
        <w:t xml:space="preserve"> </w:t>
      </w:r>
      <w:r w:rsidR="005E15EF" w:rsidRPr="007F116C">
        <w:t>presents key components of the clinical issue addressed by the submission.</w:t>
      </w:r>
    </w:p>
    <w:p w:rsidR="005E15EF" w:rsidRPr="007F116C" w:rsidRDefault="005E15EF" w:rsidP="00B329BC">
      <w:pPr>
        <w:keepNext/>
        <w:keepLines/>
      </w:pPr>
      <w:bookmarkStart w:id="6" w:name="_Ref60735790"/>
      <w:r w:rsidRPr="007F116C">
        <w:rPr>
          <w:rStyle w:val="CommentReference"/>
        </w:rPr>
        <w:t xml:space="preserve">Table </w:t>
      </w:r>
      <w:r w:rsidR="00522713" w:rsidRPr="007F116C">
        <w:rPr>
          <w:rStyle w:val="CommentReference"/>
        </w:rPr>
        <w:t>1</w:t>
      </w:r>
      <w:bookmarkEnd w:id="6"/>
      <w:r w:rsidRPr="007F116C">
        <w:rPr>
          <w:rStyle w:val="CommentReference"/>
        </w:rPr>
        <w:t>: Key components of the clinical issue addressed by the submission (as stated in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5E15EF" w:rsidRPr="007F116C" w:rsidTr="00B36D14">
        <w:tc>
          <w:tcPr>
            <w:tcW w:w="911" w:type="pct"/>
            <w:vAlign w:val="center"/>
          </w:tcPr>
          <w:p w:rsidR="005E15EF" w:rsidRPr="007F116C" w:rsidRDefault="005E15EF" w:rsidP="00B329BC">
            <w:pPr>
              <w:pStyle w:val="Tabletext"/>
              <w:keepNext/>
              <w:keepLines/>
              <w:rPr>
                <w:b/>
              </w:rPr>
            </w:pPr>
            <w:r w:rsidRPr="007F116C">
              <w:rPr>
                <w:b/>
              </w:rPr>
              <w:t>Component</w:t>
            </w:r>
          </w:p>
        </w:tc>
        <w:tc>
          <w:tcPr>
            <w:tcW w:w="4089" w:type="pct"/>
            <w:vAlign w:val="center"/>
          </w:tcPr>
          <w:p w:rsidR="005E15EF" w:rsidRPr="007F116C" w:rsidRDefault="005E15EF" w:rsidP="00B329BC">
            <w:pPr>
              <w:pStyle w:val="Tabletext"/>
              <w:keepNext/>
              <w:keepLines/>
              <w:jc w:val="center"/>
              <w:rPr>
                <w:b/>
              </w:rPr>
            </w:pPr>
            <w:r w:rsidRPr="007F116C">
              <w:rPr>
                <w:b/>
              </w:rPr>
              <w:t>Description</w:t>
            </w:r>
          </w:p>
        </w:tc>
      </w:tr>
      <w:tr w:rsidR="005E15EF" w:rsidRPr="007F116C" w:rsidTr="00B36D14">
        <w:tc>
          <w:tcPr>
            <w:tcW w:w="911" w:type="pct"/>
            <w:vAlign w:val="center"/>
          </w:tcPr>
          <w:p w:rsidR="005E15EF" w:rsidRPr="007F116C" w:rsidRDefault="005E15EF" w:rsidP="00B329BC">
            <w:pPr>
              <w:pStyle w:val="Tabletext"/>
              <w:keepNext/>
              <w:keepLines/>
            </w:pPr>
            <w:r w:rsidRPr="007F116C">
              <w:t>Population</w:t>
            </w:r>
          </w:p>
        </w:tc>
        <w:tc>
          <w:tcPr>
            <w:tcW w:w="4089" w:type="pct"/>
            <w:vAlign w:val="center"/>
          </w:tcPr>
          <w:p w:rsidR="005E15EF" w:rsidRPr="007F116C" w:rsidRDefault="005E15EF" w:rsidP="00B329BC">
            <w:pPr>
              <w:pStyle w:val="Tabletext"/>
              <w:keepNext/>
              <w:keepLines/>
            </w:pPr>
            <w:r w:rsidRPr="007F116C">
              <w:t>Patients with relapsing forms of multiple sclerosis</w:t>
            </w:r>
          </w:p>
        </w:tc>
      </w:tr>
      <w:tr w:rsidR="005E15EF" w:rsidRPr="007F116C" w:rsidTr="00B36D14">
        <w:tc>
          <w:tcPr>
            <w:tcW w:w="911" w:type="pct"/>
            <w:vAlign w:val="center"/>
          </w:tcPr>
          <w:p w:rsidR="005E15EF" w:rsidRPr="007F116C" w:rsidRDefault="005E15EF" w:rsidP="00B329BC">
            <w:pPr>
              <w:pStyle w:val="Tabletext"/>
              <w:keepNext/>
              <w:keepLines/>
            </w:pPr>
            <w:r w:rsidRPr="007F116C">
              <w:t>Intervention</w:t>
            </w:r>
          </w:p>
        </w:tc>
        <w:tc>
          <w:tcPr>
            <w:tcW w:w="4089" w:type="pct"/>
          </w:tcPr>
          <w:p w:rsidR="005E15EF" w:rsidRPr="007F116C" w:rsidRDefault="005E15EF" w:rsidP="00B329BC">
            <w:pPr>
              <w:pStyle w:val="Tabletext"/>
              <w:keepNext/>
              <w:keepLines/>
            </w:pPr>
            <w:r w:rsidRPr="007F116C">
              <w:t>Ofatumumab 20mg SC monthly, following initial doses at week 0, 1,</w:t>
            </w:r>
            <w:r w:rsidR="004D264C" w:rsidRPr="007F116C">
              <w:t xml:space="preserve"> </w:t>
            </w:r>
            <w:r w:rsidRPr="007F116C">
              <w:t>2 and week 4</w:t>
            </w:r>
          </w:p>
        </w:tc>
      </w:tr>
      <w:tr w:rsidR="005E15EF" w:rsidRPr="007F116C" w:rsidTr="00B36D14">
        <w:tc>
          <w:tcPr>
            <w:tcW w:w="911" w:type="pct"/>
            <w:vAlign w:val="center"/>
          </w:tcPr>
          <w:p w:rsidR="005E15EF" w:rsidRPr="007F116C" w:rsidRDefault="005E15EF" w:rsidP="00B329BC">
            <w:pPr>
              <w:pStyle w:val="Tabletext"/>
              <w:keepNext/>
              <w:keepLines/>
            </w:pPr>
            <w:r w:rsidRPr="007F116C">
              <w:t>Comparator</w:t>
            </w:r>
          </w:p>
        </w:tc>
        <w:tc>
          <w:tcPr>
            <w:tcW w:w="4089" w:type="pct"/>
            <w:vAlign w:val="center"/>
          </w:tcPr>
          <w:p w:rsidR="005E15EF" w:rsidRPr="007F116C" w:rsidRDefault="005E15EF" w:rsidP="00BB0E0F">
            <w:pPr>
              <w:pStyle w:val="Tabletext"/>
              <w:keepNext/>
              <w:keepLines/>
            </w:pPr>
            <w:r w:rsidRPr="007F116C">
              <w:t>Main comparators are high efficacy DMTs: fingolimod, ocrelizumab, natalizumab, cladribine. Other and near market comparators are also considered</w:t>
            </w:r>
          </w:p>
        </w:tc>
      </w:tr>
      <w:tr w:rsidR="005E15EF" w:rsidRPr="007F116C" w:rsidTr="00B36D14">
        <w:tc>
          <w:tcPr>
            <w:tcW w:w="911" w:type="pct"/>
            <w:vAlign w:val="center"/>
          </w:tcPr>
          <w:p w:rsidR="005E15EF" w:rsidRPr="007F116C" w:rsidRDefault="005E15EF" w:rsidP="00B329BC">
            <w:pPr>
              <w:pStyle w:val="Tabletext"/>
              <w:keepNext/>
              <w:keepLines/>
            </w:pPr>
            <w:r w:rsidRPr="007F116C">
              <w:t>Outcomes</w:t>
            </w:r>
          </w:p>
        </w:tc>
        <w:tc>
          <w:tcPr>
            <w:tcW w:w="4089" w:type="pct"/>
            <w:vAlign w:val="center"/>
          </w:tcPr>
          <w:p w:rsidR="005E15EF" w:rsidRPr="007F116C" w:rsidRDefault="005E15EF" w:rsidP="00B329BC">
            <w:pPr>
              <w:pStyle w:val="Tabletext"/>
              <w:keepNext/>
              <w:keepLines/>
            </w:pPr>
            <w:r w:rsidRPr="007F116C">
              <w:t>ARR; proportion (%) free from relapse; 3- and 6-month confirmed disability progression/worsening; and safety (any adverse event)</w:t>
            </w:r>
          </w:p>
        </w:tc>
      </w:tr>
      <w:tr w:rsidR="005E15EF" w:rsidRPr="007F116C" w:rsidTr="00B36D14">
        <w:tc>
          <w:tcPr>
            <w:tcW w:w="911" w:type="pct"/>
            <w:vAlign w:val="center"/>
          </w:tcPr>
          <w:p w:rsidR="005E15EF" w:rsidRPr="007F116C" w:rsidRDefault="005E15EF" w:rsidP="00B329BC">
            <w:pPr>
              <w:pStyle w:val="Tabletext"/>
              <w:keepNext/>
              <w:keepLines/>
            </w:pPr>
            <w:r w:rsidRPr="007F116C">
              <w:t>Clinical claim</w:t>
            </w:r>
          </w:p>
        </w:tc>
        <w:tc>
          <w:tcPr>
            <w:tcW w:w="4089" w:type="pct"/>
            <w:vAlign w:val="center"/>
          </w:tcPr>
          <w:p w:rsidR="005E15EF" w:rsidRPr="007F116C" w:rsidRDefault="005E15EF" w:rsidP="00B329BC">
            <w:pPr>
              <w:pStyle w:val="Tabletext"/>
              <w:keepNext/>
              <w:keepLines/>
            </w:pPr>
            <w:r w:rsidRPr="007F116C">
              <w:t>In patients with relapsing forms of multiple sclerosis, ofatumumab is non-inferior to fingolimod, ocrelizumab, natalizumab and cladribine with respect to efficacy and safety</w:t>
            </w:r>
          </w:p>
        </w:tc>
      </w:tr>
    </w:tbl>
    <w:p w:rsidR="003C02E1" w:rsidRPr="007F116C" w:rsidRDefault="005E15EF" w:rsidP="00B329BC">
      <w:pPr>
        <w:pStyle w:val="TableFooter"/>
        <w:keepNext/>
        <w:keepLines/>
      </w:pPr>
      <w:r w:rsidRPr="007F116C">
        <w:t>Source: Table 1.1, p18 of the submission.</w:t>
      </w:r>
    </w:p>
    <w:p w:rsidR="003C02E1" w:rsidRPr="007F116C" w:rsidRDefault="005E15EF" w:rsidP="003C02E1">
      <w:pPr>
        <w:pStyle w:val="TableFooter"/>
        <w:keepNext/>
        <w:keepLines/>
      </w:pPr>
      <w:r w:rsidRPr="007F116C">
        <w:t>ARR = annualised relapse rate; DMT = disease modifying therapy; SC = subcutaneous</w:t>
      </w:r>
    </w:p>
    <w:p w:rsidR="00BE1793" w:rsidRPr="007F116C" w:rsidRDefault="00BE1793" w:rsidP="003C02E1">
      <w:pPr>
        <w:pStyle w:val="Bulletpoints"/>
        <w:numPr>
          <w:ilvl w:val="0"/>
          <w:numId w:val="0"/>
        </w:numPr>
        <w:rPr>
          <w:rFonts w:ascii="Arial Narrow" w:hAnsi="Arial Narrow"/>
          <w:sz w:val="18"/>
        </w:rPr>
      </w:pPr>
    </w:p>
    <w:p w:rsidR="003C02E1" w:rsidRPr="007F116C" w:rsidRDefault="003C02E1" w:rsidP="00BE1793">
      <w:pPr>
        <w:pStyle w:val="ListParagraph"/>
        <w:widowControl/>
        <w:numPr>
          <w:ilvl w:val="1"/>
          <w:numId w:val="2"/>
        </w:numPr>
        <w:spacing w:after="120"/>
        <w:rPr>
          <w:rStyle w:val="CommentReference"/>
          <w:rFonts w:asciiTheme="minorHAnsi" w:hAnsiTheme="minorHAnsi" w:cstheme="minorHAnsi"/>
          <w:b w:val="0"/>
          <w:bCs/>
          <w:sz w:val="24"/>
          <w:szCs w:val="24"/>
        </w:rPr>
      </w:pPr>
      <w:r w:rsidRPr="007F116C">
        <w:rPr>
          <w:rStyle w:val="CommentReference"/>
          <w:rFonts w:asciiTheme="minorHAnsi" w:hAnsiTheme="minorHAnsi" w:cstheme="minorHAnsi"/>
          <w:b w:val="0"/>
          <w:bCs/>
          <w:sz w:val="24"/>
          <w:szCs w:val="24"/>
        </w:rPr>
        <w:t>The key ofatumumab</w:t>
      </w:r>
      <w:r w:rsidR="00EC1DEC" w:rsidRPr="007F116C">
        <w:rPr>
          <w:rStyle w:val="CommentReference"/>
          <w:rFonts w:asciiTheme="minorHAnsi" w:hAnsiTheme="minorHAnsi" w:cstheme="minorHAnsi"/>
          <w:b w:val="0"/>
          <w:bCs/>
          <w:sz w:val="24"/>
          <w:szCs w:val="24"/>
        </w:rPr>
        <w:t xml:space="preserve"> and</w:t>
      </w:r>
      <w:r w:rsidR="00EB5B4B" w:rsidRPr="007F116C">
        <w:rPr>
          <w:rStyle w:val="CommentReference"/>
          <w:rFonts w:asciiTheme="minorHAnsi" w:hAnsiTheme="minorHAnsi" w:cstheme="minorHAnsi"/>
          <w:b w:val="0"/>
          <w:bCs/>
          <w:sz w:val="24"/>
          <w:szCs w:val="24"/>
        </w:rPr>
        <w:t xml:space="preserve"> many of the</w:t>
      </w:r>
      <w:r w:rsidR="00EC1DEC" w:rsidRPr="007F116C">
        <w:rPr>
          <w:rStyle w:val="CommentReference"/>
          <w:rFonts w:asciiTheme="minorHAnsi" w:hAnsiTheme="minorHAnsi" w:cstheme="minorHAnsi"/>
          <w:b w:val="0"/>
          <w:bCs/>
          <w:sz w:val="24"/>
          <w:szCs w:val="24"/>
        </w:rPr>
        <w:t xml:space="preserve"> comparator</w:t>
      </w:r>
      <w:r w:rsidRPr="007F116C">
        <w:rPr>
          <w:rStyle w:val="CommentReference"/>
          <w:rFonts w:asciiTheme="minorHAnsi" w:hAnsiTheme="minorHAnsi" w:cstheme="minorHAnsi"/>
          <w:b w:val="0"/>
          <w:bCs/>
          <w:sz w:val="24"/>
          <w:szCs w:val="24"/>
        </w:rPr>
        <w:t xml:space="preserve"> trials included patients with relapsing forms of MS</w:t>
      </w:r>
      <w:r w:rsidR="0014657E" w:rsidRPr="007F116C">
        <w:rPr>
          <w:rStyle w:val="CommentReference"/>
          <w:rFonts w:asciiTheme="minorHAnsi" w:hAnsiTheme="minorHAnsi" w:cstheme="minorHAnsi"/>
          <w:b w:val="0"/>
          <w:bCs/>
          <w:sz w:val="24"/>
          <w:szCs w:val="24"/>
        </w:rPr>
        <w:t xml:space="preserve"> (RMS)</w:t>
      </w:r>
      <w:r w:rsidRPr="007F116C">
        <w:rPr>
          <w:rStyle w:val="CommentReference"/>
          <w:rFonts w:asciiTheme="minorHAnsi" w:hAnsiTheme="minorHAnsi" w:cstheme="minorHAnsi"/>
          <w:b w:val="0"/>
          <w:bCs/>
          <w:sz w:val="24"/>
          <w:szCs w:val="24"/>
        </w:rPr>
        <w:t>, including RRMS and a small number of patients with secondary progressive MS (SPMS). The submission requested listing only for patients with RRMS</w:t>
      </w:r>
      <w:r w:rsidR="002615E8" w:rsidRPr="007F116C">
        <w:rPr>
          <w:rStyle w:val="CommentReference"/>
          <w:rFonts w:asciiTheme="minorHAnsi" w:hAnsiTheme="minorHAnsi" w:cstheme="minorHAnsi"/>
          <w:b w:val="0"/>
          <w:bCs/>
          <w:sz w:val="24"/>
          <w:szCs w:val="24"/>
        </w:rPr>
        <w:t>.</w:t>
      </w:r>
    </w:p>
    <w:p w:rsidR="00135D22" w:rsidRDefault="00135D22">
      <w:pPr>
        <w:widowControl/>
        <w:jc w:val="left"/>
      </w:pPr>
      <w:r>
        <w:br w:type="page"/>
      </w:r>
    </w:p>
    <w:p w:rsidR="005E15EF" w:rsidRPr="007F116C" w:rsidRDefault="005E15EF" w:rsidP="005E15EF"/>
    <w:p w:rsidR="005E15EF" w:rsidRPr="007F116C" w:rsidRDefault="005E15EF" w:rsidP="005E15EF">
      <w:pPr>
        <w:pStyle w:val="PBACHeading1"/>
      </w:pPr>
      <w:bookmarkStart w:id="7" w:name="_Toc62048839"/>
      <w:r w:rsidRPr="007F116C">
        <w:t>Requested listing</w:t>
      </w:r>
      <w:bookmarkEnd w:id="7"/>
    </w:p>
    <w:p w:rsidR="005E15EF" w:rsidRPr="007F116C" w:rsidRDefault="005E15EF" w:rsidP="005E15EF">
      <w:pPr>
        <w:widowControl/>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54"/>
        <w:gridCol w:w="640"/>
        <w:gridCol w:w="1403"/>
        <w:gridCol w:w="1140"/>
        <w:gridCol w:w="801"/>
        <w:gridCol w:w="1845"/>
        <w:gridCol w:w="1634"/>
      </w:tblGrid>
      <w:tr w:rsidR="005E15EF" w:rsidRPr="007F116C" w:rsidTr="00275677">
        <w:tc>
          <w:tcPr>
            <w:tcW w:w="1217" w:type="pct"/>
            <w:gridSpan w:val="2"/>
            <w:tcBorders>
              <w:left w:val="single" w:sz="4" w:space="0" w:color="auto"/>
              <w:bottom w:val="single" w:sz="4" w:space="0" w:color="auto"/>
              <w:right w:val="single" w:sz="4" w:space="0" w:color="auto"/>
            </w:tcBorders>
          </w:tcPr>
          <w:p w:rsidR="005E15EF" w:rsidRPr="007F116C" w:rsidRDefault="005E15EF" w:rsidP="005E15EF">
            <w:pPr>
              <w:pStyle w:val="Tabletext"/>
              <w:keepNext/>
              <w:keepLines/>
              <w:rPr>
                <w:b/>
                <w:bCs/>
              </w:rPr>
            </w:pPr>
            <w:r w:rsidRPr="007F116C">
              <w:rPr>
                <w:b/>
              </w:rPr>
              <w:t>Name, restriction, manner of administration, form</w:t>
            </w:r>
          </w:p>
        </w:tc>
        <w:tc>
          <w:tcPr>
            <w:tcW w:w="778" w:type="pct"/>
            <w:tcBorders>
              <w:left w:val="single" w:sz="4" w:space="0" w:color="auto"/>
              <w:bottom w:val="single" w:sz="4" w:space="0" w:color="auto"/>
              <w:right w:val="single" w:sz="4" w:space="0" w:color="auto"/>
            </w:tcBorders>
          </w:tcPr>
          <w:p w:rsidR="005E15EF" w:rsidRPr="007F116C" w:rsidRDefault="005E15EF" w:rsidP="005E15EF">
            <w:pPr>
              <w:pStyle w:val="Tabletext"/>
              <w:keepNext/>
              <w:keepLines/>
              <w:jc w:val="center"/>
              <w:rPr>
                <w:b/>
                <w:bCs/>
              </w:rPr>
            </w:pPr>
            <w:r w:rsidRPr="007F116C">
              <w:rPr>
                <w:b/>
              </w:rPr>
              <w:t>Maximum quantity (packs)</w:t>
            </w:r>
          </w:p>
        </w:tc>
        <w:tc>
          <w:tcPr>
            <w:tcW w:w="632" w:type="pct"/>
            <w:tcBorders>
              <w:left w:val="single" w:sz="4" w:space="0" w:color="auto"/>
              <w:bottom w:val="single" w:sz="4" w:space="0" w:color="auto"/>
              <w:right w:val="single" w:sz="4" w:space="0" w:color="auto"/>
            </w:tcBorders>
          </w:tcPr>
          <w:p w:rsidR="005E15EF" w:rsidRPr="007F116C" w:rsidRDefault="005E15EF" w:rsidP="005E15EF">
            <w:pPr>
              <w:pStyle w:val="Tabletext"/>
              <w:keepNext/>
              <w:keepLines/>
              <w:jc w:val="center"/>
              <w:rPr>
                <w:b/>
                <w:bCs/>
              </w:rPr>
            </w:pPr>
            <w:r w:rsidRPr="007F116C">
              <w:rPr>
                <w:b/>
              </w:rPr>
              <w:t>Maximum quantity (units)</w:t>
            </w:r>
          </w:p>
        </w:tc>
        <w:tc>
          <w:tcPr>
            <w:tcW w:w="444" w:type="pct"/>
            <w:tcBorders>
              <w:left w:val="single" w:sz="4" w:space="0" w:color="auto"/>
              <w:bottom w:val="single" w:sz="4" w:space="0" w:color="auto"/>
              <w:right w:val="single" w:sz="4" w:space="0" w:color="auto"/>
            </w:tcBorders>
          </w:tcPr>
          <w:p w:rsidR="005E15EF" w:rsidRPr="007F116C" w:rsidRDefault="005E15EF" w:rsidP="005E15EF">
            <w:pPr>
              <w:pStyle w:val="Tabletext"/>
              <w:keepNext/>
              <w:keepLines/>
              <w:rPr>
                <w:b/>
                <w:bCs/>
              </w:rPr>
            </w:pPr>
            <w:r w:rsidRPr="007F116C">
              <w:rPr>
                <w:b/>
              </w:rPr>
              <w:t>No. of repeats</w:t>
            </w:r>
          </w:p>
        </w:tc>
        <w:tc>
          <w:tcPr>
            <w:tcW w:w="1023" w:type="pct"/>
            <w:tcBorders>
              <w:left w:val="single" w:sz="4" w:space="0" w:color="auto"/>
              <w:bottom w:val="single" w:sz="4" w:space="0" w:color="auto"/>
              <w:right w:val="single" w:sz="4" w:space="0" w:color="auto"/>
            </w:tcBorders>
          </w:tcPr>
          <w:p w:rsidR="005E15EF" w:rsidRPr="007F116C" w:rsidRDefault="005E15EF" w:rsidP="005E15EF">
            <w:pPr>
              <w:pStyle w:val="Tabletext"/>
              <w:keepNext/>
              <w:keepLines/>
              <w:rPr>
                <w:b/>
                <w:bCs/>
              </w:rPr>
            </w:pPr>
            <w:r w:rsidRPr="007F116C">
              <w:rPr>
                <w:b/>
              </w:rPr>
              <w:t>Dispensed price for maximum quantity</w:t>
            </w:r>
          </w:p>
        </w:tc>
        <w:tc>
          <w:tcPr>
            <w:tcW w:w="906" w:type="pct"/>
            <w:tcBorders>
              <w:left w:val="single" w:sz="4" w:space="0" w:color="auto"/>
              <w:bottom w:val="single" w:sz="4" w:space="0" w:color="auto"/>
              <w:right w:val="single" w:sz="4" w:space="0" w:color="auto"/>
            </w:tcBorders>
          </w:tcPr>
          <w:p w:rsidR="005E15EF" w:rsidRPr="007F116C" w:rsidRDefault="005E15EF" w:rsidP="005E15EF">
            <w:pPr>
              <w:pStyle w:val="Tabletext"/>
              <w:keepNext/>
              <w:keepLines/>
              <w:rPr>
                <w:b/>
                <w:bCs/>
              </w:rPr>
            </w:pPr>
            <w:r w:rsidRPr="007F116C">
              <w:rPr>
                <w:b/>
              </w:rPr>
              <w:t>Proprietary name and manufacturer</w:t>
            </w:r>
          </w:p>
        </w:tc>
      </w:tr>
      <w:tr w:rsidR="00275677" w:rsidRPr="007F116C" w:rsidTr="00275677">
        <w:tc>
          <w:tcPr>
            <w:tcW w:w="4094" w:type="pct"/>
            <w:gridSpan w:val="6"/>
            <w:tcBorders>
              <w:left w:val="single" w:sz="4" w:space="0" w:color="auto"/>
              <w:bottom w:val="single" w:sz="4" w:space="0" w:color="auto"/>
              <w:right w:val="single" w:sz="4" w:space="0" w:color="auto"/>
            </w:tcBorders>
          </w:tcPr>
          <w:p w:rsidR="00275677" w:rsidRPr="007F116C" w:rsidRDefault="00275677" w:rsidP="005E15EF">
            <w:pPr>
              <w:pStyle w:val="Tabletext"/>
              <w:keepNext/>
              <w:keepLines/>
              <w:rPr>
                <w:rFonts w:ascii="Times" w:hAnsi="Times"/>
              </w:rPr>
            </w:pPr>
            <w:r w:rsidRPr="007F116C">
              <w:t>Ofatumumab</w:t>
            </w:r>
          </w:p>
        </w:tc>
        <w:tc>
          <w:tcPr>
            <w:tcW w:w="906" w:type="pct"/>
            <w:tcBorders>
              <w:left w:val="single" w:sz="4" w:space="0" w:color="auto"/>
              <w:bottom w:val="single" w:sz="4" w:space="0" w:color="auto"/>
              <w:right w:val="single" w:sz="4" w:space="0" w:color="auto"/>
            </w:tcBorders>
          </w:tcPr>
          <w:p w:rsidR="00275677" w:rsidRPr="007F116C" w:rsidRDefault="00275677" w:rsidP="005E15EF">
            <w:pPr>
              <w:pStyle w:val="Tabletext"/>
              <w:keepNext/>
              <w:keepLines/>
              <w:rPr>
                <w:rFonts w:ascii="Times" w:hAnsi="Times"/>
              </w:rPr>
            </w:pPr>
            <w:r w:rsidRPr="007F116C">
              <w:t>Kesimpta, Novartis</w:t>
            </w:r>
          </w:p>
        </w:tc>
      </w:tr>
      <w:tr w:rsidR="005E15EF" w:rsidRPr="007F116C" w:rsidTr="00275677">
        <w:tc>
          <w:tcPr>
            <w:tcW w:w="1217" w:type="pct"/>
            <w:gridSpan w:val="2"/>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keepNext/>
              <w:keepLines/>
            </w:pPr>
            <w:r w:rsidRPr="007F116C">
              <w:t xml:space="preserve">20mg/0.4ml injection (pen device) initial </w:t>
            </w:r>
          </w:p>
        </w:tc>
        <w:tc>
          <w:tcPr>
            <w:tcW w:w="778"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keepNext/>
              <w:keepLines/>
              <w:jc w:val="center"/>
            </w:pPr>
            <w:r w:rsidRPr="007F116C">
              <w:t>4</w:t>
            </w:r>
          </w:p>
        </w:tc>
        <w:tc>
          <w:tcPr>
            <w:tcW w:w="63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keepNext/>
              <w:keepLines/>
              <w:jc w:val="center"/>
            </w:pPr>
            <w:r w:rsidRPr="007F116C">
              <w:t>4</w:t>
            </w:r>
          </w:p>
        </w:tc>
        <w:tc>
          <w:tcPr>
            <w:tcW w:w="444"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keepNext/>
              <w:keepLines/>
              <w:jc w:val="center"/>
            </w:pPr>
            <w:r w:rsidRPr="007F116C">
              <w:t>0</w:t>
            </w:r>
          </w:p>
        </w:tc>
        <w:tc>
          <w:tcPr>
            <w:tcW w:w="1023"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keepNext/>
              <w:keepLines/>
            </w:pPr>
            <w:r w:rsidRPr="007F116C">
              <w:t>Published:</w:t>
            </w:r>
            <w:r w:rsidRPr="007F116C">
              <w:rPr>
                <w:vertAlign w:val="superscript"/>
              </w:rPr>
              <w:t xml:space="preserve">a </w:t>
            </w:r>
            <w:r w:rsidRPr="007F116C">
              <w:t>$8,394.34</w:t>
            </w:r>
          </w:p>
          <w:p w:rsidR="005E15EF" w:rsidRPr="007F116C" w:rsidRDefault="005E15EF" w:rsidP="005E15EF">
            <w:pPr>
              <w:pStyle w:val="Tabletext"/>
              <w:keepNext/>
              <w:keepLines/>
            </w:pPr>
            <w:r w:rsidRPr="007F116C">
              <w:t>Effective:</w:t>
            </w:r>
            <w:r w:rsidRPr="007F116C">
              <w:rPr>
                <w:vertAlign w:val="superscript"/>
              </w:rPr>
              <w:t xml:space="preserve">b </w:t>
            </w:r>
            <w:r w:rsidRPr="007F116C">
              <w:t>$</w:t>
            </w:r>
            <w:r w:rsidR="00070E7E">
              <w:rPr>
                <w:noProof/>
                <w:color w:val="000000"/>
                <w:highlight w:val="black"/>
              </w:rPr>
              <w:t>'''''''''''''''''''</w:t>
            </w:r>
          </w:p>
        </w:tc>
        <w:tc>
          <w:tcPr>
            <w:tcW w:w="906"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keepNext/>
              <w:keepLines/>
            </w:pPr>
          </w:p>
        </w:tc>
      </w:tr>
      <w:tr w:rsidR="005E15EF" w:rsidRPr="007F116C" w:rsidTr="00275677">
        <w:tc>
          <w:tcPr>
            <w:tcW w:w="1217" w:type="pct"/>
            <w:gridSpan w:val="2"/>
            <w:tcBorders>
              <w:top w:val="single" w:sz="4" w:space="0" w:color="auto"/>
              <w:left w:val="single" w:sz="4" w:space="0" w:color="auto"/>
              <w:right w:val="single" w:sz="4" w:space="0" w:color="auto"/>
            </w:tcBorders>
          </w:tcPr>
          <w:p w:rsidR="005E15EF" w:rsidRPr="007F116C" w:rsidRDefault="005E15EF" w:rsidP="005E15EF">
            <w:pPr>
              <w:pStyle w:val="Tabletext"/>
              <w:keepNext/>
              <w:keepLines/>
            </w:pPr>
            <w:r w:rsidRPr="007F116C">
              <w:t>20mg/0.4ml injection (pen device) continuing</w:t>
            </w:r>
          </w:p>
        </w:tc>
        <w:tc>
          <w:tcPr>
            <w:tcW w:w="778" w:type="pct"/>
            <w:tcBorders>
              <w:top w:val="single" w:sz="4" w:space="0" w:color="auto"/>
              <w:left w:val="single" w:sz="4" w:space="0" w:color="auto"/>
              <w:right w:val="single" w:sz="4" w:space="0" w:color="auto"/>
            </w:tcBorders>
          </w:tcPr>
          <w:p w:rsidR="005E15EF" w:rsidRPr="007F116C" w:rsidRDefault="005E15EF" w:rsidP="005E15EF">
            <w:pPr>
              <w:pStyle w:val="Tabletext"/>
              <w:keepNext/>
              <w:keepLines/>
              <w:jc w:val="center"/>
            </w:pPr>
            <w:r w:rsidRPr="007F116C">
              <w:t>1</w:t>
            </w:r>
          </w:p>
        </w:tc>
        <w:tc>
          <w:tcPr>
            <w:tcW w:w="632" w:type="pct"/>
            <w:tcBorders>
              <w:top w:val="single" w:sz="4" w:space="0" w:color="auto"/>
              <w:left w:val="single" w:sz="4" w:space="0" w:color="auto"/>
              <w:right w:val="single" w:sz="4" w:space="0" w:color="auto"/>
            </w:tcBorders>
          </w:tcPr>
          <w:p w:rsidR="005E15EF" w:rsidRPr="007F116C" w:rsidRDefault="005E15EF" w:rsidP="005E15EF">
            <w:pPr>
              <w:pStyle w:val="Tabletext"/>
              <w:keepNext/>
              <w:keepLines/>
              <w:jc w:val="center"/>
            </w:pPr>
            <w:r w:rsidRPr="007F116C">
              <w:t>1</w:t>
            </w:r>
          </w:p>
        </w:tc>
        <w:tc>
          <w:tcPr>
            <w:tcW w:w="444" w:type="pct"/>
            <w:tcBorders>
              <w:top w:val="single" w:sz="4" w:space="0" w:color="auto"/>
              <w:left w:val="single" w:sz="4" w:space="0" w:color="auto"/>
              <w:right w:val="single" w:sz="4" w:space="0" w:color="auto"/>
            </w:tcBorders>
          </w:tcPr>
          <w:p w:rsidR="005E15EF" w:rsidRPr="007F116C" w:rsidRDefault="005E15EF" w:rsidP="005E15EF">
            <w:pPr>
              <w:pStyle w:val="Tabletext"/>
              <w:keepNext/>
              <w:keepLines/>
              <w:jc w:val="center"/>
            </w:pPr>
            <w:r w:rsidRPr="007F116C">
              <w:t>5</w:t>
            </w:r>
          </w:p>
        </w:tc>
        <w:tc>
          <w:tcPr>
            <w:tcW w:w="1023" w:type="pct"/>
            <w:tcBorders>
              <w:top w:val="single" w:sz="4" w:space="0" w:color="auto"/>
              <w:left w:val="single" w:sz="4" w:space="0" w:color="auto"/>
              <w:right w:val="single" w:sz="4" w:space="0" w:color="auto"/>
            </w:tcBorders>
          </w:tcPr>
          <w:p w:rsidR="005E15EF" w:rsidRPr="007F116C" w:rsidRDefault="005E15EF" w:rsidP="005E15EF">
            <w:pPr>
              <w:pStyle w:val="Tabletext"/>
              <w:keepNext/>
              <w:keepLines/>
            </w:pPr>
            <w:r w:rsidRPr="007F116C">
              <w:t>Published:</w:t>
            </w:r>
            <w:r w:rsidRPr="007F116C">
              <w:rPr>
                <w:vertAlign w:val="superscript"/>
              </w:rPr>
              <w:t xml:space="preserve">a </w:t>
            </w:r>
            <w:r w:rsidRPr="007F116C">
              <w:t>$2,178.85</w:t>
            </w:r>
          </w:p>
          <w:p w:rsidR="005E15EF" w:rsidRPr="007F116C" w:rsidRDefault="005E15EF" w:rsidP="005E15EF">
            <w:pPr>
              <w:pStyle w:val="Tabletext"/>
              <w:keepNext/>
              <w:keepLines/>
            </w:pPr>
            <w:r w:rsidRPr="007F116C">
              <w:t xml:space="preserve">Effective: </w:t>
            </w:r>
            <w:r w:rsidRPr="007F116C">
              <w:rPr>
                <w:vertAlign w:val="superscript"/>
              </w:rPr>
              <w:t xml:space="preserve">b </w:t>
            </w:r>
            <w:r w:rsidRPr="007F116C">
              <w:t>$</w:t>
            </w:r>
            <w:r w:rsidR="00070E7E">
              <w:rPr>
                <w:noProof/>
                <w:color w:val="000000"/>
                <w:highlight w:val="black"/>
              </w:rPr>
              <w:t>'''''''''''''''''''''</w:t>
            </w:r>
          </w:p>
        </w:tc>
        <w:tc>
          <w:tcPr>
            <w:tcW w:w="906" w:type="pct"/>
            <w:tcBorders>
              <w:top w:val="single" w:sz="4" w:space="0" w:color="auto"/>
              <w:left w:val="single" w:sz="4" w:space="0" w:color="auto"/>
              <w:right w:val="single" w:sz="4" w:space="0" w:color="auto"/>
            </w:tcBorders>
          </w:tcPr>
          <w:p w:rsidR="005E15EF" w:rsidRPr="007F116C" w:rsidRDefault="005E15EF" w:rsidP="005E15EF">
            <w:pPr>
              <w:pStyle w:val="Tabletext"/>
              <w:keepNext/>
              <w:keepLines/>
            </w:pP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tcBorders>
          </w:tcPr>
          <w:p w:rsidR="005E15EF" w:rsidRPr="007F116C" w:rsidRDefault="005E15EF" w:rsidP="005E15EF">
            <w:pPr>
              <w:pStyle w:val="Tabletext"/>
              <w:rPr>
                <w:b/>
              </w:rPr>
            </w:pPr>
            <w:r w:rsidRPr="007F116C">
              <w:rPr>
                <w:b/>
              </w:rPr>
              <w:t>Initial Restriction</w:t>
            </w:r>
          </w:p>
        </w:tc>
        <w:tc>
          <w:tcPr>
            <w:tcW w:w="4138" w:type="pct"/>
            <w:gridSpan w:val="6"/>
            <w:tcBorders>
              <w:top w:val="single" w:sz="4" w:space="0" w:color="auto"/>
              <w:bottom w:val="single" w:sz="4" w:space="0" w:color="auto"/>
              <w:right w:val="single" w:sz="4" w:space="0" w:color="auto"/>
            </w:tcBorders>
          </w:tcPr>
          <w:p w:rsidR="005E15EF" w:rsidRPr="007F116C" w:rsidRDefault="005E15EF" w:rsidP="005E15EF">
            <w:pPr>
              <w:pStyle w:val="Tabletext"/>
            </w:pP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Episodicity:</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Chronic</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Severity:</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Nil</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Condition:</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Multiple sclerosis</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PBS Indication:</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Multiple sclerosis</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Treatment phase:</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Initial</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rPr>
                <w:b/>
              </w:rPr>
              <w:t>Restriction:</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fldChar w:fldCharType="begin">
                <w:ffData>
                  <w:name w:val="Check5"/>
                  <w:enabled/>
                  <w:calcOnExit w:val="0"/>
                  <w:checkBox>
                    <w:sizeAuto/>
                    <w:default w:val="1"/>
                  </w:checkBox>
                </w:ffData>
              </w:fldChar>
            </w:r>
            <w:r w:rsidRPr="007F116C">
              <w:instrText xml:space="preserve"> FORMCHECKBOX </w:instrText>
            </w:r>
            <w:r w:rsidR="00416795">
              <w:fldChar w:fldCharType="separate"/>
            </w:r>
            <w:r w:rsidRPr="007F116C">
              <w:fldChar w:fldCharType="end"/>
            </w:r>
            <w:r w:rsidRPr="007F116C">
              <w:t>Streamlined</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Clinical criteria:</w:t>
            </w:r>
          </w:p>
          <w:p w:rsidR="005E15EF" w:rsidRPr="007F116C" w:rsidRDefault="005E15EF" w:rsidP="005E15EF">
            <w:pPr>
              <w:pStyle w:val="Tabletext"/>
            </w:pP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rFonts w:eastAsiaTheme="minorHAnsi"/>
              </w:rPr>
            </w:pPr>
            <w:r w:rsidRPr="007F116C">
              <w:rPr>
                <w:rFonts w:eastAsiaTheme="minorHAnsi"/>
              </w:rPr>
              <w:t xml:space="preserve">The condition must be diagnosed as clinically definite relapsing-remitting multiple sclerosis by magnetic resonance imaging of the brain and/or spinal cord; OR </w:t>
            </w:r>
          </w:p>
          <w:p w:rsidR="005E15EF" w:rsidRPr="007F116C" w:rsidRDefault="005E15EF" w:rsidP="005E15EF">
            <w:pPr>
              <w:pStyle w:val="Tabletext"/>
              <w:rPr>
                <w:rFonts w:eastAsiaTheme="minorHAnsi"/>
              </w:rPr>
            </w:pPr>
            <w:r w:rsidRPr="007F116C">
              <w:rPr>
                <w:rFonts w:eastAsiaTheme="minorHAnsi"/>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w:t>
            </w:r>
          </w:p>
          <w:p w:rsidR="005E15EF" w:rsidRPr="007F116C" w:rsidRDefault="005E15EF" w:rsidP="005E15EF">
            <w:pPr>
              <w:pStyle w:val="Tabletext"/>
              <w:rPr>
                <w:rFonts w:eastAsiaTheme="minorHAnsi"/>
              </w:rPr>
            </w:pPr>
            <w:r w:rsidRPr="007F116C">
              <w:rPr>
                <w:rFonts w:eastAsiaTheme="minorHAnsi"/>
              </w:rPr>
              <w:t>AND</w:t>
            </w:r>
          </w:p>
          <w:p w:rsidR="005E15EF" w:rsidRPr="007F116C" w:rsidRDefault="005E15EF" w:rsidP="005E15EF">
            <w:pPr>
              <w:pStyle w:val="Tabletext"/>
              <w:rPr>
                <w:rFonts w:eastAsiaTheme="minorHAnsi"/>
              </w:rPr>
            </w:pPr>
            <w:r w:rsidRPr="007F116C">
              <w:rPr>
                <w:rFonts w:eastAsiaTheme="minorHAnsi"/>
              </w:rPr>
              <w:t>The treatment must be a sole PBS-subsidised disease modifying therapy for this condition,</w:t>
            </w:r>
          </w:p>
          <w:p w:rsidR="005E15EF" w:rsidRPr="007F116C" w:rsidRDefault="005E15EF" w:rsidP="005E15EF">
            <w:pPr>
              <w:pStyle w:val="Tabletext"/>
              <w:rPr>
                <w:rFonts w:eastAsiaTheme="minorHAnsi"/>
              </w:rPr>
            </w:pPr>
            <w:r w:rsidRPr="007F116C">
              <w:rPr>
                <w:rFonts w:eastAsiaTheme="minorHAnsi"/>
              </w:rPr>
              <w:t>AND</w:t>
            </w:r>
          </w:p>
          <w:p w:rsidR="005E15EF" w:rsidRPr="007F116C" w:rsidRDefault="005E15EF" w:rsidP="005E15EF">
            <w:pPr>
              <w:pStyle w:val="Tabletext"/>
              <w:rPr>
                <w:rFonts w:eastAsiaTheme="minorHAnsi"/>
              </w:rPr>
            </w:pPr>
            <w:r w:rsidRPr="007F116C">
              <w:rPr>
                <w:rFonts w:eastAsiaTheme="minorHAnsi"/>
              </w:rPr>
              <w:t>Patient must have experienced at least 2 documented attacks of neurological dysfunction, believed to be due to multiple sclerosis, in the preceding 2 years of commencing a PBS-subsidised disease modifying therapy for this condition</w:t>
            </w:r>
          </w:p>
          <w:p w:rsidR="005E15EF" w:rsidRPr="007F116C" w:rsidRDefault="005E15EF" w:rsidP="005E15EF">
            <w:pPr>
              <w:pStyle w:val="Tabletext"/>
              <w:rPr>
                <w:rFonts w:eastAsiaTheme="minorHAnsi"/>
              </w:rPr>
            </w:pPr>
            <w:r w:rsidRPr="007F116C">
              <w:rPr>
                <w:rFonts w:eastAsiaTheme="minorHAnsi"/>
              </w:rPr>
              <w:t>AND</w:t>
            </w:r>
          </w:p>
          <w:p w:rsidR="005E15EF" w:rsidRPr="007F116C" w:rsidRDefault="005E15EF" w:rsidP="005E15EF">
            <w:pPr>
              <w:pStyle w:val="Tabletext"/>
              <w:rPr>
                <w:rFonts w:eastAsiaTheme="minorHAnsi"/>
              </w:rPr>
            </w:pPr>
            <w:r w:rsidRPr="007F116C">
              <w:rPr>
                <w:rFonts w:eastAsiaTheme="minorHAnsi"/>
              </w:rPr>
              <w:t>Patient must be ambulatory (without assistance or support).</w:t>
            </w:r>
          </w:p>
          <w:p w:rsidR="005E15EF" w:rsidRPr="007F116C" w:rsidRDefault="005E15EF" w:rsidP="005E15EF">
            <w:pPr>
              <w:pStyle w:val="Tabletext"/>
              <w:rPr>
                <w:rFonts w:eastAsiaTheme="minorHAnsi"/>
              </w:rPr>
            </w:pPr>
          </w:p>
          <w:p w:rsidR="005E15EF" w:rsidRPr="007F116C" w:rsidRDefault="005E15EF" w:rsidP="005E15EF">
            <w:pPr>
              <w:pStyle w:val="Tabletext"/>
            </w:pPr>
            <w:r w:rsidRPr="007F116C">
              <w:t>Where applicable, the date of the magnetic resonance imaging scan must be recorded in the patient's medical record.</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Administrative Advice:</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rPr>
                <w:rFonts w:ascii="Arial Narrow" w:hAnsi="Arial Narrow"/>
                <w:sz w:val="20"/>
              </w:rPr>
            </w:pPr>
            <w:r w:rsidRPr="007F116C">
              <w:rPr>
                <w:rFonts w:ascii="Arial Narrow" w:hAnsi="Arial Narrow"/>
                <w:sz w:val="20"/>
              </w:rPr>
              <w:t>No increase in the maximum quantity or number of units may be authorised.</w:t>
            </w:r>
          </w:p>
          <w:p w:rsidR="005E15EF" w:rsidRPr="007F116C" w:rsidRDefault="005E15EF" w:rsidP="005E15EF">
            <w:pPr>
              <w:pStyle w:val="Tabletext"/>
            </w:pPr>
            <w:r w:rsidRPr="007F116C">
              <w:t>No increase in the maximum number of repeats may be authorised.</w:t>
            </w:r>
          </w:p>
          <w:p w:rsidR="005E15EF" w:rsidRPr="007F116C" w:rsidRDefault="005E15EF" w:rsidP="005E15EF">
            <w:pPr>
              <w:pStyle w:val="Tabletext"/>
            </w:pPr>
            <w:r w:rsidRPr="007F116C">
              <w:t>Special Pricing Arrangements apply.</w:t>
            </w:r>
          </w:p>
        </w:tc>
      </w:tr>
      <w:tr w:rsidR="004C7AE1" w:rsidRPr="007F116C" w:rsidTr="004C7AE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5000" w:type="pct"/>
            <w:gridSpan w:val="7"/>
            <w:tcBorders>
              <w:top w:val="single" w:sz="4" w:space="0" w:color="auto"/>
              <w:left w:val="single" w:sz="4" w:space="0" w:color="auto"/>
              <w:bottom w:val="single" w:sz="4" w:space="0" w:color="auto"/>
              <w:right w:val="single" w:sz="4" w:space="0" w:color="auto"/>
            </w:tcBorders>
          </w:tcPr>
          <w:p w:rsidR="004C7AE1" w:rsidRPr="007F116C" w:rsidRDefault="004C7AE1" w:rsidP="005E15EF">
            <w:pPr>
              <w:pStyle w:val="Tabletext"/>
            </w:pPr>
            <w:r w:rsidRPr="007F116C">
              <w:rPr>
                <w:b/>
              </w:rPr>
              <w:t>Continuing restriction</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Episodicity:</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Chronic</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Severity:</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Nil</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Condition:</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Multiple sclerosis</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PBS Indication:</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Multiple sclerosis</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Treatment phase:</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continuing</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Restriction:</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fldChar w:fldCharType="begin">
                <w:ffData>
                  <w:name w:val="Check5"/>
                  <w:enabled/>
                  <w:calcOnExit w:val="0"/>
                  <w:checkBox>
                    <w:sizeAuto/>
                    <w:default w:val="1"/>
                  </w:checkBox>
                </w:ffData>
              </w:fldChar>
            </w:r>
            <w:r w:rsidRPr="007F116C">
              <w:instrText xml:space="preserve"> FORMCHECKBOX </w:instrText>
            </w:r>
            <w:r w:rsidR="00416795">
              <w:fldChar w:fldCharType="separate"/>
            </w:r>
            <w:r w:rsidRPr="007F116C">
              <w:fldChar w:fldCharType="end"/>
            </w:r>
            <w:r w:rsidRPr="007F116C">
              <w:t>Streamlined</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Clinical criteria:</w:t>
            </w:r>
          </w:p>
          <w:p w:rsidR="005E15EF" w:rsidRPr="007F116C" w:rsidRDefault="005E15EF" w:rsidP="005E15EF">
            <w:pPr>
              <w:pStyle w:val="Tabletext"/>
              <w:rPr>
                <w:b/>
              </w:rPr>
            </w:pP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 xml:space="preserve">Patient must have previously received PBS-subsidised treatment with this drug for this condition, </w:t>
            </w:r>
          </w:p>
          <w:p w:rsidR="005E15EF" w:rsidRPr="007F116C" w:rsidRDefault="005E15EF" w:rsidP="005E15EF">
            <w:pPr>
              <w:pStyle w:val="Tabletext"/>
            </w:pPr>
            <w:r w:rsidRPr="007F116C">
              <w:t>AND</w:t>
            </w:r>
          </w:p>
          <w:p w:rsidR="005E15EF" w:rsidRPr="007F116C" w:rsidRDefault="005E15EF" w:rsidP="005E15EF">
            <w:pPr>
              <w:pStyle w:val="Tabletext"/>
            </w:pPr>
            <w:r w:rsidRPr="007F116C">
              <w:t xml:space="preserve">Patient must not show continuing progression of disability while on treatment with this drug, </w:t>
            </w:r>
          </w:p>
          <w:p w:rsidR="005E15EF" w:rsidRPr="007F116C" w:rsidRDefault="005E15EF" w:rsidP="005E15EF">
            <w:pPr>
              <w:pStyle w:val="Tabletext"/>
            </w:pPr>
            <w:r w:rsidRPr="007F116C">
              <w:t>AND</w:t>
            </w:r>
          </w:p>
          <w:p w:rsidR="005E15EF" w:rsidRPr="007F116C" w:rsidRDefault="005E15EF" w:rsidP="005E15EF">
            <w:pPr>
              <w:pStyle w:val="Tabletext"/>
            </w:pPr>
            <w:r w:rsidRPr="007F116C">
              <w:t>The treatment must be a sole PBS-subsidised disease modifying therapy for this condition,</w:t>
            </w:r>
          </w:p>
          <w:p w:rsidR="005E15EF" w:rsidRPr="007F116C" w:rsidRDefault="005E15EF" w:rsidP="005E15EF">
            <w:pPr>
              <w:pStyle w:val="Tabletext"/>
            </w:pPr>
            <w:r w:rsidRPr="007F116C">
              <w:t>AND</w:t>
            </w:r>
          </w:p>
          <w:p w:rsidR="005E15EF" w:rsidRPr="007F116C" w:rsidRDefault="005E15EF" w:rsidP="005E15EF">
            <w:pPr>
              <w:pStyle w:val="Tabletext"/>
            </w:pPr>
            <w:r w:rsidRPr="007F116C">
              <w:t>Patient must have demonstrated compliance with, and an ability to tolerate this therapy.</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Administrative Advice:</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No increase in the maximum quantity or number of units may be authorised.</w:t>
            </w:r>
          </w:p>
          <w:p w:rsidR="005E15EF" w:rsidRPr="007F116C" w:rsidRDefault="005E15EF" w:rsidP="005E15EF">
            <w:pPr>
              <w:pStyle w:val="Tabletext"/>
            </w:pPr>
            <w:r w:rsidRPr="007F116C">
              <w:t>No increase in the maximum number of repeats may be authorised.</w:t>
            </w:r>
          </w:p>
          <w:p w:rsidR="005E15EF" w:rsidRPr="007F116C" w:rsidRDefault="005E15EF" w:rsidP="005E15EF">
            <w:pPr>
              <w:pStyle w:val="Tabletext"/>
            </w:pPr>
            <w:r w:rsidRPr="007F116C">
              <w:t>Special Pricing Arrangements apply.</w:t>
            </w:r>
          </w:p>
        </w:tc>
      </w:tr>
      <w:tr w:rsidR="004C7AE1" w:rsidRPr="007F116C" w:rsidTr="004C7AE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5000" w:type="pct"/>
            <w:gridSpan w:val="7"/>
            <w:tcBorders>
              <w:top w:val="single" w:sz="4" w:space="0" w:color="auto"/>
              <w:left w:val="single" w:sz="4" w:space="0" w:color="auto"/>
              <w:bottom w:val="single" w:sz="4" w:space="0" w:color="auto"/>
              <w:right w:val="single" w:sz="4" w:space="0" w:color="auto"/>
            </w:tcBorders>
          </w:tcPr>
          <w:p w:rsidR="004C7AE1" w:rsidRPr="007F116C" w:rsidRDefault="004C7AE1" w:rsidP="005E15EF">
            <w:pPr>
              <w:pStyle w:val="Tabletext"/>
            </w:pPr>
            <w:r w:rsidRPr="007F116C">
              <w:rPr>
                <w:b/>
              </w:rPr>
              <w:t>Grandfathering restriction</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Episodicity:</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Chronic</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Severity:</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Nil</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Condition:</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Multiple sclerosis</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PBS Indication:</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Multiple sclerosis</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Treatment phase:</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continuing</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Restriction:</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fldChar w:fldCharType="begin">
                <w:ffData>
                  <w:name w:val="Check5"/>
                  <w:enabled/>
                  <w:calcOnExit w:val="0"/>
                  <w:checkBox>
                    <w:sizeAuto/>
                    <w:default w:val="1"/>
                  </w:checkBox>
                </w:ffData>
              </w:fldChar>
            </w:r>
            <w:r w:rsidRPr="007F116C">
              <w:instrText xml:space="preserve"> FORMCHECKBOX </w:instrText>
            </w:r>
            <w:r w:rsidR="00416795">
              <w:fldChar w:fldCharType="separate"/>
            </w:r>
            <w:r w:rsidRPr="007F116C">
              <w:fldChar w:fldCharType="end"/>
            </w:r>
            <w:r w:rsidRPr="007F116C">
              <w:t>Streamlined</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Clinical criteria:</w:t>
            </w:r>
          </w:p>
          <w:p w:rsidR="005E15EF" w:rsidRPr="007F116C" w:rsidRDefault="005E15EF" w:rsidP="005E15EF">
            <w:pPr>
              <w:pStyle w:val="Tabletext"/>
              <w:rPr>
                <w:b/>
              </w:rPr>
            </w:pP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 xml:space="preserve">The condition must be diagnosed as clinically definite relapsing-remitting multiple sclerosis by magnetic resonance imaging of the brain and/or spinal cord; OR </w:t>
            </w:r>
          </w:p>
          <w:p w:rsidR="005E15EF" w:rsidRPr="007F116C" w:rsidRDefault="005E15EF" w:rsidP="005E15EF">
            <w:pPr>
              <w:pStyle w:val="Tabletext"/>
            </w:pPr>
            <w:r w:rsidRPr="007F116C">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w:t>
            </w:r>
          </w:p>
          <w:p w:rsidR="005E15EF" w:rsidRPr="007F116C" w:rsidRDefault="005E15EF" w:rsidP="005E15EF">
            <w:pPr>
              <w:pStyle w:val="Tabletext"/>
            </w:pPr>
            <w:r w:rsidRPr="007F116C">
              <w:t>AND</w:t>
            </w:r>
          </w:p>
          <w:p w:rsidR="005E15EF" w:rsidRPr="007F116C" w:rsidRDefault="005E15EF" w:rsidP="005E15EF">
            <w:pPr>
              <w:pStyle w:val="Tabletext"/>
            </w:pPr>
            <w:r w:rsidRPr="007F116C">
              <w:t>Patient must have experienced at least 2 documented attacks of neurological dysfunction, believed to be due to multiple sclerosis, in the preceding 2 years of commencing a PBS-subsidised disease modifying therapy for this condition</w:t>
            </w:r>
          </w:p>
          <w:p w:rsidR="005E15EF" w:rsidRPr="007F116C" w:rsidRDefault="005E15EF" w:rsidP="005E15EF">
            <w:pPr>
              <w:pStyle w:val="Tabletext"/>
            </w:pPr>
            <w:r w:rsidRPr="007F116C">
              <w:t>AND</w:t>
            </w:r>
          </w:p>
          <w:p w:rsidR="005E15EF" w:rsidRPr="007F116C" w:rsidRDefault="005E15EF" w:rsidP="005E15EF">
            <w:pPr>
              <w:pStyle w:val="Tabletext"/>
            </w:pPr>
            <w:r w:rsidRPr="007F116C">
              <w:t>Patient must have received treatment with this drug for this condition prior to [PBS listing date],</w:t>
            </w:r>
          </w:p>
          <w:p w:rsidR="005E15EF" w:rsidRPr="007F116C" w:rsidRDefault="005E15EF" w:rsidP="005E15EF">
            <w:pPr>
              <w:pStyle w:val="Tabletext"/>
            </w:pPr>
            <w:r w:rsidRPr="007F116C">
              <w:t>AND</w:t>
            </w:r>
          </w:p>
          <w:p w:rsidR="005E15EF" w:rsidRPr="007F116C" w:rsidRDefault="005E15EF" w:rsidP="005E15EF">
            <w:pPr>
              <w:pStyle w:val="Tabletext"/>
            </w:pPr>
            <w:r w:rsidRPr="007F116C">
              <w:t>The treatment must be a sole PBS-subsidised disease modifying therapy for this condition,</w:t>
            </w:r>
          </w:p>
          <w:p w:rsidR="005E15EF" w:rsidRPr="007F116C" w:rsidRDefault="005E15EF" w:rsidP="005E15EF">
            <w:pPr>
              <w:pStyle w:val="Tabletext"/>
            </w:pPr>
            <w:r w:rsidRPr="007F116C">
              <w:t>AND</w:t>
            </w:r>
          </w:p>
          <w:p w:rsidR="005E15EF" w:rsidRPr="007F116C" w:rsidRDefault="005E15EF" w:rsidP="005E15EF">
            <w:pPr>
              <w:pStyle w:val="Tabletext"/>
            </w:pPr>
            <w:r w:rsidRPr="007F116C">
              <w:t>Patient must be ambulatory (without assistance or support).</w:t>
            </w:r>
          </w:p>
          <w:p w:rsidR="005E15EF" w:rsidRPr="007F116C" w:rsidRDefault="005E15EF" w:rsidP="005E15EF">
            <w:pPr>
              <w:pStyle w:val="Tabletext"/>
            </w:pPr>
            <w:r w:rsidRPr="007F116C">
              <w:t>Where applicable, the date of the magnetic resonance imaging scan must be recorded in the patient's medical record.</w:t>
            </w:r>
          </w:p>
          <w:p w:rsidR="005E15EF" w:rsidRPr="007F116C" w:rsidRDefault="005E15EF" w:rsidP="005E15EF">
            <w:pPr>
              <w:pStyle w:val="Tabletext"/>
            </w:pPr>
            <w:r w:rsidRPr="007F116C">
              <w:t>AND</w:t>
            </w:r>
          </w:p>
          <w:p w:rsidR="005E15EF" w:rsidRPr="007F116C" w:rsidRDefault="005E15EF" w:rsidP="005E15EF">
            <w:pPr>
              <w:pStyle w:val="Tabletext"/>
            </w:pPr>
            <w:r w:rsidRPr="007F116C">
              <w:t>Patient must not show continuing progression of disability while on treatment with this drug,</w:t>
            </w:r>
          </w:p>
          <w:p w:rsidR="005E15EF" w:rsidRPr="007F116C" w:rsidRDefault="005E15EF" w:rsidP="005E15EF">
            <w:pPr>
              <w:pStyle w:val="Tabletext"/>
            </w:pPr>
            <w:r w:rsidRPr="007F116C">
              <w:t>AND</w:t>
            </w:r>
          </w:p>
          <w:p w:rsidR="005E15EF" w:rsidRPr="007F116C" w:rsidRDefault="005E15EF" w:rsidP="005E15EF">
            <w:pPr>
              <w:pStyle w:val="Tabletext"/>
            </w:pPr>
            <w:r w:rsidRPr="007F116C">
              <w:t>Patient must have demonstrated compliance with, and an ability to tolerate this therapy.</w:t>
            </w:r>
          </w:p>
        </w:tc>
      </w:tr>
      <w:tr w:rsidR="005E15EF" w:rsidRPr="007F116C" w:rsidTr="0027567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862" w:type="pct"/>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rPr>
                <w:b/>
              </w:rPr>
            </w:pPr>
            <w:r w:rsidRPr="007F116C">
              <w:rPr>
                <w:b/>
              </w:rPr>
              <w:t>Administrative Advice:</w:t>
            </w:r>
          </w:p>
        </w:tc>
        <w:tc>
          <w:tcPr>
            <w:tcW w:w="4138" w:type="pct"/>
            <w:gridSpan w:val="6"/>
            <w:tcBorders>
              <w:top w:val="single" w:sz="4" w:space="0" w:color="auto"/>
              <w:left w:val="single" w:sz="4" w:space="0" w:color="auto"/>
              <w:bottom w:val="single" w:sz="4" w:space="0" w:color="auto"/>
              <w:right w:val="single" w:sz="4" w:space="0" w:color="auto"/>
            </w:tcBorders>
          </w:tcPr>
          <w:p w:rsidR="005E15EF" w:rsidRPr="007F116C" w:rsidRDefault="005E15EF" w:rsidP="005E15EF">
            <w:pPr>
              <w:pStyle w:val="Tabletext"/>
            </w:pPr>
            <w:r w:rsidRPr="007F116C">
              <w:t>No increase in the maximum quantity or number of units may be authorised.</w:t>
            </w:r>
          </w:p>
          <w:p w:rsidR="005E15EF" w:rsidRPr="007F116C" w:rsidRDefault="005E15EF" w:rsidP="005E15EF">
            <w:pPr>
              <w:pStyle w:val="Tabletext"/>
            </w:pPr>
            <w:r w:rsidRPr="007F116C">
              <w:t>No increase in the maximum number of repeats may be authorised.</w:t>
            </w:r>
          </w:p>
          <w:p w:rsidR="005E15EF" w:rsidRPr="007F116C" w:rsidRDefault="005E15EF" w:rsidP="005E15EF">
            <w:pPr>
              <w:pStyle w:val="Tabletext"/>
            </w:pPr>
            <w:r w:rsidRPr="007F116C">
              <w:t>Special Pricing Arrangements apply</w:t>
            </w:r>
          </w:p>
        </w:tc>
      </w:tr>
    </w:tbl>
    <w:p w:rsidR="005E15EF" w:rsidRPr="007F116C" w:rsidRDefault="005E15EF" w:rsidP="005E15EF">
      <w:pPr>
        <w:pStyle w:val="TableFooter"/>
      </w:pPr>
      <w:r w:rsidRPr="007F116C">
        <w:t xml:space="preserve">Source: Tables 1.8 to 1.11, pp36-41 of the submission. </w:t>
      </w:r>
    </w:p>
    <w:p w:rsidR="005E15EF" w:rsidRPr="007F116C" w:rsidRDefault="005E15EF" w:rsidP="005E15EF">
      <w:pPr>
        <w:pStyle w:val="TableFooter"/>
        <w:keepNext/>
        <w:keepLines/>
      </w:pPr>
      <w:r w:rsidRPr="007F116C">
        <w:rPr>
          <w:vertAlign w:val="superscript"/>
        </w:rPr>
        <w:t>a</w:t>
      </w:r>
      <w:r w:rsidRPr="007F116C">
        <w:t xml:space="preserve"> Special Pricing Arrangement (SPA) is requested for listing ofatumumab n the PBS – to be discussed with the Pricing Section following PBAC recommendation. </w:t>
      </w:r>
    </w:p>
    <w:p w:rsidR="005E15EF" w:rsidRPr="007F116C" w:rsidRDefault="005E15EF" w:rsidP="00B329BC">
      <w:pPr>
        <w:pStyle w:val="TableFooter"/>
        <w:keepNext/>
        <w:keepLines/>
      </w:pPr>
      <w:r w:rsidRPr="007F116C">
        <w:rPr>
          <w:vertAlign w:val="superscript"/>
        </w:rPr>
        <w:t>b</w:t>
      </w:r>
      <w:r w:rsidRPr="007F116C">
        <w:t xml:space="preserve"> The proposed Effective price is equivalent to the fingolimod price, after adjusting for first dose monitoring requirements (i.e. continuous ECG)</w:t>
      </w:r>
    </w:p>
    <w:p w:rsidR="005E15EF" w:rsidRPr="007F116C" w:rsidRDefault="005E15EF" w:rsidP="005E15EF"/>
    <w:p w:rsidR="005E15EF" w:rsidRPr="007F116C" w:rsidRDefault="005E15EF" w:rsidP="005E15EF">
      <w:pPr>
        <w:pStyle w:val="ListParagraph"/>
        <w:widowControl/>
        <w:numPr>
          <w:ilvl w:val="1"/>
          <w:numId w:val="2"/>
        </w:numPr>
      </w:pPr>
      <w:r w:rsidRPr="007F116C">
        <w:t>A Special Pricing Arrangement (SPA) was requested for listing ofatumumab.</w:t>
      </w:r>
    </w:p>
    <w:p w:rsidR="005E15EF" w:rsidRPr="007F116C" w:rsidRDefault="005E15EF" w:rsidP="00F030C4">
      <w:pPr>
        <w:pStyle w:val="ListParagraph"/>
        <w:widowControl/>
        <w:numPr>
          <w:ilvl w:val="1"/>
          <w:numId w:val="2"/>
        </w:numPr>
      </w:pPr>
      <w:bookmarkStart w:id="8" w:name="_Ref61206700"/>
      <w:r w:rsidRPr="007F116C">
        <w:t xml:space="preserve">The submission stated that all </w:t>
      </w:r>
      <w:r w:rsidR="0004158E" w:rsidRPr="007F116C">
        <w:t>patients initiating ofatumumab we</w:t>
      </w:r>
      <w:r w:rsidRPr="007F116C">
        <w:t>re required to follow a set ti</w:t>
      </w:r>
      <w:r w:rsidR="0004158E" w:rsidRPr="007F116C">
        <w:t>tration schedule consisting of four</w:t>
      </w:r>
      <w:r w:rsidRPr="007F116C">
        <w:t xml:space="preserve"> injections in the first month (week </w:t>
      </w:r>
      <w:r w:rsidR="0004158E" w:rsidRPr="007F116C">
        <w:t>0, 1, 2 and week 4). This covered</w:t>
      </w:r>
      <w:r w:rsidRPr="007F116C">
        <w:t xml:space="preserve"> two months of treatment, with monthly injections starting after the fourth injection (i.e. fifth dose at week 8). The maintenance phase consists of monthly subcutaneous (SC) injections, with one pack and five repeats covering a six</w:t>
      </w:r>
      <w:r w:rsidR="00C77A39" w:rsidRPr="007F116C">
        <w:t>-</w:t>
      </w:r>
      <w:r w:rsidRPr="007F116C">
        <w:t>month treatment duration.</w:t>
      </w:r>
      <w:r w:rsidR="00436522" w:rsidRPr="007F116C">
        <w:t xml:space="preserve"> A monthly maintenance dosing frequency was not consistent with the pivotal clinical trials in which patients were treated with an inject</w:t>
      </w:r>
      <w:r w:rsidR="00C77A39" w:rsidRPr="007F116C">
        <w:t>ion</w:t>
      </w:r>
      <w:r w:rsidR="00436522" w:rsidRPr="007F116C">
        <w:t xml:space="preserve"> every four weeks. This has implications for the economic evaluation and financial estimates.</w:t>
      </w:r>
      <w:bookmarkEnd w:id="8"/>
      <w:r w:rsidR="00436522" w:rsidRPr="007F116C">
        <w:t xml:space="preserve"> </w:t>
      </w:r>
      <w:r w:rsidR="00F030C4" w:rsidRPr="007F116C">
        <w:t xml:space="preserve">The Pre-Sub-Committee Response </w:t>
      </w:r>
      <w:r w:rsidR="0081490C" w:rsidRPr="007F116C">
        <w:t>(PSCR</w:t>
      </w:r>
      <w:r w:rsidR="00F030C4" w:rsidRPr="007F116C">
        <w:t xml:space="preserve">) reiterated the submission argument that clinicians would be influenced by the dosing information in the Product Information (PI). The ESC noted that the TGA Delegate had requested the ACM provide advice on, the patient population studied, dose and indication sought and the final dosing regimen was not yet </w:t>
      </w:r>
      <w:r w:rsidR="00196D87" w:rsidRPr="007F116C">
        <w:t>available</w:t>
      </w:r>
      <w:r w:rsidR="00F030C4" w:rsidRPr="007F116C">
        <w:t xml:space="preserve">. </w:t>
      </w:r>
      <w:r w:rsidR="004E6A6B" w:rsidRPr="007F116C">
        <w:t>The Pre-PBAC Response noted that the Product Information was in the final stages of approval and indicated the PI would include a once monthly (rather than once every four weeks) dosing regimen</w:t>
      </w:r>
      <w:r w:rsidR="007F116C">
        <w:t xml:space="preserve">. </w:t>
      </w:r>
    </w:p>
    <w:p w:rsidR="005E15EF" w:rsidRPr="007F116C" w:rsidRDefault="005E15EF" w:rsidP="005E15EF">
      <w:pPr>
        <w:pStyle w:val="ListParagraph"/>
        <w:widowControl/>
        <w:numPr>
          <w:ilvl w:val="1"/>
          <w:numId w:val="2"/>
        </w:numPr>
      </w:pPr>
      <w:r w:rsidRPr="007F116C">
        <w:rPr>
          <w:iCs/>
        </w:rPr>
        <w:t>The requested</w:t>
      </w:r>
      <w:r w:rsidR="003053CD" w:rsidRPr="007F116C">
        <w:rPr>
          <w:iCs/>
        </w:rPr>
        <w:t xml:space="preserve"> PBS</w:t>
      </w:r>
      <w:r w:rsidRPr="007F116C">
        <w:rPr>
          <w:iCs/>
        </w:rPr>
        <w:t xml:space="preserve"> restrictions were </w:t>
      </w:r>
      <w:r w:rsidR="003053CD" w:rsidRPr="007F116C">
        <w:rPr>
          <w:iCs/>
        </w:rPr>
        <w:t>narrower than</w:t>
      </w:r>
      <w:r w:rsidRPr="007F116C">
        <w:rPr>
          <w:iCs/>
        </w:rPr>
        <w:t xml:space="preserve"> the</w:t>
      </w:r>
      <w:r w:rsidR="00E520FF" w:rsidRPr="007F116C">
        <w:rPr>
          <w:iCs/>
        </w:rPr>
        <w:t xml:space="preserve"> presented evidence and</w:t>
      </w:r>
      <w:r w:rsidRPr="007F116C">
        <w:rPr>
          <w:iCs/>
        </w:rPr>
        <w:t xml:space="preserve"> proposed TGA indication</w:t>
      </w:r>
      <w:r w:rsidR="003053CD" w:rsidRPr="007F116C">
        <w:rPr>
          <w:iCs/>
        </w:rPr>
        <w:t xml:space="preserve"> (RRMS only rather than </w:t>
      </w:r>
      <w:r w:rsidR="00FB74B7" w:rsidRPr="007F116C">
        <w:rPr>
          <w:iCs/>
        </w:rPr>
        <w:t>relapsing MS [</w:t>
      </w:r>
      <w:r w:rsidR="003053CD" w:rsidRPr="007F116C">
        <w:rPr>
          <w:iCs/>
        </w:rPr>
        <w:t>RMS</w:t>
      </w:r>
      <w:r w:rsidR="00FB74B7" w:rsidRPr="007F116C">
        <w:rPr>
          <w:iCs/>
        </w:rPr>
        <w:t>]</w:t>
      </w:r>
      <w:r w:rsidR="003053CD" w:rsidRPr="007F116C">
        <w:rPr>
          <w:iCs/>
        </w:rPr>
        <w:t xml:space="preserve">, which may include patients with active </w:t>
      </w:r>
      <w:r w:rsidR="00FB74B7" w:rsidRPr="007F116C">
        <w:rPr>
          <w:iCs/>
        </w:rPr>
        <w:t>secondary progressive MS [</w:t>
      </w:r>
      <w:r w:rsidR="003053CD" w:rsidRPr="007F116C">
        <w:rPr>
          <w:iCs/>
        </w:rPr>
        <w:t>SPMS</w:t>
      </w:r>
      <w:r w:rsidR="00FB74B7" w:rsidRPr="007F116C">
        <w:rPr>
          <w:iCs/>
        </w:rPr>
        <w:t>]</w:t>
      </w:r>
      <w:r w:rsidR="003053CD" w:rsidRPr="007F116C">
        <w:rPr>
          <w:iCs/>
        </w:rPr>
        <w:t>)</w:t>
      </w:r>
      <w:r w:rsidR="00436522" w:rsidRPr="007F116C">
        <w:rPr>
          <w:iCs/>
        </w:rPr>
        <w:t>.</w:t>
      </w:r>
    </w:p>
    <w:p w:rsidR="005E15EF" w:rsidRPr="007F116C" w:rsidRDefault="005E15EF" w:rsidP="005E15EF">
      <w:pPr>
        <w:pStyle w:val="ListParagraph"/>
        <w:widowControl/>
        <w:numPr>
          <w:ilvl w:val="1"/>
          <w:numId w:val="2"/>
        </w:numPr>
      </w:pPr>
      <w:r w:rsidRPr="007F116C">
        <w:t>The proposed initial therapy and continuing restrictions for ofatumumab were same as the current PBS restrictions for fingolimod and ocrelizumab</w:t>
      </w:r>
      <w:r w:rsidR="00436522" w:rsidRPr="007F116C">
        <w:t>.</w:t>
      </w:r>
      <w:r w:rsidR="003053CD" w:rsidRPr="007F116C">
        <w:t xml:space="preserve"> The submission also requested a grandfather restriction</w:t>
      </w:r>
      <w:r w:rsidR="008F55BB" w:rsidRPr="007F116C">
        <w:t xml:space="preserve"> for a planned product familiarisation program and estimated approximately </w:t>
      </w:r>
      <w:r w:rsidR="004E790D">
        <w:t>&lt; 5</w:t>
      </w:r>
      <w:r w:rsidR="008F55BB" w:rsidRPr="007F116C">
        <w:t>00 patients would be enrolled</w:t>
      </w:r>
      <w:r w:rsidR="003053CD" w:rsidRPr="007F116C">
        <w:t>.</w:t>
      </w:r>
    </w:p>
    <w:p w:rsidR="0020302B" w:rsidRPr="007F116C" w:rsidRDefault="0020302B" w:rsidP="0020302B">
      <w:pPr>
        <w:pStyle w:val="ListParagraph"/>
        <w:ind w:left="709"/>
        <w:rPr>
          <w:rFonts w:asciiTheme="minorHAnsi" w:hAnsiTheme="minorHAnsi"/>
          <w:i/>
        </w:rPr>
      </w:pPr>
      <w:r w:rsidRPr="007F116C">
        <w:rPr>
          <w:rFonts w:asciiTheme="minorHAnsi" w:hAnsiTheme="minorHAnsi"/>
          <w:i/>
        </w:rPr>
        <w:t>For more detail on PBAC’s view, see section 7 PBAC outcome.</w:t>
      </w:r>
    </w:p>
    <w:p w:rsidR="005E15EF" w:rsidRPr="007F116C" w:rsidRDefault="005E15EF" w:rsidP="005E15EF">
      <w:pPr>
        <w:pStyle w:val="PBACHeading1"/>
      </w:pPr>
      <w:bookmarkStart w:id="9" w:name="_Toc62048840"/>
      <w:r w:rsidRPr="007F116C">
        <w:t>Background</w:t>
      </w:r>
      <w:bookmarkEnd w:id="9"/>
    </w:p>
    <w:p w:rsidR="005E15EF" w:rsidRPr="007F116C" w:rsidRDefault="005E15EF" w:rsidP="004C7AE1">
      <w:pPr>
        <w:pStyle w:val="Heading2"/>
        <w:spacing w:before="240"/>
      </w:pPr>
      <w:r w:rsidRPr="007F116C">
        <w:t>Registration status</w:t>
      </w:r>
    </w:p>
    <w:p w:rsidR="005E15EF" w:rsidRPr="007F116C" w:rsidRDefault="005E15EF" w:rsidP="005E15EF"/>
    <w:p w:rsidR="001A1617" w:rsidRPr="007F116C" w:rsidRDefault="005E15EF" w:rsidP="001A1617">
      <w:pPr>
        <w:pStyle w:val="ListParagraph"/>
        <w:widowControl/>
        <w:numPr>
          <w:ilvl w:val="1"/>
          <w:numId w:val="2"/>
        </w:numPr>
      </w:pPr>
      <w:r w:rsidRPr="007F116C">
        <w:t>The submission was made un</w:t>
      </w:r>
      <w:r w:rsidR="00436522" w:rsidRPr="007F116C">
        <w:t xml:space="preserve">der TGA/PBAC Parallel Process. </w:t>
      </w:r>
      <w:r w:rsidRPr="007F116C">
        <w:t xml:space="preserve">At the time of </w:t>
      </w:r>
      <w:r w:rsidR="00F63C9C" w:rsidRPr="007F116C">
        <w:t xml:space="preserve">PBAC consideration, </w:t>
      </w:r>
      <w:r w:rsidRPr="007F116C">
        <w:t>the</w:t>
      </w:r>
      <w:r w:rsidR="003053CD" w:rsidRPr="007F116C">
        <w:t xml:space="preserve"> Round 1</w:t>
      </w:r>
      <w:r w:rsidRPr="007F116C">
        <w:t xml:space="preserve"> </w:t>
      </w:r>
      <w:r w:rsidR="003053CD" w:rsidRPr="007F116C">
        <w:t>C</w:t>
      </w:r>
      <w:r w:rsidRPr="007F116C">
        <w:t xml:space="preserve">linical </w:t>
      </w:r>
      <w:r w:rsidR="003053CD" w:rsidRPr="007F116C">
        <w:t>E</w:t>
      </w:r>
      <w:r w:rsidRPr="007F116C">
        <w:t xml:space="preserve">valuation </w:t>
      </w:r>
      <w:r w:rsidR="003053CD" w:rsidRPr="007F116C">
        <w:t>R</w:t>
      </w:r>
      <w:r w:rsidRPr="007F116C">
        <w:t>eport (CER)</w:t>
      </w:r>
      <w:r w:rsidR="00361C3E" w:rsidRPr="007F116C">
        <w:t>,</w:t>
      </w:r>
      <w:r w:rsidR="00DE3ECC" w:rsidRPr="007F116C">
        <w:t xml:space="preserve"> Delegate’s Overview</w:t>
      </w:r>
      <w:r w:rsidRPr="007F116C">
        <w:t xml:space="preserve"> </w:t>
      </w:r>
      <w:r w:rsidR="00361C3E" w:rsidRPr="007F116C">
        <w:t xml:space="preserve">and ACM Advice </w:t>
      </w:r>
      <w:r w:rsidR="00DE3ECC" w:rsidRPr="007F116C">
        <w:t>were</w:t>
      </w:r>
      <w:r w:rsidRPr="007F116C">
        <w:t xml:space="preserve"> available. </w:t>
      </w:r>
    </w:p>
    <w:p w:rsidR="005E15EF" w:rsidRPr="007F116C" w:rsidRDefault="005E15EF" w:rsidP="005E15EF">
      <w:pPr>
        <w:pStyle w:val="PBACHeading1"/>
      </w:pPr>
      <w:bookmarkStart w:id="10" w:name="_Toc62048841"/>
      <w:r w:rsidRPr="007F116C">
        <w:t>Population and disease</w:t>
      </w:r>
      <w:bookmarkEnd w:id="10"/>
    </w:p>
    <w:p w:rsidR="005E15EF" w:rsidRPr="007F116C" w:rsidRDefault="005E15EF" w:rsidP="005E15EF"/>
    <w:p w:rsidR="005E15EF" w:rsidRPr="007F116C" w:rsidRDefault="00436522" w:rsidP="005E15EF">
      <w:pPr>
        <w:pStyle w:val="ListParagraph"/>
        <w:widowControl/>
        <w:numPr>
          <w:ilvl w:val="1"/>
          <w:numId w:val="2"/>
        </w:numPr>
        <w:rPr>
          <w:color w:val="000000" w:themeColor="text1"/>
        </w:rPr>
      </w:pPr>
      <w:r w:rsidRPr="007F116C">
        <w:rPr>
          <w:color w:val="000000" w:themeColor="text1"/>
        </w:rPr>
        <w:t>Multiple sclerosis (</w:t>
      </w:r>
      <w:r w:rsidR="005E15EF" w:rsidRPr="007F116C">
        <w:rPr>
          <w:color w:val="000000" w:themeColor="text1"/>
        </w:rPr>
        <w:t>MS</w:t>
      </w:r>
      <w:r w:rsidRPr="007F116C">
        <w:rPr>
          <w:color w:val="000000" w:themeColor="text1"/>
        </w:rPr>
        <w:t>)</w:t>
      </w:r>
      <w:r w:rsidR="005E15EF" w:rsidRPr="007F116C">
        <w:rPr>
          <w:color w:val="000000" w:themeColor="text1"/>
        </w:rPr>
        <w:t xml:space="preserve"> is a chronic, immune-mediated disease of the central nervous system characterised by inflammation, demyelination and axonal/neuronal destruction, leading to severe disability. MS is characterised by plaques (or lesions) displaying demyelination of white and grey matter in the brain and spinal cord (Trapp 2008). These start with an initial inflammatory response, where lymphocytes enter the</w:t>
      </w:r>
      <w:r w:rsidR="003053CD" w:rsidRPr="007F116C">
        <w:rPr>
          <w:color w:val="000000" w:themeColor="text1"/>
        </w:rPr>
        <w:t xml:space="preserve"> central nervous system</w:t>
      </w:r>
      <w:r w:rsidR="005E15EF" w:rsidRPr="007F116C">
        <w:rPr>
          <w:color w:val="000000" w:themeColor="text1"/>
        </w:rPr>
        <w:t xml:space="preserve"> </w:t>
      </w:r>
      <w:r w:rsidR="003053CD" w:rsidRPr="007F116C">
        <w:rPr>
          <w:color w:val="000000" w:themeColor="text1"/>
        </w:rPr>
        <w:t>(</w:t>
      </w:r>
      <w:r w:rsidR="005E15EF" w:rsidRPr="007F116C">
        <w:rPr>
          <w:color w:val="000000" w:themeColor="text1"/>
        </w:rPr>
        <w:t>CNS</w:t>
      </w:r>
      <w:r w:rsidR="003053CD" w:rsidRPr="007F116C">
        <w:rPr>
          <w:color w:val="000000" w:themeColor="text1"/>
        </w:rPr>
        <w:t>)</w:t>
      </w:r>
      <w:r w:rsidR="005E15EF" w:rsidRPr="007F116C">
        <w:rPr>
          <w:color w:val="000000" w:themeColor="text1"/>
        </w:rPr>
        <w:t xml:space="preserve"> by crossing the blood brain barrier (Sospreda 2005; Hauser 2006). Demyelination results in a progressive loss of structure and function of neurons due to impaired propagation of action potentials across demyelinated axons (Schaeffer et al 2015). </w:t>
      </w:r>
    </w:p>
    <w:p w:rsidR="005E15EF" w:rsidRPr="007F116C" w:rsidRDefault="005E15EF" w:rsidP="005E15EF">
      <w:pPr>
        <w:pStyle w:val="ListParagraph"/>
        <w:widowControl/>
        <w:numPr>
          <w:ilvl w:val="1"/>
          <w:numId w:val="2"/>
        </w:numPr>
        <w:rPr>
          <w:color w:val="000000" w:themeColor="text1"/>
        </w:rPr>
      </w:pPr>
      <w:r w:rsidRPr="007F116C">
        <w:rPr>
          <w:color w:val="000000" w:themeColor="text1"/>
        </w:rPr>
        <w:t xml:space="preserve">The symptoms of MS vary significantly across patients depending on where in the brain or spinal cord lesions develop. Symptoms can manifest in any combination of the following five major health </w:t>
      </w:r>
      <w:r w:rsidR="00C77A39" w:rsidRPr="007F116C">
        <w:rPr>
          <w:color w:val="000000" w:themeColor="text1"/>
        </w:rPr>
        <w:t>problems (</w:t>
      </w:r>
      <w:r w:rsidRPr="007F116C">
        <w:rPr>
          <w:color w:val="000000" w:themeColor="text1"/>
        </w:rPr>
        <w:t>MS Australia 2020): motor control, fatigue, cognitive difficulties</w:t>
      </w:r>
      <w:r w:rsidR="003053CD" w:rsidRPr="007F116C">
        <w:rPr>
          <w:color w:val="000000" w:themeColor="text1"/>
        </w:rPr>
        <w:t>,</w:t>
      </w:r>
      <w:r w:rsidRPr="007F116C">
        <w:rPr>
          <w:color w:val="000000" w:themeColor="text1"/>
        </w:rPr>
        <w:t xml:space="preserve"> memory loss</w:t>
      </w:r>
      <w:r w:rsidR="003053CD" w:rsidRPr="007F116C">
        <w:rPr>
          <w:color w:val="000000" w:themeColor="text1"/>
        </w:rPr>
        <w:t xml:space="preserve"> and other neurological symptoms - including vertigo, pins and needles, neuralgia and visual disturbances, continence problems, and neuropsychological symptoms - including depression</w:t>
      </w:r>
      <w:r w:rsidR="007F116C">
        <w:rPr>
          <w:color w:val="000000" w:themeColor="text1"/>
        </w:rPr>
        <w:t xml:space="preserve">. </w:t>
      </w:r>
    </w:p>
    <w:p w:rsidR="005E15EF" w:rsidRPr="004E790D" w:rsidRDefault="005E15EF" w:rsidP="005E15EF">
      <w:pPr>
        <w:pStyle w:val="ListParagraph"/>
        <w:widowControl/>
        <w:numPr>
          <w:ilvl w:val="1"/>
          <w:numId w:val="2"/>
        </w:numPr>
        <w:rPr>
          <w:szCs w:val="24"/>
        </w:rPr>
      </w:pPr>
      <w:r w:rsidRPr="004E790D">
        <w:rPr>
          <w:szCs w:val="24"/>
        </w:rPr>
        <w:t>There are t</w:t>
      </w:r>
      <w:r w:rsidR="003053CD" w:rsidRPr="004E790D">
        <w:rPr>
          <w:szCs w:val="24"/>
        </w:rPr>
        <w:t>hree</w:t>
      </w:r>
      <w:r w:rsidRPr="004E790D">
        <w:rPr>
          <w:szCs w:val="24"/>
        </w:rPr>
        <w:t xml:space="preserve"> main forms of MS, relapsing</w:t>
      </w:r>
      <w:r w:rsidR="003053CD" w:rsidRPr="004E790D">
        <w:rPr>
          <w:szCs w:val="24"/>
        </w:rPr>
        <w:t>-</w:t>
      </w:r>
      <w:r w:rsidRPr="004E790D">
        <w:rPr>
          <w:szCs w:val="24"/>
        </w:rPr>
        <w:t>remitting (RR)</w:t>
      </w:r>
      <w:r w:rsidR="003053CD" w:rsidRPr="004E790D">
        <w:rPr>
          <w:szCs w:val="24"/>
        </w:rPr>
        <w:t>,</w:t>
      </w:r>
      <w:r w:rsidRPr="004E790D">
        <w:rPr>
          <w:szCs w:val="24"/>
        </w:rPr>
        <w:t xml:space="preserve"> secondary progressive (SP)</w:t>
      </w:r>
      <w:r w:rsidR="003053CD" w:rsidRPr="004E790D">
        <w:rPr>
          <w:szCs w:val="24"/>
        </w:rPr>
        <w:t xml:space="preserve"> and primary progressive (PP)</w:t>
      </w:r>
      <w:r w:rsidRPr="004E790D">
        <w:rPr>
          <w:szCs w:val="24"/>
        </w:rPr>
        <w:t>. RRMS is the most common type of MS and is estimated to affect 85% of newly diagnosed MS patients.</w:t>
      </w:r>
      <w:r w:rsidR="00726E8A" w:rsidRPr="004E790D">
        <w:rPr>
          <w:szCs w:val="24"/>
        </w:rPr>
        <w:t xml:space="preserve"> Relapsing</w:t>
      </w:r>
      <w:r w:rsidR="008178DC" w:rsidRPr="004E790D">
        <w:rPr>
          <w:szCs w:val="24"/>
        </w:rPr>
        <w:t xml:space="preserve"> MS (RMS) is a </w:t>
      </w:r>
      <w:r w:rsidR="00726E8A" w:rsidRPr="004E790D">
        <w:rPr>
          <w:szCs w:val="24"/>
        </w:rPr>
        <w:t>term used to describe</w:t>
      </w:r>
      <w:r w:rsidR="008178DC" w:rsidRPr="004E790D">
        <w:rPr>
          <w:szCs w:val="24"/>
        </w:rPr>
        <w:t xml:space="preserve"> patients with RRMS and those with SPMS who </w:t>
      </w:r>
      <w:r w:rsidR="00726E8A" w:rsidRPr="004E790D">
        <w:rPr>
          <w:szCs w:val="24"/>
        </w:rPr>
        <w:t>still experience relapse events.</w:t>
      </w:r>
      <w:r w:rsidR="00051BDB" w:rsidRPr="004E790D">
        <w:rPr>
          <w:szCs w:val="24"/>
        </w:rPr>
        <w:t xml:space="preserve"> </w:t>
      </w:r>
      <w:r w:rsidRPr="004E790D">
        <w:rPr>
          <w:szCs w:val="24"/>
        </w:rPr>
        <w:t xml:space="preserve">Patients with RRMS experience exacerbations (‘flare-ups’ or relapses) of symptoms, followed by remission of symptoms. Patients with RRMS typically develop irreversible disability over time. The clinical course of MS is varied. The symptoms of MS and accumulation of disability progressively reduce the quality of life for people with MS. (Paragraph 4.2, ozanimod </w:t>
      </w:r>
      <w:r w:rsidR="007C157B" w:rsidRPr="004E790D">
        <w:rPr>
          <w:szCs w:val="24"/>
        </w:rPr>
        <w:t>Public Summary Document (</w:t>
      </w:r>
      <w:r w:rsidRPr="004E790D">
        <w:rPr>
          <w:szCs w:val="24"/>
        </w:rPr>
        <w:t>PSD</w:t>
      </w:r>
      <w:r w:rsidR="007C157B" w:rsidRPr="004E790D">
        <w:rPr>
          <w:szCs w:val="24"/>
        </w:rPr>
        <w:t>)</w:t>
      </w:r>
      <w:r w:rsidRPr="004E790D">
        <w:rPr>
          <w:szCs w:val="24"/>
        </w:rPr>
        <w:t xml:space="preserve"> March 2020) </w:t>
      </w:r>
    </w:p>
    <w:p w:rsidR="0020302B" w:rsidRPr="007F116C" w:rsidRDefault="005E15EF" w:rsidP="0020302B">
      <w:pPr>
        <w:pStyle w:val="ListParagraph"/>
        <w:widowControl/>
        <w:numPr>
          <w:ilvl w:val="1"/>
          <w:numId w:val="2"/>
        </w:numPr>
      </w:pPr>
      <w:r w:rsidRPr="007F116C">
        <w:t>The submission noted that disease-modifying therap</w:t>
      </w:r>
      <w:r w:rsidR="003053CD" w:rsidRPr="007F116C">
        <w:t>ies (DMTs)</w:t>
      </w:r>
      <w:r w:rsidRPr="007F116C">
        <w:t xml:space="preserve"> should be considered in any patient with a first episode of demyelination where supporting evidence in the form of magnetic resonance imaging (MRI) and cerebrospinal fluid (CSF) findings strongly support a diagnosis of MS, or when relapsing-remitting MS has been diagnosed.</w:t>
      </w:r>
    </w:p>
    <w:p w:rsidR="0020302B" w:rsidRPr="007F116C" w:rsidRDefault="0020302B" w:rsidP="0020302B">
      <w:pPr>
        <w:pStyle w:val="ListParagraph"/>
        <w:ind w:left="709"/>
        <w:rPr>
          <w:rFonts w:asciiTheme="minorHAnsi" w:hAnsiTheme="minorHAnsi"/>
          <w:i/>
        </w:rPr>
      </w:pPr>
      <w:r w:rsidRPr="007F116C">
        <w:rPr>
          <w:rFonts w:asciiTheme="minorHAnsi" w:hAnsiTheme="minorHAnsi"/>
          <w:i/>
        </w:rPr>
        <w:t>For more detail on PBAC’s view, see section 7 PBAC outcome.</w:t>
      </w:r>
    </w:p>
    <w:p w:rsidR="005E15EF" w:rsidRPr="007F116C" w:rsidRDefault="005E15EF" w:rsidP="005E15EF">
      <w:pPr>
        <w:pStyle w:val="PBACHeading1"/>
      </w:pPr>
      <w:bookmarkStart w:id="11" w:name="_Toc62048842"/>
      <w:r w:rsidRPr="007F116C">
        <w:t>Comparator</w:t>
      </w:r>
      <w:bookmarkEnd w:id="11"/>
    </w:p>
    <w:p w:rsidR="005E15EF" w:rsidRPr="007F116C" w:rsidRDefault="005E15EF" w:rsidP="005E15EF"/>
    <w:p w:rsidR="005E15EF" w:rsidRPr="007F116C" w:rsidRDefault="005E15EF" w:rsidP="005E15EF">
      <w:pPr>
        <w:pStyle w:val="ListParagraph"/>
        <w:widowControl/>
        <w:numPr>
          <w:ilvl w:val="1"/>
          <w:numId w:val="2"/>
        </w:numPr>
      </w:pPr>
      <w:r w:rsidRPr="007F116C">
        <w:t>The submission nominated “high efficacy treatment options”, which included fingolimod, natalizumab, ocrelizumab and cladribine as the main comparators. The submission stated that these were nominated on the basis of their pharmacology, therapeutic relativities and relative utilisation in the MS market.</w:t>
      </w:r>
    </w:p>
    <w:p w:rsidR="005E15EF" w:rsidRPr="007F116C" w:rsidRDefault="005E15EF" w:rsidP="005E15EF">
      <w:pPr>
        <w:pStyle w:val="ListParagraph"/>
        <w:widowControl/>
        <w:numPr>
          <w:ilvl w:val="1"/>
          <w:numId w:val="2"/>
        </w:numPr>
      </w:pPr>
      <w:r w:rsidRPr="007F116C">
        <w:t xml:space="preserve">The submission noted that the closest clinical comparator for ofatumumab was ocrelizumab, as both are anti-CD20 monoclonal antibodies and are pharmacological analogues. The submission also noted that ocrelizumab had 21% of the </w:t>
      </w:r>
      <w:r w:rsidR="00436522" w:rsidRPr="007F116C">
        <w:t xml:space="preserve">market share </w:t>
      </w:r>
      <w:r w:rsidRPr="007F116C">
        <w:t xml:space="preserve">of MS </w:t>
      </w:r>
      <w:r w:rsidR="00436522" w:rsidRPr="007F116C">
        <w:t xml:space="preserve">DMTs listed on the PBS </w:t>
      </w:r>
      <w:r w:rsidRPr="007F116C">
        <w:t>in 2019-20 based on patient-years of therapy.</w:t>
      </w:r>
    </w:p>
    <w:p w:rsidR="005E15EF" w:rsidRPr="007F116C" w:rsidRDefault="005E15EF" w:rsidP="005E15EF">
      <w:pPr>
        <w:pStyle w:val="ListParagraph"/>
        <w:widowControl/>
        <w:numPr>
          <w:ilvl w:val="1"/>
          <w:numId w:val="2"/>
        </w:numPr>
      </w:pPr>
      <w:r w:rsidRPr="007F116C">
        <w:t xml:space="preserve">The submission stated that fingolimod also maintains a large market share at 24.7%. According to the therapeutic relativity sheets, ocrelizumab was listed </w:t>
      </w:r>
      <w:r w:rsidR="00C77A39" w:rsidRPr="007F116C">
        <w:t>based on</w:t>
      </w:r>
      <w:r w:rsidRPr="007F116C">
        <w:t xml:space="preserve"> a cost-minimisation to fingolimod. Other therapies also listed </w:t>
      </w:r>
      <w:r w:rsidR="00C77A39" w:rsidRPr="007F116C">
        <w:t>based on</w:t>
      </w:r>
      <w:r w:rsidRPr="007F116C">
        <w:t xml:space="preserve"> a cost-minimisation to fingolimod include cladribine and alemtuzumab. Alemtuzumab was also considered to be non-inferior to natalizumab. The submission expected all of these therapies to be replaced by ofatumumab. </w:t>
      </w:r>
      <w:r w:rsidR="00051BDB" w:rsidRPr="007F116C">
        <w:rPr>
          <w:iCs/>
        </w:rPr>
        <w:t xml:space="preserve">In </w:t>
      </w:r>
      <w:r w:rsidR="008718AC" w:rsidRPr="007F116C">
        <w:rPr>
          <w:iCs/>
        </w:rPr>
        <w:t>pra</w:t>
      </w:r>
      <w:r w:rsidR="006633A7" w:rsidRPr="007F116C">
        <w:rPr>
          <w:iCs/>
        </w:rPr>
        <w:t>ctice</w:t>
      </w:r>
      <w:r w:rsidR="00EC6565" w:rsidRPr="007F116C">
        <w:rPr>
          <w:iCs/>
        </w:rPr>
        <w:t>,</w:t>
      </w:r>
      <w:r w:rsidR="008718AC" w:rsidRPr="007F116C">
        <w:rPr>
          <w:iCs/>
        </w:rPr>
        <w:t xml:space="preserve"> ofatumumab could replace any of the PBS-listed DMTs for RRMS, however the extent to which th</w:t>
      </w:r>
      <w:r w:rsidR="006633A7" w:rsidRPr="007F116C">
        <w:rPr>
          <w:iCs/>
        </w:rPr>
        <w:t>is may be expected to occur may</w:t>
      </w:r>
      <w:r w:rsidR="008718AC" w:rsidRPr="007F116C">
        <w:rPr>
          <w:iCs/>
        </w:rPr>
        <w:t xml:space="preserve"> vary.</w:t>
      </w:r>
    </w:p>
    <w:p w:rsidR="005E15EF" w:rsidRPr="007F116C" w:rsidRDefault="005E15EF" w:rsidP="005E15EF">
      <w:pPr>
        <w:pStyle w:val="ListParagraph"/>
        <w:widowControl/>
        <w:numPr>
          <w:ilvl w:val="1"/>
          <w:numId w:val="2"/>
        </w:numPr>
      </w:pPr>
      <w:r w:rsidRPr="007F116C">
        <w:t>Therapeutic relativity sheets showed that other disease modifying treatments (DMTs) (glatiramer, dimethyl fumarate, and teriflunomide) were listed based on cost-minimisation to interferon beta-1a/1b or glatiramer. Fingolimod and natalizumab were recommended based on cost-effectiveness to interferon beta-1a/1bs.</w:t>
      </w:r>
    </w:p>
    <w:p w:rsidR="005E15EF" w:rsidRPr="007F116C" w:rsidRDefault="005E15EF" w:rsidP="005E15EF">
      <w:pPr>
        <w:pStyle w:val="ListParagraph"/>
        <w:widowControl/>
        <w:numPr>
          <w:ilvl w:val="1"/>
          <w:numId w:val="2"/>
        </w:numPr>
      </w:pPr>
      <w:r w:rsidRPr="007F116C">
        <w:t xml:space="preserve">The submission considered that there was a distinct difference in efficacy between the DMTs </w:t>
      </w:r>
      <w:r w:rsidR="00436522" w:rsidRPr="007F116C">
        <w:t>which were PBS listed based on cost effectiveness compared to interferon beta-1a/1b (fingolimod and natalizumab) or cost-minimised to fingolimod (ocrelizumab, cladribine, alemtuzumab</w:t>
      </w:r>
      <w:r w:rsidR="002A1C2F" w:rsidRPr="007F116C">
        <w:t>, i.e. a ‘higher’ efficacy tier)</w:t>
      </w:r>
      <w:r w:rsidR="00436522" w:rsidRPr="007F116C">
        <w:t xml:space="preserve"> or </w:t>
      </w:r>
      <w:r w:rsidRPr="007F116C">
        <w:t>and those cost-minimised to interferon beta 1a/1b (glatiramer, dimethyl fumarate, teriflunomide</w:t>
      </w:r>
      <w:r w:rsidR="002A1C2F" w:rsidRPr="007F116C">
        <w:t>, i.e. a ‘lower’ efficacy tier)</w:t>
      </w:r>
      <w:r w:rsidRPr="007F116C">
        <w:t xml:space="preserve">. </w:t>
      </w:r>
    </w:p>
    <w:p w:rsidR="005E15EF" w:rsidRPr="007F116C" w:rsidRDefault="005E15EF" w:rsidP="005E15EF">
      <w:pPr>
        <w:pStyle w:val="ListParagraph"/>
        <w:widowControl/>
        <w:numPr>
          <w:ilvl w:val="1"/>
          <w:numId w:val="2"/>
        </w:numPr>
      </w:pPr>
      <w:r w:rsidRPr="007F116C">
        <w:t xml:space="preserve">The submission therefore referred to fingolimod and DMTs that were cost-minimised to fingolimod as </w:t>
      </w:r>
      <w:r w:rsidR="00436522" w:rsidRPr="007F116C">
        <w:t>‘</w:t>
      </w:r>
      <w:r w:rsidRPr="007F116C">
        <w:t>high efficacy</w:t>
      </w:r>
      <w:r w:rsidR="00436522" w:rsidRPr="007F116C">
        <w:t>’</w:t>
      </w:r>
      <w:r w:rsidRPr="007F116C">
        <w:t xml:space="preserve"> treatments. The submission </w:t>
      </w:r>
      <w:r w:rsidR="00524019" w:rsidRPr="007F116C">
        <w:t>noted</w:t>
      </w:r>
      <w:r w:rsidRPr="007F116C">
        <w:t xml:space="preserve"> that this is consistent with terminology used by the ESC in the evaluation of the PBAC application for ocrelizumab in July 2017 (Ocrelizumab PSD July 2017). </w:t>
      </w:r>
    </w:p>
    <w:p w:rsidR="00EE0D2F" w:rsidRPr="007F116C" w:rsidRDefault="002A1C2F" w:rsidP="005E15EF">
      <w:pPr>
        <w:pStyle w:val="ListParagraph"/>
        <w:widowControl/>
        <w:numPr>
          <w:ilvl w:val="1"/>
          <w:numId w:val="2"/>
        </w:numPr>
      </w:pPr>
      <w:r w:rsidRPr="007F116C">
        <w:t xml:space="preserve">Under Section 101(3B) of the </w:t>
      </w:r>
      <w:r w:rsidRPr="007F116C">
        <w:rPr>
          <w:i/>
        </w:rPr>
        <w:t>National Health Act (1953)</w:t>
      </w:r>
      <w:r w:rsidRPr="007F116C">
        <w:t>, the PBAC cannot recommend listing a therapy that is substantially more costly than an alternative therapy unless it is satisfied that the therapy provides, for some patients, a significant improvement in efficacy and/or reduction in toxicity. The submission presented direct evidence demonstrating superior comparative efficacy versus teriflunomide (a lower tier drug)</w:t>
      </w:r>
      <w:r w:rsidR="008718AC" w:rsidRPr="007F116C">
        <w:t>.</w:t>
      </w:r>
      <w:r w:rsidR="00EE0D2F" w:rsidRPr="007F116C">
        <w:t xml:space="preserve"> On that basis, it may be reasonable to conclude that ofatumumab is also superior to other DMTs in the same efficacy tier as teriflunomide, including interferon beta-1a/1b (SC and IM presentations), peginterferon beta-1a, glatiramer acetate and dimethyl fumarate.</w:t>
      </w:r>
      <w:r w:rsidR="008718AC" w:rsidRPr="007F116C">
        <w:t xml:space="preserve"> </w:t>
      </w:r>
      <w:r w:rsidR="00EE0D2F" w:rsidRPr="007F116C">
        <w:t>On that basis, a comparison to the higher efficacy tier drugs may be reasonable.</w:t>
      </w:r>
    </w:p>
    <w:p w:rsidR="002A1C2F" w:rsidRPr="007F116C" w:rsidRDefault="008718AC" w:rsidP="005E15EF">
      <w:pPr>
        <w:pStyle w:val="ListParagraph"/>
        <w:widowControl/>
        <w:numPr>
          <w:ilvl w:val="1"/>
          <w:numId w:val="2"/>
        </w:numPr>
      </w:pPr>
      <w:r w:rsidRPr="007F116C">
        <w:t>W</w:t>
      </w:r>
      <w:r w:rsidR="002A1C2F" w:rsidRPr="007F116C">
        <w:t>hilst the indirect comparisons with both higher tier drugs (fingolimod, natalizumab</w:t>
      </w:r>
      <w:r w:rsidR="008178DC" w:rsidRPr="007F116C">
        <w:t>, alemtuzumab</w:t>
      </w:r>
      <w:r w:rsidR="001E096E" w:rsidRPr="007F116C">
        <w:t>, ocrelizumab</w:t>
      </w:r>
      <w:r w:rsidR="002A1C2F" w:rsidRPr="007F116C">
        <w:t xml:space="preserve"> and cladribine) and lower tier drugs (interferon beta-1a) had numerous </w:t>
      </w:r>
      <w:r w:rsidR="008178DC" w:rsidRPr="007F116C">
        <w:t xml:space="preserve">issues </w:t>
      </w:r>
      <w:r w:rsidR="002A1C2F" w:rsidRPr="007F116C">
        <w:t>due to the multi-step indirect comparison approach and issues with some bridging clinical trials</w:t>
      </w:r>
      <w:r w:rsidRPr="007F116C">
        <w:t>, the evidence presented likely supported a claim of non-inferior comparative efficacy to these higher tier drugs.</w:t>
      </w:r>
    </w:p>
    <w:p w:rsidR="005E15EF" w:rsidRPr="007F116C" w:rsidRDefault="005E15EF" w:rsidP="005E15EF">
      <w:pPr>
        <w:pStyle w:val="ListParagraph"/>
        <w:widowControl/>
        <w:numPr>
          <w:ilvl w:val="1"/>
          <w:numId w:val="2"/>
        </w:numPr>
      </w:pPr>
      <w:r w:rsidRPr="007F116C">
        <w:t xml:space="preserve">The submission did not include alemtuzumab as a main comparator as </w:t>
      </w:r>
      <w:r w:rsidR="008718AC" w:rsidRPr="007F116C">
        <w:t>it</w:t>
      </w:r>
      <w:r w:rsidR="00956216" w:rsidRPr="007F116C">
        <w:t xml:space="preserve"> </w:t>
      </w:r>
      <w:r w:rsidRPr="007F116C">
        <w:t>represented only 1.1% of the market for all PBS-listed DMTs and</w:t>
      </w:r>
      <w:r w:rsidR="008718AC" w:rsidRPr="007F116C">
        <w:t xml:space="preserve"> therefore unlikely to be replaced by ofatumumab to any substantial amount.</w:t>
      </w:r>
      <w:r w:rsidRPr="007F116C">
        <w:t xml:space="preserve"> </w:t>
      </w:r>
      <w:r w:rsidRPr="007F116C">
        <w:rPr>
          <w:iCs/>
        </w:rPr>
        <w:t xml:space="preserve">Though this was an insufficient reason to exclude consideration of alemtuzumab, the conclusion that </w:t>
      </w:r>
      <w:r w:rsidR="00EC1DEC" w:rsidRPr="007F116C">
        <w:rPr>
          <w:iCs/>
        </w:rPr>
        <w:t xml:space="preserve">replacement </w:t>
      </w:r>
      <w:r w:rsidRPr="007F116C">
        <w:rPr>
          <w:iCs/>
        </w:rPr>
        <w:t xml:space="preserve">would make up a small proportion of use </w:t>
      </w:r>
      <w:r w:rsidR="00140667" w:rsidRPr="007F116C">
        <w:rPr>
          <w:iCs/>
        </w:rPr>
        <w:t>wa</w:t>
      </w:r>
      <w:r w:rsidRPr="007F116C">
        <w:rPr>
          <w:iCs/>
        </w:rPr>
        <w:t xml:space="preserve">s reasonable. Additionally, though alemtuzumab was not nominated as a main comparator, a clinical comparison against alemtuzumab was still included, and alemtuzumab scripts were assumed to be replaced by a listing of ofatumumab in the financial estimates. </w:t>
      </w:r>
    </w:p>
    <w:p w:rsidR="0020302B" w:rsidRPr="007F116C" w:rsidRDefault="00A94207" w:rsidP="0020302B">
      <w:pPr>
        <w:pStyle w:val="ListParagraph"/>
        <w:widowControl/>
        <w:numPr>
          <w:ilvl w:val="1"/>
          <w:numId w:val="2"/>
        </w:numPr>
      </w:pPr>
      <w:r w:rsidRPr="007F116C">
        <w:rPr>
          <w:iCs/>
        </w:rPr>
        <w:t xml:space="preserve">Ozanimod was also considered as an additional near market comparator. </w:t>
      </w:r>
      <w:r w:rsidR="00EE0D2F" w:rsidRPr="007F116C">
        <w:rPr>
          <w:iCs/>
        </w:rPr>
        <w:t>The PBAC recommend</w:t>
      </w:r>
      <w:r w:rsidR="00942AC3" w:rsidRPr="007F116C">
        <w:rPr>
          <w:iCs/>
        </w:rPr>
        <w:t>ed</w:t>
      </w:r>
      <w:r w:rsidR="00EE0D2F" w:rsidRPr="007F116C">
        <w:rPr>
          <w:iCs/>
        </w:rPr>
        <w:t xml:space="preserve"> ozanimod at its September 2020 intracycle meeting (Ozanimod </w:t>
      </w:r>
      <w:r w:rsidR="00845689">
        <w:rPr>
          <w:iCs/>
        </w:rPr>
        <w:t>PSD</w:t>
      </w:r>
      <w:r w:rsidR="00EE0D2F" w:rsidRPr="007F116C">
        <w:rPr>
          <w:iCs/>
        </w:rPr>
        <w:t>, September 2020 PBAC intracycle meeting).</w:t>
      </w:r>
      <w:r w:rsidR="00C44197" w:rsidRPr="007F116C">
        <w:rPr>
          <w:iCs/>
        </w:rPr>
        <w:t xml:space="preserve"> The PBAC considered ozanimod was a relevant alternative and potential comparator, however also considered its inclusion as a main comparator would not materially alter its view of the submission. </w:t>
      </w:r>
    </w:p>
    <w:p w:rsidR="00135D22" w:rsidRDefault="0020302B" w:rsidP="0020302B">
      <w:pPr>
        <w:pStyle w:val="ListParagraph"/>
        <w:ind w:left="709"/>
        <w:rPr>
          <w:rFonts w:asciiTheme="minorHAnsi" w:hAnsiTheme="minorHAnsi"/>
          <w:i/>
        </w:rPr>
      </w:pPr>
      <w:r w:rsidRPr="007F116C">
        <w:rPr>
          <w:rFonts w:asciiTheme="minorHAnsi" w:hAnsiTheme="minorHAnsi"/>
          <w:i/>
        </w:rPr>
        <w:t>For more detail on PBAC’s view, see section 7 PBAC outcome.</w:t>
      </w:r>
    </w:p>
    <w:p w:rsidR="00135D22" w:rsidRDefault="00135D22">
      <w:pPr>
        <w:widowControl/>
        <w:jc w:val="left"/>
        <w:rPr>
          <w:rFonts w:asciiTheme="minorHAnsi" w:hAnsiTheme="minorHAnsi"/>
          <w:i/>
        </w:rPr>
      </w:pPr>
      <w:r>
        <w:rPr>
          <w:rFonts w:asciiTheme="minorHAnsi" w:hAnsiTheme="minorHAnsi"/>
          <w:i/>
        </w:rPr>
        <w:br w:type="page"/>
      </w:r>
    </w:p>
    <w:p w:rsidR="005E15EF" w:rsidRPr="007F116C" w:rsidRDefault="005E15EF" w:rsidP="005E15EF">
      <w:pPr>
        <w:pStyle w:val="PBACHeading1"/>
      </w:pPr>
      <w:bookmarkStart w:id="12" w:name="_Toc62048843"/>
      <w:r w:rsidRPr="007F116C">
        <w:t>Consideration of the evidence</w:t>
      </w:r>
      <w:bookmarkEnd w:id="12"/>
    </w:p>
    <w:p w:rsidR="0020302B" w:rsidRPr="007F116C" w:rsidRDefault="0020302B" w:rsidP="00535359">
      <w:pPr>
        <w:spacing w:before="240" w:line="276" w:lineRule="auto"/>
        <w:outlineLvl w:val="1"/>
        <w:rPr>
          <w:rFonts w:asciiTheme="minorHAnsi" w:hAnsiTheme="minorHAnsi"/>
          <w:b/>
          <w:bCs/>
          <w:i/>
          <w:sz w:val="28"/>
          <w:szCs w:val="28"/>
        </w:rPr>
      </w:pPr>
      <w:bookmarkStart w:id="13" w:name="_Toc62048844"/>
      <w:r w:rsidRPr="007F116C">
        <w:rPr>
          <w:rFonts w:asciiTheme="minorHAnsi" w:hAnsiTheme="minorHAnsi"/>
          <w:b/>
          <w:bCs/>
          <w:i/>
          <w:sz w:val="28"/>
          <w:szCs w:val="28"/>
        </w:rPr>
        <w:t>Sponsor hearing</w:t>
      </w:r>
    </w:p>
    <w:p w:rsidR="00535359" w:rsidRPr="007F116C" w:rsidRDefault="00535359" w:rsidP="00535359">
      <w:pPr>
        <w:numPr>
          <w:ilvl w:val="1"/>
          <w:numId w:val="2"/>
        </w:numPr>
        <w:spacing w:after="120"/>
        <w:rPr>
          <w:rFonts w:asciiTheme="minorHAnsi" w:hAnsiTheme="minorHAnsi"/>
          <w:bCs/>
        </w:rPr>
      </w:pPr>
      <w:r w:rsidRPr="007F116C">
        <w:rPr>
          <w:rFonts w:asciiTheme="minorHAnsi" w:hAnsiTheme="minorHAnsi"/>
          <w:bCs/>
        </w:rPr>
        <w:t>There was no hearing for this item.</w:t>
      </w:r>
    </w:p>
    <w:p w:rsidR="0020302B" w:rsidRPr="007F116C" w:rsidRDefault="0020302B" w:rsidP="00535359">
      <w:pPr>
        <w:spacing w:before="240" w:line="276" w:lineRule="auto"/>
        <w:outlineLvl w:val="1"/>
        <w:rPr>
          <w:rFonts w:asciiTheme="minorHAnsi" w:hAnsiTheme="minorHAnsi"/>
          <w:b/>
          <w:bCs/>
          <w:i/>
          <w:sz w:val="28"/>
          <w:szCs w:val="28"/>
        </w:rPr>
      </w:pPr>
      <w:r w:rsidRPr="007F116C">
        <w:rPr>
          <w:rFonts w:asciiTheme="minorHAnsi" w:hAnsiTheme="minorHAnsi"/>
          <w:b/>
          <w:bCs/>
          <w:i/>
          <w:sz w:val="28"/>
          <w:szCs w:val="28"/>
        </w:rPr>
        <w:t>Consumer comments</w:t>
      </w:r>
    </w:p>
    <w:p w:rsidR="0020302B" w:rsidRPr="007F116C" w:rsidRDefault="0020302B" w:rsidP="0020302B">
      <w:pPr>
        <w:numPr>
          <w:ilvl w:val="1"/>
          <w:numId w:val="2"/>
        </w:numPr>
        <w:spacing w:after="120"/>
        <w:rPr>
          <w:rFonts w:asciiTheme="minorHAnsi" w:hAnsiTheme="minorHAnsi"/>
          <w:bCs/>
        </w:rPr>
      </w:pPr>
      <w:r w:rsidRPr="007F116C">
        <w:rPr>
          <w:rFonts w:asciiTheme="minorHAnsi" w:hAnsiTheme="minorHAnsi"/>
          <w:bCs/>
        </w:rPr>
        <w:t>The PBAC noted and welcomed the input from individuals (4) and organisations (</w:t>
      </w:r>
      <w:r w:rsidR="00B274F2" w:rsidRPr="007F116C">
        <w:rPr>
          <w:rFonts w:asciiTheme="minorHAnsi" w:hAnsiTheme="minorHAnsi"/>
          <w:bCs/>
        </w:rPr>
        <w:t>2</w:t>
      </w:r>
      <w:r w:rsidRPr="007F116C">
        <w:rPr>
          <w:rFonts w:asciiTheme="minorHAnsi" w:hAnsiTheme="minorHAnsi"/>
          <w:bCs/>
        </w:rPr>
        <w:t>) via the Consumer Comments facility on the PBS website</w:t>
      </w:r>
      <w:r w:rsidR="007F116C">
        <w:rPr>
          <w:rFonts w:asciiTheme="minorHAnsi" w:hAnsiTheme="minorHAnsi"/>
          <w:bCs/>
        </w:rPr>
        <w:t xml:space="preserve">. </w:t>
      </w:r>
      <w:r w:rsidRPr="007F116C">
        <w:rPr>
          <w:rFonts w:asciiTheme="minorHAnsi" w:hAnsiTheme="minorHAnsi"/>
          <w:bCs/>
        </w:rPr>
        <w:t xml:space="preserve">The comments described </w:t>
      </w:r>
      <w:r w:rsidR="00535359" w:rsidRPr="007F116C">
        <w:rPr>
          <w:rFonts w:asciiTheme="minorHAnsi" w:hAnsiTheme="minorHAnsi"/>
          <w:bCs/>
        </w:rPr>
        <w:t>the importance of having additional treatment options available for RRMS. The PBAC also noted the advice received from MS Australia and the Australian and New Zealand Association of Neurologists (ANZAN) that highlighted the</w:t>
      </w:r>
      <w:r w:rsidR="00FF6570" w:rsidRPr="007F116C">
        <w:rPr>
          <w:rFonts w:asciiTheme="minorHAnsi" w:hAnsiTheme="minorHAnsi"/>
          <w:bCs/>
        </w:rPr>
        <w:t xml:space="preserve"> effectiveness of ofatumumab and the</w:t>
      </w:r>
      <w:r w:rsidR="00535359" w:rsidRPr="007F116C">
        <w:rPr>
          <w:rFonts w:asciiTheme="minorHAnsi" w:hAnsiTheme="minorHAnsi"/>
          <w:bCs/>
        </w:rPr>
        <w:t xml:space="preserve"> benefits of having a treatment option similar to ocrelizumab that can be self-administered</w:t>
      </w:r>
      <w:r w:rsidR="00FF6570" w:rsidRPr="007F116C">
        <w:rPr>
          <w:rFonts w:asciiTheme="minorHAnsi" w:hAnsiTheme="minorHAnsi"/>
          <w:bCs/>
        </w:rPr>
        <w:t>, particularly for rural, remote and other patients who may find it difficult to attend infusion clinics.</w:t>
      </w:r>
    </w:p>
    <w:p w:rsidR="005E15EF" w:rsidRPr="007F116C" w:rsidRDefault="005E15EF" w:rsidP="0020302B">
      <w:pPr>
        <w:pStyle w:val="Heading2"/>
      </w:pPr>
      <w:r w:rsidRPr="007F116C">
        <w:t>Clinical trials</w:t>
      </w:r>
      <w:bookmarkEnd w:id="13"/>
    </w:p>
    <w:p w:rsidR="005E15EF" w:rsidRPr="007F116C" w:rsidRDefault="005E15EF" w:rsidP="005E15EF">
      <w:pPr>
        <w:pStyle w:val="ListParagraph"/>
        <w:widowControl/>
        <w:numPr>
          <w:ilvl w:val="1"/>
          <w:numId w:val="2"/>
        </w:numPr>
      </w:pPr>
      <w:r w:rsidRPr="007F116C">
        <w:t>The sub</w:t>
      </w:r>
      <w:r w:rsidR="00436522" w:rsidRPr="007F116C">
        <w:t>mission was based on two trials of ofatumumab versus teriflunomide.</w:t>
      </w:r>
      <w:r w:rsidRPr="007F116C">
        <w:t xml:space="preserve"> ASCLEPIOS I (N=927) and II (N=955) were randomised and double blinded, double dummy trials with identical trial designs. Patients were randomised 1:1 to receive either ofatumumab 20 mg SC injections every 4 weeks (af</w:t>
      </w:r>
      <w:r w:rsidR="00296911" w:rsidRPr="007F116C">
        <w:t>ter initial loading regimen of three</w:t>
      </w:r>
      <w:r w:rsidRPr="007F116C">
        <w:t xml:space="preserve"> weekly 20 mg doses in the first 14 days and on</w:t>
      </w:r>
      <w:r w:rsidR="00EC1DEC" w:rsidRPr="007F116C">
        <w:t>e in</w:t>
      </w:r>
      <w:r w:rsidRPr="007F116C">
        <w:t xml:space="preserve"> Week 4)</w:t>
      </w:r>
      <w:r w:rsidR="00436522" w:rsidRPr="007F116C">
        <w:t xml:space="preserve"> or teriflunomide 14</w:t>
      </w:r>
      <w:r w:rsidR="00942AC3" w:rsidRPr="007F116C">
        <w:t> </w:t>
      </w:r>
      <w:r w:rsidR="00436522" w:rsidRPr="007F116C">
        <w:t xml:space="preserve">mg </w:t>
      </w:r>
      <w:r w:rsidR="00A94207" w:rsidRPr="007F116C">
        <w:t xml:space="preserve">orally </w:t>
      </w:r>
      <w:r w:rsidR="00436522" w:rsidRPr="007F116C">
        <w:t xml:space="preserve">once daily. </w:t>
      </w:r>
      <w:r w:rsidR="00D05AA9" w:rsidRPr="007F116C">
        <w:t xml:space="preserve">Patients were followed up for two and a half years (30 months). </w:t>
      </w:r>
    </w:p>
    <w:p w:rsidR="005E15EF" w:rsidRPr="007F116C" w:rsidRDefault="005E15EF" w:rsidP="005E15EF">
      <w:pPr>
        <w:pStyle w:val="ListParagraph"/>
        <w:widowControl/>
        <w:numPr>
          <w:ilvl w:val="1"/>
          <w:numId w:val="2"/>
        </w:numPr>
      </w:pPr>
      <w:r w:rsidRPr="007F116C">
        <w:t>The submission was also based on 20 trials serving as evidence for the nominated comparators, bridging comparators for the multi-stepped indirect comparison and additional comparators</w:t>
      </w:r>
      <w:r w:rsidR="00A94207" w:rsidRPr="007F116C">
        <w:t xml:space="preserve"> (i.e. alemtuzumab and ozanimod)</w:t>
      </w:r>
      <w:r w:rsidRPr="007F116C">
        <w:t xml:space="preserve">. </w:t>
      </w:r>
    </w:p>
    <w:p w:rsidR="005E15EF" w:rsidRPr="007F116C" w:rsidRDefault="005E15EF" w:rsidP="005E15EF">
      <w:pPr>
        <w:pStyle w:val="ListParagraph"/>
        <w:widowControl/>
        <w:numPr>
          <w:ilvl w:val="1"/>
          <w:numId w:val="2"/>
        </w:numPr>
      </w:pPr>
      <w:r w:rsidRPr="007F116C">
        <w:t xml:space="preserve">For the nominated comparators in RMS/RRMS, the comparator trials included: </w:t>
      </w:r>
    </w:p>
    <w:p w:rsidR="005E15EF" w:rsidRPr="007F116C" w:rsidRDefault="005E15EF" w:rsidP="004C7AE1">
      <w:pPr>
        <w:pStyle w:val="ListParagraph"/>
        <w:numPr>
          <w:ilvl w:val="0"/>
          <w:numId w:val="14"/>
        </w:numPr>
        <w:ind w:left="1134" w:hanging="357"/>
      </w:pPr>
      <w:r w:rsidRPr="007F116C">
        <w:t xml:space="preserve">two interferon-beta 1-a controlled trials for ocrelizumab (OPERA I/II); </w:t>
      </w:r>
    </w:p>
    <w:p w:rsidR="005E15EF" w:rsidRPr="007F116C" w:rsidRDefault="005E15EF" w:rsidP="00A94207">
      <w:pPr>
        <w:pStyle w:val="ListParagraph"/>
        <w:numPr>
          <w:ilvl w:val="0"/>
          <w:numId w:val="14"/>
        </w:numPr>
        <w:ind w:left="1134"/>
      </w:pPr>
      <w:r w:rsidRPr="007F116C">
        <w:t>two placebo controlled trials (FREEDOMS I</w:t>
      </w:r>
      <w:r w:rsidR="00D05AA9" w:rsidRPr="007F116C">
        <w:t xml:space="preserve"> and</w:t>
      </w:r>
      <w:r w:rsidRPr="007F116C">
        <w:t xml:space="preserve"> FREEDOMS II) and one interferon beta-1a controlled trial (TRANSFORMS) for fingolimod;</w:t>
      </w:r>
    </w:p>
    <w:p w:rsidR="005E15EF" w:rsidRPr="007F116C" w:rsidRDefault="005E15EF" w:rsidP="00A94207">
      <w:pPr>
        <w:pStyle w:val="ListParagraph"/>
        <w:numPr>
          <w:ilvl w:val="0"/>
          <w:numId w:val="14"/>
        </w:numPr>
        <w:ind w:left="1134"/>
      </w:pPr>
      <w:r w:rsidRPr="007F116C">
        <w:t>one placebo controlled trial for cladribine (CLARITY); and</w:t>
      </w:r>
    </w:p>
    <w:p w:rsidR="005E15EF" w:rsidRPr="007F116C" w:rsidRDefault="005E15EF" w:rsidP="00A94207">
      <w:pPr>
        <w:pStyle w:val="ListParagraph"/>
        <w:numPr>
          <w:ilvl w:val="0"/>
          <w:numId w:val="14"/>
        </w:numPr>
        <w:ind w:left="1134"/>
      </w:pPr>
      <w:r w:rsidRPr="007F116C">
        <w:t>one placebo controlled trial for natalizumab (AFFIRM)</w:t>
      </w:r>
      <w:r w:rsidR="0040369B" w:rsidRPr="007F116C">
        <w:t>.</w:t>
      </w:r>
    </w:p>
    <w:p w:rsidR="005E15EF" w:rsidRPr="007F116C" w:rsidRDefault="005E15EF" w:rsidP="005E15EF">
      <w:pPr>
        <w:pStyle w:val="ListParagraph"/>
        <w:widowControl/>
        <w:numPr>
          <w:ilvl w:val="1"/>
          <w:numId w:val="2"/>
        </w:numPr>
      </w:pPr>
      <w:r w:rsidRPr="007F116C">
        <w:t>For the bridging comparators to inform the indirect comparison, the bridging comparator trials include:</w:t>
      </w:r>
    </w:p>
    <w:p w:rsidR="005E15EF" w:rsidRPr="007F116C" w:rsidRDefault="005E15EF" w:rsidP="00A94207">
      <w:pPr>
        <w:pStyle w:val="ListParagraph"/>
        <w:numPr>
          <w:ilvl w:val="0"/>
          <w:numId w:val="14"/>
        </w:numPr>
        <w:ind w:left="1134"/>
      </w:pPr>
      <w:r w:rsidRPr="007F116C">
        <w:t xml:space="preserve">three placebo controlled trials for interferon beta-1a (MSCRG, PRISMS and BRAVO); </w:t>
      </w:r>
      <w:r w:rsidR="00BD5D46" w:rsidRPr="007F116C">
        <w:t>and</w:t>
      </w:r>
    </w:p>
    <w:p w:rsidR="005E15EF" w:rsidRPr="007F116C" w:rsidRDefault="005E15EF" w:rsidP="00602388">
      <w:pPr>
        <w:pStyle w:val="ListParagraph"/>
        <w:numPr>
          <w:ilvl w:val="0"/>
          <w:numId w:val="14"/>
        </w:numPr>
        <w:ind w:left="1134"/>
      </w:pPr>
      <w:r w:rsidRPr="007F116C">
        <w:t>two placebo controlled trials (TEMSO and TOWER); and one interferon beta-1a controlled trial (TENERE) for teriflunomide</w:t>
      </w:r>
      <w:r w:rsidR="00BD5D46" w:rsidRPr="007F116C">
        <w:t>.</w:t>
      </w:r>
      <w:r w:rsidRPr="007F116C">
        <w:t xml:space="preserve"> </w:t>
      </w:r>
    </w:p>
    <w:p w:rsidR="005E15EF" w:rsidRPr="007F116C" w:rsidRDefault="005E15EF" w:rsidP="005E15EF">
      <w:pPr>
        <w:pStyle w:val="ListParagraph"/>
        <w:widowControl/>
        <w:numPr>
          <w:ilvl w:val="1"/>
          <w:numId w:val="2"/>
        </w:numPr>
      </w:pPr>
      <w:r w:rsidRPr="007F116C">
        <w:t>Additionally, even though they were not nominated comparators, the submission identified the following trials for other and near market comparators which formed part of the multistep indirect comparison:</w:t>
      </w:r>
    </w:p>
    <w:p w:rsidR="005E15EF" w:rsidRPr="007F116C" w:rsidRDefault="005E15EF" w:rsidP="00A94207">
      <w:pPr>
        <w:pStyle w:val="ListParagraph"/>
        <w:numPr>
          <w:ilvl w:val="0"/>
          <w:numId w:val="14"/>
        </w:numPr>
        <w:ind w:left="1134" w:hanging="283"/>
      </w:pPr>
      <w:r w:rsidRPr="007F116C">
        <w:t>three interferon beta-1a controlled trials for alemtuzumab (CAMSS223, CARE-MSI and CARE-MSII)</w:t>
      </w:r>
      <w:r w:rsidR="00BD5D46" w:rsidRPr="007F116C">
        <w:t>;</w:t>
      </w:r>
    </w:p>
    <w:p w:rsidR="005E15EF" w:rsidRPr="007F116C" w:rsidRDefault="005E15EF" w:rsidP="00A94207">
      <w:pPr>
        <w:pStyle w:val="ListParagraph"/>
        <w:numPr>
          <w:ilvl w:val="0"/>
          <w:numId w:val="14"/>
        </w:numPr>
        <w:ind w:left="1134" w:hanging="283"/>
      </w:pPr>
      <w:r w:rsidRPr="007F116C">
        <w:t>two interferon beta-1a controlled trials for ozanimod (SUNBEAM and RADIANCE); and</w:t>
      </w:r>
    </w:p>
    <w:p w:rsidR="005E15EF" w:rsidRPr="007F116C" w:rsidRDefault="005E15EF" w:rsidP="00A94207">
      <w:pPr>
        <w:pStyle w:val="ListParagraph"/>
        <w:numPr>
          <w:ilvl w:val="0"/>
          <w:numId w:val="14"/>
        </w:numPr>
        <w:ind w:left="1134" w:hanging="283"/>
      </w:pPr>
      <w:r w:rsidRPr="007F116C">
        <w:t>two placebo controlled trials for dimethyl fumarate (DEFINE and CONFIRM).</w:t>
      </w:r>
    </w:p>
    <w:p w:rsidR="005E15EF" w:rsidRPr="007F116C" w:rsidRDefault="005E15EF" w:rsidP="005E15EF">
      <w:pPr>
        <w:pStyle w:val="ListParagraph"/>
        <w:widowControl/>
        <w:numPr>
          <w:ilvl w:val="1"/>
          <w:numId w:val="2"/>
        </w:numPr>
      </w:pPr>
      <w:r w:rsidRPr="007F116C">
        <w:t>The PBAC has previously considered all of the included</w:t>
      </w:r>
      <w:r w:rsidR="00630857" w:rsidRPr="007F116C">
        <w:t xml:space="preserve"> studies for all of the nominated, bridging and supplementary</w:t>
      </w:r>
      <w:r w:rsidRPr="007F116C">
        <w:t xml:space="preserve"> </w:t>
      </w:r>
      <w:r w:rsidR="00630857" w:rsidRPr="007F116C">
        <w:t>comparators.</w:t>
      </w:r>
      <w:r w:rsidR="00A94207" w:rsidRPr="007F116C">
        <w:t xml:space="preserve"> </w:t>
      </w:r>
    </w:p>
    <w:p w:rsidR="005E15EF" w:rsidRPr="007F116C" w:rsidRDefault="005E15EF" w:rsidP="005E15EF">
      <w:pPr>
        <w:pStyle w:val="ListParagraph"/>
        <w:widowControl/>
        <w:numPr>
          <w:ilvl w:val="1"/>
          <w:numId w:val="2"/>
        </w:numPr>
      </w:pPr>
      <w:r w:rsidRPr="007F116C">
        <w:rPr>
          <w:rFonts w:cs="Calibri"/>
          <w:snapToGrid/>
          <w:szCs w:val="24"/>
          <w:lang w:eastAsia="en-AU"/>
        </w:rPr>
        <w:t xml:space="preserve">Details of the trials presented in the submission are provided in the table below. </w:t>
      </w:r>
    </w:p>
    <w:p w:rsidR="00630857" w:rsidRPr="007F116C" w:rsidRDefault="00630857" w:rsidP="005E15EF">
      <w:pPr>
        <w:rPr>
          <w:rStyle w:val="CommentReference"/>
        </w:rPr>
      </w:pPr>
      <w:r w:rsidRPr="007F116C">
        <w:rPr>
          <w:rStyle w:val="CommentReference"/>
        </w:rPr>
        <w:br w:type="page"/>
      </w:r>
    </w:p>
    <w:p w:rsidR="005E15EF" w:rsidRPr="007F116C" w:rsidRDefault="005E15EF" w:rsidP="005E15EF">
      <w:pPr>
        <w:rPr>
          <w:rFonts w:ascii="Arial Narrow" w:hAnsi="Arial Narrow"/>
          <w:b/>
          <w:sz w:val="20"/>
          <w:szCs w:val="16"/>
        </w:rPr>
      </w:pPr>
      <w:r w:rsidRPr="007F116C">
        <w:rPr>
          <w:rStyle w:val="CommentReference"/>
        </w:rPr>
        <w:t xml:space="preserve">Table </w:t>
      </w:r>
      <w:r w:rsidR="00522713" w:rsidRPr="007F116C">
        <w:rPr>
          <w:rStyle w:val="CommentReference"/>
        </w:rPr>
        <w:t>2</w:t>
      </w:r>
      <w:r w:rsidRPr="007F116C">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16"/>
        <w:gridCol w:w="5760"/>
        <w:gridCol w:w="1641"/>
      </w:tblGrid>
      <w:tr w:rsidR="005E15EF" w:rsidRPr="007F116C" w:rsidTr="005E15EF">
        <w:trPr>
          <w:tblHeader/>
        </w:trPr>
        <w:tc>
          <w:tcPr>
            <w:tcW w:w="896" w:type="pct"/>
            <w:vAlign w:val="center"/>
          </w:tcPr>
          <w:p w:rsidR="005E15EF" w:rsidRPr="007F116C" w:rsidRDefault="005E15EF" w:rsidP="005E15EF">
            <w:pPr>
              <w:pStyle w:val="Tabletext"/>
              <w:rPr>
                <w:b/>
              </w:rPr>
            </w:pPr>
            <w:r w:rsidRPr="007F116C">
              <w:rPr>
                <w:b/>
              </w:rPr>
              <w:t>Trial ID</w:t>
            </w:r>
          </w:p>
        </w:tc>
        <w:tc>
          <w:tcPr>
            <w:tcW w:w="3194" w:type="pct"/>
            <w:vAlign w:val="center"/>
          </w:tcPr>
          <w:p w:rsidR="005E15EF" w:rsidRPr="007F116C" w:rsidRDefault="005E15EF" w:rsidP="005E15EF">
            <w:pPr>
              <w:pStyle w:val="Tabletext"/>
              <w:jc w:val="center"/>
              <w:rPr>
                <w:b/>
              </w:rPr>
            </w:pPr>
            <w:r w:rsidRPr="007F116C">
              <w:rPr>
                <w:b/>
              </w:rPr>
              <w:t>Protocol title/ Publication title</w:t>
            </w:r>
          </w:p>
        </w:tc>
        <w:tc>
          <w:tcPr>
            <w:tcW w:w="910" w:type="pct"/>
            <w:vAlign w:val="center"/>
          </w:tcPr>
          <w:p w:rsidR="005E15EF" w:rsidRPr="007F116C" w:rsidRDefault="005E15EF" w:rsidP="005E15EF">
            <w:pPr>
              <w:pStyle w:val="Tabletext"/>
              <w:jc w:val="center"/>
              <w:rPr>
                <w:b/>
              </w:rPr>
            </w:pPr>
            <w:r w:rsidRPr="007F116C">
              <w:rPr>
                <w:b/>
              </w:rPr>
              <w:t>Publication citation</w:t>
            </w:r>
          </w:p>
        </w:tc>
      </w:tr>
      <w:tr w:rsidR="005E15EF" w:rsidRPr="007F116C" w:rsidTr="005E15EF">
        <w:tc>
          <w:tcPr>
            <w:tcW w:w="5000" w:type="pct"/>
            <w:gridSpan w:val="3"/>
            <w:vAlign w:val="center"/>
          </w:tcPr>
          <w:p w:rsidR="005E15EF" w:rsidRPr="007F116C" w:rsidRDefault="005E15EF" w:rsidP="005E15EF">
            <w:pPr>
              <w:pStyle w:val="Tabletext"/>
              <w:rPr>
                <w:b/>
              </w:rPr>
            </w:pPr>
            <w:r w:rsidRPr="007F116C">
              <w:rPr>
                <w:b/>
              </w:rPr>
              <w:t>Ofatumumab trials</w:t>
            </w:r>
          </w:p>
        </w:tc>
      </w:tr>
      <w:tr w:rsidR="005E15EF" w:rsidRPr="007F116C" w:rsidTr="005E15EF">
        <w:tc>
          <w:tcPr>
            <w:tcW w:w="896" w:type="pct"/>
            <w:tcBorders>
              <w:bottom w:val="nil"/>
            </w:tcBorders>
            <w:vAlign w:val="center"/>
          </w:tcPr>
          <w:p w:rsidR="005E15EF" w:rsidRPr="007F116C" w:rsidRDefault="005E15EF" w:rsidP="005E15EF">
            <w:pPr>
              <w:pStyle w:val="Tabletext"/>
              <w:rPr>
                <w:rFonts w:ascii="Times" w:hAnsi="Times"/>
              </w:rPr>
            </w:pPr>
          </w:p>
        </w:tc>
        <w:tc>
          <w:tcPr>
            <w:tcW w:w="3194" w:type="pct"/>
            <w:tcBorders>
              <w:bottom w:val="nil"/>
            </w:tcBorders>
            <w:vAlign w:val="center"/>
          </w:tcPr>
          <w:p w:rsidR="005E15EF" w:rsidRPr="007F116C" w:rsidRDefault="005E15EF" w:rsidP="005E15EF">
            <w:pPr>
              <w:pStyle w:val="Tabletext"/>
              <w:rPr>
                <w:szCs w:val="18"/>
              </w:rPr>
            </w:pPr>
            <w:r w:rsidRPr="007F116C">
              <w:rPr>
                <w:szCs w:val="18"/>
              </w:rPr>
              <w:t>COMB157G2301. A randomized, double-blind, double-dummy, parallel-group study comparing the efficacy and safety of ofatumumab versus teriflunomide in patients with relapsing multiple sclerosis (ASCLEPIOS I).</w:t>
            </w:r>
          </w:p>
        </w:tc>
        <w:tc>
          <w:tcPr>
            <w:tcW w:w="910" w:type="pct"/>
            <w:tcBorders>
              <w:bottom w:val="nil"/>
            </w:tcBorders>
            <w:vAlign w:val="center"/>
          </w:tcPr>
          <w:p w:rsidR="005E15EF" w:rsidRPr="007F116C" w:rsidRDefault="005E15EF" w:rsidP="005E15EF">
            <w:pPr>
              <w:pStyle w:val="Tabletext"/>
              <w:rPr>
                <w:rFonts w:ascii="Times" w:hAnsi="Times"/>
              </w:rPr>
            </w:pPr>
            <w:r w:rsidRPr="007F116C">
              <w:rPr>
                <w:iCs/>
                <w:szCs w:val="18"/>
                <w:lang w:eastAsia="en-AU"/>
              </w:rPr>
              <w:t>December 2019:</w:t>
            </w:r>
          </w:p>
        </w:tc>
      </w:tr>
      <w:tr w:rsidR="005E15EF" w:rsidRPr="007F116C" w:rsidTr="005E15EF">
        <w:tc>
          <w:tcPr>
            <w:tcW w:w="896" w:type="pct"/>
            <w:tcBorders>
              <w:top w:val="nil"/>
              <w:bottom w:val="nil"/>
            </w:tcBorders>
            <w:vAlign w:val="center"/>
          </w:tcPr>
          <w:p w:rsidR="005E15EF" w:rsidRPr="007F116C" w:rsidRDefault="005E15EF" w:rsidP="005E15EF">
            <w:pPr>
              <w:pStyle w:val="Tabletext"/>
            </w:pPr>
            <w:r w:rsidRPr="007F116C">
              <w:t>ASCLEPIOS</w:t>
            </w:r>
            <w:r w:rsidR="003C02E1" w:rsidRPr="007F116C">
              <w:t xml:space="preserve"> </w:t>
            </w:r>
            <w:r w:rsidRPr="007F116C">
              <w:t>I/II</w:t>
            </w:r>
          </w:p>
        </w:tc>
        <w:tc>
          <w:tcPr>
            <w:tcW w:w="3194" w:type="pct"/>
            <w:tcBorders>
              <w:top w:val="nil"/>
              <w:bottom w:val="nil"/>
            </w:tcBorders>
            <w:vAlign w:val="center"/>
          </w:tcPr>
          <w:p w:rsidR="005E15EF" w:rsidRPr="007F116C" w:rsidRDefault="005E15EF" w:rsidP="005E15EF">
            <w:pPr>
              <w:pStyle w:val="Tabletext"/>
              <w:rPr>
                <w:szCs w:val="18"/>
                <w:lang w:eastAsia="en-AU"/>
              </w:rPr>
            </w:pPr>
            <w:r w:rsidRPr="007F116C">
              <w:rPr>
                <w:szCs w:val="18"/>
                <w:lang w:eastAsia="en-AU"/>
              </w:rPr>
              <w:t>COMB157G2302. A randomized, double-blind, double-dummy, parallel-group study comparing the efficacy and safety of ofatumumab versus teriflunomide in patients with relapsing multiple sclerosis (ASCLEPIOS II)</w:t>
            </w:r>
          </w:p>
        </w:tc>
        <w:tc>
          <w:tcPr>
            <w:tcW w:w="910" w:type="pct"/>
            <w:tcBorders>
              <w:top w:val="nil"/>
              <w:bottom w:val="nil"/>
            </w:tcBorders>
            <w:vAlign w:val="center"/>
          </w:tcPr>
          <w:p w:rsidR="005E15EF" w:rsidRPr="007F116C" w:rsidRDefault="005E15EF" w:rsidP="005E15EF">
            <w:pPr>
              <w:pStyle w:val="Tabletext"/>
              <w:rPr>
                <w:iCs/>
                <w:szCs w:val="18"/>
                <w:lang w:eastAsia="en-AU"/>
              </w:rPr>
            </w:pPr>
            <w:r w:rsidRPr="007F116C">
              <w:rPr>
                <w:iCs/>
                <w:szCs w:val="18"/>
                <w:lang w:eastAsia="en-AU"/>
              </w:rPr>
              <w:t>December 2019:</w:t>
            </w:r>
          </w:p>
        </w:tc>
      </w:tr>
      <w:tr w:rsidR="005E15EF" w:rsidRPr="007F116C" w:rsidTr="005E15EF">
        <w:tc>
          <w:tcPr>
            <w:tcW w:w="896" w:type="pct"/>
            <w:tcBorders>
              <w:top w:val="nil"/>
              <w:bottom w:val="single" w:sz="4" w:space="0" w:color="auto"/>
            </w:tcBorders>
            <w:vAlign w:val="center"/>
          </w:tcPr>
          <w:p w:rsidR="005E15EF" w:rsidRPr="007F116C" w:rsidRDefault="005E15EF" w:rsidP="005E15EF">
            <w:pPr>
              <w:pStyle w:val="Tabletext"/>
            </w:pPr>
          </w:p>
        </w:tc>
        <w:tc>
          <w:tcPr>
            <w:tcW w:w="3194" w:type="pct"/>
            <w:tcBorders>
              <w:top w:val="nil"/>
              <w:bottom w:val="single" w:sz="4" w:space="0" w:color="auto"/>
            </w:tcBorders>
            <w:vAlign w:val="center"/>
          </w:tcPr>
          <w:p w:rsidR="005E15EF" w:rsidRPr="007F116C" w:rsidRDefault="005E15EF" w:rsidP="005E15EF">
            <w:pPr>
              <w:pStyle w:val="Tabletext"/>
              <w:rPr>
                <w:szCs w:val="18"/>
                <w:lang w:eastAsia="en-AU"/>
              </w:rPr>
            </w:pPr>
            <w:r w:rsidRPr="007F116C">
              <w:rPr>
                <w:rFonts w:cs="Segoe UI"/>
              </w:rPr>
              <w:t xml:space="preserve">Hauser, S. L., et al. Ofatumumab versus Teriflunomide in Multiple Sclerosis. </w:t>
            </w:r>
          </w:p>
        </w:tc>
        <w:tc>
          <w:tcPr>
            <w:tcW w:w="910" w:type="pct"/>
            <w:tcBorders>
              <w:top w:val="nil"/>
              <w:bottom w:val="single" w:sz="4" w:space="0" w:color="auto"/>
            </w:tcBorders>
            <w:vAlign w:val="center"/>
          </w:tcPr>
          <w:p w:rsidR="005E15EF" w:rsidRPr="007F116C" w:rsidRDefault="005E15EF" w:rsidP="005E15EF">
            <w:pPr>
              <w:pStyle w:val="Tabletext"/>
              <w:rPr>
                <w:szCs w:val="18"/>
                <w:lang w:eastAsia="en-AU"/>
              </w:rPr>
            </w:pPr>
            <w:r w:rsidRPr="007F116C">
              <w:rPr>
                <w:szCs w:val="18"/>
                <w:lang w:eastAsia="en-AU"/>
              </w:rPr>
              <w:t>NEJM. 2020; 383(6): 546-557</w:t>
            </w:r>
          </w:p>
        </w:tc>
      </w:tr>
      <w:tr w:rsidR="005E15EF" w:rsidRPr="007F116C" w:rsidTr="005E15EF">
        <w:tc>
          <w:tcPr>
            <w:tcW w:w="896" w:type="pct"/>
            <w:tcBorders>
              <w:top w:val="single" w:sz="4" w:space="0" w:color="auto"/>
              <w:bottom w:val="single" w:sz="4" w:space="0" w:color="auto"/>
              <w:right w:val="nil"/>
            </w:tcBorders>
            <w:vAlign w:val="center"/>
          </w:tcPr>
          <w:p w:rsidR="005E15EF" w:rsidRPr="007F116C" w:rsidRDefault="005E15EF" w:rsidP="005E15EF">
            <w:pPr>
              <w:pStyle w:val="Tabletext"/>
              <w:rPr>
                <w:b/>
                <w:bCs/>
              </w:rPr>
            </w:pPr>
            <w:r w:rsidRPr="007F116C">
              <w:rPr>
                <w:b/>
                <w:bCs/>
              </w:rPr>
              <w:t>Ocrelizumab trials</w:t>
            </w:r>
          </w:p>
        </w:tc>
        <w:tc>
          <w:tcPr>
            <w:tcW w:w="3194" w:type="pct"/>
            <w:tcBorders>
              <w:top w:val="single" w:sz="4" w:space="0" w:color="auto"/>
              <w:left w:val="nil"/>
              <w:bottom w:val="single" w:sz="4" w:space="0" w:color="auto"/>
              <w:right w:val="nil"/>
            </w:tcBorders>
            <w:vAlign w:val="center"/>
          </w:tcPr>
          <w:p w:rsidR="005E15EF" w:rsidRPr="007F116C" w:rsidRDefault="005E15EF" w:rsidP="005E15EF">
            <w:pPr>
              <w:pStyle w:val="Tabletext"/>
              <w:rPr>
                <w:rFonts w:cs="Segoe UI"/>
              </w:rPr>
            </w:pPr>
          </w:p>
        </w:tc>
        <w:tc>
          <w:tcPr>
            <w:tcW w:w="910" w:type="pct"/>
            <w:tcBorders>
              <w:top w:val="single" w:sz="4" w:space="0" w:color="auto"/>
              <w:left w:val="nil"/>
              <w:bottom w:val="single" w:sz="4" w:space="0" w:color="auto"/>
            </w:tcBorders>
            <w:vAlign w:val="center"/>
          </w:tcPr>
          <w:p w:rsidR="005E15EF" w:rsidRPr="007F116C" w:rsidRDefault="005E15EF" w:rsidP="005E15EF">
            <w:pPr>
              <w:pStyle w:val="Tabletext"/>
              <w:rPr>
                <w:szCs w:val="18"/>
                <w:lang w:eastAsia="en-AU"/>
              </w:rPr>
            </w:pP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rPr>
                <w:rFonts w:ascii="Times" w:hAnsi="Times"/>
              </w:rPr>
            </w:pPr>
            <w:r w:rsidRPr="007F116C">
              <w:t xml:space="preserve">OPERA </w:t>
            </w:r>
            <w:r w:rsidR="00630857" w:rsidRPr="007F116C">
              <w:t>I</w:t>
            </w:r>
            <w:r w:rsidRPr="007F116C">
              <w:t>/II</w:t>
            </w:r>
          </w:p>
        </w:tc>
        <w:tc>
          <w:tcPr>
            <w:tcW w:w="3194" w:type="pct"/>
            <w:tcBorders>
              <w:top w:val="single" w:sz="4" w:space="0" w:color="auto"/>
              <w:bottom w:val="single" w:sz="4" w:space="0" w:color="auto"/>
            </w:tcBorders>
            <w:vAlign w:val="center"/>
          </w:tcPr>
          <w:p w:rsidR="005E15EF" w:rsidRPr="007F116C" w:rsidRDefault="005E15EF" w:rsidP="005E15EF">
            <w:pPr>
              <w:pStyle w:val="Tabletext"/>
              <w:rPr>
                <w:rFonts w:ascii="Times" w:hAnsi="Times"/>
              </w:rPr>
            </w:pPr>
            <w:r w:rsidRPr="007F116C">
              <w:t xml:space="preserve">Hauser, S. L., et al. Ocrelizumab versus Interferon Beta-1a in Relapsing Multiple Sclerosis. </w:t>
            </w:r>
          </w:p>
        </w:tc>
        <w:tc>
          <w:tcPr>
            <w:tcW w:w="910" w:type="pct"/>
            <w:tcBorders>
              <w:top w:val="single" w:sz="4" w:space="0" w:color="auto"/>
              <w:bottom w:val="single" w:sz="4" w:space="0" w:color="auto"/>
            </w:tcBorders>
            <w:vAlign w:val="center"/>
          </w:tcPr>
          <w:p w:rsidR="005E15EF" w:rsidRPr="007F116C" w:rsidRDefault="005E15EF" w:rsidP="005E15EF">
            <w:pPr>
              <w:pStyle w:val="Tabletext"/>
            </w:pPr>
            <w:r w:rsidRPr="007F116C">
              <w:t>NEJM. 2017; 376(3): 221</w:t>
            </w:r>
            <w:r w:rsidRPr="007F116C">
              <w:rPr>
                <w:rFonts w:ascii="Cambria Math" w:hAnsi="Cambria Math" w:cs="Cambria Math"/>
              </w:rPr>
              <w:t>‐</w:t>
            </w:r>
            <w:r w:rsidRPr="007F116C">
              <w:t>234.</w:t>
            </w:r>
          </w:p>
        </w:tc>
      </w:tr>
      <w:tr w:rsidR="005E15EF" w:rsidRPr="007F116C" w:rsidTr="005E15EF">
        <w:tc>
          <w:tcPr>
            <w:tcW w:w="896" w:type="pct"/>
            <w:tcBorders>
              <w:top w:val="single" w:sz="4" w:space="0" w:color="auto"/>
              <w:bottom w:val="single" w:sz="4" w:space="0" w:color="auto"/>
              <w:right w:val="nil"/>
            </w:tcBorders>
            <w:vAlign w:val="center"/>
          </w:tcPr>
          <w:p w:rsidR="005E15EF" w:rsidRPr="007F116C" w:rsidRDefault="005E15EF" w:rsidP="005E15EF">
            <w:pPr>
              <w:pStyle w:val="Tabletext"/>
              <w:rPr>
                <w:b/>
                <w:bCs/>
              </w:rPr>
            </w:pPr>
            <w:r w:rsidRPr="007F116C">
              <w:rPr>
                <w:b/>
                <w:bCs/>
              </w:rPr>
              <w:t>Fingolimod trials</w:t>
            </w:r>
          </w:p>
        </w:tc>
        <w:tc>
          <w:tcPr>
            <w:tcW w:w="3194" w:type="pct"/>
            <w:tcBorders>
              <w:top w:val="single" w:sz="4" w:space="0" w:color="auto"/>
              <w:left w:val="nil"/>
              <w:bottom w:val="single" w:sz="4" w:space="0" w:color="auto"/>
              <w:right w:val="nil"/>
            </w:tcBorders>
            <w:vAlign w:val="center"/>
          </w:tcPr>
          <w:p w:rsidR="005E15EF" w:rsidRPr="007F116C" w:rsidRDefault="005E15EF" w:rsidP="005E15EF">
            <w:pPr>
              <w:pStyle w:val="Tabletext"/>
              <w:rPr>
                <w:b/>
                <w:bCs/>
                <w:szCs w:val="18"/>
              </w:rPr>
            </w:pPr>
          </w:p>
        </w:tc>
        <w:tc>
          <w:tcPr>
            <w:tcW w:w="910" w:type="pct"/>
            <w:tcBorders>
              <w:top w:val="single" w:sz="4" w:space="0" w:color="auto"/>
              <w:left w:val="nil"/>
              <w:bottom w:val="single" w:sz="4" w:space="0" w:color="auto"/>
            </w:tcBorders>
            <w:vAlign w:val="center"/>
          </w:tcPr>
          <w:p w:rsidR="005E15EF" w:rsidRPr="007F116C" w:rsidRDefault="005E15EF" w:rsidP="005E15EF">
            <w:pPr>
              <w:pStyle w:val="Tabletext"/>
              <w:rPr>
                <w:b/>
                <w:bCs/>
              </w:rPr>
            </w:pPr>
          </w:p>
        </w:tc>
      </w:tr>
      <w:tr w:rsidR="005E15EF" w:rsidRPr="007F116C" w:rsidTr="005E15EF">
        <w:tc>
          <w:tcPr>
            <w:tcW w:w="896" w:type="pct"/>
            <w:tcBorders>
              <w:top w:val="single" w:sz="4" w:space="0" w:color="auto"/>
              <w:bottom w:val="nil"/>
            </w:tcBorders>
            <w:vAlign w:val="center"/>
          </w:tcPr>
          <w:p w:rsidR="005E15EF" w:rsidRPr="007F116C" w:rsidRDefault="005E15EF" w:rsidP="005E15EF">
            <w:pPr>
              <w:pStyle w:val="Tabletext"/>
            </w:pPr>
            <w:r w:rsidRPr="007F116C">
              <w:t>FREEDOMS I</w:t>
            </w:r>
          </w:p>
        </w:tc>
        <w:tc>
          <w:tcPr>
            <w:tcW w:w="3194" w:type="pct"/>
            <w:tcBorders>
              <w:top w:val="single" w:sz="4" w:space="0" w:color="auto"/>
              <w:bottom w:val="nil"/>
            </w:tcBorders>
            <w:vAlign w:val="center"/>
          </w:tcPr>
          <w:p w:rsidR="005E15EF" w:rsidRPr="007F116C" w:rsidRDefault="005E15EF" w:rsidP="005E15EF">
            <w:pPr>
              <w:pStyle w:val="Tabletext"/>
              <w:rPr>
                <w:szCs w:val="18"/>
              </w:rPr>
            </w:pPr>
            <w:r w:rsidRPr="007F116C">
              <w:rPr>
                <w:szCs w:val="18"/>
              </w:rPr>
              <w:t xml:space="preserve">FTY720D2301. A 24-month double-blind, randomized, multicenter, placebo controlled, parallel-group study comparing the efficacy and safety of FTY720 1.25 mg and 0.5 mg administered orally once daily versus placebo in patients with relapsing-remitting multiple sclerosis. </w:t>
            </w:r>
          </w:p>
        </w:tc>
        <w:tc>
          <w:tcPr>
            <w:tcW w:w="910" w:type="pct"/>
            <w:tcBorders>
              <w:top w:val="single" w:sz="4" w:space="0" w:color="auto"/>
              <w:bottom w:val="nil"/>
            </w:tcBorders>
            <w:vAlign w:val="center"/>
          </w:tcPr>
          <w:p w:rsidR="005E15EF" w:rsidRPr="007F116C" w:rsidRDefault="005E15EF" w:rsidP="005E15EF">
            <w:pPr>
              <w:pStyle w:val="Tabletext"/>
            </w:pPr>
            <w:r w:rsidRPr="007F116C">
              <w:t>NR</w:t>
            </w:r>
          </w:p>
        </w:tc>
      </w:tr>
      <w:tr w:rsidR="005E15EF" w:rsidRPr="007F116C" w:rsidTr="005E15EF">
        <w:tc>
          <w:tcPr>
            <w:tcW w:w="896" w:type="pct"/>
            <w:tcBorders>
              <w:top w:val="nil"/>
              <w:bottom w:val="single" w:sz="4" w:space="0" w:color="auto"/>
            </w:tcBorders>
            <w:vAlign w:val="center"/>
          </w:tcPr>
          <w:p w:rsidR="005E15EF" w:rsidRPr="007F116C" w:rsidRDefault="005E15EF" w:rsidP="005E15EF">
            <w:pPr>
              <w:pStyle w:val="Tabletext"/>
            </w:pPr>
          </w:p>
        </w:tc>
        <w:tc>
          <w:tcPr>
            <w:tcW w:w="3194" w:type="pct"/>
            <w:tcBorders>
              <w:top w:val="nil"/>
              <w:bottom w:val="single" w:sz="4" w:space="0" w:color="auto"/>
            </w:tcBorders>
            <w:vAlign w:val="center"/>
          </w:tcPr>
          <w:p w:rsidR="005E15EF" w:rsidRPr="007F116C" w:rsidRDefault="005E15EF" w:rsidP="005E15EF">
            <w:pPr>
              <w:pStyle w:val="Tabletext"/>
              <w:rPr>
                <w:szCs w:val="18"/>
              </w:rPr>
            </w:pPr>
            <w:r w:rsidRPr="007F116C">
              <w:rPr>
                <w:szCs w:val="18"/>
              </w:rPr>
              <w:t xml:space="preserve">Kappos, L., et al. A placebo-controlled trial of oral fingolimod in relapsing multiple sclerosis. </w:t>
            </w:r>
          </w:p>
        </w:tc>
        <w:tc>
          <w:tcPr>
            <w:tcW w:w="910" w:type="pct"/>
            <w:tcBorders>
              <w:top w:val="nil"/>
              <w:bottom w:val="single" w:sz="4" w:space="0" w:color="auto"/>
            </w:tcBorders>
            <w:vAlign w:val="center"/>
          </w:tcPr>
          <w:p w:rsidR="005E15EF" w:rsidRPr="007F116C" w:rsidRDefault="005E15EF" w:rsidP="005E15EF">
            <w:pPr>
              <w:pStyle w:val="Tabletext"/>
              <w:rPr>
                <w:szCs w:val="18"/>
              </w:rPr>
            </w:pPr>
            <w:r w:rsidRPr="007F116C">
              <w:rPr>
                <w:szCs w:val="18"/>
              </w:rPr>
              <w:t>NEJM. 2010; 362(5): 387-401</w:t>
            </w:r>
          </w:p>
        </w:tc>
      </w:tr>
      <w:tr w:rsidR="005E15EF" w:rsidRPr="007F116C" w:rsidTr="005E15EF">
        <w:tc>
          <w:tcPr>
            <w:tcW w:w="896" w:type="pct"/>
            <w:tcBorders>
              <w:top w:val="single" w:sz="4" w:space="0" w:color="auto"/>
              <w:bottom w:val="nil"/>
            </w:tcBorders>
            <w:vAlign w:val="center"/>
          </w:tcPr>
          <w:p w:rsidR="005E15EF" w:rsidRPr="007F116C" w:rsidRDefault="005E15EF" w:rsidP="005E15EF">
            <w:pPr>
              <w:pStyle w:val="Tabletext"/>
            </w:pPr>
            <w:r w:rsidRPr="007F116C">
              <w:t>FREEDOMS II</w:t>
            </w:r>
          </w:p>
        </w:tc>
        <w:tc>
          <w:tcPr>
            <w:tcW w:w="3194" w:type="pct"/>
            <w:tcBorders>
              <w:top w:val="single" w:sz="4" w:space="0" w:color="auto"/>
              <w:bottom w:val="nil"/>
            </w:tcBorders>
            <w:vAlign w:val="center"/>
          </w:tcPr>
          <w:p w:rsidR="005E15EF" w:rsidRPr="007F116C" w:rsidRDefault="005E15EF" w:rsidP="005E15EF">
            <w:pPr>
              <w:pStyle w:val="Tabletext"/>
            </w:pPr>
            <w:r w:rsidRPr="007F116C">
              <w:t xml:space="preserve">FTY720D2309. A 24-month double-blind, randomized, multicenter, placebo controlled, parallel-group study comparing the efficacy and safety of 0.5 mg and 1.25 mg fingolimod (FTY720) administered orally once daily versus placebo in patients with relapsing-remitting multiple sclerosis. </w:t>
            </w:r>
          </w:p>
        </w:tc>
        <w:tc>
          <w:tcPr>
            <w:tcW w:w="910" w:type="pct"/>
            <w:tcBorders>
              <w:top w:val="single" w:sz="4" w:space="0" w:color="auto"/>
              <w:bottom w:val="nil"/>
            </w:tcBorders>
            <w:vAlign w:val="center"/>
          </w:tcPr>
          <w:p w:rsidR="005E15EF" w:rsidRPr="007F116C" w:rsidRDefault="005E15EF" w:rsidP="005E15EF">
            <w:pPr>
              <w:pStyle w:val="Tabletext"/>
              <w:rPr>
                <w:rFonts w:ascii="Times" w:hAnsi="Times"/>
              </w:rPr>
            </w:pPr>
            <w:r w:rsidRPr="007F116C">
              <w:t>13 January 2012</w:t>
            </w:r>
          </w:p>
        </w:tc>
      </w:tr>
      <w:tr w:rsidR="005E15EF" w:rsidRPr="007F116C" w:rsidTr="005E15EF">
        <w:tc>
          <w:tcPr>
            <w:tcW w:w="896" w:type="pct"/>
            <w:tcBorders>
              <w:top w:val="nil"/>
              <w:bottom w:val="single" w:sz="4" w:space="0" w:color="auto"/>
            </w:tcBorders>
            <w:vAlign w:val="center"/>
          </w:tcPr>
          <w:p w:rsidR="005E15EF" w:rsidRPr="007F116C" w:rsidRDefault="005E15EF" w:rsidP="005E15EF">
            <w:pPr>
              <w:pStyle w:val="Tabletext"/>
            </w:pPr>
          </w:p>
        </w:tc>
        <w:tc>
          <w:tcPr>
            <w:tcW w:w="3194" w:type="pct"/>
            <w:tcBorders>
              <w:top w:val="nil"/>
              <w:bottom w:val="single" w:sz="4" w:space="0" w:color="auto"/>
            </w:tcBorders>
            <w:vAlign w:val="center"/>
          </w:tcPr>
          <w:p w:rsidR="005E15EF" w:rsidRPr="007F116C" w:rsidRDefault="005E15EF" w:rsidP="005E15EF">
            <w:pPr>
              <w:pStyle w:val="Tabletext"/>
              <w:rPr>
                <w:szCs w:val="18"/>
              </w:rPr>
            </w:pPr>
            <w:r w:rsidRPr="007F116C">
              <w:rPr>
                <w:szCs w:val="18"/>
              </w:rPr>
              <w:t xml:space="preserve">Calabresi, P. A., et al. Safety and efficacy of fingolimod in patients with relapsing-remitting multiple sclerosis (FREEDOMS II): a double-blind, randomised, placebo-controlled, phase 3 trial. </w:t>
            </w:r>
          </w:p>
        </w:tc>
        <w:tc>
          <w:tcPr>
            <w:tcW w:w="910" w:type="pct"/>
            <w:tcBorders>
              <w:top w:val="nil"/>
              <w:bottom w:val="single" w:sz="4" w:space="0" w:color="auto"/>
            </w:tcBorders>
            <w:vAlign w:val="center"/>
          </w:tcPr>
          <w:p w:rsidR="005E15EF" w:rsidRPr="007F116C" w:rsidRDefault="005E15EF" w:rsidP="005E15EF">
            <w:pPr>
              <w:pStyle w:val="Tabletext"/>
            </w:pPr>
            <w:r w:rsidRPr="007F116C">
              <w:rPr>
                <w:szCs w:val="18"/>
              </w:rPr>
              <w:t xml:space="preserve"> Lancet. Neurology. 2014; 13(6): 545</w:t>
            </w:r>
            <w:r w:rsidRPr="007F116C">
              <w:rPr>
                <w:rFonts w:ascii="Cambria Math" w:hAnsi="Cambria Math" w:cs="Cambria Math"/>
                <w:szCs w:val="18"/>
              </w:rPr>
              <w:t>‐</w:t>
            </w:r>
            <w:r w:rsidRPr="007F116C">
              <w:rPr>
                <w:szCs w:val="18"/>
              </w:rPr>
              <w:t>556.</w:t>
            </w: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TRANSFORMS</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Cohen, J. A., et al. Oral fingolimod or intramuscular interferon for relapsing multiple sclerosis.</w:t>
            </w:r>
          </w:p>
        </w:tc>
        <w:tc>
          <w:tcPr>
            <w:tcW w:w="910" w:type="pct"/>
            <w:tcBorders>
              <w:top w:val="single" w:sz="4" w:space="0" w:color="auto"/>
              <w:bottom w:val="single" w:sz="4" w:space="0" w:color="auto"/>
            </w:tcBorders>
            <w:vAlign w:val="center"/>
          </w:tcPr>
          <w:p w:rsidR="005E15EF" w:rsidRPr="007F116C" w:rsidRDefault="005E15EF" w:rsidP="005E15EF">
            <w:pPr>
              <w:pStyle w:val="Tabletext"/>
            </w:pPr>
            <w:r w:rsidRPr="007F116C">
              <w:rPr>
                <w:szCs w:val="18"/>
              </w:rPr>
              <w:t>NEJM. 2010; 362(5): 402-415.</w:t>
            </w:r>
          </w:p>
        </w:tc>
      </w:tr>
      <w:tr w:rsidR="005E15EF" w:rsidRPr="007F116C" w:rsidTr="005E15EF">
        <w:tc>
          <w:tcPr>
            <w:tcW w:w="896" w:type="pct"/>
            <w:tcBorders>
              <w:top w:val="single" w:sz="4" w:space="0" w:color="auto"/>
              <w:bottom w:val="single" w:sz="4" w:space="0" w:color="auto"/>
              <w:right w:val="nil"/>
            </w:tcBorders>
            <w:vAlign w:val="center"/>
          </w:tcPr>
          <w:p w:rsidR="005E15EF" w:rsidRPr="007F116C" w:rsidRDefault="005E15EF" w:rsidP="005E15EF">
            <w:pPr>
              <w:pStyle w:val="Tabletext"/>
              <w:rPr>
                <w:b/>
                <w:bCs/>
              </w:rPr>
            </w:pPr>
            <w:r w:rsidRPr="007F116C">
              <w:rPr>
                <w:b/>
                <w:bCs/>
              </w:rPr>
              <w:t>Cladribine trial</w:t>
            </w:r>
          </w:p>
        </w:tc>
        <w:tc>
          <w:tcPr>
            <w:tcW w:w="3194" w:type="pct"/>
            <w:tcBorders>
              <w:top w:val="single" w:sz="4" w:space="0" w:color="auto"/>
              <w:left w:val="nil"/>
              <w:bottom w:val="single" w:sz="4" w:space="0" w:color="auto"/>
              <w:right w:val="nil"/>
            </w:tcBorders>
            <w:vAlign w:val="center"/>
          </w:tcPr>
          <w:p w:rsidR="005E15EF" w:rsidRPr="007F116C" w:rsidRDefault="005E15EF" w:rsidP="005E15EF">
            <w:pPr>
              <w:pStyle w:val="Tabletext"/>
              <w:rPr>
                <w:szCs w:val="18"/>
              </w:rPr>
            </w:pPr>
          </w:p>
        </w:tc>
        <w:tc>
          <w:tcPr>
            <w:tcW w:w="910" w:type="pct"/>
            <w:tcBorders>
              <w:top w:val="single" w:sz="4" w:space="0" w:color="auto"/>
              <w:left w:val="nil"/>
              <w:bottom w:val="single" w:sz="4" w:space="0" w:color="auto"/>
            </w:tcBorders>
            <w:vAlign w:val="center"/>
          </w:tcPr>
          <w:p w:rsidR="005E15EF" w:rsidRPr="007F116C" w:rsidRDefault="005E15EF" w:rsidP="005E15EF">
            <w:pPr>
              <w:pStyle w:val="Tabletext"/>
              <w:rPr>
                <w:szCs w:val="18"/>
              </w:rPr>
            </w:pP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CLARITY</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Giovannoni, G., et al. A placebo-controlled trial of oral cladribine for relapsing multiple sclerosis.</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NEJM. 2010; 362(5): 416</w:t>
            </w:r>
            <w:r w:rsidRPr="007F116C">
              <w:rPr>
                <w:rFonts w:ascii="Cambria Math" w:hAnsi="Cambria Math" w:cs="Cambria Math"/>
                <w:szCs w:val="18"/>
              </w:rPr>
              <w:t>‐</w:t>
            </w:r>
            <w:r w:rsidRPr="007F116C">
              <w:rPr>
                <w:szCs w:val="18"/>
              </w:rPr>
              <w:t>426</w:t>
            </w:r>
          </w:p>
        </w:tc>
      </w:tr>
      <w:tr w:rsidR="005E15EF" w:rsidRPr="007F116C" w:rsidTr="005E15EF">
        <w:tc>
          <w:tcPr>
            <w:tcW w:w="896" w:type="pct"/>
            <w:tcBorders>
              <w:top w:val="single" w:sz="4" w:space="0" w:color="auto"/>
              <w:bottom w:val="single" w:sz="4" w:space="0" w:color="auto"/>
              <w:right w:val="nil"/>
            </w:tcBorders>
            <w:vAlign w:val="center"/>
          </w:tcPr>
          <w:p w:rsidR="005E15EF" w:rsidRPr="007F116C" w:rsidRDefault="005E15EF" w:rsidP="005E15EF">
            <w:pPr>
              <w:pStyle w:val="Tabletext"/>
              <w:rPr>
                <w:b/>
                <w:bCs/>
              </w:rPr>
            </w:pPr>
            <w:r w:rsidRPr="007F116C">
              <w:rPr>
                <w:b/>
                <w:bCs/>
              </w:rPr>
              <w:t xml:space="preserve">Natalizumab trial </w:t>
            </w:r>
          </w:p>
        </w:tc>
        <w:tc>
          <w:tcPr>
            <w:tcW w:w="3194" w:type="pct"/>
            <w:tcBorders>
              <w:top w:val="single" w:sz="4" w:space="0" w:color="auto"/>
              <w:left w:val="nil"/>
              <w:bottom w:val="single" w:sz="4" w:space="0" w:color="auto"/>
              <w:right w:val="nil"/>
            </w:tcBorders>
            <w:vAlign w:val="center"/>
          </w:tcPr>
          <w:p w:rsidR="005E15EF" w:rsidRPr="007F116C" w:rsidRDefault="005E15EF" w:rsidP="005E15EF">
            <w:pPr>
              <w:pStyle w:val="Tabletext"/>
              <w:rPr>
                <w:szCs w:val="18"/>
              </w:rPr>
            </w:pPr>
          </w:p>
        </w:tc>
        <w:tc>
          <w:tcPr>
            <w:tcW w:w="910" w:type="pct"/>
            <w:tcBorders>
              <w:top w:val="single" w:sz="4" w:space="0" w:color="auto"/>
              <w:left w:val="nil"/>
              <w:bottom w:val="single" w:sz="4" w:space="0" w:color="auto"/>
            </w:tcBorders>
            <w:vAlign w:val="center"/>
          </w:tcPr>
          <w:p w:rsidR="005E15EF" w:rsidRPr="007F116C" w:rsidRDefault="005E15EF" w:rsidP="005E15EF">
            <w:pPr>
              <w:pStyle w:val="Tabletext"/>
              <w:rPr>
                <w:szCs w:val="18"/>
              </w:rPr>
            </w:pP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AFFIRM</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Polman, C. H., et al. (2006). A randomized, placebo-controlled trial of natalizumab for relapsing multiple sclerosis.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NEJM. 2006; 354(9): 899-910.</w:t>
            </w:r>
          </w:p>
        </w:tc>
      </w:tr>
      <w:tr w:rsidR="005E15EF" w:rsidRPr="007F116C" w:rsidTr="005E15EF">
        <w:tc>
          <w:tcPr>
            <w:tcW w:w="896" w:type="pct"/>
            <w:tcBorders>
              <w:top w:val="single" w:sz="4" w:space="0" w:color="auto"/>
              <w:bottom w:val="single" w:sz="4" w:space="0" w:color="auto"/>
              <w:right w:val="nil"/>
            </w:tcBorders>
            <w:vAlign w:val="center"/>
          </w:tcPr>
          <w:p w:rsidR="005E15EF" w:rsidRPr="007F116C" w:rsidRDefault="005E15EF" w:rsidP="005E15EF">
            <w:pPr>
              <w:pStyle w:val="Tabletext"/>
              <w:rPr>
                <w:b/>
                <w:bCs/>
              </w:rPr>
            </w:pPr>
            <w:r w:rsidRPr="007F116C">
              <w:rPr>
                <w:b/>
                <w:bCs/>
              </w:rPr>
              <w:t>Interferon beta 1a trials</w:t>
            </w:r>
          </w:p>
        </w:tc>
        <w:tc>
          <w:tcPr>
            <w:tcW w:w="3194" w:type="pct"/>
            <w:tcBorders>
              <w:top w:val="single" w:sz="4" w:space="0" w:color="auto"/>
              <w:left w:val="nil"/>
              <w:bottom w:val="single" w:sz="4" w:space="0" w:color="auto"/>
              <w:right w:val="nil"/>
            </w:tcBorders>
            <w:vAlign w:val="center"/>
          </w:tcPr>
          <w:p w:rsidR="005E15EF" w:rsidRPr="007F116C" w:rsidRDefault="005E15EF" w:rsidP="005E15EF">
            <w:pPr>
              <w:pStyle w:val="Tabletext"/>
              <w:rPr>
                <w:szCs w:val="18"/>
              </w:rPr>
            </w:pPr>
          </w:p>
        </w:tc>
        <w:tc>
          <w:tcPr>
            <w:tcW w:w="910" w:type="pct"/>
            <w:tcBorders>
              <w:top w:val="single" w:sz="4" w:space="0" w:color="auto"/>
              <w:left w:val="nil"/>
              <w:bottom w:val="single" w:sz="4" w:space="0" w:color="auto"/>
            </w:tcBorders>
            <w:vAlign w:val="center"/>
          </w:tcPr>
          <w:p w:rsidR="005E15EF" w:rsidRPr="007F116C" w:rsidRDefault="005E15EF" w:rsidP="005E15EF">
            <w:pPr>
              <w:pStyle w:val="Tabletext"/>
              <w:rPr>
                <w:szCs w:val="18"/>
              </w:rPr>
            </w:pP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MSCRG</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Jacobs, L. D., et al. Intramuscular interferon beta-1a for disease progression in relapsing multiple sclerosis. The Multiple Sclerosis Collaborative Research Group (MSCRG).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Annals of Neurology. 1996; 39(3): 285</w:t>
            </w:r>
            <w:r w:rsidRPr="007F116C">
              <w:rPr>
                <w:rFonts w:ascii="Cambria Math" w:hAnsi="Cambria Math" w:cs="Cambria Math"/>
                <w:szCs w:val="18"/>
              </w:rPr>
              <w:t>‐</w:t>
            </w:r>
            <w:r w:rsidRPr="007F116C">
              <w:rPr>
                <w:szCs w:val="18"/>
              </w:rPr>
              <w:t>294</w:t>
            </w: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PRISMS</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Ebers. Randomised double-blind placebo-controlled study of interferon beta-1a in relapsing/remitting multiple sclerosis. PRISMS (Prevention of Relapses and Disability by Interferon beta-1a Subcutaneously in Multiple Sclerosis) Study Group.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Lancet. 1998; 352(9139): 1498</w:t>
            </w:r>
            <w:r w:rsidRPr="007F116C">
              <w:rPr>
                <w:rFonts w:ascii="Cambria Math" w:hAnsi="Cambria Math" w:cs="Cambria Math"/>
                <w:szCs w:val="18"/>
              </w:rPr>
              <w:t>‐</w:t>
            </w:r>
            <w:r w:rsidRPr="007F116C">
              <w:rPr>
                <w:szCs w:val="18"/>
              </w:rPr>
              <w:t>1504</w:t>
            </w: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BRAVO</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Vollmer, T. L., et al. A randomized placebo-controlled phase III trial of oral laquinimod for multiple sclerosis.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Journal of Neurology. 2014; 261(4): 773</w:t>
            </w:r>
            <w:r w:rsidRPr="007F116C">
              <w:rPr>
                <w:rFonts w:ascii="Cambria Math" w:hAnsi="Cambria Math" w:cs="Cambria Math"/>
                <w:szCs w:val="18"/>
              </w:rPr>
              <w:t>‐</w:t>
            </w:r>
            <w:r w:rsidRPr="007F116C">
              <w:rPr>
                <w:szCs w:val="18"/>
              </w:rPr>
              <w:t>783</w:t>
            </w:r>
          </w:p>
        </w:tc>
      </w:tr>
      <w:tr w:rsidR="005E15EF" w:rsidRPr="007F116C" w:rsidTr="005E15EF">
        <w:tc>
          <w:tcPr>
            <w:tcW w:w="896" w:type="pct"/>
            <w:tcBorders>
              <w:top w:val="single" w:sz="4" w:space="0" w:color="auto"/>
              <w:bottom w:val="single" w:sz="4" w:space="0" w:color="auto"/>
              <w:right w:val="nil"/>
            </w:tcBorders>
            <w:vAlign w:val="center"/>
          </w:tcPr>
          <w:p w:rsidR="005E15EF" w:rsidRPr="007F116C" w:rsidRDefault="005E15EF" w:rsidP="005E15EF">
            <w:pPr>
              <w:pStyle w:val="Tabletext"/>
              <w:rPr>
                <w:b/>
                <w:bCs/>
              </w:rPr>
            </w:pPr>
            <w:r w:rsidRPr="007F116C">
              <w:rPr>
                <w:b/>
                <w:bCs/>
              </w:rPr>
              <w:t>Teriflunomide trials</w:t>
            </w:r>
          </w:p>
        </w:tc>
        <w:tc>
          <w:tcPr>
            <w:tcW w:w="3194" w:type="pct"/>
            <w:tcBorders>
              <w:top w:val="single" w:sz="4" w:space="0" w:color="auto"/>
              <w:left w:val="nil"/>
              <w:bottom w:val="single" w:sz="4" w:space="0" w:color="auto"/>
              <w:right w:val="nil"/>
            </w:tcBorders>
            <w:vAlign w:val="center"/>
          </w:tcPr>
          <w:p w:rsidR="005E15EF" w:rsidRPr="007F116C" w:rsidRDefault="005E15EF" w:rsidP="005E15EF">
            <w:pPr>
              <w:pStyle w:val="Tabletext"/>
              <w:rPr>
                <w:szCs w:val="18"/>
              </w:rPr>
            </w:pPr>
          </w:p>
        </w:tc>
        <w:tc>
          <w:tcPr>
            <w:tcW w:w="910" w:type="pct"/>
            <w:tcBorders>
              <w:top w:val="single" w:sz="4" w:space="0" w:color="auto"/>
              <w:left w:val="nil"/>
              <w:bottom w:val="single" w:sz="4" w:space="0" w:color="auto"/>
            </w:tcBorders>
            <w:vAlign w:val="center"/>
          </w:tcPr>
          <w:p w:rsidR="005E15EF" w:rsidRPr="007F116C" w:rsidRDefault="005E15EF" w:rsidP="005E15EF">
            <w:pPr>
              <w:pStyle w:val="Tabletext"/>
              <w:rPr>
                <w:szCs w:val="18"/>
              </w:rPr>
            </w:pP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TEMSO</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O'Connor, P., et al. Randomized trial of oral teriflunomide for relapsing multiple sclerosis.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NEJM. 2011; 365(14): 1293-1303.</w:t>
            </w: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TOWER</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Confavreux, C., et al. Oral teriflunomide for patients with relapsing multiple sclerosis (TOWER): a randomised, double-blind, placebo-controlled, phase 3 trial.</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The Lancet. 2014; Neurology 13(3): 247</w:t>
            </w:r>
            <w:r w:rsidRPr="007F116C">
              <w:rPr>
                <w:rFonts w:ascii="Cambria Math" w:hAnsi="Cambria Math" w:cs="Cambria Math"/>
                <w:szCs w:val="18"/>
              </w:rPr>
              <w:t>‐</w:t>
            </w:r>
            <w:r w:rsidRPr="007F116C">
              <w:rPr>
                <w:szCs w:val="18"/>
              </w:rPr>
              <w:t>256</w:t>
            </w: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TENERE</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Vermersch, P., et al. Teriflunomide versus subcutaneous interferon beta-1a in patients with relapsing multiple sclerosis: A randomised, controlled phase 3 trial.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Multiple Sclerosis Journal. 2014; 20(6): 705-716</w:t>
            </w:r>
          </w:p>
        </w:tc>
      </w:tr>
      <w:tr w:rsidR="005E15EF" w:rsidRPr="007F116C" w:rsidTr="005E15EF">
        <w:tc>
          <w:tcPr>
            <w:tcW w:w="896" w:type="pct"/>
            <w:tcBorders>
              <w:top w:val="single" w:sz="4" w:space="0" w:color="auto"/>
              <w:bottom w:val="single" w:sz="4" w:space="0" w:color="auto"/>
              <w:right w:val="nil"/>
            </w:tcBorders>
            <w:vAlign w:val="center"/>
          </w:tcPr>
          <w:p w:rsidR="005E15EF" w:rsidRPr="007F116C" w:rsidRDefault="005E15EF" w:rsidP="005E15EF">
            <w:pPr>
              <w:pStyle w:val="Tabletext"/>
              <w:rPr>
                <w:b/>
                <w:bCs/>
              </w:rPr>
            </w:pPr>
            <w:r w:rsidRPr="007F116C">
              <w:rPr>
                <w:b/>
                <w:bCs/>
              </w:rPr>
              <w:t>Alemtuzumab trials</w:t>
            </w:r>
          </w:p>
        </w:tc>
        <w:tc>
          <w:tcPr>
            <w:tcW w:w="3194" w:type="pct"/>
            <w:tcBorders>
              <w:top w:val="single" w:sz="4" w:space="0" w:color="auto"/>
              <w:left w:val="nil"/>
              <w:bottom w:val="single" w:sz="4" w:space="0" w:color="auto"/>
              <w:right w:val="nil"/>
            </w:tcBorders>
            <w:vAlign w:val="center"/>
          </w:tcPr>
          <w:p w:rsidR="005E15EF" w:rsidRPr="007F116C" w:rsidRDefault="005E15EF" w:rsidP="005E15EF">
            <w:pPr>
              <w:pStyle w:val="Tabletext"/>
              <w:rPr>
                <w:b/>
                <w:bCs/>
                <w:szCs w:val="18"/>
              </w:rPr>
            </w:pPr>
          </w:p>
        </w:tc>
        <w:tc>
          <w:tcPr>
            <w:tcW w:w="910" w:type="pct"/>
            <w:tcBorders>
              <w:top w:val="single" w:sz="4" w:space="0" w:color="auto"/>
              <w:left w:val="nil"/>
              <w:bottom w:val="single" w:sz="4" w:space="0" w:color="auto"/>
            </w:tcBorders>
            <w:vAlign w:val="center"/>
          </w:tcPr>
          <w:p w:rsidR="005E15EF" w:rsidRPr="007F116C" w:rsidRDefault="005E15EF" w:rsidP="005E15EF">
            <w:pPr>
              <w:pStyle w:val="Tabletext"/>
              <w:rPr>
                <w:b/>
                <w:bCs/>
                <w:szCs w:val="18"/>
              </w:rPr>
            </w:pP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CAMS223</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Coles, A. J., et al. Alemtuzumab vs. interferon beta-1a in early multiple sclerosis.</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NEJM. 2008; 359(17): 1786</w:t>
            </w:r>
            <w:r w:rsidRPr="007F116C">
              <w:rPr>
                <w:rFonts w:ascii="Cambria Math" w:hAnsi="Cambria Math" w:cs="Cambria Math"/>
                <w:szCs w:val="18"/>
              </w:rPr>
              <w:t>‐</w:t>
            </w:r>
            <w:r w:rsidRPr="007F116C">
              <w:rPr>
                <w:szCs w:val="18"/>
              </w:rPr>
              <w:t>1801</w:t>
            </w: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CARE-MSI</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Cohen, J. A., et al. Alemtuzumab versus interferon beta 1a as first-line treatment for patients with relapsing-remitting multiple sclerosis: A randomised controlled phase 3 trial.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Lancet. 2012; 380 (9856): 1819-1828.</w:t>
            </w: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CARE-MSII</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Coles, A. J., et al. Alemtuzumab for patients with relapsing multiple sclerosis after disease-modifying therapy: a randomised controlled phase 3 trial.</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Lancet. 2012; 380 (9856): 1829</w:t>
            </w:r>
            <w:r w:rsidRPr="007F116C">
              <w:rPr>
                <w:rFonts w:ascii="Cambria Math" w:hAnsi="Cambria Math" w:cs="Cambria Math"/>
                <w:szCs w:val="18"/>
              </w:rPr>
              <w:t>‐</w:t>
            </w:r>
            <w:r w:rsidRPr="007F116C">
              <w:rPr>
                <w:szCs w:val="18"/>
              </w:rPr>
              <w:t>1839.</w:t>
            </w:r>
          </w:p>
        </w:tc>
      </w:tr>
      <w:tr w:rsidR="005E15EF" w:rsidRPr="007F116C" w:rsidTr="005E15EF">
        <w:tc>
          <w:tcPr>
            <w:tcW w:w="896" w:type="pct"/>
            <w:tcBorders>
              <w:top w:val="single" w:sz="4" w:space="0" w:color="auto"/>
              <w:bottom w:val="single" w:sz="4" w:space="0" w:color="auto"/>
              <w:right w:val="nil"/>
            </w:tcBorders>
            <w:vAlign w:val="center"/>
          </w:tcPr>
          <w:p w:rsidR="005E15EF" w:rsidRPr="007F116C" w:rsidRDefault="005E15EF" w:rsidP="005E15EF">
            <w:pPr>
              <w:pStyle w:val="Tabletext"/>
              <w:rPr>
                <w:b/>
                <w:bCs/>
              </w:rPr>
            </w:pPr>
            <w:r w:rsidRPr="007F116C">
              <w:rPr>
                <w:b/>
                <w:bCs/>
              </w:rPr>
              <w:t>Ozanimod trials</w:t>
            </w:r>
          </w:p>
        </w:tc>
        <w:tc>
          <w:tcPr>
            <w:tcW w:w="3194" w:type="pct"/>
            <w:tcBorders>
              <w:top w:val="single" w:sz="4" w:space="0" w:color="auto"/>
              <w:left w:val="nil"/>
              <w:bottom w:val="single" w:sz="4" w:space="0" w:color="auto"/>
              <w:right w:val="nil"/>
            </w:tcBorders>
            <w:vAlign w:val="center"/>
          </w:tcPr>
          <w:p w:rsidR="005E15EF" w:rsidRPr="007F116C" w:rsidRDefault="005E15EF" w:rsidP="005E15EF">
            <w:pPr>
              <w:pStyle w:val="Tabletext"/>
              <w:rPr>
                <w:szCs w:val="18"/>
              </w:rPr>
            </w:pPr>
          </w:p>
        </w:tc>
        <w:tc>
          <w:tcPr>
            <w:tcW w:w="910" w:type="pct"/>
            <w:tcBorders>
              <w:top w:val="single" w:sz="4" w:space="0" w:color="auto"/>
              <w:left w:val="nil"/>
              <w:bottom w:val="single" w:sz="4" w:space="0" w:color="auto"/>
            </w:tcBorders>
            <w:vAlign w:val="center"/>
          </w:tcPr>
          <w:p w:rsidR="005E15EF" w:rsidRPr="007F116C" w:rsidRDefault="005E15EF" w:rsidP="005E15EF">
            <w:pPr>
              <w:pStyle w:val="Tabletext"/>
              <w:rPr>
                <w:szCs w:val="18"/>
              </w:rPr>
            </w:pP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SUNBEAM</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Comi, G., et al. Safety and efficacy of ozanimod versus interferon beta-1a in relapsing multiple sclerosis (SUNBEAM): a multicentre, randomised, minimum 12-month, phase 3 trial.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Lancet. 2019; Neurology 18(11): 1009</w:t>
            </w:r>
            <w:r w:rsidRPr="007F116C">
              <w:rPr>
                <w:rFonts w:ascii="Cambria Math" w:hAnsi="Cambria Math" w:cs="Cambria Math"/>
                <w:szCs w:val="18"/>
              </w:rPr>
              <w:t>‐</w:t>
            </w:r>
            <w:r w:rsidRPr="007F116C">
              <w:rPr>
                <w:szCs w:val="18"/>
              </w:rPr>
              <w:t>1020</w:t>
            </w: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RADIANCE</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Cohen, J. A., et al. </w:t>
            </w:r>
            <w:r w:rsidRPr="007F116C">
              <w:t>Safety and efficacy of ozanimod versus interferon beta-1a in relapsing multiple sclerosis (RADIANCE): a multicentre, randomised, 24-month, phase 3 tria</w:t>
            </w:r>
            <w:r w:rsidR="003A3903" w:rsidRPr="007F116C">
              <w:t>l</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Lancet. 2019; Neurology 18(11): 1021</w:t>
            </w:r>
            <w:r w:rsidRPr="007F116C">
              <w:rPr>
                <w:rFonts w:ascii="Cambria Math" w:hAnsi="Cambria Math" w:cs="Cambria Math"/>
                <w:szCs w:val="18"/>
              </w:rPr>
              <w:t>‐</w:t>
            </w:r>
            <w:r w:rsidRPr="007F116C">
              <w:rPr>
                <w:szCs w:val="18"/>
              </w:rPr>
              <w:t>1033</w:t>
            </w:r>
          </w:p>
        </w:tc>
      </w:tr>
      <w:tr w:rsidR="005E15EF" w:rsidRPr="007F116C" w:rsidTr="005E15EF">
        <w:tc>
          <w:tcPr>
            <w:tcW w:w="896" w:type="pct"/>
            <w:tcBorders>
              <w:top w:val="single" w:sz="4" w:space="0" w:color="auto"/>
              <w:bottom w:val="single" w:sz="4" w:space="0" w:color="auto"/>
              <w:right w:val="nil"/>
            </w:tcBorders>
            <w:vAlign w:val="center"/>
          </w:tcPr>
          <w:p w:rsidR="005E15EF" w:rsidRPr="007F116C" w:rsidRDefault="005E15EF" w:rsidP="005E15EF">
            <w:pPr>
              <w:pStyle w:val="Tabletext"/>
              <w:rPr>
                <w:b/>
                <w:bCs/>
              </w:rPr>
            </w:pPr>
            <w:r w:rsidRPr="007F116C">
              <w:rPr>
                <w:b/>
                <w:bCs/>
              </w:rPr>
              <w:t>Dimethyl fumarate trials</w:t>
            </w:r>
          </w:p>
        </w:tc>
        <w:tc>
          <w:tcPr>
            <w:tcW w:w="3194" w:type="pct"/>
            <w:tcBorders>
              <w:top w:val="single" w:sz="4" w:space="0" w:color="auto"/>
              <w:left w:val="nil"/>
              <w:bottom w:val="single" w:sz="4" w:space="0" w:color="auto"/>
              <w:right w:val="nil"/>
            </w:tcBorders>
            <w:vAlign w:val="center"/>
          </w:tcPr>
          <w:p w:rsidR="005E15EF" w:rsidRPr="007F116C" w:rsidRDefault="005E15EF" w:rsidP="005E15EF">
            <w:pPr>
              <w:pStyle w:val="Tabletext"/>
              <w:rPr>
                <w:szCs w:val="18"/>
              </w:rPr>
            </w:pPr>
          </w:p>
        </w:tc>
        <w:tc>
          <w:tcPr>
            <w:tcW w:w="910" w:type="pct"/>
            <w:tcBorders>
              <w:top w:val="single" w:sz="4" w:space="0" w:color="auto"/>
              <w:left w:val="nil"/>
              <w:bottom w:val="single" w:sz="4" w:space="0" w:color="auto"/>
            </w:tcBorders>
            <w:vAlign w:val="center"/>
          </w:tcPr>
          <w:p w:rsidR="005E15EF" w:rsidRPr="007F116C" w:rsidRDefault="005E15EF" w:rsidP="005E15EF">
            <w:pPr>
              <w:pStyle w:val="Tabletext"/>
              <w:rPr>
                <w:szCs w:val="18"/>
              </w:rPr>
            </w:pP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DEFINE</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 xml:space="preserve">Gold, R., et al. Placebo-controlled phase 3 study of oral BG-12 for relapsing multiple sclerosis.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rPr>
                <w:szCs w:val="18"/>
              </w:rPr>
              <w:t>NEJM. 2012; 367(12): 1098-1107</w:t>
            </w:r>
          </w:p>
        </w:tc>
      </w:tr>
      <w:tr w:rsidR="005E15EF" w:rsidRPr="007F116C" w:rsidTr="005E15EF">
        <w:tc>
          <w:tcPr>
            <w:tcW w:w="896" w:type="pct"/>
            <w:tcBorders>
              <w:top w:val="single" w:sz="4" w:space="0" w:color="auto"/>
              <w:bottom w:val="single" w:sz="4" w:space="0" w:color="auto"/>
            </w:tcBorders>
            <w:vAlign w:val="center"/>
          </w:tcPr>
          <w:p w:rsidR="005E15EF" w:rsidRPr="007F116C" w:rsidRDefault="005E15EF" w:rsidP="005E15EF">
            <w:pPr>
              <w:pStyle w:val="Tabletext"/>
            </w:pPr>
            <w:r w:rsidRPr="007F116C">
              <w:t>CONFIRM</w:t>
            </w:r>
          </w:p>
        </w:tc>
        <w:tc>
          <w:tcPr>
            <w:tcW w:w="3194"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t xml:space="preserve">Fox, R. J., et al. Placebo-controlled phase 3 study of oral BG-12 or glatiramer in multiple sclerosis. </w:t>
            </w:r>
          </w:p>
        </w:tc>
        <w:tc>
          <w:tcPr>
            <w:tcW w:w="910" w:type="pct"/>
            <w:tcBorders>
              <w:top w:val="single" w:sz="4" w:space="0" w:color="auto"/>
              <w:bottom w:val="single" w:sz="4" w:space="0" w:color="auto"/>
            </w:tcBorders>
            <w:vAlign w:val="center"/>
          </w:tcPr>
          <w:p w:rsidR="005E15EF" w:rsidRPr="007F116C" w:rsidRDefault="005E15EF" w:rsidP="005E15EF">
            <w:pPr>
              <w:pStyle w:val="Tabletext"/>
              <w:rPr>
                <w:szCs w:val="18"/>
              </w:rPr>
            </w:pPr>
            <w:r w:rsidRPr="007F116C">
              <w:t>NEJM. 2012;  367(12): 1087-1097</w:t>
            </w:r>
          </w:p>
        </w:tc>
      </w:tr>
    </w:tbl>
    <w:p w:rsidR="005E15EF" w:rsidRPr="007F116C" w:rsidRDefault="005E15EF" w:rsidP="005E15EF">
      <w:pPr>
        <w:pStyle w:val="TableFooter"/>
        <w:rPr>
          <w:sz w:val="20"/>
        </w:rPr>
      </w:pPr>
      <w:r w:rsidRPr="007F116C">
        <w:t>Source: Table 2.7, pp52-53 of the submission</w:t>
      </w:r>
      <w:r w:rsidR="007F116C">
        <w:t xml:space="preserve">. </w:t>
      </w:r>
      <w:r w:rsidRPr="007F116C">
        <w:t>NR = not reported</w:t>
      </w:r>
    </w:p>
    <w:p w:rsidR="005E15EF" w:rsidRPr="007F116C" w:rsidRDefault="005E15EF" w:rsidP="005E15EF"/>
    <w:p w:rsidR="00D409A8" w:rsidRPr="007F116C" w:rsidRDefault="00D409A8" w:rsidP="005E15EF">
      <w:pPr>
        <w:pStyle w:val="ListParagraph"/>
        <w:widowControl/>
        <w:numPr>
          <w:ilvl w:val="1"/>
          <w:numId w:val="2"/>
        </w:numPr>
        <w:rPr>
          <w:color w:val="000000" w:themeColor="text1"/>
        </w:rPr>
      </w:pPr>
      <w:r w:rsidRPr="007F116C">
        <w:rPr>
          <w:color w:val="000000" w:themeColor="text1"/>
        </w:rPr>
        <w:t xml:space="preserve">The trials were used to inform </w:t>
      </w:r>
      <w:r w:rsidR="00DE40C3" w:rsidRPr="007F116C">
        <w:rPr>
          <w:color w:val="000000" w:themeColor="text1"/>
        </w:rPr>
        <w:t>multi</w:t>
      </w:r>
      <w:r w:rsidRPr="007F116C">
        <w:rPr>
          <w:color w:val="000000" w:themeColor="text1"/>
        </w:rPr>
        <w:t xml:space="preserve"> step comparisons of ofatumumab versus fingolimod, cladribine, and natalizumab via placebo and the bridging comparator teriflunomide (ofatumumab versus teriflunomide versus placebo versus fingolimod, cladribine</w:t>
      </w:r>
      <w:r w:rsidR="00DE40C3" w:rsidRPr="007F116C">
        <w:rPr>
          <w:color w:val="000000" w:themeColor="text1"/>
        </w:rPr>
        <w:t>,</w:t>
      </w:r>
      <w:r w:rsidRPr="007F116C">
        <w:rPr>
          <w:color w:val="000000" w:themeColor="text1"/>
        </w:rPr>
        <w:t xml:space="preserve"> natalizumab</w:t>
      </w:r>
      <w:r w:rsidR="00DE40C3" w:rsidRPr="007F116C">
        <w:rPr>
          <w:color w:val="000000" w:themeColor="text1"/>
        </w:rPr>
        <w:t xml:space="preserve"> or dimethyl fumarate)</w:t>
      </w:r>
      <w:r w:rsidRPr="007F116C">
        <w:rPr>
          <w:color w:val="000000" w:themeColor="text1"/>
        </w:rPr>
        <w:t>.</w:t>
      </w:r>
    </w:p>
    <w:p w:rsidR="00D409A8" w:rsidRPr="007F116C" w:rsidRDefault="00D409A8" w:rsidP="00D409A8">
      <w:pPr>
        <w:pStyle w:val="ListParagraph"/>
        <w:widowControl/>
        <w:numPr>
          <w:ilvl w:val="1"/>
          <w:numId w:val="2"/>
        </w:numPr>
        <w:rPr>
          <w:color w:val="000000" w:themeColor="text1"/>
        </w:rPr>
      </w:pPr>
      <w:r w:rsidRPr="007F116C">
        <w:rPr>
          <w:color w:val="000000" w:themeColor="text1"/>
        </w:rPr>
        <w:t xml:space="preserve">The trials were also used to inform </w:t>
      </w:r>
      <w:r w:rsidR="00DE40C3" w:rsidRPr="007F116C">
        <w:rPr>
          <w:color w:val="000000" w:themeColor="text1"/>
        </w:rPr>
        <w:t>multi</w:t>
      </w:r>
      <w:r w:rsidRPr="007F116C">
        <w:rPr>
          <w:color w:val="000000" w:themeColor="text1"/>
        </w:rPr>
        <w:t xml:space="preserve"> step comparisons versus ocrelizumab ozanimod and alemtuzumab </w:t>
      </w:r>
      <w:r w:rsidR="00DE40C3" w:rsidRPr="007F116C">
        <w:rPr>
          <w:color w:val="000000" w:themeColor="text1"/>
        </w:rPr>
        <w:t>via teriflunomide and interferon beta 1a (ofatumumab versus teriflunomide versus interferon beta 1a versus ocrelizumab, ozanimod or alemtuzumab).</w:t>
      </w:r>
    </w:p>
    <w:p w:rsidR="005E15EF" w:rsidRPr="007F116C" w:rsidRDefault="00522713" w:rsidP="005E15EF">
      <w:pPr>
        <w:pStyle w:val="ListParagraph"/>
        <w:widowControl/>
        <w:numPr>
          <w:ilvl w:val="1"/>
          <w:numId w:val="2"/>
        </w:numPr>
        <w:rPr>
          <w:color w:val="000000" w:themeColor="text1"/>
        </w:rPr>
      </w:pPr>
      <w:r w:rsidRPr="007F116C">
        <w:t>Figure 1</w:t>
      </w:r>
      <w:r w:rsidR="005E15EF" w:rsidRPr="007F116C">
        <w:rPr>
          <w:color w:val="000000" w:themeColor="text1"/>
        </w:rPr>
        <w:t xml:space="preserve"> presents an illustration of the submission’s indirect comparison network including all trials of all main, bridging and supplemental comparators.</w:t>
      </w:r>
    </w:p>
    <w:p w:rsidR="005E15EF" w:rsidRPr="007F116C" w:rsidRDefault="005E15EF" w:rsidP="00296911">
      <w:pPr>
        <w:pStyle w:val="Tabletext"/>
        <w:keepNext/>
        <w:keepLines/>
        <w:rPr>
          <w:rStyle w:val="CommentReference"/>
        </w:rPr>
      </w:pPr>
      <w:bookmarkStart w:id="14" w:name="_Ref60992290"/>
      <w:r w:rsidRPr="007F116C">
        <w:rPr>
          <w:rStyle w:val="CommentReference"/>
        </w:rPr>
        <w:t xml:space="preserve">Figure </w:t>
      </w:r>
      <w:r w:rsidR="00522713" w:rsidRPr="007F116C">
        <w:rPr>
          <w:rStyle w:val="CommentReference"/>
        </w:rPr>
        <w:t>1</w:t>
      </w:r>
      <w:bookmarkEnd w:id="14"/>
      <w:r w:rsidR="003A3903" w:rsidRPr="007F116C">
        <w:rPr>
          <w:rStyle w:val="CommentReference"/>
        </w:rPr>
        <w:t>: Network</w:t>
      </w:r>
      <w:r w:rsidRPr="007F116C">
        <w:rPr>
          <w:rStyle w:val="CommentReference"/>
        </w:rPr>
        <w:t xml:space="preserve"> of RCTs - Full network including all comparators (main and other)</w:t>
      </w:r>
    </w:p>
    <w:p w:rsidR="005E15EF" w:rsidRPr="007F116C" w:rsidRDefault="005E15EF" w:rsidP="005E15EF">
      <w:pPr>
        <w:keepNext/>
        <w:keepLines/>
        <w:jc w:val="center"/>
      </w:pPr>
      <w:r w:rsidRPr="007F116C">
        <w:rPr>
          <w:noProof/>
          <w:lang w:eastAsia="en-AU"/>
        </w:rPr>
        <w:drawing>
          <wp:inline distT="0" distB="0" distL="0" distR="0" wp14:anchorId="529AF07F" wp14:editId="1D092922">
            <wp:extent cx="5732145" cy="3133090"/>
            <wp:effectExtent l="0" t="0" r="0" b="381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iagram&#10;&#10;Description automatically generated"/>
                    <pic:cNvPicPr/>
                  </pic:nvPicPr>
                  <pic:blipFill>
                    <a:blip r:embed="rId8"/>
                    <a:stretch>
                      <a:fillRect/>
                    </a:stretch>
                  </pic:blipFill>
                  <pic:spPr>
                    <a:xfrm>
                      <a:off x="0" y="0"/>
                      <a:ext cx="5732145" cy="3133090"/>
                    </a:xfrm>
                    <a:prstGeom prst="rect">
                      <a:avLst/>
                    </a:prstGeom>
                  </pic:spPr>
                </pic:pic>
              </a:graphicData>
            </a:graphic>
          </wp:inline>
        </w:drawing>
      </w:r>
    </w:p>
    <w:p w:rsidR="005E15EF" w:rsidRPr="007F116C" w:rsidRDefault="005E15EF" w:rsidP="00296911">
      <w:pPr>
        <w:pStyle w:val="TableFooter"/>
        <w:keepNext/>
        <w:keepLines/>
        <w:jc w:val="left"/>
      </w:pPr>
      <w:r w:rsidRPr="007F116C">
        <w:t>Source: Figure 2.3, p59 of the submission.</w:t>
      </w:r>
    </w:p>
    <w:p w:rsidR="005E15EF" w:rsidRPr="007F116C" w:rsidRDefault="005E15EF" w:rsidP="00296911">
      <w:pPr>
        <w:pStyle w:val="TableFooter"/>
        <w:keepNext/>
        <w:keepLines/>
        <w:jc w:val="left"/>
      </w:pPr>
      <w:r w:rsidRPr="007F116C">
        <w:t>ALEM = alemtuzumab; CLA = cladribine; DMF = dimethyl fumarate; FIN= fingolimod; IFN = interferon beta-1a; NAT = natalizumab; OCR = ocrelizumab; OFA = ofatumumab; OZA = ozanimod; TER = teriflunomide</w:t>
      </w:r>
    </w:p>
    <w:p w:rsidR="005E15EF" w:rsidRPr="007F116C" w:rsidRDefault="005E15EF" w:rsidP="005E15EF">
      <w:pPr>
        <w:widowControl/>
      </w:pPr>
    </w:p>
    <w:p w:rsidR="005E15EF" w:rsidRPr="007F116C" w:rsidRDefault="00C13A04" w:rsidP="00C13A04">
      <w:pPr>
        <w:pStyle w:val="ListParagraph"/>
        <w:widowControl/>
        <w:numPr>
          <w:ilvl w:val="1"/>
          <w:numId w:val="2"/>
        </w:numPr>
        <w:rPr>
          <w:color w:val="000000" w:themeColor="text1"/>
        </w:rPr>
      </w:pPr>
      <w:r w:rsidRPr="007F116C">
        <w:t>Despite being selected for inclusion, neither TRANSFORMS (fingolimod versus interferon beta-1a) nor TENERE (teriflunomide versus interferon beta-1a) were included in the multistep indirect comparison but were included only as a sensitivity analysis. The reason for this appeared to be because TENERE did not report CDP as an outcome, and the randomised phases were limited to 52 weeks and 48 weeks for TRANSFORMS and TENERE, respectively. However, it was noted that TOWER (teriflunomide versus placebo), which also reported data at only 48 weeks, was included in the multistep indirect comparison.</w:t>
      </w:r>
    </w:p>
    <w:p w:rsidR="005E15EF" w:rsidRPr="007F116C" w:rsidRDefault="00522713" w:rsidP="005E15EF">
      <w:pPr>
        <w:pStyle w:val="ListParagraph"/>
        <w:widowControl/>
        <w:numPr>
          <w:ilvl w:val="1"/>
          <w:numId w:val="2"/>
        </w:numPr>
        <w:rPr>
          <w:color w:val="000000" w:themeColor="text1"/>
        </w:rPr>
      </w:pPr>
      <w:r w:rsidRPr="007F116C">
        <w:t>Table 3</w:t>
      </w:r>
      <w:r w:rsidR="005E15EF" w:rsidRPr="007F116C">
        <w:rPr>
          <w:color w:val="000000" w:themeColor="text1"/>
        </w:rPr>
        <w:t xml:space="preserve"> presents key features of the included evidence in the indirect comparison</w:t>
      </w:r>
      <w:r w:rsidR="0022134C" w:rsidRPr="007F116C">
        <w:rPr>
          <w:color w:val="000000" w:themeColor="text1"/>
        </w:rPr>
        <w:t>.</w:t>
      </w:r>
    </w:p>
    <w:p w:rsidR="005E15EF" w:rsidRPr="007F116C" w:rsidRDefault="005E15EF" w:rsidP="005E15EF">
      <w:pPr>
        <w:keepNext/>
        <w:keepLines/>
        <w:widowControl/>
        <w:rPr>
          <w:rStyle w:val="CommentReference"/>
        </w:rPr>
      </w:pPr>
      <w:bookmarkStart w:id="15" w:name="_Ref60992625"/>
      <w:r w:rsidRPr="007F116C">
        <w:rPr>
          <w:rStyle w:val="CommentReference"/>
        </w:rPr>
        <w:t xml:space="preserve">Table </w:t>
      </w:r>
      <w:r w:rsidR="00522713" w:rsidRPr="007F116C">
        <w:rPr>
          <w:rStyle w:val="CommentReference"/>
        </w:rPr>
        <w:t>3</w:t>
      </w:r>
      <w:bookmarkEnd w:id="15"/>
      <w:r w:rsidRPr="007F116C">
        <w:rPr>
          <w:rStyle w:val="CommentReference"/>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4"/>
        <w:gridCol w:w="669"/>
        <w:gridCol w:w="1353"/>
        <w:gridCol w:w="983"/>
        <w:gridCol w:w="3194"/>
        <w:gridCol w:w="1354"/>
      </w:tblGrid>
      <w:tr w:rsidR="005E15EF" w:rsidRPr="007F116C" w:rsidTr="00B36D14">
        <w:trPr>
          <w:tblHeader/>
        </w:trPr>
        <w:tc>
          <w:tcPr>
            <w:tcW w:w="812" w:type="pct"/>
            <w:shd w:val="clear" w:color="auto" w:fill="auto"/>
            <w:vAlign w:val="center"/>
          </w:tcPr>
          <w:p w:rsidR="005E15EF" w:rsidRPr="007F116C" w:rsidRDefault="005E15EF" w:rsidP="005E15EF">
            <w:pPr>
              <w:pStyle w:val="Tabletext"/>
              <w:keepNext/>
              <w:keepLines/>
              <w:rPr>
                <w:b/>
              </w:rPr>
            </w:pPr>
            <w:r w:rsidRPr="007F116C">
              <w:rPr>
                <w:b/>
              </w:rPr>
              <w:t>Trial</w:t>
            </w:r>
          </w:p>
        </w:tc>
        <w:tc>
          <w:tcPr>
            <w:tcW w:w="371" w:type="pct"/>
            <w:shd w:val="clear" w:color="auto" w:fill="auto"/>
            <w:vAlign w:val="center"/>
          </w:tcPr>
          <w:p w:rsidR="005E15EF" w:rsidRPr="007F116C" w:rsidRDefault="005E15EF" w:rsidP="005E15EF">
            <w:pPr>
              <w:pStyle w:val="Tabletext"/>
              <w:keepNext/>
              <w:keepLines/>
              <w:jc w:val="center"/>
              <w:rPr>
                <w:b/>
              </w:rPr>
            </w:pPr>
            <w:r w:rsidRPr="007F116C">
              <w:rPr>
                <w:b/>
              </w:rPr>
              <w:t>N</w:t>
            </w:r>
          </w:p>
        </w:tc>
        <w:tc>
          <w:tcPr>
            <w:tcW w:w="750" w:type="pct"/>
            <w:shd w:val="clear" w:color="auto" w:fill="auto"/>
            <w:vAlign w:val="center"/>
          </w:tcPr>
          <w:p w:rsidR="005E15EF" w:rsidRPr="007F116C" w:rsidRDefault="005E15EF" w:rsidP="005E15EF">
            <w:pPr>
              <w:pStyle w:val="Tabletext"/>
              <w:keepNext/>
              <w:keepLines/>
              <w:jc w:val="center"/>
              <w:rPr>
                <w:b/>
              </w:rPr>
            </w:pPr>
            <w:r w:rsidRPr="007F116C">
              <w:rPr>
                <w:b/>
              </w:rPr>
              <w:t>Design/ duration</w:t>
            </w:r>
          </w:p>
        </w:tc>
        <w:tc>
          <w:tcPr>
            <w:tcW w:w="545" w:type="pct"/>
            <w:shd w:val="clear" w:color="auto" w:fill="auto"/>
            <w:vAlign w:val="center"/>
          </w:tcPr>
          <w:p w:rsidR="005E15EF" w:rsidRPr="007F116C" w:rsidRDefault="005E15EF" w:rsidP="005E15EF">
            <w:pPr>
              <w:pStyle w:val="Tabletext"/>
              <w:keepNext/>
              <w:keepLines/>
              <w:jc w:val="center"/>
              <w:rPr>
                <w:b/>
              </w:rPr>
            </w:pPr>
            <w:r w:rsidRPr="007F116C">
              <w:rPr>
                <w:b/>
              </w:rPr>
              <w:t>Risk of bias</w:t>
            </w:r>
          </w:p>
        </w:tc>
        <w:tc>
          <w:tcPr>
            <w:tcW w:w="1771" w:type="pct"/>
            <w:shd w:val="clear" w:color="auto" w:fill="auto"/>
            <w:vAlign w:val="center"/>
          </w:tcPr>
          <w:p w:rsidR="005E15EF" w:rsidRPr="007F116C" w:rsidRDefault="005E15EF" w:rsidP="005E15EF">
            <w:pPr>
              <w:pStyle w:val="Tabletext"/>
              <w:keepNext/>
              <w:keepLines/>
              <w:jc w:val="center"/>
              <w:rPr>
                <w:b/>
              </w:rPr>
            </w:pPr>
            <w:r w:rsidRPr="007F116C">
              <w:rPr>
                <w:b/>
              </w:rPr>
              <w:t>Patient population</w:t>
            </w:r>
          </w:p>
        </w:tc>
        <w:tc>
          <w:tcPr>
            <w:tcW w:w="751" w:type="pct"/>
            <w:shd w:val="clear" w:color="auto" w:fill="auto"/>
            <w:vAlign w:val="center"/>
          </w:tcPr>
          <w:p w:rsidR="005E15EF" w:rsidRPr="007F116C" w:rsidRDefault="005E15EF" w:rsidP="005E15EF">
            <w:pPr>
              <w:pStyle w:val="Tabletext"/>
              <w:keepNext/>
              <w:keepLines/>
              <w:jc w:val="center"/>
              <w:rPr>
                <w:b/>
              </w:rPr>
            </w:pPr>
            <w:r w:rsidRPr="007F116C">
              <w:rPr>
                <w:b/>
              </w:rPr>
              <w:t>Outcome(s)</w:t>
            </w: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rPr>
                <w:b/>
              </w:rPr>
            </w:pPr>
            <w:r w:rsidRPr="007F116C">
              <w:rPr>
                <w:b/>
              </w:rPr>
              <w:t xml:space="preserve">Ofatumumab vs. teriflunomide </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ASCLEPIOS I</w:t>
            </w:r>
          </w:p>
        </w:tc>
        <w:tc>
          <w:tcPr>
            <w:tcW w:w="371" w:type="pct"/>
            <w:shd w:val="clear" w:color="auto" w:fill="auto"/>
            <w:vAlign w:val="center"/>
          </w:tcPr>
          <w:p w:rsidR="005E15EF" w:rsidRPr="007F116C" w:rsidRDefault="005E15EF" w:rsidP="005E15EF">
            <w:pPr>
              <w:pStyle w:val="Tabletext"/>
              <w:keepNext/>
              <w:keepLines/>
              <w:jc w:val="center"/>
            </w:pPr>
            <w:r w:rsidRPr="007F116C">
              <w:t>927</w:t>
            </w:r>
          </w:p>
        </w:tc>
        <w:tc>
          <w:tcPr>
            <w:tcW w:w="750" w:type="pct"/>
            <w:shd w:val="clear" w:color="auto" w:fill="auto"/>
            <w:vAlign w:val="center"/>
          </w:tcPr>
          <w:p w:rsidR="005E15EF" w:rsidRPr="007F116C" w:rsidRDefault="005E15EF" w:rsidP="005E15EF">
            <w:pPr>
              <w:pStyle w:val="Tabletext"/>
              <w:keepNext/>
              <w:keepLines/>
              <w:jc w:val="center"/>
            </w:pPr>
            <w:r w:rsidRPr="007F116C">
              <w:t>R, DB, 30 months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RMS (RRMS or SPMS) (94% RRMS)</w:t>
            </w:r>
          </w:p>
        </w:tc>
        <w:tc>
          <w:tcPr>
            <w:tcW w:w="751" w:type="pct"/>
            <w:vMerge w:val="restart"/>
            <w:shd w:val="clear" w:color="auto" w:fill="auto"/>
            <w:vAlign w:val="center"/>
          </w:tcPr>
          <w:p w:rsidR="005E15EF" w:rsidRPr="007F116C" w:rsidRDefault="005E15EF" w:rsidP="005E15EF">
            <w:pPr>
              <w:pStyle w:val="Tabletext"/>
              <w:keepNext/>
              <w:keepLines/>
              <w:jc w:val="center"/>
            </w:pPr>
            <w:r w:rsidRPr="007F116C">
              <w:t xml:space="preserve">ARR, 3/6 month </w:t>
            </w:r>
            <w:r w:rsidR="00C93597" w:rsidRPr="007F116C">
              <w:t>CDP*</w:t>
            </w:r>
            <w:r w:rsidRPr="007F116C">
              <w:t>, proportion relapse free</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ASCLEPIOS II</w:t>
            </w:r>
          </w:p>
        </w:tc>
        <w:tc>
          <w:tcPr>
            <w:tcW w:w="371" w:type="pct"/>
            <w:shd w:val="clear" w:color="auto" w:fill="auto"/>
            <w:vAlign w:val="center"/>
          </w:tcPr>
          <w:p w:rsidR="005E15EF" w:rsidRPr="007F116C" w:rsidRDefault="005E15EF" w:rsidP="005E15EF">
            <w:pPr>
              <w:pStyle w:val="Tabletext"/>
              <w:keepNext/>
              <w:keepLines/>
              <w:jc w:val="center"/>
            </w:pPr>
            <w:r w:rsidRPr="007F116C">
              <w:t>955</w:t>
            </w:r>
          </w:p>
        </w:tc>
        <w:tc>
          <w:tcPr>
            <w:tcW w:w="750" w:type="pct"/>
            <w:shd w:val="clear" w:color="auto" w:fill="auto"/>
            <w:vAlign w:val="center"/>
          </w:tcPr>
          <w:p w:rsidR="005E15EF" w:rsidRPr="007F116C" w:rsidRDefault="005E15EF" w:rsidP="005E15EF">
            <w:pPr>
              <w:pStyle w:val="Tabletext"/>
              <w:keepNext/>
              <w:keepLines/>
              <w:jc w:val="center"/>
            </w:pPr>
            <w:r w:rsidRPr="007F116C">
              <w:t>R, DB, 30 months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RMS (RRMS or SPMS) (94% RRMS)</w:t>
            </w:r>
          </w:p>
        </w:tc>
        <w:tc>
          <w:tcPr>
            <w:tcW w:w="751" w:type="pct"/>
            <w:vMerge/>
            <w:shd w:val="clear" w:color="auto" w:fill="auto"/>
            <w:vAlign w:val="center"/>
          </w:tcPr>
          <w:p w:rsidR="005E15EF" w:rsidRPr="007F116C" w:rsidRDefault="005E15EF" w:rsidP="005E15EF">
            <w:pPr>
              <w:pStyle w:val="Tabletext"/>
              <w:keepNext/>
              <w:keepLines/>
              <w:jc w:val="center"/>
            </w:pP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rPr>
                <w:b/>
              </w:rPr>
            </w:pPr>
            <w:r w:rsidRPr="007F116C">
              <w:rPr>
                <w:b/>
              </w:rPr>
              <w:t>Teriflunomide versus placebo (bridging comparison)</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TEMSO</w:t>
            </w:r>
          </w:p>
        </w:tc>
        <w:tc>
          <w:tcPr>
            <w:tcW w:w="371" w:type="pct"/>
            <w:shd w:val="clear" w:color="auto" w:fill="auto"/>
            <w:vAlign w:val="center"/>
          </w:tcPr>
          <w:p w:rsidR="005E15EF" w:rsidRPr="007F116C" w:rsidRDefault="005E15EF" w:rsidP="005E15EF">
            <w:pPr>
              <w:pStyle w:val="Tabletext"/>
              <w:keepNext/>
              <w:keepLines/>
              <w:jc w:val="center"/>
            </w:pPr>
            <w:r w:rsidRPr="007F116C">
              <w:t>1088</w:t>
            </w:r>
          </w:p>
        </w:tc>
        <w:tc>
          <w:tcPr>
            <w:tcW w:w="750" w:type="pct"/>
            <w:shd w:val="clear" w:color="auto" w:fill="auto"/>
            <w:vAlign w:val="center"/>
          </w:tcPr>
          <w:p w:rsidR="005E15EF" w:rsidRPr="007F116C" w:rsidRDefault="005E15EF" w:rsidP="005E15EF">
            <w:pPr>
              <w:pStyle w:val="Tabletext"/>
              <w:keepNext/>
              <w:keepLines/>
              <w:jc w:val="center"/>
            </w:pPr>
            <w:r w:rsidRPr="007F116C">
              <w:t>R, DB, 96 weeks</w:t>
            </w:r>
          </w:p>
        </w:tc>
        <w:tc>
          <w:tcPr>
            <w:tcW w:w="545" w:type="pct"/>
            <w:shd w:val="clear" w:color="auto" w:fill="auto"/>
            <w:vAlign w:val="center"/>
          </w:tcPr>
          <w:p w:rsidR="005E15EF" w:rsidRPr="007F116C" w:rsidRDefault="005E15EF" w:rsidP="005E15EF">
            <w:pPr>
              <w:pStyle w:val="Tabletext"/>
              <w:keepNext/>
              <w:keepLines/>
              <w:jc w:val="center"/>
            </w:pPr>
            <w:r w:rsidRPr="007F116C">
              <w:t>High</w:t>
            </w:r>
          </w:p>
        </w:tc>
        <w:tc>
          <w:tcPr>
            <w:tcW w:w="1771" w:type="pct"/>
            <w:shd w:val="clear" w:color="auto" w:fill="auto"/>
            <w:vAlign w:val="center"/>
          </w:tcPr>
          <w:p w:rsidR="005E15EF" w:rsidRPr="007F116C" w:rsidRDefault="005E15EF" w:rsidP="005E15EF">
            <w:pPr>
              <w:pStyle w:val="Tabletext"/>
              <w:keepNext/>
              <w:keepLines/>
              <w:jc w:val="center"/>
            </w:pPr>
            <w:r w:rsidRPr="007F116C">
              <w:t>RMS (RRMS, SPMS, or PRMS) (91% RRMS)</w:t>
            </w:r>
          </w:p>
        </w:tc>
        <w:tc>
          <w:tcPr>
            <w:tcW w:w="751" w:type="pct"/>
            <w:vMerge w:val="restart"/>
            <w:shd w:val="clear" w:color="auto" w:fill="auto"/>
            <w:vAlign w:val="center"/>
          </w:tcPr>
          <w:p w:rsidR="005E15EF" w:rsidRPr="007F116C" w:rsidRDefault="005E15EF" w:rsidP="005E15EF">
            <w:pPr>
              <w:pStyle w:val="Tabletext"/>
              <w:keepNext/>
              <w:keepLines/>
              <w:jc w:val="center"/>
            </w:pPr>
            <w:r w:rsidRPr="007F116C">
              <w:t>ARR, proportion relapse free</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TOWER</w:t>
            </w:r>
          </w:p>
        </w:tc>
        <w:tc>
          <w:tcPr>
            <w:tcW w:w="371" w:type="pct"/>
            <w:shd w:val="clear" w:color="auto" w:fill="auto"/>
            <w:vAlign w:val="center"/>
          </w:tcPr>
          <w:p w:rsidR="005E15EF" w:rsidRPr="007F116C" w:rsidRDefault="005E15EF" w:rsidP="005E15EF">
            <w:pPr>
              <w:pStyle w:val="Tabletext"/>
              <w:keepNext/>
              <w:keepLines/>
              <w:jc w:val="center"/>
            </w:pPr>
            <w:r w:rsidRPr="007F116C">
              <w:t>1169</w:t>
            </w:r>
          </w:p>
        </w:tc>
        <w:tc>
          <w:tcPr>
            <w:tcW w:w="750" w:type="pct"/>
            <w:shd w:val="clear" w:color="auto" w:fill="auto"/>
            <w:vAlign w:val="center"/>
          </w:tcPr>
          <w:p w:rsidR="005E15EF" w:rsidRPr="007F116C" w:rsidRDefault="005E15EF" w:rsidP="005E15EF">
            <w:pPr>
              <w:pStyle w:val="Tabletext"/>
              <w:keepNext/>
              <w:keepLines/>
              <w:jc w:val="center"/>
            </w:pPr>
            <w:r w:rsidRPr="007F116C">
              <w:t>R, DB, 48+ weeks</w:t>
            </w:r>
          </w:p>
        </w:tc>
        <w:tc>
          <w:tcPr>
            <w:tcW w:w="545" w:type="pct"/>
            <w:shd w:val="clear" w:color="auto" w:fill="auto"/>
            <w:vAlign w:val="center"/>
          </w:tcPr>
          <w:p w:rsidR="005E15EF" w:rsidRPr="007F116C" w:rsidRDefault="005E15EF" w:rsidP="005E15EF">
            <w:pPr>
              <w:pStyle w:val="Tabletext"/>
              <w:keepNext/>
              <w:keepLines/>
              <w:jc w:val="center"/>
            </w:pPr>
            <w:r w:rsidRPr="007F116C">
              <w:t>High</w:t>
            </w:r>
          </w:p>
        </w:tc>
        <w:tc>
          <w:tcPr>
            <w:tcW w:w="1771" w:type="pct"/>
            <w:shd w:val="clear" w:color="auto" w:fill="auto"/>
            <w:vAlign w:val="center"/>
          </w:tcPr>
          <w:p w:rsidR="005E15EF" w:rsidRPr="007F116C" w:rsidRDefault="005E15EF" w:rsidP="005E15EF">
            <w:pPr>
              <w:pStyle w:val="Tabletext"/>
              <w:keepNext/>
              <w:keepLines/>
              <w:jc w:val="center"/>
            </w:pPr>
            <w:r w:rsidRPr="007F116C">
              <w:t>RMS (RRMS, SPMS, or PRMS) (97% RRMS)</w:t>
            </w:r>
          </w:p>
        </w:tc>
        <w:tc>
          <w:tcPr>
            <w:tcW w:w="751" w:type="pct"/>
            <w:vMerge/>
            <w:shd w:val="clear" w:color="auto" w:fill="auto"/>
            <w:vAlign w:val="center"/>
          </w:tcPr>
          <w:p w:rsidR="005E15EF" w:rsidRPr="007F116C" w:rsidRDefault="005E15EF" w:rsidP="005E15EF">
            <w:pPr>
              <w:pStyle w:val="Tabletext"/>
              <w:keepNext/>
              <w:keepLines/>
              <w:jc w:val="center"/>
            </w:pP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pPr>
            <w:r w:rsidRPr="007F116C">
              <w:rPr>
                <w:b/>
                <w:bCs/>
              </w:rPr>
              <w:t xml:space="preserve">Placebo versus Fingolimod </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FREEDOMS I</w:t>
            </w:r>
          </w:p>
        </w:tc>
        <w:tc>
          <w:tcPr>
            <w:tcW w:w="371" w:type="pct"/>
            <w:shd w:val="clear" w:color="auto" w:fill="auto"/>
            <w:vAlign w:val="center"/>
          </w:tcPr>
          <w:p w:rsidR="005E15EF" w:rsidRPr="007F116C" w:rsidRDefault="005E15EF" w:rsidP="005E15EF">
            <w:pPr>
              <w:pStyle w:val="Tabletext"/>
              <w:keepNext/>
              <w:keepLines/>
              <w:jc w:val="center"/>
            </w:pPr>
            <w:r w:rsidRPr="007F116C">
              <w:t>1272</w:t>
            </w:r>
          </w:p>
        </w:tc>
        <w:tc>
          <w:tcPr>
            <w:tcW w:w="750" w:type="pct"/>
            <w:shd w:val="clear" w:color="auto" w:fill="auto"/>
            <w:vAlign w:val="center"/>
          </w:tcPr>
          <w:p w:rsidR="005E15EF" w:rsidRPr="007F116C" w:rsidRDefault="005E15EF" w:rsidP="005E15EF">
            <w:pPr>
              <w:pStyle w:val="Tabletext"/>
              <w:keepNext/>
              <w:keepLines/>
              <w:jc w:val="center"/>
            </w:pPr>
            <w:r w:rsidRPr="007F116C">
              <w:t>R, DB, 24 months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RRMS</w:t>
            </w:r>
          </w:p>
        </w:tc>
        <w:tc>
          <w:tcPr>
            <w:tcW w:w="751" w:type="pct"/>
            <w:vMerge w:val="restart"/>
            <w:shd w:val="clear" w:color="auto" w:fill="auto"/>
            <w:vAlign w:val="center"/>
          </w:tcPr>
          <w:p w:rsidR="005E15EF" w:rsidRPr="007F116C" w:rsidRDefault="005E15EF" w:rsidP="005E15EF">
            <w:pPr>
              <w:pStyle w:val="Tabletext"/>
              <w:keepNext/>
              <w:keepLines/>
              <w:jc w:val="center"/>
            </w:pPr>
            <w:r w:rsidRPr="007F116C">
              <w:t>ARR, 3/6 month CDP, proportion relapse free</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FREEDOMS II</w:t>
            </w:r>
          </w:p>
        </w:tc>
        <w:tc>
          <w:tcPr>
            <w:tcW w:w="371" w:type="pct"/>
            <w:shd w:val="clear" w:color="auto" w:fill="auto"/>
            <w:vAlign w:val="center"/>
          </w:tcPr>
          <w:p w:rsidR="005E15EF" w:rsidRPr="007F116C" w:rsidRDefault="005E15EF" w:rsidP="005E15EF">
            <w:pPr>
              <w:pStyle w:val="Tabletext"/>
              <w:keepNext/>
              <w:keepLines/>
              <w:jc w:val="center"/>
            </w:pPr>
            <w:r w:rsidRPr="007F116C">
              <w:t>1083</w:t>
            </w:r>
          </w:p>
        </w:tc>
        <w:tc>
          <w:tcPr>
            <w:tcW w:w="750" w:type="pct"/>
            <w:shd w:val="clear" w:color="auto" w:fill="auto"/>
            <w:vAlign w:val="center"/>
          </w:tcPr>
          <w:p w:rsidR="005E15EF" w:rsidRPr="007F116C" w:rsidRDefault="005E15EF" w:rsidP="005E15EF">
            <w:pPr>
              <w:pStyle w:val="Tabletext"/>
              <w:keepNext/>
              <w:keepLines/>
              <w:jc w:val="center"/>
            </w:pPr>
            <w:r w:rsidRPr="007F116C">
              <w:t>R, DB, 24 months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RRMS</w:t>
            </w:r>
          </w:p>
        </w:tc>
        <w:tc>
          <w:tcPr>
            <w:tcW w:w="751" w:type="pct"/>
            <w:vMerge/>
            <w:shd w:val="clear" w:color="auto" w:fill="auto"/>
            <w:vAlign w:val="center"/>
          </w:tcPr>
          <w:p w:rsidR="005E15EF" w:rsidRPr="007F116C" w:rsidRDefault="005E15EF" w:rsidP="005E15EF">
            <w:pPr>
              <w:pStyle w:val="Tabletext"/>
              <w:keepNext/>
              <w:keepLines/>
              <w:jc w:val="center"/>
            </w:pP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pPr>
            <w:r w:rsidRPr="007F116C">
              <w:rPr>
                <w:b/>
                <w:bCs/>
              </w:rPr>
              <w:t xml:space="preserve">Placebo versus cladribine  </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CLARITY</w:t>
            </w:r>
          </w:p>
        </w:tc>
        <w:tc>
          <w:tcPr>
            <w:tcW w:w="371" w:type="pct"/>
            <w:shd w:val="clear" w:color="auto" w:fill="auto"/>
            <w:vAlign w:val="center"/>
          </w:tcPr>
          <w:p w:rsidR="005E15EF" w:rsidRPr="007F116C" w:rsidRDefault="005E15EF" w:rsidP="005E15EF">
            <w:pPr>
              <w:pStyle w:val="Tabletext"/>
              <w:keepNext/>
              <w:keepLines/>
              <w:jc w:val="center"/>
            </w:pPr>
            <w:r w:rsidRPr="007F116C">
              <w:t>1326</w:t>
            </w:r>
          </w:p>
        </w:tc>
        <w:tc>
          <w:tcPr>
            <w:tcW w:w="750" w:type="pct"/>
            <w:shd w:val="clear" w:color="auto" w:fill="auto"/>
            <w:vAlign w:val="center"/>
          </w:tcPr>
          <w:p w:rsidR="005E15EF" w:rsidRPr="007F116C" w:rsidRDefault="005E15EF" w:rsidP="005E15EF">
            <w:pPr>
              <w:pStyle w:val="Tabletext"/>
              <w:keepNext/>
              <w:keepLines/>
              <w:jc w:val="center"/>
            </w:pPr>
            <w:r w:rsidRPr="007F116C">
              <w:t>R, DB, 96 weeks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RRMS</w:t>
            </w:r>
          </w:p>
        </w:tc>
        <w:tc>
          <w:tcPr>
            <w:tcW w:w="751" w:type="pct"/>
            <w:shd w:val="clear" w:color="auto" w:fill="auto"/>
            <w:vAlign w:val="center"/>
          </w:tcPr>
          <w:p w:rsidR="005E15EF" w:rsidRPr="007F116C" w:rsidRDefault="005E15EF" w:rsidP="005E15EF">
            <w:pPr>
              <w:pStyle w:val="Tabletext"/>
              <w:keepNext/>
              <w:keepLines/>
              <w:jc w:val="center"/>
            </w:pPr>
            <w:r w:rsidRPr="007F116C">
              <w:t>ARR, 3/6 month CDP, proportion relapse free</w:t>
            </w: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pPr>
            <w:r w:rsidRPr="007F116C">
              <w:rPr>
                <w:b/>
                <w:bCs/>
              </w:rPr>
              <w:t xml:space="preserve">Placebo versus natalizumab  </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AFFIRM</w:t>
            </w:r>
          </w:p>
        </w:tc>
        <w:tc>
          <w:tcPr>
            <w:tcW w:w="371" w:type="pct"/>
            <w:shd w:val="clear" w:color="auto" w:fill="auto"/>
            <w:vAlign w:val="center"/>
          </w:tcPr>
          <w:p w:rsidR="005E15EF" w:rsidRPr="007F116C" w:rsidRDefault="005E15EF" w:rsidP="005E15EF">
            <w:pPr>
              <w:pStyle w:val="Tabletext"/>
              <w:keepNext/>
              <w:keepLines/>
              <w:jc w:val="center"/>
            </w:pPr>
            <w:r w:rsidRPr="007F116C">
              <w:t>942</w:t>
            </w:r>
          </w:p>
        </w:tc>
        <w:tc>
          <w:tcPr>
            <w:tcW w:w="750" w:type="pct"/>
            <w:shd w:val="clear" w:color="auto" w:fill="auto"/>
            <w:vAlign w:val="center"/>
          </w:tcPr>
          <w:p w:rsidR="005E15EF" w:rsidRPr="007F116C" w:rsidRDefault="005E15EF" w:rsidP="005E15EF">
            <w:pPr>
              <w:pStyle w:val="Tabletext"/>
              <w:keepNext/>
              <w:keepLines/>
              <w:jc w:val="center"/>
            </w:pPr>
            <w:r w:rsidRPr="007F116C">
              <w:t>R, DB, 2 + years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RRMS</w:t>
            </w:r>
          </w:p>
        </w:tc>
        <w:tc>
          <w:tcPr>
            <w:tcW w:w="751" w:type="pct"/>
            <w:shd w:val="clear" w:color="auto" w:fill="auto"/>
            <w:vAlign w:val="center"/>
          </w:tcPr>
          <w:p w:rsidR="005E15EF" w:rsidRPr="007F116C" w:rsidRDefault="005E15EF" w:rsidP="005E15EF">
            <w:pPr>
              <w:pStyle w:val="Tabletext"/>
              <w:keepNext/>
              <w:keepLines/>
              <w:jc w:val="center"/>
            </w:pPr>
            <w:r w:rsidRPr="007F116C">
              <w:t>ARR, 3/6 month CDP, proportion relapse free</w:t>
            </w: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pPr>
            <w:r w:rsidRPr="007F116C">
              <w:rPr>
                <w:b/>
                <w:bCs/>
              </w:rPr>
              <w:t>Placebo versus DMF</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CONFIRM</w:t>
            </w:r>
          </w:p>
        </w:tc>
        <w:tc>
          <w:tcPr>
            <w:tcW w:w="371" w:type="pct"/>
            <w:shd w:val="clear" w:color="auto" w:fill="auto"/>
            <w:vAlign w:val="center"/>
          </w:tcPr>
          <w:p w:rsidR="005E15EF" w:rsidRPr="007F116C" w:rsidRDefault="005E15EF" w:rsidP="005E15EF">
            <w:pPr>
              <w:pStyle w:val="Tabletext"/>
              <w:keepNext/>
              <w:keepLines/>
              <w:jc w:val="center"/>
            </w:pPr>
            <w:r w:rsidRPr="007F116C">
              <w:t>1430</w:t>
            </w:r>
          </w:p>
        </w:tc>
        <w:tc>
          <w:tcPr>
            <w:tcW w:w="750" w:type="pct"/>
            <w:shd w:val="clear" w:color="auto" w:fill="auto"/>
            <w:vAlign w:val="center"/>
          </w:tcPr>
          <w:p w:rsidR="005E15EF" w:rsidRPr="007F116C" w:rsidRDefault="005E15EF" w:rsidP="005E15EF">
            <w:pPr>
              <w:pStyle w:val="Tabletext"/>
              <w:keepNext/>
              <w:keepLines/>
              <w:jc w:val="center"/>
            </w:pPr>
            <w:r w:rsidRPr="007F116C">
              <w:t>R, DB (except vs GA), 2 years</w:t>
            </w:r>
          </w:p>
        </w:tc>
        <w:tc>
          <w:tcPr>
            <w:tcW w:w="545" w:type="pct"/>
            <w:shd w:val="clear" w:color="auto" w:fill="auto"/>
            <w:vAlign w:val="center"/>
          </w:tcPr>
          <w:p w:rsidR="005E15EF" w:rsidRPr="007F116C" w:rsidRDefault="005E15EF" w:rsidP="005E15EF">
            <w:pPr>
              <w:pStyle w:val="Tabletext"/>
              <w:keepNext/>
              <w:keepLines/>
              <w:jc w:val="center"/>
            </w:pPr>
            <w:r w:rsidRPr="007F116C">
              <w:t>High</w:t>
            </w:r>
          </w:p>
        </w:tc>
        <w:tc>
          <w:tcPr>
            <w:tcW w:w="1771" w:type="pct"/>
            <w:shd w:val="clear" w:color="auto" w:fill="auto"/>
            <w:vAlign w:val="center"/>
          </w:tcPr>
          <w:p w:rsidR="005E15EF" w:rsidRPr="007F116C" w:rsidRDefault="005E15EF" w:rsidP="005E15EF">
            <w:pPr>
              <w:pStyle w:val="Tabletext"/>
              <w:keepNext/>
              <w:keepLines/>
              <w:jc w:val="center"/>
            </w:pPr>
            <w:r w:rsidRPr="007F116C">
              <w:t>RRMS</w:t>
            </w:r>
          </w:p>
        </w:tc>
        <w:tc>
          <w:tcPr>
            <w:tcW w:w="751" w:type="pct"/>
            <w:vMerge w:val="restart"/>
            <w:shd w:val="clear" w:color="auto" w:fill="auto"/>
            <w:vAlign w:val="center"/>
          </w:tcPr>
          <w:p w:rsidR="005E15EF" w:rsidRPr="007F116C" w:rsidRDefault="005E15EF" w:rsidP="005E15EF">
            <w:pPr>
              <w:pStyle w:val="Tabletext"/>
              <w:keepNext/>
              <w:keepLines/>
              <w:jc w:val="center"/>
            </w:pPr>
            <w:r w:rsidRPr="007F116C">
              <w:t>ARR, 3/6 month CDP, proportion relapse free</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DEFINE</w:t>
            </w:r>
          </w:p>
        </w:tc>
        <w:tc>
          <w:tcPr>
            <w:tcW w:w="371" w:type="pct"/>
            <w:shd w:val="clear" w:color="auto" w:fill="auto"/>
            <w:vAlign w:val="center"/>
          </w:tcPr>
          <w:p w:rsidR="005E15EF" w:rsidRPr="007F116C" w:rsidRDefault="005E15EF" w:rsidP="005E15EF">
            <w:pPr>
              <w:pStyle w:val="Tabletext"/>
              <w:keepNext/>
              <w:keepLines/>
              <w:jc w:val="center"/>
            </w:pPr>
            <w:r w:rsidRPr="007F116C">
              <w:t>1237</w:t>
            </w:r>
          </w:p>
        </w:tc>
        <w:tc>
          <w:tcPr>
            <w:tcW w:w="750" w:type="pct"/>
            <w:shd w:val="clear" w:color="auto" w:fill="auto"/>
            <w:vAlign w:val="center"/>
          </w:tcPr>
          <w:p w:rsidR="005E15EF" w:rsidRPr="007F116C" w:rsidRDefault="005E15EF" w:rsidP="005E15EF">
            <w:pPr>
              <w:pStyle w:val="Tabletext"/>
              <w:keepNext/>
              <w:keepLines/>
              <w:jc w:val="center"/>
            </w:pPr>
            <w:r w:rsidRPr="007F116C">
              <w:t>R, DB, 2 years</w:t>
            </w:r>
          </w:p>
        </w:tc>
        <w:tc>
          <w:tcPr>
            <w:tcW w:w="545" w:type="pct"/>
            <w:shd w:val="clear" w:color="auto" w:fill="auto"/>
            <w:vAlign w:val="center"/>
          </w:tcPr>
          <w:p w:rsidR="005E15EF" w:rsidRPr="007F116C" w:rsidRDefault="005E15EF" w:rsidP="005E15EF">
            <w:pPr>
              <w:pStyle w:val="Tabletext"/>
              <w:keepNext/>
              <w:keepLines/>
              <w:jc w:val="center"/>
            </w:pPr>
            <w:r w:rsidRPr="007F116C">
              <w:t>High</w:t>
            </w:r>
          </w:p>
        </w:tc>
        <w:tc>
          <w:tcPr>
            <w:tcW w:w="1771" w:type="pct"/>
            <w:shd w:val="clear" w:color="auto" w:fill="auto"/>
            <w:vAlign w:val="center"/>
          </w:tcPr>
          <w:p w:rsidR="005E15EF" w:rsidRPr="007F116C" w:rsidRDefault="005E15EF" w:rsidP="005E15EF">
            <w:pPr>
              <w:pStyle w:val="Tabletext"/>
              <w:keepNext/>
              <w:keepLines/>
              <w:jc w:val="center"/>
            </w:pPr>
            <w:r w:rsidRPr="007F116C">
              <w:t>RRMS</w:t>
            </w:r>
          </w:p>
        </w:tc>
        <w:tc>
          <w:tcPr>
            <w:tcW w:w="751" w:type="pct"/>
            <w:vMerge/>
            <w:shd w:val="clear" w:color="auto" w:fill="auto"/>
            <w:vAlign w:val="center"/>
          </w:tcPr>
          <w:p w:rsidR="005E15EF" w:rsidRPr="007F116C" w:rsidRDefault="005E15EF" w:rsidP="005E15EF">
            <w:pPr>
              <w:pStyle w:val="Tabletext"/>
              <w:keepNext/>
              <w:keepLines/>
              <w:jc w:val="center"/>
            </w:pP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pPr>
            <w:r w:rsidRPr="007F116C">
              <w:rPr>
                <w:b/>
                <w:bCs/>
              </w:rPr>
              <w:t xml:space="preserve">Placebo versus IFN (Bridging comparison) </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MSCRG</w:t>
            </w:r>
          </w:p>
        </w:tc>
        <w:tc>
          <w:tcPr>
            <w:tcW w:w="371" w:type="pct"/>
            <w:shd w:val="clear" w:color="auto" w:fill="auto"/>
            <w:vAlign w:val="center"/>
          </w:tcPr>
          <w:p w:rsidR="005E15EF" w:rsidRPr="007F116C" w:rsidRDefault="005E15EF" w:rsidP="005E15EF">
            <w:pPr>
              <w:pStyle w:val="Tabletext"/>
              <w:keepNext/>
              <w:keepLines/>
              <w:jc w:val="center"/>
            </w:pPr>
            <w:r w:rsidRPr="007F116C">
              <w:t>301</w:t>
            </w:r>
          </w:p>
        </w:tc>
        <w:tc>
          <w:tcPr>
            <w:tcW w:w="750" w:type="pct"/>
            <w:shd w:val="clear" w:color="auto" w:fill="auto"/>
            <w:vAlign w:val="center"/>
          </w:tcPr>
          <w:p w:rsidR="005E15EF" w:rsidRPr="007F116C" w:rsidRDefault="005E15EF" w:rsidP="005E15EF">
            <w:pPr>
              <w:pStyle w:val="Tabletext"/>
              <w:keepNext/>
              <w:keepLines/>
              <w:jc w:val="center"/>
            </w:pPr>
            <w:r w:rsidRPr="007F116C">
              <w:t>R, DB, 2 years</w:t>
            </w:r>
          </w:p>
        </w:tc>
        <w:tc>
          <w:tcPr>
            <w:tcW w:w="545" w:type="pct"/>
            <w:shd w:val="clear" w:color="auto" w:fill="auto"/>
            <w:vAlign w:val="center"/>
          </w:tcPr>
          <w:p w:rsidR="005E15EF" w:rsidRPr="007F116C" w:rsidRDefault="005E15EF" w:rsidP="005E15EF">
            <w:pPr>
              <w:pStyle w:val="Tabletext"/>
              <w:keepNext/>
              <w:keepLines/>
              <w:jc w:val="center"/>
            </w:pPr>
            <w:r w:rsidRPr="007F116C">
              <w:t>Unknown</w:t>
            </w:r>
          </w:p>
        </w:tc>
        <w:tc>
          <w:tcPr>
            <w:tcW w:w="1771" w:type="pct"/>
            <w:shd w:val="clear" w:color="auto" w:fill="auto"/>
            <w:vAlign w:val="center"/>
          </w:tcPr>
          <w:p w:rsidR="005E15EF" w:rsidRPr="007F116C" w:rsidRDefault="005E15EF" w:rsidP="005E15EF">
            <w:pPr>
              <w:pStyle w:val="Tabletext"/>
              <w:keepNext/>
              <w:keepLines/>
              <w:jc w:val="center"/>
            </w:pPr>
            <w:r w:rsidRPr="007F116C">
              <w:t>RMS (not chronic-progressive MS)</w:t>
            </w:r>
          </w:p>
        </w:tc>
        <w:tc>
          <w:tcPr>
            <w:tcW w:w="751" w:type="pct"/>
            <w:vMerge w:val="restart"/>
            <w:shd w:val="clear" w:color="auto" w:fill="auto"/>
            <w:vAlign w:val="center"/>
          </w:tcPr>
          <w:p w:rsidR="005E15EF" w:rsidRPr="007F116C" w:rsidRDefault="005E15EF" w:rsidP="005E15EF">
            <w:pPr>
              <w:pStyle w:val="Tabletext"/>
              <w:keepNext/>
              <w:keepLines/>
              <w:jc w:val="center"/>
            </w:pPr>
            <w:r w:rsidRPr="007F116C">
              <w:t>ARR, 3/6 month CDP, proportion relapse free</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PRISMS</w:t>
            </w:r>
          </w:p>
        </w:tc>
        <w:tc>
          <w:tcPr>
            <w:tcW w:w="371" w:type="pct"/>
            <w:shd w:val="clear" w:color="auto" w:fill="auto"/>
            <w:vAlign w:val="center"/>
          </w:tcPr>
          <w:p w:rsidR="005E15EF" w:rsidRPr="007F116C" w:rsidRDefault="005E15EF" w:rsidP="005E15EF">
            <w:pPr>
              <w:pStyle w:val="Tabletext"/>
              <w:keepNext/>
              <w:keepLines/>
              <w:jc w:val="center"/>
            </w:pPr>
            <w:r w:rsidRPr="007F116C">
              <w:t>560</w:t>
            </w:r>
          </w:p>
        </w:tc>
        <w:tc>
          <w:tcPr>
            <w:tcW w:w="750" w:type="pct"/>
            <w:shd w:val="clear" w:color="auto" w:fill="auto"/>
            <w:vAlign w:val="center"/>
          </w:tcPr>
          <w:p w:rsidR="005E15EF" w:rsidRPr="007F116C" w:rsidRDefault="005E15EF" w:rsidP="005E15EF">
            <w:pPr>
              <w:pStyle w:val="Tabletext"/>
              <w:keepNext/>
              <w:keepLines/>
              <w:jc w:val="center"/>
            </w:pPr>
            <w:r w:rsidRPr="007F116C">
              <w:t>R, DB, 2 years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RRMS</w:t>
            </w:r>
          </w:p>
        </w:tc>
        <w:tc>
          <w:tcPr>
            <w:tcW w:w="751" w:type="pct"/>
            <w:vMerge/>
            <w:shd w:val="clear" w:color="auto" w:fill="auto"/>
            <w:vAlign w:val="center"/>
          </w:tcPr>
          <w:p w:rsidR="005E15EF" w:rsidRPr="007F116C" w:rsidRDefault="005E15EF" w:rsidP="005E15EF">
            <w:pPr>
              <w:pStyle w:val="Tabletext"/>
              <w:keepNext/>
              <w:keepLines/>
              <w:jc w:val="center"/>
            </w:pP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BRAVO</w:t>
            </w:r>
          </w:p>
        </w:tc>
        <w:tc>
          <w:tcPr>
            <w:tcW w:w="371" w:type="pct"/>
            <w:shd w:val="clear" w:color="auto" w:fill="auto"/>
            <w:vAlign w:val="center"/>
          </w:tcPr>
          <w:p w:rsidR="005E15EF" w:rsidRPr="007F116C" w:rsidRDefault="005E15EF" w:rsidP="005E15EF">
            <w:pPr>
              <w:pStyle w:val="Tabletext"/>
              <w:keepNext/>
              <w:keepLines/>
              <w:jc w:val="center"/>
            </w:pPr>
            <w:r w:rsidRPr="007F116C">
              <w:t>1331</w:t>
            </w:r>
          </w:p>
        </w:tc>
        <w:tc>
          <w:tcPr>
            <w:tcW w:w="750" w:type="pct"/>
            <w:shd w:val="clear" w:color="auto" w:fill="auto"/>
            <w:vAlign w:val="center"/>
          </w:tcPr>
          <w:p w:rsidR="005E15EF" w:rsidRPr="007F116C" w:rsidRDefault="005E15EF" w:rsidP="005E15EF">
            <w:pPr>
              <w:pStyle w:val="Tabletext"/>
              <w:keepNext/>
              <w:keepLines/>
              <w:jc w:val="center"/>
            </w:pPr>
            <w:r w:rsidRPr="007F116C">
              <w:t>R, OL, 2 years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RRMS</w:t>
            </w:r>
          </w:p>
        </w:tc>
        <w:tc>
          <w:tcPr>
            <w:tcW w:w="751" w:type="pct"/>
            <w:vMerge/>
            <w:shd w:val="clear" w:color="auto" w:fill="auto"/>
            <w:vAlign w:val="center"/>
          </w:tcPr>
          <w:p w:rsidR="005E15EF" w:rsidRPr="007F116C" w:rsidRDefault="005E15EF" w:rsidP="005E15EF">
            <w:pPr>
              <w:pStyle w:val="Tabletext"/>
              <w:keepNext/>
              <w:keepLines/>
              <w:jc w:val="center"/>
            </w:pP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rPr>
                <w:b/>
                <w:bCs/>
              </w:rPr>
            </w:pPr>
            <w:r w:rsidRPr="007F116C">
              <w:rPr>
                <w:b/>
                <w:bCs/>
              </w:rPr>
              <w:t>Ocrelizumab versus IFN</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OPERA I</w:t>
            </w:r>
          </w:p>
        </w:tc>
        <w:tc>
          <w:tcPr>
            <w:tcW w:w="371" w:type="pct"/>
            <w:shd w:val="clear" w:color="auto" w:fill="auto"/>
          </w:tcPr>
          <w:p w:rsidR="005E15EF" w:rsidRPr="007F116C" w:rsidRDefault="005E15EF" w:rsidP="005E15EF">
            <w:pPr>
              <w:pStyle w:val="Tabletext"/>
              <w:keepNext/>
              <w:keepLines/>
              <w:jc w:val="center"/>
            </w:pPr>
            <w:r w:rsidRPr="007F116C">
              <w:t>821</w:t>
            </w:r>
          </w:p>
        </w:tc>
        <w:tc>
          <w:tcPr>
            <w:tcW w:w="750" w:type="pct"/>
            <w:shd w:val="clear" w:color="auto" w:fill="auto"/>
          </w:tcPr>
          <w:p w:rsidR="005E15EF" w:rsidRPr="007F116C" w:rsidRDefault="005E15EF" w:rsidP="005E15EF">
            <w:pPr>
              <w:pStyle w:val="Tabletext"/>
              <w:keepNext/>
              <w:keepLines/>
              <w:jc w:val="center"/>
            </w:pPr>
            <w:r w:rsidRPr="007F116C">
              <w:t>R, DB, 96 weeks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tcPr>
          <w:p w:rsidR="005E15EF" w:rsidRPr="007F116C" w:rsidRDefault="005E15EF" w:rsidP="005E15EF">
            <w:pPr>
              <w:pStyle w:val="Tabletext"/>
              <w:keepNext/>
              <w:keepLines/>
              <w:jc w:val="center"/>
            </w:pPr>
            <w:r w:rsidRPr="007F116C">
              <w:t>RMS (not PPMS)</w:t>
            </w:r>
          </w:p>
        </w:tc>
        <w:tc>
          <w:tcPr>
            <w:tcW w:w="751" w:type="pct"/>
            <w:vMerge w:val="restart"/>
            <w:shd w:val="clear" w:color="auto" w:fill="auto"/>
            <w:vAlign w:val="center"/>
          </w:tcPr>
          <w:p w:rsidR="005E15EF" w:rsidRPr="007F116C" w:rsidRDefault="005E15EF" w:rsidP="005E15EF">
            <w:pPr>
              <w:pStyle w:val="Tabletext"/>
              <w:keepNext/>
              <w:keepLines/>
              <w:jc w:val="center"/>
            </w:pPr>
            <w:r w:rsidRPr="007F116C">
              <w:t>ARR, 3/6 month CDP, proportion relapse free</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OPERA II</w:t>
            </w:r>
          </w:p>
        </w:tc>
        <w:tc>
          <w:tcPr>
            <w:tcW w:w="371" w:type="pct"/>
            <w:shd w:val="clear" w:color="auto" w:fill="auto"/>
            <w:vAlign w:val="center"/>
          </w:tcPr>
          <w:p w:rsidR="005E15EF" w:rsidRPr="007F116C" w:rsidRDefault="005E15EF" w:rsidP="005E15EF">
            <w:pPr>
              <w:pStyle w:val="Tabletext"/>
              <w:keepNext/>
              <w:keepLines/>
              <w:jc w:val="center"/>
            </w:pPr>
            <w:r w:rsidRPr="007F116C">
              <w:t>835</w:t>
            </w:r>
          </w:p>
        </w:tc>
        <w:tc>
          <w:tcPr>
            <w:tcW w:w="750" w:type="pct"/>
            <w:shd w:val="clear" w:color="auto" w:fill="auto"/>
            <w:vAlign w:val="center"/>
          </w:tcPr>
          <w:p w:rsidR="005E15EF" w:rsidRPr="007F116C" w:rsidRDefault="005E15EF" w:rsidP="005E15EF">
            <w:pPr>
              <w:pStyle w:val="Tabletext"/>
              <w:keepNext/>
              <w:keepLines/>
              <w:jc w:val="center"/>
            </w:pPr>
            <w:r w:rsidRPr="007F116C">
              <w:t>R, DB, 96 weeks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RMS (not PPMS)</w:t>
            </w:r>
          </w:p>
        </w:tc>
        <w:tc>
          <w:tcPr>
            <w:tcW w:w="751" w:type="pct"/>
            <w:vMerge/>
            <w:shd w:val="clear" w:color="auto" w:fill="auto"/>
            <w:vAlign w:val="center"/>
          </w:tcPr>
          <w:p w:rsidR="005E15EF" w:rsidRPr="007F116C" w:rsidRDefault="005E15EF" w:rsidP="005E15EF">
            <w:pPr>
              <w:pStyle w:val="Tabletext"/>
              <w:keepNext/>
              <w:keepLines/>
              <w:jc w:val="center"/>
            </w:pP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rPr>
                <w:b/>
                <w:bCs/>
              </w:rPr>
            </w:pPr>
            <w:r w:rsidRPr="007F116C">
              <w:rPr>
                <w:b/>
                <w:bCs/>
              </w:rPr>
              <w:t>Alemtuzumab versus IFN</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CAMMS223</w:t>
            </w:r>
          </w:p>
        </w:tc>
        <w:tc>
          <w:tcPr>
            <w:tcW w:w="371" w:type="pct"/>
            <w:shd w:val="clear" w:color="auto" w:fill="auto"/>
            <w:vAlign w:val="center"/>
          </w:tcPr>
          <w:p w:rsidR="005E15EF" w:rsidRPr="007F116C" w:rsidRDefault="005E15EF" w:rsidP="005E15EF">
            <w:pPr>
              <w:pStyle w:val="Tabletext"/>
              <w:keepNext/>
              <w:keepLines/>
              <w:jc w:val="center"/>
            </w:pPr>
            <w:r w:rsidRPr="007F116C">
              <w:t>334</w:t>
            </w:r>
          </w:p>
        </w:tc>
        <w:tc>
          <w:tcPr>
            <w:tcW w:w="750" w:type="pct"/>
            <w:shd w:val="clear" w:color="auto" w:fill="auto"/>
            <w:vAlign w:val="center"/>
          </w:tcPr>
          <w:p w:rsidR="005E15EF" w:rsidRPr="007F116C" w:rsidRDefault="005E15EF" w:rsidP="005E15EF">
            <w:pPr>
              <w:pStyle w:val="Tabletext"/>
              <w:keepNext/>
              <w:keepLines/>
              <w:jc w:val="center"/>
            </w:pPr>
            <w:r w:rsidRPr="007F116C">
              <w:t>R, OL, 3 years</w:t>
            </w:r>
          </w:p>
        </w:tc>
        <w:tc>
          <w:tcPr>
            <w:tcW w:w="545" w:type="pct"/>
            <w:shd w:val="clear" w:color="auto" w:fill="auto"/>
            <w:vAlign w:val="center"/>
          </w:tcPr>
          <w:p w:rsidR="005E15EF" w:rsidRPr="007F116C" w:rsidRDefault="005E15EF" w:rsidP="005E15EF">
            <w:pPr>
              <w:pStyle w:val="Tabletext"/>
              <w:keepNext/>
              <w:keepLines/>
              <w:jc w:val="center"/>
            </w:pPr>
            <w:r w:rsidRPr="007F116C">
              <w:t>High</w:t>
            </w:r>
          </w:p>
        </w:tc>
        <w:tc>
          <w:tcPr>
            <w:tcW w:w="1771" w:type="pct"/>
            <w:shd w:val="clear" w:color="auto" w:fill="auto"/>
          </w:tcPr>
          <w:p w:rsidR="005E15EF" w:rsidRPr="007F116C" w:rsidRDefault="005E15EF" w:rsidP="005E15EF">
            <w:pPr>
              <w:pStyle w:val="Tabletext"/>
              <w:keepNext/>
              <w:keepLines/>
              <w:jc w:val="center"/>
            </w:pPr>
            <w:r w:rsidRPr="007F116C">
              <w:t>RRMS</w:t>
            </w:r>
          </w:p>
        </w:tc>
        <w:tc>
          <w:tcPr>
            <w:tcW w:w="751" w:type="pct"/>
            <w:vMerge w:val="restart"/>
            <w:shd w:val="clear" w:color="auto" w:fill="auto"/>
            <w:vAlign w:val="center"/>
          </w:tcPr>
          <w:p w:rsidR="005E15EF" w:rsidRPr="007F116C" w:rsidRDefault="005E15EF" w:rsidP="005E15EF">
            <w:pPr>
              <w:pStyle w:val="Tabletext"/>
              <w:keepNext/>
              <w:keepLines/>
              <w:jc w:val="center"/>
            </w:pPr>
            <w:r w:rsidRPr="007F116C">
              <w:t>ARR, 3/6 month CDP, proportion relapse free</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CARE-MS1</w:t>
            </w:r>
          </w:p>
        </w:tc>
        <w:tc>
          <w:tcPr>
            <w:tcW w:w="371" w:type="pct"/>
            <w:shd w:val="clear" w:color="auto" w:fill="auto"/>
          </w:tcPr>
          <w:p w:rsidR="005E15EF" w:rsidRPr="007F116C" w:rsidRDefault="005E15EF" w:rsidP="005E15EF">
            <w:pPr>
              <w:pStyle w:val="Tabletext"/>
              <w:keepNext/>
              <w:keepLines/>
              <w:jc w:val="center"/>
            </w:pPr>
            <w:r w:rsidRPr="007F116C">
              <w:t>581</w:t>
            </w:r>
          </w:p>
        </w:tc>
        <w:tc>
          <w:tcPr>
            <w:tcW w:w="750" w:type="pct"/>
            <w:shd w:val="clear" w:color="auto" w:fill="auto"/>
          </w:tcPr>
          <w:p w:rsidR="005E15EF" w:rsidRPr="007F116C" w:rsidRDefault="005E15EF" w:rsidP="005E15EF">
            <w:pPr>
              <w:pStyle w:val="Tabletext"/>
              <w:keepNext/>
              <w:keepLines/>
              <w:jc w:val="center"/>
            </w:pPr>
            <w:r w:rsidRPr="007F116C">
              <w:t>R, OL, 2 years</w:t>
            </w:r>
          </w:p>
        </w:tc>
        <w:tc>
          <w:tcPr>
            <w:tcW w:w="545" w:type="pct"/>
            <w:shd w:val="clear" w:color="auto" w:fill="auto"/>
            <w:vAlign w:val="center"/>
          </w:tcPr>
          <w:p w:rsidR="005E15EF" w:rsidRPr="007F116C" w:rsidRDefault="005E15EF" w:rsidP="005E15EF">
            <w:pPr>
              <w:pStyle w:val="Tabletext"/>
              <w:keepNext/>
              <w:keepLines/>
              <w:jc w:val="center"/>
            </w:pPr>
            <w:r w:rsidRPr="007F116C">
              <w:t>High</w:t>
            </w:r>
          </w:p>
        </w:tc>
        <w:tc>
          <w:tcPr>
            <w:tcW w:w="1771" w:type="pct"/>
            <w:shd w:val="clear" w:color="auto" w:fill="auto"/>
          </w:tcPr>
          <w:p w:rsidR="005E15EF" w:rsidRPr="007F116C" w:rsidRDefault="005E15EF" w:rsidP="005E15EF">
            <w:pPr>
              <w:pStyle w:val="Tabletext"/>
              <w:keepNext/>
              <w:keepLines/>
              <w:jc w:val="center"/>
            </w:pPr>
            <w:r w:rsidRPr="007F116C">
              <w:t>RRMS</w:t>
            </w:r>
          </w:p>
        </w:tc>
        <w:tc>
          <w:tcPr>
            <w:tcW w:w="751" w:type="pct"/>
            <w:vMerge/>
            <w:shd w:val="clear" w:color="auto" w:fill="auto"/>
            <w:vAlign w:val="center"/>
          </w:tcPr>
          <w:p w:rsidR="005E15EF" w:rsidRPr="007F116C" w:rsidRDefault="005E15EF" w:rsidP="005E15EF">
            <w:pPr>
              <w:pStyle w:val="Tabletext"/>
              <w:keepNext/>
              <w:keepLines/>
              <w:jc w:val="center"/>
            </w:pP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CARE-MS-2</w:t>
            </w:r>
          </w:p>
        </w:tc>
        <w:tc>
          <w:tcPr>
            <w:tcW w:w="371" w:type="pct"/>
            <w:shd w:val="clear" w:color="auto" w:fill="auto"/>
          </w:tcPr>
          <w:p w:rsidR="005E15EF" w:rsidRPr="007F116C" w:rsidRDefault="005E15EF" w:rsidP="005E15EF">
            <w:pPr>
              <w:pStyle w:val="Tabletext"/>
              <w:keepNext/>
              <w:keepLines/>
              <w:jc w:val="center"/>
            </w:pPr>
            <w:r w:rsidRPr="007F116C">
              <w:t>840</w:t>
            </w:r>
          </w:p>
        </w:tc>
        <w:tc>
          <w:tcPr>
            <w:tcW w:w="750" w:type="pct"/>
            <w:shd w:val="clear" w:color="auto" w:fill="auto"/>
          </w:tcPr>
          <w:p w:rsidR="005E15EF" w:rsidRPr="007F116C" w:rsidRDefault="005E15EF" w:rsidP="005E15EF">
            <w:pPr>
              <w:pStyle w:val="Tabletext"/>
              <w:keepNext/>
              <w:keepLines/>
              <w:jc w:val="center"/>
            </w:pPr>
            <w:r w:rsidRPr="007F116C">
              <w:t>R, OL, 2 years</w:t>
            </w:r>
          </w:p>
        </w:tc>
        <w:tc>
          <w:tcPr>
            <w:tcW w:w="545" w:type="pct"/>
            <w:shd w:val="clear" w:color="auto" w:fill="auto"/>
            <w:vAlign w:val="center"/>
          </w:tcPr>
          <w:p w:rsidR="005E15EF" w:rsidRPr="007F116C" w:rsidRDefault="005E15EF" w:rsidP="005E15EF">
            <w:pPr>
              <w:pStyle w:val="Tabletext"/>
              <w:keepNext/>
              <w:keepLines/>
              <w:jc w:val="center"/>
            </w:pPr>
            <w:r w:rsidRPr="007F116C">
              <w:t>High</w:t>
            </w:r>
          </w:p>
        </w:tc>
        <w:tc>
          <w:tcPr>
            <w:tcW w:w="1771" w:type="pct"/>
            <w:shd w:val="clear" w:color="auto" w:fill="auto"/>
          </w:tcPr>
          <w:p w:rsidR="005E15EF" w:rsidRPr="007F116C" w:rsidRDefault="005E15EF" w:rsidP="005E15EF">
            <w:pPr>
              <w:pStyle w:val="Tabletext"/>
              <w:keepNext/>
              <w:keepLines/>
              <w:jc w:val="center"/>
            </w:pPr>
            <w:r w:rsidRPr="007F116C">
              <w:t>RRMS</w:t>
            </w:r>
          </w:p>
        </w:tc>
        <w:tc>
          <w:tcPr>
            <w:tcW w:w="751" w:type="pct"/>
            <w:vMerge/>
            <w:shd w:val="clear" w:color="auto" w:fill="auto"/>
            <w:vAlign w:val="center"/>
          </w:tcPr>
          <w:p w:rsidR="005E15EF" w:rsidRPr="007F116C" w:rsidRDefault="005E15EF" w:rsidP="005E15EF">
            <w:pPr>
              <w:pStyle w:val="Tabletext"/>
              <w:keepNext/>
              <w:keepLines/>
              <w:jc w:val="center"/>
            </w:pPr>
          </w:p>
        </w:tc>
      </w:tr>
      <w:tr w:rsidR="005E15EF" w:rsidRPr="007F116C" w:rsidTr="00B36D14">
        <w:tc>
          <w:tcPr>
            <w:tcW w:w="5000" w:type="pct"/>
            <w:gridSpan w:val="6"/>
            <w:shd w:val="clear" w:color="auto" w:fill="auto"/>
            <w:vAlign w:val="center"/>
          </w:tcPr>
          <w:p w:rsidR="005E15EF" w:rsidRPr="007F116C" w:rsidRDefault="005E15EF" w:rsidP="005E15EF">
            <w:pPr>
              <w:pStyle w:val="Tabletext"/>
              <w:keepNext/>
              <w:keepLines/>
              <w:rPr>
                <w:b/>
                <w:bCs/>
              </w:rPr>
            </w:pPr>
            <w:r w:rsidRPr="007F116C">
              <w:rPr>
                <w:b/>
                <w:bCs/>
              </w:rPr>
              <w:t>Ozanimod versus IFN</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SUNBEAM</w:t>
            </w:r>
          </w:p>
        </w:tc>
        <w:tc>
          <w:tcPr>
            <w:tcW w:w="371" w:type="pct"/>
            <w:shd w:val="clear" w:color="auto" w:fill="auto"/>
            <w:vAlign w:val="center"/>
          </w:tcPr>
          <w:p w:rsidR="005E15EF" w:rsidRPr="007F116C" w:rsidRDefault="005E15EF" w:rsidP="005E15EF">
            <w:pPr>
              <w:pStyle w:val="Tabletext"/>
              <w:keepNext/>
              <w:keepLines/>
              <w:jc w:val="center"/>
            </w:pPr>
            <w:r w:rsidRPr="007F116C">
              <w:t>1346</w:t>
            </w:r>
          </w:p>
        </w:tc>
        <w:tc>
          <w:tcPr>
            <w:tcW w:w="750" w:type="pct"/>
            <w:shd w:val="clear" w:color="auto" w:fill="auto"/>
            <w:vAlign w:val="center"/>
          </w:tcPr>
          <w:p w:rsidR="005E15EF" w:rsidRPr="007F116C" w:rsidRDefault="005E15EF" w:rsidP="005E15EF">
            <w:pPr>
              <w:pStyle w:val="Tabletext"/>
              <w:keepNext/>
              <w:keepLines/>
              <w:jc w:val="center"/>
            </w:pPr>
            <w:r w:rsidRPr="007F116C">
              <w:t>R, DB ≥ 12 months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RMS</w:t>
            </w:r>
          </w:p>
        </w:tc>
        <w:tc>
          <w:tcPr>
            <w:tcW w:w="751" w:type="pct"/>
            <w:vMerge w:val="restart"/>
            <w:shd w:val="clear" w:color="auto" w:fill="auto"/>
            <w:vAlign w:val="center"/>
          </w:tcPr>
          <w:p w:rsidR="005E15EF" w:rsidRPr="007F116C" w:rsidRDefault="005E15EF" w:rsidP="005E15EF">
            <w:pPr>
              <w:pStyle w:val="Tabletext"/>
              <w:keepNext/>
              <w:keepLines/>
              <w:jc w:val="center"/>
            </w:pPr>
            <w:r w:rsidRPr="007F116C">
              <w:t>ARR, 3/6 month CDP, proportion relapse free</w:t>
            </w:r>
          </w:p>
        </w:tc>
      </w:tr>
      <w:tr w:rsidR="005E15EF" w:rsidRPr="007F116C" w:rsidTr="00B36D14">
        <w:tc>
          <w:tcPr>
            <w:tcW w:w="812" w:type="pct"/>
            <w:shd w:val="clear" w:color="auto" w:fill="auto"/>
            <w:vAlign w:val="center"/>
          </w:tcPr>
          <w:p w:rsidR="005E15EF" w:rsidRPr="007F116C" w:rsidRDefault="005E15EF" w:rsidP="005E15EF">
            <w:pPr>
              <w:pStyle w:val="Tabletext"/>
              <w:keepNext/>
              <w:keepLines/>
            </w:pPr>
            <w:r w:rsidRPr="007F116C">
              <w:t>RADIANCE</w:t>
            </w:r>
          </w:p>
        </w:tc>
        <w:tc>
          <w:tcPr>
            <w:tcW w:w="371" w:type="pct"/>
            <w:shd w:val="clear" w:color="auto" w:fill="auto"/>
            <w:vAlign w:val="center"/>
          </w:tcPr>
          <w:p w:rsidR="005E15EF" w:rsidRPr="007F116C" w:rsidRDefault="005E15EF" w:rsidP="005E15EF">
            <w:pPr>
              <w:pStyle w:val="Tabletext"/>
              <w:keepNext/>
              <w:keepLines/>
              <w:jc w:val="center"/>
            </w:pPr>
            <w:r w:rsidRPr="007F116C">
              <w:t>1313</w:t>
            </w:r>
          </w:p>
        </w:tc>
        <w:tc>
          <w:tcPr>
            <w:tcW w:w="750" w:type="pct"/>
            <w:shd w:val="clear" w:color="auto" w:fill="auto"/>
            <w:vAlign w:val="center"/>
          </w:tcPr>
          <w:p w:rsidR="005E15EF" w:rsidRPr="007F116C" w:rsidRDefault="005E15EF" w:rsidP="005E15EF">
            <w:pPr>
              <w:pStyle w:val="Tabletext"/>
              <w:keepNext/>
              <w:keepLines/>
              <w:jc w:val="center"/>
            </w:pPr>
            <w:r w:rsidRPr="007F116C">
              <w:t>R, DB, 24 months</w:t>
            </w:r>
          </w:p>
        </w:tc>
        <w:tc>
          <w:tcPr>
            <w:tcW w:w="545" w:type="pct"/>
            <w:shd w:val="clear" w:color="auto" w:fill="auto"/>
            <w:vAlign w:val="center"/>
          </w:tcPr>
          <w:p w:rsidR="005E15EF" w:rsidRPr="007F116C" w:rsidRDefault="005E15EF" w:rsidP="005E15EF">
            <w:pPr>
              <w:pStyle w:val="Tabletext"/>
              <w:keepNext/>
              <w:keepLines/>
              <w:jc w:val="center"/>
            </w:pPr>
            <w:r w:rsidRPr="007F116C">
              <w:t>Low</w:t>
            </w:r>
          </w:p>
        </w:tc>
        <w:tc>
          <w:tcPr>
            <w:tcW w:w="1771" w:type="pct"/>
            <w:shd w:val="clear" w:color="auto" w:fill="auto"/>
            <w:vAlign w:val="center"/>
          </w:tcPr>
          <w:p w:rsidR="005E15EF" w:rsidRPr="007F116C" w:rsidRDefault="005E15EF" w:rsidP="005E15EF">
            <w:pPr>
              <w:pStyle w:val="Tabletext"/>
              <w:keepNext/>
              <w:keepLines/>
              <w:jc w:val="center"/>
            </w:pPr>
            <w:r w:rsidRPr="007F116C">
              <w:t>RMS</w:t>
            </w:r>
          </w:p>
        </w:tc>
        <w:tc>
          <w:tcPr>
            <w:tcW w:w="751" w:type="pct"/>
            <w:vMerge/>
            <w:shd w:val="clear" w:color="auto" w:fill="auto"/>
            <w:vAlign w:val="center"/>
          </w:tcPr>
          <w:p w:rsidR="005E15EF" w:rsidRPr="007F116C" w:rsidRDefault="005E15EF" w:rsidP="005E15EF">
            <w:pPr>
              <w:pStyle w:val="Tabletext"/>
              <w:keepNext/>
              <w:keepLines/>
              <w:jc w:val="center"/>
            </w:pPr>
          </w:p>
        </w:tc>
      </w:tr>
    </w:tbl>
    <w:p w:rsidR="005E15EF" w:rsidRPr="007F116C" w:rsidRDefault="005E15EF" w:rsidP="005E15EF">
      <w:pPr>
        <w:pStyle w:val="TableFooter"/>
      </w:pPr>
      <w:r w:rsidRPr="007F116C">
        <w:t>Source: Table 4.1, p25 of Technical document 5</w:t>
      </w:r>
      <w:r w:rsidR="007F116C">
        <w:t xml:space="preserve">. </w:t>
      </w:r>
      <w:r w:rsidRPr="007F116C">
        <w:t xml:space="preserve">GA = glatiramer acetate; IFN = interferon; MS = multiple sclerosis; NR = not reported; OL = open label; PPMS = primary progressive multiple sclerosis; PRMS = progressive-relapsing multiple sclerosis; R = randomised; RMS = relapsing multiple sclerosis; RRMS = relapsing-remitting multiple sclerosis; SPMS = secondary progressive multiple sclerosis </w:t>
      </w:r>
    </w:p>
    <w:p w:rsidR="00C93597" w:rsidRPr="007F116C" w:rsidRDefault="00C93597" w:rsidP="005E15EF">
      <w:pPr>
        <w:pStyle w:val="TableFooter"/>
        <w:rPr>
          <w:sz w:val="20"/>
        </w:rPr>
      </w:pPr>
      <w:r w:rsidRPr="007F116C">
        <w:t>*the ASCLEPIOS I/II trials and the submission called this confirmed disability worsening (CDW)</w:t>
      </w:r>
    </w:p>
    <w:p w:rsidR="005E15EF" w:rsidRPr="007F116C" w:rsidRDefault="005E15EF" w:rsidP="005E15EF">
      <w:pPr>
        <w:widowControl/>
      </w:pPr>
    </w:p>
    <w:p w:rsidR="005E15EF" w:rsidRPr="007F116C" w:rsidRDefault="005E15EF" w:rsidP="005E15EF">
      <w:pPr>
        <w:pStyle w:val="ListParagraph"/>
        <w:widowControl/>
        <w:numPr>
          <w:ilvl w:val="1"/>
          <w:numId w:val="2"/>
        </w:numPr>
        <w:rPr>
          <w:iCs/>
          <w:color w:val="000000" w:themeColor="text1"/>
        </w:rPr>
      </w:pPr>
      <w:r w:rsidRPr="007F116C">
        <w:rPr>
          <w:iCs/>
          <w:color w:val="000000" w:themeColor="text1"/>
        </w:rPr>
        <w:t>Overall, the risk of bias of the comparator trials varied greatly. The TEMSO trial comparing teriflunomide to placebo had low risks of selection and performance bias (adequate randomisation, and allocation concealment) but had high risk of detection bias (</w:t>
      </w:r>
      <w:r w:rsidR="00325DD7" w:rsidRPr="007F116C">
        <w:rPr>
          <w:iCs/>
          <w:color w:val="000000" w:themeColor="text1"/>
        </w:rPr>
        <w:t xml:space="preserve">as </w:t>
      </w:r>
      <w:r w:rsidRPr="007F116C">
        <w:rPr>
          <w:iCs/>
          <w:color w:val="000000" w:themeColor="text1"/>
        </w:rPr>
        <w:t xml:space="preserve">relapse outcomes identified by </w:t>
      </w:r>
      <w:r w:rsidR="00325DD7" w:rsidRPr="007F116C">
        <w:rPr>
          <w:iCs/>
          <w:color w:val="000000" w:themeColor="text1"/>
        </w:rPr>
        <w:t xml:space="preserve">a </w:t>
      </w:r>
      <w:r w:rsidRPr="007F116C">
        <w:rPr>
          <w:iCs/>
          <w:color w:val="000000" w:themeColor="text1"/>
        </w:rPr>
        <w:t xml:space="preserve">blinded assessor </w:t>
      </w:r>
      <w:r w:rsidR="00325DD7" w:rsidRPr="007F116C">
        <w:rPr>
          <w:iCs/>
          <w:color w:val="000000" w:themeColor="text1"/>
        </w:rPr>
        <w:t xml:space="preserve">had </w:t>
      </w:r>
      <w:r w:rsidRPr="007F116C">
        <w:rPr>
          <w:iCs/>
          <w:color w:val="000000" w:themeColor="text1"/>
        </w:rPr>
        <w:t>to be confirmed by unblinded treating neurologist</w:t>
      </w:r>
      <w:r w:rsidR="00DE40C3" w:rsidRPr="007F116C">
        <w:rPr>
          <w:iCs/>
          <w:color w:val="000000" w:themeColor="text1"/>
        </w:rPr>
        <w:t xml:space="preserve">, </w:t>
      </w:r>
      <w:r w:rsidR="00325DD7" w:rsidRPr="007F116C">
        <w:rPr>
          <w:iCs/>
          <w:color w:val="000000" w:themeColor="text1"/>
        </w:rPr>
        <w:t xml:space="preserve">meaning that the assessment was </w:t>
      </w:r>
      <w:r w:rsidR="00DE40C3" w:rsidRPr="007F116C">
        <w:rPr>
          <w:iCs/>
          <w:color w:val="000000" w:themeColor="text1"/>
        </w:rPr>
        <w:t>effectively unblinded</w:t>
      </w:r>
      <w:r w:rsidRPr="007F116C">
        <w:rPr>
          <w:iCs/>
          <w:color w:val="000000" w:themeColor="text1"/>
        </w:rPr>
        <w:t xml:space="preserve">), had unknown risk of attrition bias, high risk of reporting bias and high risk of other biases. The TOWER trial had a similar assessment of risk of bias except it had an unknown risk of detection bias, a high risk of attrition bias and a low risk of reporting bias. </w:t>
      </w:r>
    </w:p>
    <w:p w:rsidR="005E15EF" w:rsidRPr="007F116C" w:rsidRDefault="005E15EF" w:rsidP="005E15EF">
      <w:pPr>
        <w:pStyle w:val="ListParagraph"/>
        <w:widowControl/>
        <w:numPr>
          <w:ilvl w:val="1"/>
          <w:numId w:val="2"/>
        </w:numPr>
        <w:rPr>
          <w:iCs/>
          <w:color w:val="000000" w:themeColor="text1"/>
        </w:rPr>
      </w:pPr>
      <w:r w:rsidRPr="007F116C">
        <w:rPr>
          <w:iCs/>
          <w:color w:val="000000" w:themeColor="text1"/>
        </w:rPr>
        <w:t xml:space="preserve">Given that TEMSO and TOWER were critical in the submission’s multi-step indirect comparison (serving as a bridging comparator from teriflunomide to placebo, to allow comparisons with ocrelizumab, fingolimod, cladribine and natalizumab) a high risk of bias in these trials </w:t>
      </w:r>
      <w:r w:rsidR="0081490C" w:rsidRPr="007F116C">
        <w:rPr>
          <w:iCs/>
          <w:color w:val="000000" w:themeColor="text1"/>
        </w:rPr>
        <w:t xml:space="preserve">may limit </w:t>
      </w:r>
      <w:r w:rsidRPr="007F116C">
        <w:rPr>
          <w:iCs/>
          <w:color w:val="000000" w:themeColor="text1"/>
        </w:rPr>
        <w:t>the interpretability of the submission’s indirect comparison</w:t>
      </w:r>
      <w:r w:rsidR="008C0389" w:rsidRPr="007F116C">
        <w:rPr>
          <w:iCs/>
          <w:color w:val="000000" w:themeColor="text1"/>
        </w:rPr>
        <w:t>s</w:t>
      </w:r>
      <w:r w:rsidRPr="007F116C">
        <w:rPr>
          <w:iCs/>
          <w:color w:val="000000" w:themeColor="text1"/>
        </w:rPr>
        <w:t>.</w:t>
      </w:r>
    </w:p>
    <w:p w:rsidR="005E15EF" w:rsidRPr="007F116C" w:rsidRDefault="005E15EF" w:rsidP="005E15EF">
      <w:pPr>
        <w:pStyle w:val="ListParagraph"/>
        <w:widowControl/>
        <w:numPr>
          <w:ilvl w:val="1"/>
          <w:numId w:val="2"/>
        </w:numPr>
        <w:rPr>
          <w:iCs/>
          <w:color w:val="000000" w:themeColor="text1"/>
        </w:rPr>
      </w:pPr>
      <w:r w:rsidRPr="007F116C">
        <w:rPr>
          <w:iCs/>
          <w:color w:val="000000" w:themeColor="text1"/>
        </w:rPr>
        <w:t>The submission</w:t>
      </w:r>
      <w:r w:rsidR="00110940" w:rsidRPr="007F116C">
        <w:rPr>
          <w:iCs/>
          <w:color w:val="000000" w:themeColor="text1"/>
        </w:rPr>
        <w:t xml:space="preserve"> inappropriately</w:t>
      </w:r>
      <w:r w:rsidRPr="007F116C">
        <w:rPr>
          <w:iCs/>
          <w:color w:val="000000" w:themeColor="text1"/>
        </w:rPr>
        <w:t xml:space="preserve"> assumed that the </w:t>
      </w:r>
      <w:r w:rsidR="00110940" w:rsidRPr="007F116C">
        <w:rPr>
          <w:iCs/>
          <w:color w:val="000000" w:themeColor="text1"/>
        </w:rPr>
        <w:t>intramuscular (</w:t>
      </w:r>
      <w:r w:rsidRPr="007F116C">
        <w:rPr>
          <w:iCs/>
          <w:color w:val="000000" w:themeColor="text1"/>
        </w:rPr>
        <w:t>IM</w:t>
      </w:r>
      <w:r w:rsidR="00110940" w:rsidRPr="007F116C">
        <w:rPr>
          <w:iCs/>
          <w:color w:val="000000" w:themeColor="text1"/>
        </w:rPr>
        <w:t>)</w:t>
      </w:r>
      <w:r w:rsidRPr="007F116C">
        <w:rPr>
          <w:iCs/>
          <w:color w:val="000000" w:themeColor="text1"/>
        </w:rPr>
        <w:t xml:space="preserve"> and </w:t>
      </w:r>
      <w:r w:rsidR="00110940" w:rsidRPr="007F116C">
        <w:rPr>
          <w:iCs/>
          <w:color w:val="000000" w:themeColor="text1"/>
        </w:rPr>
        <w:t>subcutaneous (SC) forms</w:t>
      </w:r>
      <w:r w:rsidRPr="007F116C">
        <w:rPr>
          <w:iCs/>
          <w:color w:val="000000" w:themeColor="text1"/>
        </w:rPr>
        <w:t xml:space="preserve"> of interferon beta-1a were comparable and combined all </w:t>
      </w:r>
      <w:r w:rsidR="00110940" w:rsidRPr="007F116C">
        <w:rPr>
          <w:iCs/>
          <w:color w:val="000000" w:themeColor="text1"/>
        </w:rPr>
        <w:t xml:space="preserve">interferon beta-1a </w:t>
      </w:r>
      <w:r w:rsidRPr="007F116C">
        <w:rPr>
          <w:iCs/>
          <w:color w:val="000000" w:themeColor="text1"/>
        </w:rPr>
        <w:t xml:space="preserve">studies </w:t>
      </w:r>
      <w:r w:rsidR="00110940" w:rsidRPr="007F116C">
        <w:rPr>
          <w:iCs/>
          <w:color w:val="000000" w:themeColor="text1"/>
        </w:rPr>
        <w:t xml:space="preserve">irrespective of how it was administered </w:t>
      </w:r>
      <w:r w:rsidRPr="007F116C">
        <w:rPr>
          <w:iCs/>
          <w:color w:val="000000" w:themeColor="text1"/>
        </w:rPr>
        <w:t>in their indirect analysis and network meta-analysis. While it was noted that SC interferon beta-1a (tradename Rebif) was listed on the PBS based on a cost minimisation to the IM interferon beta-1a (tradename Avonex) according to the therapeutic relativity sheets, it may not have been appropriate to combine all interferon beta-1a trials without any regard for the route of administration and regimen.</w:t>
      </w:r>
      <w:r w:rsidR="00F2049B" w:rsidRPr="007F116C">
        <w:rPr>
          <w:iCs/>
          <w:color w:val="000000" w:themeColor="text1"/>
        </w:rPr>
        <w:t xml:space="preserve"> However, the comparisons against fingolimod, the reference comparator for the cost-minimisation did not rely on interferon beta 1a evidence</w:t>
      </w:r>
      <w:r w:rsidR="00325DD7" w:rsidRPr="007F116C">
        <w:rPr>
          <w:iCs/>
          <w:color w:val="000000" w:themeColor="text1"/>
        </w:rPr>
        <w:t xml:space="preserve"> in the multistep indirect comparison</w:t>
      </w:r>
      <w:r w:rsidR="00F2049B" w:rsidRPr="007F116C">
        <w:rPr>
          <w:iCs/>
          <w:color w:val="000000" w:themeColor="text1"/>
        </w:rPr>
        <w:t xml:space="preserve">. </w:t>
      </w:r>
    </w:p>
    <w:p w:rsidR="005E15EF" w:rsidRPr="007F116C" w:rsidRDefault="005E15EF" w:rsidP="0020302B">
      <w:pPr>
        <w:pStyle w:val="Heading2"/>
      </w:pPr>
      <w:bookmarkStart w:id="16" w:name="_Toc62048845"/>
      <w:r w:rsidRPr="007F116C">
        <w:t>Comparative effectiveness</w:t>
      </w:r>
      <w:bookmarkEnd w:id="16"/>
    </w:p>
    <w:p w:rsidR="005E15EF" w:rsidRPr="007F116C" w:rsidRDefault="005E15EF" w:rsidP="005E15EF"/>
    <w:p w:rsidR="005E15EF" w:rsidRPr="007F116C" w:rsidRDefault="00522713" w:rsidP="005E15EF">
      <w:pPr>
        <w:pStyle w:val="ListParagraph"/>
        <w:widowControl/>
        <w:numPr>
          <w:ilvl w:val="1"/>
          <w:numId w:val="2"/>
        </w:numPr>
      </w:pPr>
      <w:r w:rsidRPr="007F116C">
        <w:t>Table 4</w:t>
      </w:r>
      <w:r w:rsidR="005E15EF" w:rsidRPr="007F116C">
        <w:t xml:space="preserve"> presents the results of </w:t>
      </w:r>
      <w:r w:rsidR="007E4534" w:rsidRPr="007F116C">
        <w:t>annualised relapse rate (ARR)</w:t>
      </w:r>
      <w:r w:rsidR="005E15EF" w:rsidRPr="007F116C">
        <w:t xml:space="preserve"> in the ASCLEPIOS I and II trials. </w:t>
      </w:r>
    </w:p>
    <w:p w:rsidR="005E15EF" w:rsidRPr="007F116C" w:rsidRDefault="005E15EF" w:rsidP="00110940">
      <w:pPr>
        <w:keepNext/>
        <w:keepLines/>
        <w:rPr>
          <w:rStyle w:val="CommentReference"/>
        </w:rPr>
      </w:pPr>
      <w:bookmarkStart w:id="17" w:name="_Ref60995757"/>
      <w:r w:rsidRPr="007F116C">
        <w:rPr>
          <w:rStyle w:val="CommentReference"/>
        </w:rPr>
        <w:t xml:space="preserve">Table </w:t>
      </w:r>
      <w:r w:rsidR="00522713" w:rsidRPr="007F116C">
        <w:rPr>
          <w:rStyle w:val="CommentReference"/>
        </w:rPr>
        <w:t>4</w:t>
      </w:r>
      <w:bookmarkEnd w:id="17"/>
      <w:r w:rsidRPr="007F116C">
        <w:rPr>
          <w:rStyle w:val="CommentReference"/>
        </w:rPr>
        <w:t>: Results of annualised relapse rates in ASCLEPIOS I &amp; II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309"/>
        <w:gridCol w:w="2179"/>
        <w:gridCol w:w="1439"/>
        <w:gridCol w:w="1711"/>
        <w:gridCol w:w="831"/>
      </w:tblGrid>
      <w:tr w:rsidR="005E15EF" w:rsidRPr="007F116C" w:rsidTr="00905948">
        <w:tc>
          <w:tcPr>
            <w:tcW w:w="858" w:type="pct"/>
            <w:hideMark/>
          </w:tcPr>
          <w:p w:rsidR="005E15EF" w:rsidRPr="007F116C" w:rsidRDefault="005E15EF" w:rsidP="00110940">
            <w:pPr>
              <w:pStyle w:val="Tabletext"/>
              <w:keepNext/>
              <w:keepLines/>
              <w:rPr>
                <w:b/>
                <w:bCs/>
              </w:rPr>
            </w:pPr>
            <w:r w:rsidRPr="007F116C">
              <w:rPr>
                <w:b/>
                <w:bCs/>
              </w:rPr>
              <w:t>Treatment</w:t>
            </w:r>
          </w:p>
        </w:tc>
        <w:tc>
          <w:tcPr>
            <w:tcW w:w="726" w:type="pct"/>
            <w:hideMark/>
          </w:tcPr>
          <w:p w:rsidR="005E15EF" w:rsidRPr="007F116C" w:rsidRDefault="005E15EF" w:rsidP="00110940">
            <w:pPr>
              <w:pStyle w:val="Tabletext"/>
              <w:keepNext/>
              <w:keepLines/>
              <w:jc w:val="center"/>
              <w:rPr>
                <w:b/>
                <w:bCs/>
              </w:rPr>
            </w:pPr>
            <w:r w:rsidRPr="007F116C">
              <w:rPr>
                <w:b/>
                <w:bCs/>
              </w:rPr>
              <w:t>N</w:t>
            </w:r>
          </w:p>
        </w:tc>
        <w:tc>
          <w:tcPr>
            <w:tcW w:w="1208" w:type="pct"/>
            <w:hideMark/>
          </w:tcPr>
          <w:p w:rsidR="005E15EF" w:rsidRPr="007F116C" w:rsidRDefault="005E15EF" w:rsidP="00110940">
            <w:pPr>
              <w:pStyle w:val="Tabletext"/>
              <w:keepNext/>
              <w:keepLines/>
              <w:jc w:val="center"/>
              <w:rPr>
                <w:b/>
                <w:bCs/>
              </w:rPr>
            </w:pPr>
            <w:r w:rsidRPr="007F116C">
              <w:rPr>
                <w:b/>
                <w:bCs/>
              </w:rPr>
              <w:t>Adjusted ARR</w:t>
            </w:r>
          </w:p>
          <w:p w:rsidR="005E15EF" w:rsidRPr="007F116C" w:rsidRDefault="005E15EF" w:rsidP="00110940">
            <w:pPr>
              <w:pStyle w:val="Tabletext"/>
              <w:keepNext/>
              <w:keepLines/>
              <w:jc w:val="center"/>
              <w:rPr>
                <w:b/>
                <w:bCs/>
              </w:rPr>
            </w:pPr>
            <w:r w:rsidRPr="007F116C">
              <w:rPr>
                <w:b/>
                <w:bCs/>
              </w:rPr>
              <w:t>(95%CI)</w:t>
            </w:r>
            <w:r w:rsidRPr="007F116C">
              <w:rPr>
                <w:b/>
                <w:bCs/>
                <w:vertAlign w:val="superscript"/>
              </w:rPr>
              <w:t>a</w:t>
            </w:r>
          </w:p>
        </w:tc>
        <w:tc>
          <w:tcPr>
            <w:tcW w:w="798" w:type="pct"/>
            <w:hideMark/>
          </w:tcPr>
          <w:p w:rsidR="005E15EF" w:rsidRPr="007F116C" w:rsidRDefault="005E15EF" w:rsidP="00110940">
            <w:pPr>
              <w:pStyle w:val="Tabletext"/>
              <w:keepNext/>
              <w:keepLines/>
              <w:jc w:val="center"/>
              <w:rPr>
                <w:b/>
                <w:bCs/>
              </w:rPr>
            </w:pPr>
            <w:r w:rsidRPr="007F116C">
              <w:rPr>
                <w:b/>
                <w:bCs/>
              </w:rPr>
              <w:t>Rate reduction</w:t>
            </w:r>
          </w:p>
        </w:tc>
        <w:tc>
          <w:tcPr>
            <w:tcW w:w="949" w:type="pct"/>
            <w:hideMark/>
          </w:tcPr>
          <w:p w:rsidR="005E15EF" w:rsidRPr="007F116C" w:rsidRDefault="005E15EF" w:rsidP="00110940">
            <w:pPr>
              <w:pStyle w:val="Tabletext"/>
              <w:keepNext/>
              <w:keepLines/>
              <w:jc w:val="center"/>
              <w:rPr>
                <w:b/>
                <w:bCs/>
              </w:rPr>
            </w:pPr>
            <w:r w:rsidRPr="007F116C">
              <w:rPr>
                <w:b/>
                <w:bCs/>
              </w:rPr>
              <w:t>ARR ratio (95%CI)</w:t>
            </w:r>
            <w:r w:rsidRPr="007F116C">
              <w:rPr>
                <w:b/>
                <w:bCs/>
                <w:vertAlign w:val="superscript"/>
              </w:rPr>
              <w:t>a</w:t>
            </w:r>
          </w:p>
        </w:tc>
        <w:tc>
          <w:tcPr>
            <w:tcW w:w="461" w:type="pct"/>
            <w:hideMark/>
          </w:tcPr>
          <w:p w:rsidR="005E15EF" w:rsidRPr="007F116C" w:rsidRDefault="005E15EF" w:rsidP="00110940">
            <w:pPr>
              <w:pStyle w:val="Tabletext"/>
              <w:keepNext/>
              <w:keepLines/>
              <w:jc w:val="center"/>
              <w:rPr>
                <w:b/>
                <w:bCs/>
              </w:rPr>
            </w:pPr>
            <w:r w:rsidRPr="007F116C">
              <w:rPr>
                <w:b/>
                <w:bCs/>
              </w:rPr>
              <w:t>P value</w:t>
            </w:r>
          </w:p>
        </w:tc>
      </w:tr>
      <w:tr w:rsidR="005E15EF" w:rsidRPr="007F116C" w:rsidTr="00905948">
        <w:tc>
          <w:tcPr>
            <w:tcW w:w="5000" w:type="pct"/>
            <w:gridSpan w:val="6"/>
          </w:tcPr>
          <w:p w:rsidR="005E15EF" w:rsidRPr="007F116C" w:rsidRDefault="005E15EF" w:rsidP="00110940">
            <w:pPr>
              <w:pStyle w:val="Tabletext"/>
              <w:keepNext/>
              <w:keepLines/>
            </w:pPr>
            <w:r w:rsidRPr="007F116C">
              <w:rPr>
                <w:b/>
              </w:rPr>
              <w:t>ASCLEPIOS I</w:t>
            </w:r>
          </w:p>
        </w:tc>
      </w:tr>
      <w:tr w:rsidR="005E15EF" w:rsidRPr="007F116C" w:rsidTr="00905948">
        <w:tc>
          <w:tcPr>
            <w:tcW w:w="858" w:type="pct"/>
            <w:hideMark/>
          </w:tcPr>
          <w:p w:rsidR="005E15EF" w:rsidRPr="007F116C" w:rsidRDefault="005E15EF" w:rsidP="00110940">
            <w:pPr>
              <w:pStyle w:val="Tabletext"/>
              <w:keepNext/>
              <w:keepLines/>
            </w:pPr>
            <w:r w:rsidRPr="007F116C">
              <w:t>ofatumumab</w:t>
            </w:r>
          </w:p>
        </w:tc>
        <w:tc>
          <w:tcPr>
            <w:tcW w:w="726" w:type="pct"/>
            <w:hideMark/>
          </w:tcPr>
          <w:p w:rsidR="005E15EF" w:rsidRPr="007F116C" w:rsidRDefault="005E15EF" w:rsidP="00110940">
            <w:pPr>
              <w:pStyle w:val="Tabletext"/>
              <w:keepNext/>
              <w:keepLines/>
              <w:jc w:val="center"/>
            </w:pPr>
            <w:r w:rsidRPr="007F116C">
              <w:t>454</w:t>
            </w:r>
          </w:p>
        </w:tc>
        <w:tc>
          <w:tcPr>
            <w:tcW w:w="1208" w:type="pct"/>
            <w:hideMark/>
          </w:tcPr>
          <w:p w:rsidR="005E15EF" w:rsidRPr="007F116C" w:rsidRDefault="005E15EF" w:rsidP="00110940">
            <w:pPr>
              <w:pStyle w:val="Tabletext"/>
              <w:keepNext/>
              <w:keepLines/>
              <w:jc w:val="center"/>
            </w:pPr>
            <w:r w:rsidRPr="007F116C">
              <w:t>0.11 (0.09,0.14)</w:t>
            </w:r>
          </w:p>
        </w:tc>
        <w:tc>
          <w:tcPr>
            <w:tcW w:w="798" w:type="pct"/>
            <w:vMerge w:val="restart"/>
            <w:vAlign w:val="center"/>
            <w:hideMark/>
          </w:tcPr>
          <w:p w:rsidR="005E15EF" w:rsidRPr="007F116C" w:rsidRDefault="005E15EF" w:rsidP="00110940">
            <w:pPr>
              <w:pStyle w:val="Tabletext"/>
              <w:keepNext/>
              <w:keepLines/>
              <w:jc w:val="center"/>
            </w:pPr>
            <w:r w:rsidRPr="007F116C">
              <w:t>50.5%</w:t>
            </w:r>
          </w:p>
        </w:tc>
        <w:tc>
          <w:tcPr>
            <w:tcW w:w="949" w:type="pct"/>
            <w:vMerge w:val="restart"/>
            <w:hideMark/>
          </w:tcPr>
          <w:p w:rsidR="005E15EF" w:rsidRPr="007F116C" w:rsidRDefault="005E15EF" w:rsidP="00110940">
            <w:pPr>
              <w:pStyle w:val="Tabletext"/>
              <w:keepNext/>
              <w:keepLines/>
              <w:jc w:val="center"/>
              <w:rPr>
                <w:b/>
              </w:rPr>
            </w:pPr>
            <w:r w:rsidRPr="007F116C">
              <w:rPr>
                <w:b/>
              </w:rPr>
              <w:t>0.495</w:t>
            </w:r>
          </w:p>
          <w:p w:rsidR="005E15EF" w:rsidRPr="007F116C" w:rsidRDefault="005E15EF" w:rsidP="00110940">
            <w:pPr>
              <w:pStyle w:val="Tabletext"/>
              <w:keepNext/>
              <w:keepLines/>
              <w:jc w:val="center"/>
            </w:pPr>
            <w:r w:rsidRPr="007F116C">
              <w:rPr>
                <w:b/>
              </w:rPr>
              <w:t>(0.374, 0.654)</w:t>
            </w:r>
          </w:p>
        </w:tc>
        <w:tc>
          <w:tcPr>
            <w:tcW w:w="461" w:type="pct"/>
            <w:vMerge w:val="restart"/>
            <w:hideMark/>
          </w:tcPr>
          <w:p w:rsidR="005E15EF" w:rsidRPr="007F116C" w:rsidRDefault="005E15EF" w:rsidP="00110940">
            <w:pPr>
              <w:pStyle w:val="Tabletext"/>
              <w:keepNext/>
              <w:keepLines/>
              <w:jc w:val="center"/>
            </w:pPr>
            <w:r w:rsidRPr="007F116C">
              <w:t>&lt;0.001</w:t>
            </w:r>
          </w:p>
        </w:tc>
      </w:tr>
      <w:tr w:rsidR="005E15EF" w:rsidRPr="007F116C" w:rsidTr="00905948">
        <w:trPr>
          <w:trHeight w:val="47"/>
        </w:trPr>
        <w:tc>
          <w:tcPr>
            <w:tcW w:w="858" w:type="pct"/>
            <w:hideMark/>
          </w:tcPr>
          <w:p w:rsidR="005E15EF" w:rsidRPr="007F116C" w:rsidRDefault="005E15EF" w:rsidP="00110940">
            <w:pPr>
              <w:pStyle w:val="Tabletext"/>
              <w:keepNext/>
              <w:keepLines/>
            </w:pPr>
            <w:r w:rsidRPr="007F116C">
              <w:t>teriflunomide</w:t>
            </w:r>
          </w:p>
        </w:tc>
        <w:tc>
          <w:tcPr>
            <w:tcW w:w="726" w:type="pct"/>
            <w:hideMark/>
          </w:tcPr>
          <w:p w:rsidR="005E15EF" w:rsidRPr="007F116C" w:rsidRDefault="005E15EF" w:rsidP="00110940">
            <w:pPr>
              <w:pStyle w:val="Tabletext"/>
              <w:keepNext/>
              <w:keepLines/>
              <w:jc w:val="center"/>
            </w:pPr>
            <w:r w:rsidRPr="007F116C">
              <w:t>452</w:t>
            </w:r>
          </w:p>
        </w:tc>
        <w:tc>
          <w:tcPr>
            <w:tcW w:w="1208" w:type="pct"/>
            <w:hideMark/>
          </w:tcPr>
          <w:p w:rsidR="005E15EF" w:rsidRPr="007F116C" w:rsidRDefault="005E15EF" w:rsidP="00110940">
            <w:pPr>
              <w:pStyle w:val="Tabletext"/>
              <w:keepNext/>
              <w:keepLines/>
              <w:jc w:val="center"/>
            </w:pPr>
            <w:r w:rsidRPr="007F116C">
              <w:t>0.22 (0.18,0.26)</w:t>
            </w:r>
          </w:p>
        </w:tc>
        <w:tc>
          <w:tcPr>
            <w:tcW w:w="798" w:type="pct"/>
            <w:vMerge/>
          </w:tcPr>
          <w:p w:rsidR="005E15EF" w:rsidRPr="007F116C" w:rsidRDefault="005E15EF" w:rsidP="00110940">
            <w:pPr>
              <w:pStyle w:val="Tabletext"/>
              <w:keepNext/>
              <w:keepLines/>
              <w:jc w:val="center"/>
            </w:pPr>
          </w:p>
        </w:tc>
        <w:tc>
          <w:tcPr>
            <w:tcW w:w="949" w:type="pct"/>
            <w:vMerge/>
          </w:tcPr>
          <w:p w:rsidR="005E15EF" w:rsidRPr="007F116C" w:rsidRDefault="005E15EF" w:rsidP="00110940">
            <w:pPr>
              <w:pStyle w:val="Tabletext"/>
              <w:keepNext/>
              <w:keepLines/>
              <w:jc w:val="center"/>
            </w:pPr>
          </w:p>
        </w:tc>
        <w:tc>
          <w:tcPr>
            <w:tcW w:w="461" w:type="pct"/>
            <w:vMerge/>
          </w:tcPr>
          <w:p w:rsidR="005E15EF" w:rsidRPr="007F116C" w:rsidRDefault="005E15EF" w:rsidP="00110940">
            <w:pPr>
              <w:pStyle w:val="Tabletext"/>
              <w:keepNext/>
              <w:keepLines/>
              <w:jc w:val="center"/>
            </w:pPr>
          </w:p>
        </w:tc>
      </w:tr>
      <w:tr w:rsidR="005E15EF" w:rsidRPr="007F116C" w:rsidTr="00905948">
        <w:tc>
          <w:tcPr>
            <w:tcW w:w="5000" w:type="pct"/>
            <w:gridSpan w:val="6"/>
          </w:tcPr>
          <w:p w:rsidR="005E15EF" w:rsidRPr="007F116C" w:rsidRDefault="005E15EF" w:rsidP="00110940">
            <w:pPr>
              <w:pStyle w:val="Tabletext"/>
              <w:keepNext/>
              <w:keepLines/>
            </w:pPr>
            <w:r w:rsidRPr="007F116C">
              <w:rPr>
                <w:b/>
              </w:rPr>
              <w:t>ASCLEPIOS II</w:t>
            </w:r>
          </w:p>
        </w:tc>
      </w:tr>
      <w:tr w:rsidR="005E15EF" w:rsidRPr="007F116C" w:rsidTr="00905948">
        <w:tc>
          <w:tcPr>
            <w:tcW w:w="858" w:type="pct"/>
          </w:tcPr>
          <w:p w:rsidR="005E15EF" w:rsidRPr="007F116C" w:rsidRDefault="005E15EF" w:rsidP="00110940">
            <w:pPr>
              <w:pStyle w:val="Tabletext"/>
              <w:keepNext/>
              <w:keepLines/>
            </w:pPr>
            <w:r w:rsidRPr="007F116C">
              <w:t>ofatumumab</w:t>
            </w:r>
          </w:p>
        </w:tc>
        <w:tc>
          <w:tcPr>
            <w:tcW w:w="726" w:type="pct"/>
          </w:tcPr>
          <w:p w:rsidR="005E15EF" w:rsidRPr="007F116C" w:rsidRDefault="005E15EF" w:rsidP="00110940">
            <w:pPr>
              <w:pStyle w:val="Tabletext"/>
              <w:keepNext/>
              <w:keepLines/>
              <w:jc w:val="center"/>
            </w:pPr>
            <w:r w:rsidRPr="007F116C">
              <w:t>469</w:t>
            </w:r>
          </w:p>
        </w:tc>
        <w:tc>
          <w:tcPr>
            <w:tcW w:w="1208" w:type="pct"/>
          </w:tcPr>
          <w:p w:rsidR="005E15EF" w:rsidRPr="007F116C" w:rsidRDefault="005E15EF" w:rsidP="00110940">
            <w:pPr>
              <w:pStyle w:val="Tabletext"/>
              <w:keepNext/>
              <w:keepLines/>
              <w:jc w:val="center"/>
            </w:pPr>
            <w:r w:rsidRPr="007F116C">
              <w:t>0.11 (0.08,0.13)</w:t>
            </w:r>
          </w:p>
        </w:tc>
        <w:tc>
          <w:tcPr>
            <w:tcW w:w="798" w:type="pct"/>
            <w:vMerge w:val="restart"/>
            <w:vAlign w:val="center"/>
          </w:tcPr>
          <w:p w:rsidR="005E15EF" w:rsidRPr="007F116C" w:rsidRDefault="005E15EF" w:rsidP="00110940">
            <w:pPr>
              <w:pStyle w:val="Tabletext"/>
              <w:keepNext/>
              <w:keepLines/>
              <w:jc w:val="center"/>
            </w:pPr>
            <w:r w:rsidRPr="007F116C">
              <w:t>58.5%</w:t>
            </w:r>
          </w:p>
        </w:tc>
        <w:tc>
          <w:tcPr>
            <w:tcW w:w="949" w:type="pct"/>
            <w:vMerge w:val="restart"/>
          </w:tcPr>
          <w:p w:rsidR="005E15EF" w:rsidRPr="007F116C" w:rsidRDefault="005E15EF" w:rsidP="00110940">
            <w:pPr>
              <w:pStyle w:val="Tabletext"/>
              <w:keepNext/>
              <w:keepLines/>
              <w:jc w:val="center"/>
              <w:rPr>
                <w:b/>
              </w:rPr>
            </w:pPr>
            <w:r w:rsidRPr="007F116C">
              <w:rPr>
                <w:b/>
              </w:rPr>
              <w:t>0.415</w:t>
            </w:r>
          </w:p>
          <w:p w:rsidR="005E15EF" w:rsidRPr="007F116C" w:rsidRDefault="005E15EF" w:rsidP="00110940">
            <w:pPr>
              <w:pStyle w:val="Tabletext"/>
              <w:keepNext/>
              <w:keepLines/>
              <w:jc w:val="center"/>
            </w:pPr>
            <w:r w:rsidRPr="007F116C">
              <w:rPr>
                <w:b/>
              </w:rPr>
              <w:t>(0.308, 0.559)</w:t>
            </w:r>
          </w:p>
        </w:tc>
        <w:tc>
          <w:tcPr>
            <w:tcW w:w="461" w:type="pct"/>
            <w:vMerge w:val="restart"/>
          </w:tcPr>
          <w:p w:rsidR="005E15EF" w:rsidRPr="007F116C" w:rsidRDefault="005E15EF" w:rsidP="00110940">
            <w:pPr>
              <w:pStyle w:val="Tabletext"/>
              <w:keepNext/>
              <w:keepLines/>
              <w:jc w:val="center"/>
            </w:pPr>
            <w:r w:rsidRPr="007F116C">
              <w:t>&lt;0.001</w:t>
            </w:r>
          </w:p>
        </w:tc>
      </w:tr>
      <w:tr w:rsidR="005E15EF" w:rsidRPr="007F116C" w:rsidTr="00905948">
        <w:tc>
          <w:tcPr>
            <w:tcW w:w="858" w:type="pct"/>
          </w:tcPr>
          <w:p w:rsidR="005E15EF" w:rsidRPr="007F116C" w:rsidRDefault="005E15EF" w:rsidP="00110940">
            <w:pPr>
              <w:pStyle w:val="Tabletext"/>
              <w:keepNext/>
              <w:keepLines/>
            </w:pPr>
            <w:r w:rsidRPr="007F116C">
              <w:t>teriflunomide</w:t>
            </w:r>
          </w:p>
        </w:tc>
        <w:tc>
          <w:tcPr>
            <w:tcW w:w="726" w:type="pct"/>
          </w:tcPr>
          <w:p w:rsidR="005E15EF" w:rsidRPr="007F116C" w:rsidRDefault="005E15EF" w:rsidP="00110940">
            <w:pPr>
              <w:pStyle w:val="Tabletext"/>
              <w:keepNext/>
              <w:keepLines/>
              <w:jc w:val="center"/>
            </w:pPr>
            <w:r w:rsidRPr="007F116C">
              <w:t>469</w:t>
            </w:r>
          </w:p>
        </w:tc>
        <w:tc>
          <w:tcPr>
            <w:tcW w:w="1208" w:type="pct"/>
          </w:tcPr>
          <w:p w:rsidR="005E15EF" w:rsidRPr="007F116C" w:rsidRDefault="005E15EF" w:rsidP="00110940">
            <w:pPr>
              <w:pStyle w:val="Tabletext"/>
              <w:keepNext/>
              <w:keepLines/>
              <w:jc w:val="center"/>
            </w:pPr>
            <w:r w:rsidRPr="007F116C">
              <w:t>0.25 (0.21,0.30)</w:t>
            </w:r>
          </w:p>
        </w:tc>
        <w:tc>
          <w:tcPr>
            <w:tcW w:w="798" w:type="pct"/>
            <w:vMerge/>
          </w:tcPr>
          <w:p w:rsidR="005E15EF" w:rsidRPr="007F116C" w:rsidRDefault="005E15EF" w:rsidP="00110940">
            <w:pPr>
              <w:pStyle w:val="Tabletext"/>
              <w:keepNext/>
              <w:keepLines/>
              <w:jc w:val="center"/>
            </w:pPr>
          </w:p>
        </w:tc>
        <w:tc>
          <w:tcPr>
            <w:tcW w:w="949" w:type="pct"/>
            <w:vMerge/>
          </w:tcPr>
          <w:p w:rsidR="005E15EF" w:rsidRPr="007F116C" w:rsidRDefault="005E15EF" w:rsidP="00110940">
            <w:pPr>
              <w:pStyle w:val="Tabletext"/>
              <w:keepNext/>
              <w:keepLines/>
              <w:jc w:val="center"/>
            </w:pPr>
          </w:p>
        </w:tc>
        <w:tc>
          <w:tcPr>
            <w:tcW w:w="461" w:type="pct"/>
            <w:vMerge/>
          </w:tcPr>
          <w:p w:rsidR="005E15EF" w:rsidRPr="007F116C" w:rsidRDefault="005E15EF" w:rsidP="00110940">
            <w:pPr>
              <w:pStyle w:val="Tabletext"/>
              <w:keepNext/>
              <w:keepLines/>
              <w:jc w:val="center"/>
            </w:pPr>
          </w:p>
        </w:tc>
      </w:tr>
      <w:tr w:rsidR="005E15EF" w:rsidRPr="007F116C" w:rsidTr="00905948">
        <w:tc>
          <w:tcPr>
            <w:tcW w:w="5000" w:type="pct"/>
            <w:gridSpan w:val="6"/>
          </w:tcPr>
          <w:p w:rsidR="005E15EF" w:rsidRPr="007F116C" w:rsidRDefault="005E15EF" w:rsidP="00110940">
            <w:pPr>
              <w:pStyle w:val="Tabletext"/>
              <w:keepNext/>
              <w:keepLines/>
              <w:rPr>
                <w:b/>
              </w:rPr>
            </w:pPr>
            <w:r w:rsidRPr="007F116C">
              <w:rPr>
                <w:b/>
              </w:rPr>
              <w:t>Pooled</w:t>
            </w:r>
            <w:r w:rsidRPr="007F116C">
              <w:rPr>
                <w:b/>
                <w:vertAlign w:val="superscript"/>
              </w:rPr>
              <w:t>b</w:t>
            </w:r>
          </w:p>
        </w:tc>
      </w:tr>
      <w:tr w:rsidR="005E15EF" w:rsidRPr="007F116C" w:rsidTr="00905948">
        <w:tc>
          <w:tcPr>
            <w:tcW w:w="858" w:type="pct"/>
          </w:tcPr>
          <w:p w:rsidR="005E15EF" w:rsidRPr="007F116C" w:rsidRDefault="005E15EF" w:rsidP="00110940">
            <w:pPr>
              <w:pStyle w:val="Tabletext"/>
              <w:keepNext/>
              <w:keepLines/>
            </w:pPr>
            <w:r w:rsidRPr="007F116C">
              <w:t>ofatumumab</w:t>
            </w:r>
          </w:p>
        </w:tc>
        <w:tc>
          <w:tcPr>
            <w:tcW w:w="726" w:type="pct"/>
          </w:tcPr>
          <w:p w:rsidR="005E15EF" w:rsidRPr="007F116C" w:rsidRDefault="005E15EF" w:rsidP="00110940">
            <w:pPr>
              <w:pStyle w:val="Tabletext"/>
              <w:keepNext/>
              <w:keepLines/>
              <w:jc w:val="center"/>
            </w:pPr>
            <w:r w:rsidRPr="007F116C">
              <w:t>923</w:t>
            </w:r>
          </w:p>
        </w:tc>
        <w:tc>
          <w:tcPr>
            <w:tcW w:w="1208" w:type="pct"/>
          </w:tcPr>
          <w:p w:rsidR="005E15EF" w:rsidRPr="007F116C" w:rsidRDefault="005E15EF" w:rsidP="00110940">
            <w:pPr>
              <w:pStyle w:val="Tabletext"/>
              <w:keepNext/>
              <w:keepLines/>
              <w:jc w:val="center"/>
            </w:pPr>
            <w:r w:rsidRPr="007F116C">
              <w:t>0.11 (0.09,0.13)</w:t>
            </w:r>
          </w:p>
        </w:tc>
        <w:tc>
          <w:tcPr>
            <w:tcW w:w="798" w:type="pct"/>
            <w:vMerge w:val="restart"/>
            <w:vAlign w:val="center"/>
          </w:tcPr>
          <w:p w:rsidR="005E15EF" w:rsidRPr="007F116C" w:rsidRDefault="005E15EF" w:rsidP="00110940">
            <w:pPr>
              <w:pStyle w:val="Tabletext"/>
              <w:keepNext/>
              <w:keepLines/>
              <w:jc w:val="center"/>
            </w:pPr>
            <w:r w:rsidRPr="007F116C">
              <w:t>54.0%</w:t>
            </w:r>
          </w:p>
        </w:tc>
        <w:tc>
          <w:tcPr>
            <w:tcW w:w="949" w:type="pct"/>
            <w:vMerge w:val="restart"/>
          </w:tcPr>
          <w:p w:rsidR="005E15EF" w:rsidRPr="007F116C" w:rsidRDefault="005E15EF" w:rsidP="00110940">
            <w:pPr>
              <w:pStyle w:val="Tabletext"/>
              <w:keepNext/>
              <w:keepLines/>
              <w:jc w:val="center"/>
              <w:rPr>
                <w:b/>
              </w:rPr>
            </w:pPr>
            <w:r w:rsidRPr="007F116C">
              <w:rPr>
                <w:b/>
              </w:rPr>
              <w:t>0.460</w:t>
            </w:r>
          </w:p>
          <w:p w:rsidR="005E15EF" w:rsidRPr="007F116C" w:rsidRDefault="005E15EF" w:rsidP="00110940">
            <w:pPr>
              <w:pStyle w:val="Tabletext"/>
              <w:keepNext/>
              <w:keepLines/>
              <w:jc w:val="center"/>
            </w:pPr>
            <w:r w:rsidRPr="007F116C">
              <w:rPr>
                <w:b/>
              </w:rPr>
              <w:t>(0.38, 0.57)</w:t>
            </w:r>
          </w:p>
        </w:tc>
        <w:tc>
          <w:tcPr>
            <w:tcW w:w="461" w:type="pct"/>
            <w:vMerge w:val="restart"/>
          </w:tcPr>
          <w:p w:rsidR="005E15EF" w:rsidRPr="007F116C" w:rsidRDefault="005E15EF" w:rsidP="00110940">
            <w:pPr>
              <w:pStyle w:val="Tabletext"/>
              <w:keepNext/>
              <w:keepLines/>
              <w:jc w:val="center"/>
            </w:pPr>
            <w:r w:rsidRPr="007F116C">
              <w:t>&lt;0.001</w:t>
            </w:r>
          </w:p>
        </w:tc>
      </w:tr>
      <w:tr w:rsidR="005E15EF" w:rsidRPr="007F116C" w:rsidTr="00905948">
        <w:tc>
          <w:tcPr>
            <w:tcW w:w="858" w:type="pct"/>
          </w:tcPr>
          <w:p w:rsidR="005E15EF" w:rsidRPr="007F116C" w:rsidRDefault="005E15EF" w:rsidP="00110940">
            <w:pPr>
              <w:pStyle w:val="Tabletext"/>
              <w:keepNext/>
              <w:keepLines/>
            </w:pPr>
            <w:r w:rsidRPr="007F116C">
              <w:t>teriflunomide</w:t>
            </w:r>
          </w:p>
        </w:tc>
        <w:tc>
          <w:tcPr>
            <w:tcW w:w="726" w:type="pct"/>
          </w:tcPr>
          <w:p w:rsidR="005E15EF" w:rsidRPr="007F116C" w:rsidRDefault="005E15EF" w:rsidP="00110940">
            <w:pPr>
              <w:pStyle w:val="Tabletext"/>
              <w:keepNext/>
              <w:keepLines/>
              <w:jc w:val="center"/>
            </w:pPr>
            <w:r w:rsidRPr="007F116C">
              <w:t>921</w:t>
            </w:r>
          </w:p>
        </w:tc>
        <w:tc>
          <w:tcPr>
            <w:tcW w:w="1208" w:type="pct"/>
          </w:tcPr>
          <w:p w:rsidR="005E15EF" w:rsidRPr="007F116C" w:rsidRDefault="005E15EF" w:rsidP="00110940">
            <w:pPr>
              <w:pStyle w:val="Tabletext"/>
              <w:keepNext/>
              <w:keepLines/>
              <w:jc w:val="center"/>
            </w:pPr>
            <w:r w:rsidRPr="007F116C">
              <w:t>0.24 (0.21,0.27)</w:t>
            </w:r>
          </w:p>
        </w:tc>
        <w:tc>
          <w:tcPr>
            <w:tcW w:w="798" w:type="pct"/>
            <w:vMerge/>
          </w:tcPr>
          <w:p w:rsidR="005E15EF" w:rsidRPr="007F116C" w:rsidRDefault="005E15EF" w:rsidP="00110940">
            <w:pPr>
              <w:pStyle w:val="Tabletext"/>
              <w:keepNext/>
              <w:keepLines/>
              <w:jc w:val="center"/>
            </w:pPr>
          </w:p>
        </w:tc>
        <w:tc>
          <w:tcPr>
            <w:tcW w:w="949" w:type="pct"/>
            <w:vMerge/>
          </w:tcPr>
          <w:p w:rsidR="005E15EF" w:rsidRPr="007F116C" w:rsidRDefault="005E15EF" w:rsidP="00110940">
            <w:pPr>
              <w:pStyle w:val="Tabletext"/>
              <w:keepNext/>
              <w:keepLines/>
              <w:jc w:val="center"/>
            </w:pPr>
          </w:p>
        </w:tc>
        <w:tc>
          <w:tcPr>
            <w:tcW w:w="461" w:type="pct"/>
            <w:vMerge/>
          </w:tcPr>
          <w:p w:rsidR="005E15EF" w:rsidRPr="007F116C" w:rsidRDefault="005E15EF" w:rsidP="00110940">
            <w:pPr>
              <w:pStyle w:val="Tabletext"/>
              <w:keepNext/>
              <w:keepLines/>
              <w:jc w:val="center"/>
            </w:pPr>
          </w:p>
        </w:tc>
      </w:tr>
    </w:tbl>
    <w:p w:rsidR="005E15EF" w:rsidRPr="007F116C" w:rsidRDefault="005E15EF" w:rsidP="00110940">
      <w:pPr>
        <w:pStyle w:val="TableFooter"/>
        <w:keepNext/>
        <w:keepLines/>
      </w:pPr>
      <w:r w:rsidRPr="007F116C">
        <w:t>Source: Table 2.36, p148 of the submission. ARR = annualised relapse rate; CI = confidence interval; ITT = intention to treat</w:t>
      </w:r>
    </w:p>
    <w:p w:rsidR="005E15EF" w:rsidRPr="007F116C" w:rsidRDefault="005E15EF" w:rsidP="00110940">
      <w:pPr>
        <w:pStyle w:val="TableFooter"/>
        <w:keepNext/>
        <w:keepLines/>
      </w:pPr>
      <w:r w:rsidRPr="007F116C">
        <w:t xml:space="preserve">Values in bold indicate statistically significant differences </w:t>
      </w:r>
    </w:p>
    <w:p w:rsidR="005E15EF" w:rsidRPr="007F116C" w:rsidRDefault="005E15EF" w:rsidP="00110940">
      <w:pPr>
        <w:pStyle w:val="TableFooter"/>
        <w:keepNext/>
        <w:keepLines/>
      </w:pPr>
      <w:r w:rsidRPr="007F116C">
        <w:rPr>
          <w:vertAlign w:val="superscript"/>
        </w:rPr>
        <w:t>a</w:t>
      </w:r>
      <w:r w:rsidRPr="007F116C">
        <w:t xml:space="preserve"> Obtained from fitting a negative binomial regression model with log-link to the number of relapses, adjusted for treatment and region as factors, number of relapses in previous year, baseline EDSS, baseline number of Gd enhancing lesions and the patient’s age at baseline as covariates. The natural log of the time-in-study was used as offset to annualize the relapse rate</w:t>
      </w:r>
    </w:p>
    <w:p w:rsidR="005E15EF" w:rsidRPr="007F116C" w:rsidRDefault="005E15EF" w:rsidP="00110940">
      <w:pPr>
        <w:pStyle w:val="TableFooter"/>
        <w:keepNext/>
        <w:keepLines/>
        <w:spacing w:after="120"/>
      </w:pPr>
      <w:r w:rsidRPr="007F116C">
        <w:rPr>
          <w:vertAlign w:val="superscript"/>
        </w:rPr>
        <w:t xml:space="preserve">b </w:t>
      </w:r>
      <w:r w:rsidRPr="007F116C">
        <w:t>Obtained from fitting a negative binomial regression model with log-link to the number of relapses, adjusted for study, region, treatment, and treatment by study interaction as factors, number of relapses in previous year, baseline EDSS, baseline number of Gd-enhancing lesion and age at baseline as covariates. The natural log of the time-in-study was used as offset to annualize the relapse rate</w:t>
      </w:r>
    </w:p>
    <w:p w:rsidR="005E15EF" w:rsidRPr="007F116C" w:rsidRDefault="008B2342" w:rsidP="005E15EF">
      <w:pPr>
        <w:pStyle w:val="ListParagraph"/>
        <w:widowControl/>
        <w:numPr>
          <w:ilvl w:val="1"/>
          <w:numId w:val="2"/>
        </w:numPr>
        <w:rPr>
          <w:color w:val="000000" w:themeColor="text1"/>
        </w:rPr>
      </w:pPr>
      <w:r w:rsidRPr="007F116C">
        <w:rPr>
          <w:rFonts w:cs="Calibri"/>
          <w:snapToGrid/>
          <w:color w:val="000000" w:themeColor="text1"/>
          <w:szCs w:val="24"/>
          <w:lang w:eastAsia="en-AU"/>
        </w:rPr>
        <w:t>In the ASCLEPIOS I/II studies and pooled results</w:t>
      </w:r>
      <w:r w:rsidR="00F2049B" w:rsidRPr="007F116C">
        <w:rPr>
          <w:rFonts w:cs="Calibri"/>
          <w:snapToGrid/>
          <w:color w:val="000000" w:themeColor="text1"/>
          <w:szCs w:val="24"/>
          <w:lang w:eastAsia="en-AU"/>
        </w:rPr>
        <w:t>, o</w:t>
      </w:r>
      <w:r w:rsidR="005E15EF" w:rsidRPr="007F116C">
        <w:rPr>
          <w:rFonts w:cs="Calibri"/>
          <w:snapToGrid/>
          <w:color w:val="000000" w:themeColor="text1"/>
          <w:szCs w:val="24"/>
          <w:lang w:eastAsia="en-AU"/>
        </w:rPr>
        <w:t>fatumumab</w:t>
      </w:r>
      <w:r w:rsidRPr="007F116C">
        <w:rPr>
          <w:rFonts w:cs="Calibri"/>
          <w:snapToGrid/>
          <w:color w:val="000000" w:themeColor="text1"/>
          <w:szCs w:val="24"/>
          <w:lang w:eastAsia="en-AU"/>
        </w:rPr>
        <w:t xml:space="preserve"> was associated with statistically significant improvements in </w:t>
      </w:r>
      <w:r w:rsidR="007E4534" w:rsidRPr="007F116C">
        <w:rPr>
          <w:rFonts w:cs="Calibri"/>
          <w:snapToGrid/>
          <w:color w:val="000000" w:themeColor="text1"/>
          <w:szCs w:val="24"/>
          <w:lang w:eastAsia="en-AU"/>
        </w:rPr>
        <w:t>ARR</w:t>
      </w:r>
      <w:r w:rsidR="005E15EF" w:rsidRPr="007F116C">
        <w:rPr>
          <w:rFonts w:cs="Calibri"/>
          <w:snapToGrid/>
          <w:color w:val="000000" w:themeColor="text1"/>
          <w:szCs w:val="24"/>
          <w:lang w:eastAsia="en-AU"/>
        </w:rPr>
        <w:t xml:space="preserve"> compared to teriflunomide</w:t>
      </w:r>
      <w:r w:rsidRPr="007F116C">
        <w:rPr>
          <w:rFonts w:cs="Calibri"/>
          <w:snapToGrid/>
          <w:color w:val="000000" w:themeColor="text1"/>
          <w:szCs w:val="24"/>
          <w:lang w:eastAsia="en-AU"/>
        </w:rPr>
        <w:t>.</w:t>
      </w:r>
    </w:p>
    <w:p w:rsidR="005E15EF" w:rsidRPr="007F116C" w:rsidRDefault="00522713" w:rsidP="005E15EF">
      <w:pPr>
        <w:pStyle w:val="ListParagraph"/>
        <w:widowControl/>
        <w:numPr>
          <w:ilvl w:val="1"/>
          <w:numId w:val="2"/>
        </w:numPr>
        <w:rPr>
          <w:color w:val="000000" w:themeColor="text1"/>
        </w:rPr>
      </w:pPr>
      <w:r w:rsidRPr="007F116C">
        <w:t>Table 5</w:t>
      </w:r>
      <w:r w:rsidR="005E15EF" w:rsidRPr="007F116C">
        <w:rPr>
          <w:rFonts w:cs="Calibri"/>
          <w:snapToGrid/>
          <w:color w:val="000000" w:themeColor="text1"/>
          <w:szCs w:val="24"/>
          <w:lang w:eastAsia="en-AU"/>
        </w:rPr>
        <w:t xml:space="preserve"> </w:t>
      </w:r>
      <w:r w:rsidR="005E15EF" w:rsidRPr="007F116C">
        <w:t xml:space="preserve">presents the proportion of patients free from relapse (confirmed) in ASCLEPIOS I and II. </w:t>
      </w:r>
    </w:p>
    <w:p w:rsidR="005E15EF" w:rsidRPr="007F116C" w:rsidRDefault="005E15EF" w:rsidP="00110940">
      <w:pPr>
        <w:pStyle w:val="PBACtablecaption"/>
        <w:keepNext/>
        <w:keepLines/>
        <w:spacing w:before="0" w:after="0"/>
        <w:rPr>
          <w:rStyle w:val="CommentReference"/>
          <w:b/>
        </w:rPr>
      </w:pPr>
      <w:bookmarkStart w:id="18" w:name="_Ref60995895"/>
      <w:r w:rsidRPr="007F116C">
        <w:rPr>
          <w:rStyle w:val="CommentReference"/>
          <w:b/>
          <w:bCs/>
        </w:rPr>
        <w:t xml:space="preserve">Table </w:t>
      </w:r>
      <w:r w:rsidR="00522713" w:rsidRPr="007F116C">
        <w:rPr>
          <w:rStyle w:val="CommentReference"/>
          <w:b/>
          <w:bCs/>
        </w:rPr>
        <w:t>5</w:t>
      </w:r>
      <w:bookmarkEnd w:id="18"/>
      <w:r w:rsidRPr="007F116C">
        <w:rPr>
          <w:rStyle w:val="CommentReference"/>
          <w:b/>
          <w:bCs/>
        </w:rPr>
        <w:t xml:space="preserve">: </w:t>
      </w:r>
      <w:r w:rsidRPr="007F116C">
        <w:rPr>
          <w:rStyle w:val="CommentReference"/>
          <w:b/>
        </w:rPr>
        <w:t>Proportion (%) of patients free from relapse (confirmed) (ASCLEPIOS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270"/>
        <w:gridCol w:w="566"/>
        <w:gridCol w:w="711"/>
        <w:gridCol w:w="709"/>
        <w:gridCol w:w="848"/>
        <w:gridCol w:w="711"/>
        <w:gridCol w:w="849"/>
        <w:gridCol w:w="3353"/>
      </w:tblGrid>
      <w:tr w:rsidR="005E15EF" w:rsidRPr="007F116C" w:rsidTr="00110940">
        <w:tc>
          <w:tcPr>
            <w:tcW w:w="705" w:type="pct"/>
            <w:vAlign w:val="center"/>
          </w:tcPr>
          <w:p w:rsidR="005E15EF" w:rsidRPr="007F116C" w:rsidRDefault="005E15EF" w:rsidP="00110940">
            <w:pPr>
              <w:pStyle w:val="TableText0"/>
              <w:keepLines/>
              <w:spacing w:before="0" w:after="0"/>
              <w:rPr>
                <w:b/>
                <w:bCs/>
              </w:rPr>
            </w:pPr>
            <w:r w:rsidRPr="007F116C">
              <w:rPr>
                <w:b/>
                <w:bCs/>
              </w:rPr>
              <w:t>Trial ID</w:t>
            </w:r>
          </w:p>
        </w:tc>
        <w:tc>
          <w:tcPr>
            <w:tcW w:w="1101" w:type="pct"/>
            <w:gridSpan w:val="3"/>
            <w:vAlign w:val="center"/>
          </w:tcPr>
          <w:p w:rsidR="005E15EF" w:rsidRPr="007F116C" w:rsidRDefault="005E15EF" w:rsidP="00110940">
            <w:pPr>
              <w:pStyle w:val="TableText0"/>
              <w:keepLines/>
              <w:spacing w:before="0" w:after="0"/>
              <w:jc w:val="center"/>
              <w:rPr>
                <w:b/>
                <w:bCs/>
              </w:rPr>
            </w:pPr>
            <w:r w:rsidRPr="007F116C">
              <w:rPr>
                <w:b/>
                <w:bCs/>
              </w:rPr>
              <w:t>Ofatumumab</w:t>
            </w:r>
          </w:p>
        </w:tc>
        <w:tc>
          <w:tcPr>
            <w:tcW w:w="1335" w:type="pct"/>
            <w:gridSpan w:val="3"/>
            <w:vAlign w:val="center"/>
          </w:tcPr>
          <w:p w:rsidR="005E15EF" w:rsidRPr="007F116C" w:rsidRDefault="00110940" w:rsidP="00110940">
            <w:pPr>
              <w:pStyle w:val="TableText0"/>
              <w:keepLines/>
              <w:spacing w:before="0" w:after="0"/>
              <w:jc w:val="center"/>
              <w:rPr>
                <w:b/>
                <w:bCs/>
              </w:rPr>
            </w:pPr>
            <w:r w:rsidRPr="007F116C">
              <w:rPr>
                <w:b/>
                <w:bCs/>
              </w:rPr>
              <w:t>T</w:t>
            </w:r>
            <w:r w:rsidR="005E15EF" w:rsidRPr="007F116C">
              <w:rPr>
                <w:b/>
                <w:bCs/>
              </w:rPr>
              <w:t>eriflunomide</w:t>
            </w:r>
          </w:p>
        </w:tc>
        <w:tc>
          <w:tcPr>
            <w:tcW w:w="1859" w:type="pct"/>
            <w:vMerge w:val="restart"/>
            <w:vAlign w:val="center"/>
          </w:tcPr>
          <w:p w:rsidR="005E15EF" w:rsidRPr="007F116C" w:rsidRDefault="005E15EF" w:rsidP="00110940">
            <w:pPr>
              <w:pStyle w:val="TableText0"/>
              <w:keepLines/>
              <w:spacing w:before="0" w:after="0"/>
              <w:jc w:val="center"/>
              <w:rPr>
                <w:b/>
                <w:bCs/>
              </w:rPr>
            </w:pPr>
            <w:r w:rsidRPr="007F116C">
              <w:rPr>
                <w:b/>
                <w:bCs/>
              </w:rPr>
              <w:t>OR (95% CI)</w:t>
            </w:r>
            <w:r w:rsidRPr="007F116C">
              <w:rPr>
                <w:b/>
                <w:bCs/>
                <w:vertAlign w:val="superscript"/>
              </w:rPr>
              <w:t>a</w:t>
            </w:r>
            <w:r w:rsidR="00110940" w:rsidRPr="007F116C">
              <w:rPr>
                <w:b/>
                <w:bCs/>
                <w:vertAlign w:val="superscript"/>
              </w:rPr>
              <w:t xml:space="preserve">, </w:t>
            </w:r>
            <w:r w:rsidRPr="007F116C">
              <w:rPr>
                <w:b/>
                <w:bCs/>
              </w:rPr>
              <w:t>p value</w:t>
            </w:r>
          </w:p>
        </w:tc>
      </w:tr>
      <w:tr w:rsidR="005E15EF" w:rsidRPr="007F116C" w:rsidTr="00110940">
        <w:tc>
          <w:tcPr>
            <w:tcW w:w="705" w:type="pct"/>
            <w:vAlign w:val="center"/>
          </w:tcPr>
          <w:p w:rsidR="005E15EF" w:rsidRPr="007F116C" w:rsidRDefault="005E15EF" w:rsidP="00110940">
            <w:pPr>
              <w:pStyle w:val="TableText0"/>
              <w:keepLines/>
              <w:spacing w:before="0" w:after="0"/>
              <w:rPr>
                <w:b/>
                <w:bCs/>
              </w:rPr>
            </w:pPr>
          </w:p>
        </w:tc>
        <w:tc>
          <w:tcPr>
            <w:tcW w:w="314" w:type="pct"/>
            <w:vAlign w:val="center"/>
          </w:tcPr>
          <w:p w:rsidR="005E15EF" w:rsidRPr="007F116C" w:rsidRDefault="005E15EF" w:rsidP="00110940">
            <w:pPr>
              <w:pStyle w:val="TableText0"/>
              <w:keepLines/>
              <w:spacing w:before="0" w:after="0"/>
              <w:jc w:val="center"/>
              <w:rPr>
                <w:b/>
                <w:bCs/>
              </w:rPr>
            </w:pPr>
            <w:r w:rsidRPr="007F116C">
              <w:rPr>
                <w:b/>
                <w:bCs/>
              </w:rPr>
              <w:t>n</w:t>
            </w:r>
          </w:p>
        </w:tc>
        <w:tc>
          <w:tcPr>
            <w:tcW w:w="394" w:type="pct"/>
            <w:vAlign w:val="center"/>
          </w:tcPr>
          <w:p w:rsidR="005E15EF" w:rsidRPr="007F116C" w:rsidRDefault="005E15EF" w:rsidP="00110940">
            <w:pPr>
              <w:pStyle w:val="TableText0"/>
              <w:keepLines/>
              <w:spacing w:before="0" w:after="0"/>
              <w:jc w:val="center"/>
              <w:rPr>
                <w:b/>
                <w:bCs/>
              </w:rPr>
            </w:pPr>
            <w:r w:rsidRPr="007F116C">
              <w:rPr>
                <w:b/>
                <w:bCs/>
              </w:rPr>
              <w:t>N</w:t>
            </w:r>
          </w:p>
        </w:tc>
        <w:tc>
          <w:tcPr>
            <w:tcW w:w="393" w:type="pct"/>
            <w:vAlign w:val="center"/>
          </w:tcPr>
          <w:p w:rsidR="005E15EF" w:rsidRPr="007F116C" w:rsidRDefault="005E15EF" w:rsidP="00110940">
            <w:pPr>
              <w:pStyle w:val="TableText0"/>
              <w:keepLines/>
              <w:spacing w:before="0" w:after="0"/>
              <w:jc w:val="center"/>
              <w:rPr>
                <w:b/>
                <w:bCs/>
              </w:rPr>
            </w:pPr>
            <w:r w:rsidRPr="007F116C">
              <w:rPr>
                <w:b/>
                <w:bCs/>
              </w:rPr>
              <w:t>%</w:t>
            </w:r>
          </w:p>
        </w:tc>
        <w:tc>
          <w:tcPr>
            <w:tcW w:w="470" w:type="pct"/>
            <w:vAlign w:val="center"/>
          </w:tcPr>
          <w:p w:rsidR="005E15EF" w:rsidRPr="007F116C" w:rsidRDefault="005E15EF" w:rsidP="00110940">
            <w:pPr>
              <w:pStyle w:val="TableText0"/>
              <w:keepLines/>
              <w:spacing w:before="0" w:after="0"/>
              <w:jc w:val="center"/>
              <w:rPr>
                <w:b/>
                <w:bCs/>
              </w:rPr>
            </w:pPr>
            <w:r w:rsidRPr="007F116C">
              <w:rPr>
                <w:b/>
                <w:bCs/>
              </w:rPr>
              <w:t>n</w:t>
            </w:r>
          </w:p>
        </w:tc>
        <w:tc>
          <w:tcPr>
            <w:tcW w:w="394" w:type="pct"/>
            <w:vAlign w:val="center"/>
          </w:tcPr>
          <w:p w:rsidR="005E15EF" w:rsidRPr="007F116C" w:rsidRDefault="005E15EF" w:rsidP="00110940">
            <w:pPr>
              <w:pStyle w:val="TableText0"/>
              <w:keepLines/>
              <w:spacing w:before="0" w:after="0"/>
              <w:jc w:val="center"/>
              <w:rPr>
                <w:b/>
                <w:bCs/>
              </w:rPr>
            </w:pPr>
            <w:r w:rsidRPr="007F116C">
              <w:rPr>
                <w:b/>
                <w:bCs/>
              </w:rPr>
              <w:t>N</w:t>
            </w:r>
          </w:p>
        </w:tc>
        <w:tc>
          <w:tcPr>
            <w:tcW w:w="471" w:type="pct"/>
            <w:vAlign w:val="center"/>
          </w:tcPr>
          <w:p w:rsidR="005E15EF" w:rsidRPr="007F116C" w:rsidRDefault="005E15EF" w:rsidP="00110940">
            <w:pPr>
              <w:pStyle w:val="TableText0"/>
              <w:keepLines/>
              <w:spacing w:before="0" w:after="0"/>
              <w:jc w:val="center"/>
              <w:rPr>
                <w:b/>
                <w:bCs/>
              </w:rPr>
            </w:pPr>
            <w:r w:rsidRPr="007F116C">
              <w:rPr>
                <w:b/>
                <w:bCs/>
              </w:rPr>
              <w:t>%</w:t>
            </w:r>
          </w:p>
        </w:tc>
        <w:tc>
          <w:tcPr>
            <w:tcW w:w="1859" w:type="pct"/>
            <w:vMerge/>
            <w:vAlign w:val="center"/>
          </w:tcPr>
          <w:p w:rsidR="005E15EF" w:rsidRPr="007F116C" w:rsidRDefault="005E15EF" w:rsidP="00110940">
            <w:pPr>
              <w:pStyle w:val="TableText0"/>
              <w:keepLines/>
              <w:spacing w:before="0" w:after="0"/>
              <w:jc w:val="center"/>
              <w:rPr>
                <w:b/>
                <w:bCs/>
              </w:rPr>
            </w:pPr>
          </w:p>
        </w:tc>
      </w:tr>
      <w:tr w:rsidR="005E15EF" w:rsidRPr="007F116C" w:rsidTr="00110940">
        <w:tc>
          <w:tcPr>
            <w:tcW w:w="705" w:type="pct"/>
            <w:vAlign w:val="center"/>
          </w:tcPr>
          <w:p w:rsidR="005E15EF" w:rsidRPr="007F116C" w:rsidRDefault="005E15EF" w:rsidP="00110940">
            <w:pPr>
              <w:pStyle w:val="TableText0"/>
              <w:keepLines/>
              <w:spacing w:before="0" w:after="0"/>
            </w:pPr>
            <w:r w:rsidRPr="007F116C">
              <w:t>ASCLEPIOS I</w:t>
            </w:r>
          </w:p>
        </w:tc>
        <w:tc>
          <w:tcPr>
            <w:tcW w:w="314" w:type="pct"/>
            <w:vAlign w:val="center"/>
          </w:tcPr>
          <w:p w:rsidR="005E15EF" w:rsidRPr="007F116C" w:rsidRDefault="005E15EF" w:rsidP="00110940">
            <w:pPr>
              <w:pStyle w:val="TableText0"/>
              <w:keepLines/>
              <w:spacing w:before="0" w:after="0"/>
              <w:jc w:val="center"/>
            </w:pPr>
            <w:r w:rsidRPr="007F116C">
              <w:t>386</w:t>
            </w:r>
          </w:p>
        </w:tc>
        <w:tc>
          <w:tcPr>
            <w:tcW w:w="394" w:type="pct"/>
            <w:vAlign w:val="center"/>
          </w:tcPr>
          <w:p w:rsidR="005E15EF" w:rsidRPr="007F116C" w:rsidRDefault="005E15EF" w:rsidP="00110940">
            <w:pPr>
              <w:pStyle w:val="TableText0"/>
              <w:keepLines/>
              <w:spacing w:before="0" w:after="0"/>
              <w:jc w:val="center"/>
            </w:pPr>
            <w:r w:rsidRPr="007F116C">
              <w:t>465</w:t>
            </w:r>
          </w:p>
        </w:tc>
        <w:tc>
          <w:tcPr>
            <w:tcW w:w="393" w:type="pct"/>
            <w:vAlign w:val="center"/>
          </w:tcPr>
          <w:p w:rsidR="005E15EF" w:rsidRPr="007F116C" w:rsidRDefault="005E15EF" w:rsidP="00110940">
            <w:pPr>
              <w:pStyle w:val="TableText0"/>
              <w:keepLines/>
              <w:spacing w:before="0" w:after="0"/>
              <w:jc w:val="center"/>
            </w:pPr>
            <w:r w:rsidRPr="007F116C">
              <w:t>83.0</w:t>
            </w:r>
          </w:p>
        </w:tc>
        <w:tc>
          <w:tcPr>
            <w:tcW w:w="470" w:type="pct"/>
            <w:vAlign w:val="center"/>
          </w:tcPr>
          <w:p w:rsidR="005E15EF" w:rsidRPr="007F116C" w:rsidRDefault="005E15EF" w:rsidP="00110940">
            <w:pPr>
              <w:pStyle w:val="TableText0"/>
              <w:keepLines/>
              <w:spacing w:before="0" w:after="0"/>
              <w:jc w:val="center"/>
            </w:pPr>
            <w:r w:rsidRPr="007F116C">
              <w:t>330</w:t>
            </w:r>
          </w:p>
        </w:tc>
        <w:tc>
          <w:tcPr>
            <w:tcW w:w="394" w:type="pct"/>
            <w:vAlign w:val="center"/>
          </w:tcPr>
          <w:p w:rsidR="005E15EF" w:rsidRPr="007F116C" w:rsidRDefault="005E15EF" w:rsidP="00110940">
            <w:pPr>
              <w:pStyle w:val="TableText0"/>
              <w:keepLines/>
              <w:spacing w:before="0" w:after="0"/>
              <w:jc w:val="center"/>
            </w:pPr>
            <w:r w:rsidRPr="007F116C">
              <w:t>462</w:t>
            </w:r>
          </w:p>
        </w:tc>
        <w:tc>
          <w:tcPr>
            <w:tcW w:w="471" w:type="pct"/>
            <w:vAlign w:val="center"/>
          </w:tcPr>
          <w:p w:rsidR="005E15EF" w:rsidRPr="007F116C" w:rsidRDefault="005E15EF" w:rsidP="00110940">
            <w:pPr>
              <w:pStyle w:val="TableText0"/>
              <w:keepLines/>
              <w:spacing w:before="0" w:after="0"/>
              <w:jc w:val="center"/>
            </w:pPr>
            <w:r w:rsidRPr="007F116C">
              <w:t>71.4</w:t>
            </w:r>
          </w:p>
        </w:tc>
        <w:tc>
          <w:tcPr>
            <w:tcW w:w="1859" w:type="pct"/>
            <w:vAlign w:val="center"/>
          </w:tcPr>
          <w:p w:rsidR="005E15EF" w:rsidRPr="007F116C" w:rsidRDefault="005E15EF" w:rsidP="00110940">
            <w:pPr>
              <w:pStyle w:val="TableText0"/>
              <w:keepLines/>
              <w:spacing w:before="0" w:after="0"/>
              <w:jc w:val="center"/>
              <w:rPr>
                <w:b/>
                <w:bCs/>
              </w:rPr>
            </w:pPr>
            <w:r w:rsidRPr="007F116C">
              <w:rPr>
                <w:b/>
                <w:bCs/>
              </w:rPr>
              <w:t>1.95 (1.43, 2.68)</w:t>
            </w:r>
            <w:r w:rsidR="00110940" w:rsidRPr="007F116C">
              <w:rPr>
                <w:b/>
                <w:bCs/>
              </w:rPr>
              <w:t xml:space="preserve">, </w:t>
            </w:r>
            <w:r w:rsidRPr="007F116C">
              <w:rPr>
                <w:b/>
                <w:bCs/>
              </w:rPr>
              <w:t>p&lt;0.00001</w:t>
            </w:r>
          </w:p>
        </w:tc>
      </w:tr>
      <w:tr w:rsidR="005E15EF" w:rsidRPr="007F116C" w:rsidTr="00110940">
        <w:tc>
          <w:tcPr>
            <w:tcW w:w="705" w:type="pct"/>
            <w:vAlign w:val="center"/>
          </w:tcPr>
          <w:p w:rsidR="005E15EF" w:rsidRPr="007F116C" w:rsidRDefault="005E15EF" w:rsidP="00110940">
            <w:pPr>
              <w:pStyle w:val="TableText0"/>
              <w:keepLines/>
              <w:spacing w:before="0" w:after="0"/>
            </w:pPr>
            <w:r w:rsidRPr="007F116C">
              <w:t>ASCLEPIOS II</w:t>
            </w:r>
          </w:p>
        </w:tc>
        <w:tc>
          <w:tcPr>
            <w:tcW w:w="314" w:type="pct"/>
            <w:vAlign w:val="center"/>
          </w:tcPr>
          <w:p w:rsidR="005E15EF" w:rsidRPr="007F116C" w:rsidRDefault="005E15EF" w:rsidP="00110940">
            <w:pPr>
              <w:pStyle w:val="TableText0"/>
              <w:keepLines/>
              <w:spacing w:before="0" w:after="0"/>
              <w:jc w:val="center"/>
            </w:pPr>
            <w:r w:rsidRPr="007F116C">
              <w:t>409</w:t>
            </w:r>
          </w:p>
        </w:tc>
        <w:tc>
          <w:tcPr>
            <w:tcW w:w="394" w:type="pct"/>
            <w:vAlign w:val="center"/>
          </w:tcPr>
          <w:p w:rsidR="005E15EF" w:rsidRPr="007F116C" w:rsidRDefault="005E15EF" w:rsidP="00110940">
            <w:pPr>
              <w:pStyle w:val="TableText0"/>
              <w:keepLines/>
              <w:spacing w:before="0" w:after="0"/>
              <w:jc w:val="center"/>
            </w:pPr>
            <w:r w:rsidRPr="007F116C">
              <w:t>481</w:t>
            </w:r>
          </w:p>
        </w:tc>
        <w:tc>
          <w:tcPr>
            <w:tcW w:w="393" w:type="pct"/>
            <w:vAlign w:val="center"/>
          </w:tcPr>
          <w:p w:rsidR="005E15EF" w:rsidRPr="007F116C" w:rsidRDefault="005E15EF" w:rsidP="00110940">
            <w:pPr>
              <w:pStyle w:val="TableText0"/>
              <w:keepLines/>
              <w:spacing w:before="0" w:after="0"/>
              <w:jc w:val="center"/>
            </w:pPr>
            <w:r w:rsidRPr="007F116C">
              <w:t>85.0</w:t>
            </w:r>
          </w:p>
        </w:tc>
        <w:tc>
          <w:tcPr>
            <w:tcW w:w="470" w:type="pct"/>
            <w:vAlign w:val="center"/>
          </w:tcPr>
          <w:p w:rsidR="005E15EF" w:rsidRPr="007F116C" w:rsidRDefault="005E15EF" w:rsidP="00110940">
            <w:pPr>
              <w:pStyle w:val="TableText0"/>
              <w:keepLines/>
              <w:spacing w:before="0" w:after="0"/>
              <w:jc w:val="center"/>
            </w:pPr>
            <w:r w:rsidRPr="007F116C">
              <w:t>336</w:t>
            </w:r>
          </w:p>
        </w:tc>
        <w:tc>
          <w:tcPr>
            <w:tcW w:w="394" w:type="pct"/>
            <w:vAlign w:val="center"/>
          </w:tcPr>
          <w:p w:rsidR="005E15EF" w:rsidRPr="007F116C" w:rsidRDefault="005E15EF" w:rsidP="00110940">
            <w:pPr>
              <w:pStyle w:val="TableText0"/>
              <w:keepLines/>
              <w:spacing w:before="0" w:after="0"/>
              <w:jc w:val="center"/>
            </w:pPr>
            <w:r w:rsidRPr="007F116C">
              <w:t>474</w:t>
            </w:r>
          </w:p>
        </w:tc>
        <w:tc>
          <w:tcPr>
            <w:tcW w:w="471" w:type="pct"/>
            <w:vAlign w:val="center"/>
          </w:tcPr>
          <w:p w:rsidR="005E15EF" w:rsidRPr="007F116C" w:rsidRDefault="005E15EF" w:rsidP="00110940">
            <w:pPr>
              <w:pStyle w:val="TableText0"/>
              <w:keepLines/>
              <w:spacing w:before="0" w:after="0"/>
              <w:jc w:val="center"/>
            </w:pPr>
            <w:r w:rsidRPr="007F116C">
              <w:t>70.9</w:t>
            </w:r>
          </w:p>
        </w:tc>
        <w:tc>
          <w:tcPr>
            <w:tcW w:w="1859" w:type="pct"/>
            <w:vAlign w:val="center"/>
          </w:tcPr>
          <w:p w:rsidR="005E15EF" w:rsidRPr="007F116C" w:rsidRDefault="005E15EF" w:rsidP="00110940">
            <w:pPr>
              <w:pStyle w:val="TableText0"/>
              <w:keepLines/>
              <w:spacing w:before="0" w:after="0"/>
              <w:jc w:val="center"/>
              <w:rPr>
                <w:b/>
                <w:bCs/>
              </w:rPr>
            </w:pPr>
            <w:r w:rsidRPr="007F116C">
              <w:rPr>
                <w:b/>
                <w:bCs/>
              </w:rPr>
              <w:t>2.33 (1.70, 3.21)</w:t>
            </w:r>
            <w:r w:rsidR="00110940" w:rsidRPr="007F116C">
              <w:rPr>
                <w:b/>
                <w:bCs/>
              </w:rPr>
              <w:t xml:space="preserve">, </w:t>
            </w:r>
            <w:r w:rsidRPr="007F116C">
              <w:rPr>
                <w:b/>
                <w:bCs/>
              </w:rPr>
              <w:t>p&lt;0.00001</w:t>
            </w:r>
          </w:p>
        </w:tc>
      </w:tr>
      <w:tr w:rsidR="005E15EF" w:rsidRPr="007F116C" w:rsidTr="00110940">
        <w:tc>
          <w:tcPr>
            <w:tcW w:w="705" w:type="pct"/>
            <w:vAlign w:val="center"/>
          </w:tcPr>
          <w:p w:rsidR="005E15EF" w:rsidRPr="007F116C" w:rsidRDefault="005E15EF" w:rsidP="00110940">
            <w:pPr>
              <w:pStyle w:val="TableText0"/>
              <w:keepLines/>
              <w:spacing w:before="0" w:after="0"/>
            </w:pPr>
            <w:r w:rsidRPr="007F116C">
              <w:t>Pooled</w:t>
            </w:r>
          </w:p>
        </w:tc>
        <w:tc>
          <w:tcPr>
            <w:tcW w:w="314" w:type="pct"/>
            <w:vAlign w:val="center"/>
          </w:tcPr>
          <w:p w:rsidR="005E15EF" w:rsidRPr="007F116C" w:rsidRDefault="005E15EF" w:rsidP="00110940">
            <w:pPr>
              <w:pStyle w:val="TableText0"/>
              <w:keepLines/>
              <w:spacing w:before="0" w:after="0"/>
              <w:jc w:val="center"/>
            </w:pPr>
            <w:r w:rsidRPr="007F116C">
              <w:t>795</w:t>
            </w:r>
          </w:p>
        </w:tc>
        <w:tc>
          <w:tcPr>
            <w:tcW w:w="394" w:type="pct"/>
            <w:vAlign w:val="center"/>
          </w:tcPr>
          <w:p w:rsidR="005E15EF" w:rsidRPr="007F116C" w:rsidRDefault="005E15EF" w:rsidP="00110940">
            <w:pPr>
              <w:pStyle w:val="TableText0"/>
              <w:keepLines/>
              <w:spacing w:before="0" w:after="0"/>
              <w:jc w:val="center"/>
            </w:pPr>
            <w:r w:rsidRPr="007F116C">
              <w:t>946</w:t>
            </w:r>
          </w:p>
        </w:tc>
        <w:tc>
          <w:tcPr>
            <w:tcW w:w="393" w:type="pct"/>
            <w:vAlign w:val="center"/>
          </w:tcPr>
          <w:p w:rsidR="005E15EF" w:rsidRPr="007F116C" w:rsidRDefault="005E15EF" w:rsidP="00110940">
            <w:pPr>
              <w:pStyle w:val="TableText0"/>
              <w:keepLines/>
              <w:spacing w:before="0" w:after="0"/>
              <w:jc w:val="center"/>
            </w:pPr>
            <w:r w:rsidRPr="007F116C">
              <w:t>84.0</w:t>
            </w:r>
          </w:p>
        </w:tc>
        <w:tc>
          <w:tcPr>
            <w:tcW w:w="470" w:type="pct"/>
            <w:vAlign w:val="center"/>
          </w:tcPr>
          <w:p w:rsidR="005E15EF" w:rsidRPr="007F116C" w:rsidRDefault="005E15EF" w:rsidP="00110940">
            <w:pPr>
              <w:pStyle w:val="TableText0"/>
              <w:keepLines/>
              <w:spacing w:before="0" w:after="0"/>
              <w:jc w:val="center"/>
            </w:pPr>
            <w:r w:rsidRPr="007F116C">
              <w:t>666</w:t>
            </w:r>
          </w:p>
        </w:tc>
        <w:tc>
          <w:tcPr>
            <w:tcW w:w="394" w:type="pct"/>
            <w:vAlign w:val="center"/>
          </w:tcPr>
          <w:p w:rsidR="005E15EF" w:rsidRPr="007F116C" w:rsidRDefault="005E15EF" w:rsidP="00110940">
            <w:pPr>
              <w:pStyle w:val="TableText0"/>
              <w:keepLines/>
              <w:spacing w:before="0" w:after="0"/>
              <w:jc w:val="center"/>
            </w:pPr>
            <w:r w:rsidRPr="007F116C">
              <w:t>936</w:t>
            </w:r>
          </w:p>
        </w:tc>
        <w:tc>
          <w:tcPr>
            <w:tcW w:w="471" w:type="pct"/>
            <w:vAlign w:val="center"/>
          </w:tcPr>
          <w:p w:rsidR="005E15EF" w:rsidRPr="007F116C" w:rsidRDefault="005E15EF" w:rsidP="00110940">
            <w:pPr>
              <w:pStyle w:val="TableText0"/>
              <w:keepLines/>
              <w:spacing w:before="0" w:after="0"/>
              <w:jc w:val="center"/>
            </w:pPr>
            <w:r w:rsidRPr="007F116C">
              <w:t>71.2</w:t>
            </w:r>
          </w:p>
        </w:tc>
        <w:tc>
          <w:tcPr>
            <w:tcW w:w="1859" w:type="pct"/>
            <w:vAlign w:val="center"/>
          </w:tcPr>
          <w:p w:rsidR="005E15EF" w:rsidRPr="007F116C" w:rsidRDefault="005E15EF" w:rsidP="00110940">
            <w:pPr>
              <w:pStyle w:val="TableText0"/>
              <w:keepLines/>
              <w:spacing w:before="0" w:after="0"/>
              <w:jc w:val="center"/>
              <w:rPr>
                <w:b/>
                <w:bCs/>
              </w:rPr>
            </w:pPr>
            <w:r w:rsidRPr="007F116C">
              <w:rPr>
                <w:b/>
                <w:bCs/>
              </w:rPr>
              <w:t>2.13 (1.70, 2.67)</w:t>
            </w:r>
            <w:r w:rsidR="00110940" w:rsidRPr="007F116C">
              <w:rPr>
                <w:b/>
                <w:bCs/>
              </w:rPr>
              <w:t xml:space="preserve">, </w:t>
            </w:r>
            <w:r w:rsidRPr="007F116C">
              <w:rPr>
                <w:b/>
                <w:bCs/>
              </w:rPr>
              <w:t>p&lt;0.00001</w:t>
            </w:r>
          </w:p>
        </w:tc>
      </w:tr>
    </w:tbl>
    <w:p w:rsidR="005E15EF" w:rsidRPr="007F116C" w:rsidRDefault="005E15EF" w:rsidP="00110940">
      <w:pPr>
        <w:pStyle w:val="TableFooter"/>
        <w:keepNext/>
        <w:keepLines/>
      </w:pPr>
      <w:r w:rsidRPr="007F116C">
        <w:t>Source: Table 2.39, p151 of the submission. CI=confidence interval; n=number of subjects with events; N=number of subjects in the analysis, OR = odds ratio</w:t>
      </w:r>
    </w:p>
    <w:p w:rsidR="005E15EF" w:rsidRPr="007F116C" w:rsidRDefault="005E15EF" w:rsidP="00110940">
      <w:pPr>
        <w:pStyle w:val="TableFooter"/>
        <w:keepNext/>
        <w:keepLines/>
      </w:pPr>
      <w:r w:rsidRPr="007F116C">
        <w:t xml:space="preserve">Values in bold indicate statistically significant differences </w:t>
      </w:r>
    </w:p>
    <w:p w:rsidR="005E15EF" w:rsidRPr="007F116C" w:rsidRDefault="005E15EF" w:rsidP="00110940">
      <w:pPr>
        <w:pStyle w:val="TableFooter"/>
        <w:keepNext/>
        <w:keepLines/>
      </w:pPr>
      <w:r w:rsidRPr="007F116C">
        <w:t>Number from relapse = N – patients with confirmed relapse (79 and 132 for ofatumumab and teriflunomide respectively for ASCLEPIOS I, 72 and 138 for ofatumumab and teriflunomide respectively for ASCLEPIOS III)</w:t>
      </w:r>
    </w:p>
    <w:p w:rsidR="005E15EF" w:rsidRPr="007F116C" w:rsidRDefault="005E15EF" w:rsidP="005E15EF">
      <w:pPr>
        <w:pStyle w:val="BodyText"/>
        <w:jc w:val="both"/>
      </w:pPr>
    </w:p>
    <w:p w:rsidR="005E15EF" w:rsidRPr="007F116C" w:rsidRDefault="005E15EF" w:rsidP="005E15EF">
      <w:pPr>
        <w:pStyle w:val="ListParagraph"/>
        <w:widowControl/>
        <w:numPr>
          <w:ilvl w:val="1"/>
          <w:numId w:val="2"/>
        </w:numPr>
        <w:rPr>
          <w:color w:val="000000" w:themeColor="text1"/>
        </w:rPr>
      </w:pPr>
      <w:r w:rsidRPr="007F116C">
        <w:rPr>
          <w:rFonts w:cs="Calibri"/>
          <w:snapToGrid/>
          <w:color w:val="000000" w:themeColor="text1"/>
          <w:szCs w:val="24"/>
          <w:lang w:eastAsia="en-AU"/>
        </w:rPr>
        <w:t>The results showed a statistically significant increase in the odds of being relapse free in patients randomised to ofatumumab compared to patients randomised to teriflunomide in both ASCLEPIOS I and II.</w:t>
      </w:r>
    </w:p>
    <w:p w:rsidR="00E72AF6" w:rsidRPr="007F116C" w:rsidRDefault="00522713" w:rsidP="00E72AF6">
      <w:pPr>
        <w:pStyle w:val="ListParagraph"/>
        <w:widowControl/>
        <w:numPr>
          <w:ilvl w:val="1"/>
          <w:numId w:val="2"/>
        </w:numPr>
        <w:rPr>
          <w:color w:val="000000" w:themeColor="text1"/>
        </w:rPr>
      </w:pPr>
      <w:r w:rsidRPr="007F116C">
        <w:t>Table 7</w:t>
      </w:r>
      <w:r w:rsidR="005E15EF" w:rsidRPr="007F116C">
        <w:t xml:space="preserve"> and </w:t>
      </w:r>
      <w:r w:rsidRPr="007F116C">
        <w:t>Table 8</w:t>
      </w:r>
      <w:r w:rsidR="005E15EF" w:rsidRPr="007F116C">
        <w:t xml:space="preserve"> present</w:t>
      </w:r>
      <w:r w:rsidR="00110940" w:rsidRPr="007F116C">
        <w:t>s</w:t>
      </w:r>
      <w:r w:rsidR="005E15EF" w:rsidRPr="007F116C">
        <w:t xml:space="preserve"> the trial results for </w:t>
      </w:r>
      <w:r w:rsidR="00110940" w:rsidRPr="007F116C">
        <w:t>confirmed disease worsening (</w:t>
      </w:r>
      <w:r w:rsidR="005E15EF" w:rsidRPr="007F116C">
        <w:t>CDW</w:t>
      </w:r>
      <w:r w:rsidR="00110940" w:rsidRPr="007F116C">
        <w:t>)</w:t>
      </w:r>
      <w:r w:rsidR="005E15EF" w:rsidRPr="007F116C">
        <w:t xml:space="preserve"> at three months and at six months in the ASCLEPIOS I and II trials. The submission noted that the OR values were the estimates of relative effect relied on in the indirect comparisons. </w:t>
      </w:r>
      <w:r w:rsidR="00110940" w:rsidRPr="007F116C">
        <w:t xml:space="preserve">CDW was used interchangeably with confirmed disease progression (CDP) by the submission. </w:t>
      </w:r>
    </w:p>
    <w:p w:rsidR="00E72AF6" w:rsidRPr="007F116C" w:rsidRDefault="00E72AF6" w:rsidP="00E72AF6">
      <w:pPr>
        <w:pStyle w:val="ListParagraph"/>
        <w:widowControl/>
        <w:numPr>
          <w:ilvl w:val="1"/>
          <w:numId w:val="2"/>
        </w:numPr>
        <w:rPr>
          <w:color w:val="000000" w:themeColor="text1"/>
        </w:rPr>
      </w:pPr>
      <w:r w:rsidRPr="007F116C">
        <w:t xml:space="preserve">The submission stated that </w:t>
      </w:r>
      <w:r w:rsidR="00361C3E" w:rsidRPr="007F116C">
        <w:t>CDW</w:t>
      </w:r>
      <w:r w:rsidRPr="007F116C">
        <w:t xml:space="preserve"> </w:t>
      </w:r>
      <w:r w:rsidR="00F37FBE" w:rsidRPr="007F116C">
        <w:t>measure</w:t>
      </w:r>
      <w:r w:rsidRPr="007F116C">
        <w:t xml:space="preserve"> through changes in EDSS was analogous to CDP, which was used in the comparator trials in relapsing MS. </w:t>
      </w:r>
      <w:r w:rsidR="001C16A0" w:rsidRPr="007F116C">
        <w:t xml:space="preserve">It was noted that the definition of CDW in ASCLEPIOS I and II did not align precisely with the definition of CDP in other trials. </w:t>
      </w:r>
      <w:r w:rsidRPr="007F116C">
        <w:t xml:space="preserve">For example, the </w:t>
      </w:r>
      <w:r w:rsidR="001C16A0" w:rsidRPr="007F116C">
        <w:t xml:space="preserve">definition of CDP in the </w:t>
      </w:r>
      <w:r w:rsidRPr="007F116C">
        <w:t xml:space="preserve">ocrelizumab </w:t>
      </w:r>
      <w:r w:rsidR="001C16A0" w:rsidRPr="007F116C">
        <w:t>trials (</w:t>
      </w:r>
      <w:r w:rsidRPr="007F116C">
        <w:t>OPERA I</w:t>
      </w:r>
      <w:r w:rsidR="001C16A0" w:rsidRPr="007F116C">
        <w:t xml:space="preserve"> and </w:t>
      </w:r>
      <w:r w:rsidRPr="007F116C">
        <w:t>II</w:t>
      </w:r>
      <w:r w:rsidR="001C16A0" w:rsidRPr="007F116C">
        <w:t xml:space="preserve">) compared to </w:t>
      </w:r>
      <w:r w:rsidR="005A64DC" w:rsidRPr="007F116C">
        <w:t xml:space="preserve">CDW in </w:t>
      </w:r>
      <w:r w:rsidR="001C16A0" w:rsidRPr="007F116C">
        <w:t xml:space="preserve">ASCLEPIOS I and II is presented in </w:t>
      </w:r>
      <w:r w:rsidR="00522713" w:rsidRPr="007F116C">
        <w:rPr>
          <w:rStyle w:val="CommentReference"/>
          <w:rFonts w:asciiTheme="minorHAnsi" w:hAnsiTheme="minorHAnsi" w:cstheme="minorHAnsi"/>
          <w:b w:val="0"/>
          <w:sz w:val="24"/>
          <w:szCs w:val="24"/>
        </w:rPr>
        <w:t>Table 6</w:t>
      </w:r>
      <w:r w:rsidR="001C16A0" w:rsidRPr="007F116C">
        <w:rPr>
          <w:rFonts w:asciiTheme="minorHAnsi" w:hAnsiTheme="minorHAnsi" w:cstheme="minorHAnsi"/>
          <w:b/>
          <w:szCs w:val="24"/>
        </w:rPr>
        <w:t>.</w:t>
      </w:r>
    </w:p>
    <w:p w:rsidR="001C16A0" w:rsidRPr="007F116C" w:rsidRDefault="001C16A0" w:rsidP="005A64DC">
      <w:pPr>
        <w:rPr>
          <w:rStyle w:val="CommentReference"/>
        </w:rPr>
      </w:pPr>
      <w:bookmarkStart w:id="19" w:name="_Ref61613831"/>
      <w:r w:rsidRPr="007F116C">
        <w:rPr>
          <w:rStyle w:val="CommentReference"/>
        </w:rPr>
        <w:t xml:space="preserve">Table </w:t>
      </w:r>
      <w:r w:rsidR="00522713" w:rsidRPr="007F116C">
        <w:rPr>
          <w:rStyle w:val="CommentReference"/>
        </w:rPr>
        <w:t>6</w:t>
      </w:r>
      <w:bookmarkEnd w:id="19"/>
      <w:r w:rsidRPr="007F116C">
        <w:rPr>
          <w:rStyle w:val="CommentReference"/>
        </w:rPr>
        <w:t xml:space="preserve"> Comparison of definition of CDP in OPERA I and II and CDW in ASCLEPIOS I and II</w:t>
      </w:r>
    </w:p>
    <w:tbl>
      <w:tblPr>
        <w:tblStyle w:val="TableGrid"/>
        <w:tblW w:w="0" w:type="auto"/>
        <w:tblLook w:val="04A0" w:firstRow="1" w:lastRow="0" w:firstColumn="1" w:lastColumn="0" w:noHBand="0" w:noVBand="1"/>
        <w:tblCaption w:val="Table 6 Comparison of definition of CDP in OPERA I and II and CDW in ASCLEPIOS I and II"/>
      </w:tblPr>
      <w:tblGrid>
        <w:gridCol w:w="1129"/>
        <w:gridCol w:w="3828"/>
        <w:gridCol w:w="4059"/>
      </w:tblGrid>
      <w:tr w:rsidR="001C16A0" w:rsidRPr="007F116C" w:rsidTr="00416795">
        <w:trPr>
          <w:tblHeader/>
        </w:trPr>
        <w:tc>
          <w:tcPr>
            <w:tcW w:w="1129" w:type="dxa"/>
          </w:tcPr>
          <w:p w:rsidR="001C16A0" w:rsidRPr="007F116C" w:rsidRDefault="005A64DC" w:rsidP="00E520FF">
            <w:pPr>
              <w:rPr>
                <w:rFonts w:ascii="Arial Narrow" w:hAnsi="Arial Narrow"/>
                <w:b/>
                <w:sz w:val="20"/>
                <w:szCs w:val="20"/>
              </w:rPr>
            </w:pPr>
            <w:r w:rsidRPr="007F116C">
              <w:rPr>
                <w:rFonts w:ascii="Arial Narrow" w:hAnsi="Arial Narrow"/>
                <w:b/>
                <w:sz w:val="20"/>
                <w:szCs w:val="20"/>
              </w:rPr>
              <w:t>Definition</w:t>
            </w:r>
          </w:p>
        </w:tc>
        <w:tc>
          <w:tcPr>
            <w:tcW w:w="3828" w:type="dxa"/>
          </w:tcPr>
          <w:p w:rsidR="001C16A0" w:rsidRPr="007F116C" w:rsidRDefault="001C16A0" w:rsidP="00E520FF">
            <w:pPr>
              <w:rPr>
                <w:rFonts w:ascii="Arial Narrow" w:hAnsi="Arial Narrow"/>
                <w:b/>
                <w:sz w:val="20"/>
                <w:szCs w:val="20"/>
              </w:rPr>
            </w:pPr>
            <w:r w:rsidRPr="007F116C">
              <w:rPr>
                <w:rFonts w:ascii="Arial Narrow" w:hAnsi="Arial Narrow"/>
                <w:b/>
                <w:sz w:val="20"/>
                <w:szCs w:val="20"/>
              </w:rPr>
              <w:t>OPERA I and II</w:t>
            </w:r>
          </w:p>
        </w:tc>
        <w:tc>
          <w:tcPr>
            <w:tcW w:w="4059" w:type="dxa"/>
          </w:tcPr>
          <w:p w:rsidR="001C16A0" w:rsidRPr="007F116C" w:rsidRDefault="001C16A0" w:rsidP="00E520FF">
            <w:pPr>
              <w:rPr>
                <w:rFonts w:ascii="Arial Narrow" w:hAnsi="Arial Narrow"/>
                <w:b/>
                <w:sz w:val="20"/>
                <w:szCs w:val="20"/>
              </w:rPr>
            </w:pPr>
            <w:r w:rsidRPr="007F116C">
              <w:rPr>
                <w:rFonts w:ascii="Arial Narrow" w:hAnsi="Arial Narrow"/>
                <w:b/>
                <w:sz w:val="20"/>
                <w:szCs w:val="20"/>
              </w:rPr>
              <w:t>ASCLEPIOS I and II</w:t>
            </w:r>
          </w:p>
        </w:tc>
      </w:tr>
      <w:tr w:rsidR="001C16A0" w:rsidRPr="007F116C" w:rsidTr="005A64DC">
        <w:tc>
          <w:tcPr>
            <w:tcW w:w="1129" w:type="dxa"/>
          </w:tcPr>
          <w:p w:rsidR="001C16A0" w:rsidRPr="007F116C" w:rsidRDefault="001C16A0" w:rsidP="00E520FF">
            <w:r w:rsidRPr="007F116C">
              <w:rPr>
                <w:rFonts w:ascii="Arial Narrow" w:hAnsi="Arial Narrow"/>
                <w:sz w:val="20"/>
                <w:szCs w:val="20"/>
              </w:rPr>
              <w:t xml:space="preserve">Three and six month </w:t>
            </w:r>
            <w:r w:rsidR="005A64DC" w:rsidRPr="007F116C">
              <w:rPr>
                <w:rFonts w:ascii="Arial Narrow" w:hAnsi="Arial Narrow"/>
                <w:sz w:val="20"/>
                <w:szCs w:val="20"/>
              </w:rPr>
              <w:t>CDW/</w:t>
            </w:r>
            <w:r w:rsidRPr="007F116C">
              <w:rPr>
                <w:rFonts w:ascii="Arial Narrow" w:hAnsi="Arial Narrow"/>
                <w:sz w:val="20"/>
                <w:szCs w:val="20"/>
              </w:rPr>
              <w:t>CDP definition</w:t>
            </w:r>
            <w:r w:rsidRPr="007F116C">
              <w:t xml:space="preserve"> </w:t>
            </w:r>
          </w:p>
        </w:tc>
        <w:tc>
          <w:tcPr>
            <w:tcW w:w="3828" w:type="dxa"/>
          </w:tcPr>
          <w:p w:rsidR="005A64DC" w:rsidRPr="007F116C" w:rsidRDefault="005A64DC" w:rsidP="005A64DC">
            <w:pPr>
              <w:ind w:firstLine="32"/>
              <w:rPr>
                <w:rFonts w:ascii="Arial Narrow" w:hAnsi="Arial Narrow"/>
                <w:sz w:val="20"/>
                <w:szCs w:val="20"/>
              </w:rPr>
            </w:pPr>
            <w:r w:rsidRPr="007F116C">
              <w:rPr>
                <w:rFonts w:ascii="Arial Narrow" w:hAnsi="Arial Narrow"/>
                <w:sz w:val="20"/>
                <w:szCs w:val="20"/>
              </w:rPr>
              <w:t xml:space="preserve">Increase in EDSS of </w:t>
            </w:r>
          </w:p>
          <w:p w:rsidR="001C16A0" w:rsidRPr="007F116C" w:rsidRDefault="001C16A0" w:rsidP="005A64DC">
            <w:pPr>
              <w:pStyle w:val="ListParagraph"/>
              <w:numPr>
                <w:ilvl w:val="0"/>
                <w:numId w:val="20"/>
              </w:numPr>
              <w:spacing w:after="0"/>
              <w:ind w:left="316" w:hanging="284"/>
              <w:rPr>
                <w:rFonts w:ascii="Arial Narrow" w:hAnsi="Arial Narrow"/>
                <w:sz w:val="20"/>
                <w:szCs w:val="20"/>
              </w:rPr>
            </w:pPr>
            <w:r w:rsidRPr="007F116C">
              <w:rPr>
                <w:rFonts w:ascii="Arial Narrow" w:hAnsi="Arial Narrow"/>
                <w:sz w:val="20"/>
                <w:szCs w:val="20"/>
              </w:rPr>
              <w:t xml:space="preserve">≥ 1.0 point with a baseline </w:t>
            </w:r>
            <w:r w:rsidR="005A64DC" w:rsidRPr="007F116C">
              <w:rPr>
                <w:rFonts w:ascii="Arial Narrow" w:hAnsi="Arial Narrow"/>
                <w:sz w:val="20"/>
                <w:szCs w:val="20"/>
              </w:rPr>
              <w:t>EDSS</w:t>
            </w:r>
            <w:r w:rsidRPr="007F116C">
              <w:rPr>
                <w:rFonts w:ascii="Arial Narrow" w:hAnsi="Arial Narrow"/>
                <w:sz w:val="20"/>
                <w:szCs w:val="20"/>
              </w:rPr>
              <w:t xml:space="preserve"> </w:t>
            </w:r>
            <w:r w:rsidR="005A64DC" w:rsidRPr="007F116C">
              <w:rPr>
                <w:rFonts w:ascii="Arial Narrow" w:hAnsi="Arial Narrow"/>
                <w:sz w:val="20"/>
                <w:szCs w:val="20"/>
              </w:rPr>
              <w:t xml:space="preserve">of </w:t>
            </w:r>
            <w:r w:rsidRPr="007F116C">
              <w:rPr>
                <w:rFonts w:ascii="Arial Narrow" w:hAnsi="Arial Narrow"/>
                <w:sz w:val="20"/>
                <w:szCs w:val="20"/>
              </w:rPr>
              <w:t>≤ 5.5; or</w:t>
            </w:r>
          </w:p>
          <w:p w:rsidR="001C16A0" w:rsidRPr="007F116C" w:rsidRDefault="005A64DC" w:rsidP="005A64DC">
            <w:pPr>
              <w:pStyle w:val="ListParagraph"/>
              <w:numPr>
                <w:ilvl w:val="0"/>
                <w:numId w:val="20"/>
              </w:numPr>
              <w:spacing w:after="0"/>
              <w:ind w:left="316" w:hanging="284"/>
              <w:rPr>
                <w:rFonts w:ascii="Arial Narrow" w:hAnsi="Arial Narrow"/>
                <w:sz w:val="20"/>
                <w:szCs w:val="20"/>
              </w:rPr>
            </w:pPr>
            <w:r w:rsidRPr="007F116C">
              <w:rPr>
                <w:rFonts w:ascii="Arial Narrow" w:hAnsi="Arial Narrow"/>
                <w:sz w:val="20"/>
                <w:szCs w:val="20"/>
              </w:rPr>
              <w:t>≥</w:t>
            </w:r>
            <w:r w:rsidR="001C16A0" w:rsidRPr="007F116C">
              <w:rPr>
                <w:rFonts w:ascii="Arial Narrow" w:hAnsi="Arial Narrow"/>
                <w:sz w:val="20"/>
                <w:szCs w:val="20"/>
              </w:rPr>
              <w:t xml:space="preserve">0.5 points, with a baseline </w:t>
            </w:r>
            <w:r w:rsidRPr="007F116C">
              <w:rPr>
                <w:rFonts w:ascii="Arial Narrow" w:hAnsi="Arial Narrow"/>
                <w:sz w:val="20"/>
                <w:szCs w:val="20"/>
              </w:rPr>
              <w:t xml:space="preserve">EDSS </w:t>
            </w:r>
            <w:r w:rsidR="001C16A0" w:rsidRPr="007F116C">
              <w:rPr>
                <w:rFonts w:ascii="Arial Narrow" w:hAnsi="Arial Narrow"/>
                <w:sz w:val="20"/>
                <w:szCs w:val="20"/>
              </w:rPr>
              <w:t>of &gt;5.5</w:t>
            </w:r>
          </w:p>
          <w:p w:rsidR="001C16A0" w:rsidRPr="007F116C" w:rsidRDefault="001C16A0" w:rsidP="005A64DC">
            <w:pPr>
              <w:ind w:firstLine="32"/>
              <w:rPr>
                <w:rFonts w:ascii="Arial Narrow" w:hAnsi="Arial Narrow"/>
                <w:sz w:val="20"/>
                <w:szCs w:val="20"/>
              </w:rPr>
            </w:pPr>
          </w:p>
          <w:p w:rsidR="001C16A0" w:rsidRPr="007F116C" w:rsidRDefault="001C16A0" w:rsidP="005A64DC">
            <w:pPr>
              <w:ind w:firstLine="32"/>
              <w:rPr>
                <w:rFonts w:ascii="Arial Narrow" w:hAnsi="Arial Narrow"/>
                <w:sz w:val="20"/>
                <w:szCs w:val="20"/>
              </w:rPr>
            </w:pPr>
            <w:r w:rsidRPr="007F116C">
              <w:rPr>
                <w:rFonts w:ascii="Arial Narrow" w:hAnsi="Arial Narrow"/>
                <w:sz w:val="20"/>
                <w:szCs w:val="20"/>
              </w:rPr>
              <w:t xml:space="preserve">That was sustained for at least 12 or 24 weeks. </w:t>
            </w:r>
          </w:p>
          <w:p w:rsidR="001C16A0" w:rsidRPr="007F116C" w:rsidRDefault="001C16A0" w:rsidP="00E520FF">
            <w:pPr>
              <w:rPr>
                <w:rFonts w:ascii="Arial Narrow" w:hAnsi="Arial Narrow"/>
                <w:sz w:val="20"/>
                <w:szCs w:val="20"/>
              </w:rPr>
            </w:pPr>
          </w:p>
        </w:tc>
        <w:tc>
          <w:tcPr>
            <w:tcW w:w="4059" w:type="dxa"/>
          </w:tcPr>
          <w:p w:rsidR="005A64DC" w:rsidRPr="007F116C" w:rsidRDefault="005A64DC" w:rsidP="005A64DC">
            <w:pPr>
              <w:keepNext/>
              <w:keepLines/>
              <w:rPr>
                <w:rFonts w:ascii="Arial Narrow" w:hAnsi="Arial Narrow"/>
                <w:sz w:val="20"/>
                <w:szCs w:val="20"/>
              </w:rPr>
            </w:pPr>
            <w:r w:rsidRPr="007F116C">
              <w:rPr>
                <w:rFonts w:ascii="Arial Narrow" w:hAnsi="Arial Narrow"/>
                <w:sz w:val="20"/>
                <w:szCs w:val="20"/>
              </w:rPr>
              <w:t xml:space="preserve">Increase in EDSS of </w:t>
            </w:r>
          </w:p>
          <w:p w:rsidR="001C16A0" w:rsidRPr="007F116C" w:rsidRDefault="005A64DC" w:rsidP="001C16A0">
            <w:pPr>
              <w:pStyle w:val="ListParagraph"/>
              <w:keepNext/>
              <w:keepLines/>
              <w:numPr>
                <w:ilvl w:val="0"/>
                <w:numId w:val="21"/>
              </w:numPr>
              <w:spacing w:after="0"/>
              <w:ind w:left="319" w:hanging="319"/>
              <w:rPr>
                <w:rFonts w:ascii="Arial Narrow" w:hAnsi="Arial Narrow"/>
                <w:sz w:val="20"/>
                <w:szCs w:val="20"/>
              </w:rPr>
            </w:pPr>
            <w:r w:rsidRPr="007F116C">
              <w:rPr>
                <w:rFonts w:ascii="Arial Narrow" w:hAnsi="Arial Narrow"/>
                <w:sz w:val="20"/>
                <w:szCs w:val="20"/>
              </w:rPr>
              <w:t>≥ 1.5 point</w:t>
            </w:r>
            <w:r w:rsidR="001C16A0" w:rsidRPr="007F116C">
              <w:rPr>
                <w:rFonts w:ascii="Arial Narrow" w:hAnsi="Arial Narrow"/>
                <w:sz w:val="20"/>
                <w:szCs w:val="20"/>
              </w:rPr>
              <w:t>, with a baseline EDSS of 0, or</w:t>
            </w:r>
          </w:p>
          <w:p w:rsidR="001C16A0" w:rsidRPr="007F116C" w:rsidRDefault="001C16A0" w:rsidP="001C16A0">
            <w:pPr>
              <w:pStyle w:val="ListParagraph"/>
              <w:keepNext/>
              <w:keepLines/>
              <w:numPr>
                <w:ilvl w:val="0"/>
                <w:numId w:val="21"/>
              </w:numPr>
              <w:spacing w:after="0"/>
              <w:ind w:left="319" w:hanging="319"/>
              <w:rPr>
                <w:rFonts w:ascii="Arial Narrow" w:hAnsi="Arial Narrow"/>
                <w:sz w:val="20"/>
                <w:szCs w:val="20"/>
              </w:rPr>
            </w:pPr>
            <w:r w:rsidRPr="007F116C">
              <w:rPr>
                <w:rFonts w:ascii="Arial Narrow" w:hAnsi="Arial Narrow"/>
                <w:sz w:val="20"/>
                <w:szCs w:val="20"/>
              </w:rPr>
              <w:t>≥ 1.0 point, with a baseline EDSS of 1-5.0, or</w:t>
            </w:r>
          </w:p>
          <w:p w:rsidR="001C16A0" w:rsidRPr="007F116C" w:rsidRDefault="001C16A0" w:rsidP="001C16A0">
            <w:pPr>
              <w:pStyle w:val="ListParagraph"/>
              <w:keepNext/>
              <w:keepLines/>
              <w:numPr>
                <w:ilvl w:val="0"/>
                <w:numId w:val="21"/>
              </w:numPr>
              <w:spacing w:after="0"/>
              <w:ind w:left="319" w:hanging="319"/>
              <w:rPr>
                <w:rFonts w:ascii="Arial Narrow" w:hAnsi="Arial Narrow"/>
                <w:sz w:val="20"/>
                <w:szCs w:val="20"/>
              </w:rPr>
            </w:pPr>
            <w:r w:rsidRPr="007F116C">
              <w:rPr>
                <w:rFonts w:ascii="Arial Narrow" w:hAnsi="Arial Narrow"/>
                <w:sz w:val="20"/>
                <w:szCs w:val="20"/>
              </w:rPr>
              <w:t>≥ 0.5 point, with a baseline EDSS ≥5.5</w:t>
            </w:r>
          </w:p>
          <w:p w:rsidR="001C16A0" w:rsidRPr="007F116C" w:rsidRDefault="001C16A0" w:rsidP="00E520FF">
            <w:pPr>
              <w:rPr>
                <w:rFonts w:ascii="Arial Narrow" w:hAnsi="Arial Narrow"/>
                <w:sz w:val="20"/>
                <w:szCs w:val="20"/>
              </w:rPr>
            </w:pPr>
          </w:p>
          <w:p w:rsidR="001C16A0" w:rsidRPr="007F116C" w:rsidRDefault="001C16A0" w:rsidP="00E520FF">
            <w:r w:rsidRPr="007F116C">
              <w:rPr>
                <w:rFonts w:ascii="Arial Narrow" w:hAnsi="Arial Narrow"/>
                <w:sz w:val="20"/>
                <w:szCs w:val="20"/>
              </w:rPr>
              <w:t>After a scheduled or unscheduled visit at which the patient fulfils the disability worsening criterion, all EDSS assessments (scheduled or unscheduled) need to also fulfil the worsening criteria until the worsening (“the event”) can be confirmed at the first scheduled visit that occurs 3-months (or 6 months) after the onset of the worsening, or later.</w:t>
            </w:r>
          </w:p>
        </w:tc>
      </w:tr>
    </w:tbl>
    <w:p w:rsidR="005A64DC" w:rsidRPr="007F116C" w:rsidRDefault="005A64DC" w:rsidP="001C16A0">
      <w:pPr>
        <w:rPr>
          <w:rFonts w:ascii="Arial Narrow" w:hAnsi="Arial Narrow"/>
          <w:sz w:val="20"/>
          <w:szCs w:val="20"/>
        </w:rPr>
      </w:pPr>
      <w:r w:rsidRPr="007F116C">
        <w:rPr>
          <w:rFonts w:ascii="Arial Narrow" w:hAnsi="Arial Narrow"/>
          <w:sz w:val="20"/>
          <w:szCs w:val="20"/>
        </w:rPr>
        <w:t>CDP = confirmed disease progression, CDW = confirmed disease worsening, EDSS = Expanded Disability Status Scale</w:t>
      </w:r>
    </w:p>
    <w:p w:rsidR="001C16A0" w:rsidRPr="007F116C" w:rsidRDefault="001C16A0" w:rsidP="001C16A0">
      <w:pPr>
        <w:rPr>
          <w:rFonts w:ascii="Arial Narrow" w:hAnsi="Arial Narrow"/>
          <w:sz w:val="20"/>
          <w:szCs w:val="20"/>
        </w:rPr>
      </w:pPr>
      <w:r w:rsidRPr="007F116C">
        <w:rPr>
          <w:rFonts w:ascii="Arial Narrow" w:hAnsi="Arial Narrow"/>
          <w:sz w:val="20"/>
          <w:szCs w:val="20"/>
        </w:rPr>
        <w:t xml:space="preserve">Source: </w:t>
      </w:r>
      <w:r w:rsidR="005A64DC" w:rsidRPr="007F116C">
        <w:rPr>
          <w:rFonts w:ascii="Arial Narrow" w:hAnsi="Arial Narrow"/>
          <w:sz w:val="20"/>
          <w:szCs w:val="20"/>
        </w:rPr>
        <w:t>Tables 2.31, p125-126 and Hauser 2017</w:t>
      </w:r>
    </w:p>
    <w:p w:rsidR="00E72AF6" w:rsidRPr="007F116C" w:rsidRDefault="00E72AF6" w:rsidP="00E72AF6">
      <w:pPr>
        <w:widowControl/>
        <w:rPr>
          <w:color w:val="000000" w:themeColor="text1"/>
        </w:rPr>
      </w:pPr>
    </w:p>
    <w:p w:rsidR="00E72AF6" w:rsidRPr="007F116C" w:rsidRDefault="00E72AF6" w:rsidP="00E72AF6">
      <w:pPr>
        <w:pStyle w:val="ListParagraph"/>
        <w:widowControl/>
        <w:numPr>
          <w:ilvl w:val="1"/>
          <w:numId w:val="2"/>
        </w:numPr>
        <w:rPr>
          <w:color w:val="000000" w:themeColor="text1"/>
        </w:rPr>
      </w:pPr>
      <w:r w:rsidRPr="007F116C">
        <w:t>The submission considered that the criteria for measuring disease progression in the ASCLEPIOS I/II trial (i.e. CDW) was the most stringent of the relapsing MS trials, with the addition level of a 1.5 point increase in patients with the lowest disability levels (i.e. EDSS =0 at baseline).</w:t>
      </w:r>
      <w:r w:rsidRPr="007F116C">
        <w:rPr>
          <w:iCs/>
        </w:rPr>
        <w:t xml:space="preserve"> The inclusion of the additional criterion, while more sensitive, was not inherently conservative. Since it may potentially capture disease progression that would not be captured in the comparator trials, this may have led to an increased number of worsening/progression events that may affect the comparability of the trials. The submission’s assumption that these distinct definitions of worsening/ progression can be compared may not be reasonable. The submission’s supplementary network meta-analysis included sensitivity analyses where the definitions of CDP were aligned across the trials. </w:t>
      </w:r>
    </w:p>
    <w:p w:rsidR="00E72AF6" w:rsidRPr="007F116C" w:rsidRDefault="00E72AF6" w:rsidP="005E15EF">
      <w:pPr>
        <w:pStyle w:val="ListParagraph"/>
        <w:widowControl/>
        <w:numPr>
          <w:ilvl w:val="1"/>
          <w:numId w:val="2"/>
        </w:numPr>
        <w:rPr>
          <w:color w:val="000000" w:themeColor="text1"/>
        </w:rPr>
      </w:pPr>
      <w:r w:rsidRPr="007F116C">
        <w:rPr>
          <w:color w:val="000000" w:themeColor="text1"/>
        </w:rPr>
        <w:t xml:space="preserve">Unless otherwise noted, reference to CDW in ASCLEPIOS has been changed in this </w:t>
      </w:r>
      <w:r w:rsidR="00BB3F34" w:rsidRPr="007F116C">
        <w:rPr>
          <w:color w:val="000000" w:themeColor="text1"/>
        </w:rPr>
        <w:t xml:space="preserve">document </w:t>
      </w:r>
      <w:r w:rsidRPr="007F116C">
        <w:rPr>
          <w:color w:val="000000" w:themeColor="text1"/>
        </w:rPr>
        <w:t xml:space="preserve">to CDP. </w:t>
      </w:r>
    </w:p>
    <w:p w:rsidR="005E15EF" w:rsidRPr="007F116C" w:rsidRDefault="005E15EF" w:rsidP="005E15EF">
      <w:pPr>
        <w:pStyle w:val="TableText0"/>
        <w:keepLines/>
        <w:spacing w:before="0" w:after="0"/>
        <w:rPr>
          <w:rStyle w:val="CommentReference"/>
        </w:rPr>
      </w:pPr>
      <w:bookmarkStart w:id="20" w:name="_Ref60996191"/>
      <w:r w:rsidRPr="007F116C">
        <w:rPr>
          <w:rStyle w:val="CommentReference"/>
        </w:rPr>
        <w:t xml:space="preserve">Table </w:t>
      </w:r>
      <w:r w:rsidR="00522713" w:rsidRPr="007F116C">
        <w:rPr>
          <w:rStyle w:val="CommentReference"/>
        </w:rPr>
        <w:t>7</w:t>
      </w:r>
      <w:bookmarkEnd w:id="20"/>
      <w:r w:rsidRPr="007F116C">
        <w:rPr>
          <w:rStyle w:val="CommentReference"/>
        </w:rPr>
        <w:t>: 3-month CD</w:t>
      </w:r>
      <w:r w:rsidR="007E4534" w:rsidRPr="007F116C">
        <w:rPr>
          <w:rStyle w:val="CommentReference"/>
        </w:rPr>
        <w:t>P</w:t>
      </w:r>
      <w:r w:rsidRPr="007F116C">
        <w:rPr>
          <w:rStyle w:val="CommentReference"/>
        </w:rPr>
        <w:t xml:space="preserve"> in the ASCLEPIOS I/II trials (24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246"/>
        <w:gridCol w:w="812"/>
        <w:gridCol w:w="1286"/>
        <w:gridCol w:w="2180"/>
        <w:gridCol w:w="1912"/>
      </w:tblGrid>
      <w:tr w:rsidR="005E15EF" w:rsidRPr="007F116C" w:rsidTr="00905948">
        <w:tc>
          <w:tcPr>
            <w:tcW w:w="877" w:type="pct"/>
          </w:tcPr>
          <w:p w:rsidR="005E15EF" w:rsidRPr="007F116C" w:rsidRDefault="005E15EF" w:rsidP="005E15EF">
            <w:pPr>
              <w:pStyle w:val="PbacTableHeading"/>
              <w:keepNext/>
              <w:keepLines/>
              <w:widowControl w:val="0"/>
              <w:spacing w:after="0"/>
            </w:pPr>
            <w:r w:rsidRPr="007F116C">
              <w:t>Treatment</w:t>
            </w:r>
          </w:p>
        </w:tc>
        <w:tc>
          <w:tcPr>
            <w:tcW w:w="691" w:type="pct"/>
          </w:tcPr>
          <w:p w:rsidR="005E15EF" w:rsidRPr="007F116C" w:rsidRDefault="005E15EF" w:rsidP="005E15EF">
            <w:pPr>
              <w:pStyle w:val="PbacTableHeading"/>
              <w:keepNext/>
              <w:keepLines/>
              <w:widowControl w:val="0"/>
              <w:spacing w:after="0"/>
              <w:jc w:val="center"/>
            </w:pPr>
            <w:r w:rsidRPr="007F116C">
              <w:t>n/N</w:t>
            </w:r>
          </w:p>
        </w:tc>
        <w:tc>
          <w:tcPr>
            <w:tcW w:w="450" w:type="pct"/>
          </w:tcPr>
          <w:p w:rsidR="005E15EF" w:rsidRPr="007F116C" w:rsidRDefault="005E15EF" w:rsidP="005E15EF">
            <w:pPr>
              <w:pStyle w:val="PbacTableHeading"/>
              <w:keepNext/>
              <w:keepLines/>
              <w:widowControl w:val="0"/>
              <w:spacing w:after="0"/>
              <w:jc w:val="center"/>
            </w:pPr>
            <w:r w:rsidRPr="007F116C">
              <w:t>(%)</w:t>
            </w:r>
          </w:p>
        </w:tc>
        <w:tc>
          <w:tcPr>
            <w:tcW w:w="713" w:type="pct"/>
          </w:tcPr>
          <w:p w:rsidR="005E15EF" w:rsidRPr="007F116C" w:rsidRDefault="005E15EF" w:rsidP="005E15EF">
            <w:pPr>
              <w:pStyle w:val="PbacTableHeading"/>
              <w:keepNext/>
              <w:keepLines/>
              <w:widowControl w:val="0"/>
              <w:spacing w:after="0"/>
              <w:jc w:val="center"/>
            </w:pPr>
            <w:r w:rsidRPr="007F116C">
              <w:t>Risk reduction</w:t>
            </w:r>
          </w:p>
        </w:tc>
        <w:tc>
          <w:tcPr>
            <w:tcW w:w="1209" w:type="pct"/>
          </w:tcPr>
          <w:p w:rsidR="005E15EF" w:rsidRPr="007F116C" w:rsidRDefault="005E15EF" w:rsidP="005E15EF">
            <w:pPr>
              <w:pStyle w:val="PbacTableHeading"/>
              <w:keepNext/>
              <w:keepLines/>
              <w:widowControl w:val="0"/>
              <w:spacing w:after="0"/>
              <w:jc w:val="center"/>
              <w:rPr>
                <w:vertAlign w:val="superscript"/>
              </w:rPr>
            </w:pPr>
            <w:r w:rsidRPr="007F116C">
              <w:t>Hazard ratio (95%CI)</w:t>
            </w:r>
            <w:r w:rsidRPr="007F116C">
              <w:rPr>
                <w:vertAlign w:val="superscript"/>
              </w:rPr>
              <w:t>a</w:t>
            </w:r>
          </w:p>
          <w:p w:rsidR="005E15EF" w:rsidRPr="007F116C" w:rsidRDefault="005E15EF" w:rsidP="005E15EF">
            <w:pPr>
              <w:pStyle w:val="PbacTableHeading"/>
              <w:keepNext/>
              <w:keepLines/>
              <w:widowControl w:val="0"/>
              <w:spacing w:after="0"/>
              <w:jc w:val="center"/>
            </w:pPr>
            <w:r w:rsidRPr="007F116C">
              <w:t>P value</w:t>
            </w:r>
          </w:p>
        </w:tc>
        <w:tc>
          <w:tcPr>
            <w:tcW w:w="1060" w:type="pct"/>
          </w:tcPr>
          <w:p w:rsidR="005E15EF" w:rsidRPr="007F116C" w:rsidRDefault="005E15EF" w:rsidP="005E15EF">
            <w:pPr>
              <w:pStyle w:val="PbacTableHeading"/>
              <w:keepNext/>
              <w:keepLines/>
              <w:widowControl w:val="0"/>
              <w:spacing w:after="0"/>
              <w:jc w:val="center"/>
            </w:pPr>
            <w:r w:rsidRPr="007F116C">
              <w:t>OR (95% CI)</w:t>
            </w:r>
          </w:p>
          <w:p w:rsidR="005E15EF" w:rsidRPr="007F116C" w:rsidRDefault="005E15EF" w:rsidP="005E15EF">
            <w:pPr>
              <w:pStyle w:val="PbacTableHeading"/>
              <w:keepNext/>
              <w:keepLines/>
              <w:widowControl w:val="0"/>
              <w:spacing w:after="0"/>
              <w:jc w:val="center"/>
            </w:pPr>
            <w:r w:rsidRPr="007F116C">
              <w:t>P value</w:t>
            </w:r>
          </w:p>
        </w:tc>
      </w:tr>
      <w:tr w:rsidR="005E15EF" w:rsidRPr="007F116C" w:rsidTr="00905948">
        <w:tc>
          <w:tcPr>
            <w:tcW w:w="5000" w:type="pct"/>
            <w:gridSpan w:val="6"/>
          </w:tcPr>
          <w:p w:rsidR="005E15EF" w:rsidRPr="007F116C" w:rsidRDefault="005E15EF" w:rsidP="005E15EF">
            <w:pPr>
              <w:pStyle w:val="PBACTabletext0"/>
              <w:keepNext/>
              <w:keepLines/>
              <w:widowControl w:val="0"/>
              <w:spacing w:before="0" w:after="0"/>
            </w:pPr>
            <w:r w:rsidRPr="007F116C">
              <w:rPr>
                <w:b/>
              </w:rPr>
              <w:t>ASCLEPIOS I</w:t>
            </w:r>
          </w:p>
        </w:tc>
      </w:tr>
      <w:tr w:rsidR="005E15EF" w:rsidRPr="007F116C" w:rsidTr="00905948">
        <w:tc>
          <w:tcPr>
            <w:tcW w:w="877" w:type="pct"/>
          </w:tcPr>
          <w:p w:rsidR="005E15EF" w:rsidRPr="007F116C" w:rsidRDefault="005E15EF" w:rsidP="005E15EF">
            <w:pPr>
              <w:pStyle w:val="PBACTableText"/>
              <w:keepNext/>
              <w:keepLines/>
              <w:widowControl w:val="0"/>
              <w:spacing w:before="0" w:after="0"/>
            </w:pPr>
            <w:r w:rsidRPr="007F116C">
              <w:t>ofatumumab</w:t>
            </w:r>
          </w:p>
        </w:tc>
        <w:tc>
          <w:tcPr>
            <w:tcW w:w="691" w:type="pct"/>
          </w:tcPr>
          <w:p w:rsidR="005E15EF" w:rsidRPr="007F116C" w:rsidRDefault="005E15EF" w:rsidP="005E15EF">
            <w:pPr>
              <w:pStyle w:val="PBACTabletext0"/>
              <w:keepNext/>
              <w:keepLines/>
              <w:widowControl w:val="0"/>
              <w:spacing w:before="0" w:after="0"/>
              <w:jc w:val="center"/>
            </w:pPr>
            <w:r w:rsidRPr="007F116C">
              <w:t>45*/465</w:t>
            </w:r>
          </w:p>
        </w:tc>
        <w:tc>
          <w:tcPr>
            <w:tcW w:w="450" w:type="pct"/>
          </w:tcPr>
          <w:p w:rsidR="005E15EF" w:rsidRPr="007F116C" w:rsidRDefault="005E15EF" w:rsidP="005E15EF">
            <w:pPr>
              <w:pStyle w:val="PBACTabletext0"/>
              <w:keepNext/>
              <w:keepLines/>
              <w:widowControl w:val="0"/>
              <w:spacing w:before="0" w:after="0"/>
              <w:jc w:val="center"/>
            </w:pPr>
            <w:r w:rsidRPr="007F116C">
              <w:t>9.7</w:t>
            </w:r>
          </w:p>
        </w:tc>
        <w:tc>
          <w:tcPr>
            <w:tcW w:w="713" w:type="pct"/>
            <w:vMerge w:val="restart"/>
            <w:vAlign w:val="center"/>
          </w:tcPr>
          <w:p w:rsidR="005E15EF" w:rsidRPr="007F116C" w:rsidRDefault="005E15EF" w:rsidP="005E15EF">
            <w:pPr>
              <w:pStyle w:val="PBACTabletext0"/>
              <w:keepNext/>
              <w:keepLines/>
              <w:widowControl w:val="0"/>
              <w:spacing w:before="0" w:after="0"/>
              <w:jc w:val="center"/>
            </w:pPr>
            <w:r w:rsidRPr="007F116C">
              <w:t>34.8%</w:t>
            </w:r>
          </w:p>
        </w:tc>
        <w:tc>
          <w:tcPr>
            <w:tcW w:w="1209" w:type="pct"/>
            <w:vMerge w:val="restart"/>
          </w:tcPr>
          <w:p w:rsidR="005E15EF" w:rsidRPr="007F116C" w:rsidRDefault="005E15EF" w:rsidP="005E15EF">
            <w:pPr>
              <w:pStyle w:val="PBACTabletext0"/>
              <w:keepNext/>
              <w:keepLines/>
              <w:widowControl w:val="0"/>
              <w:spacing w:before="0" w:after="0"/>
              <w:jc w:val="center"/>
              <w:rPr>
                <w:b/>
              </w:rPr>
            </w:pPr>
            <w:r w:rsidRPr="007F116C">
              <w:rPr>
                <w:b/>
              </w:rPr>
              <w:t>0.652 (0.445, 0.957)</w:t>
            </w:r>
          </w:p>
          <w:p w:rsidR="005E15EF" w:rsidRPr="007F116C" w:rsidRDefault="005E15EF" w:rsidP="005E15EF">
            <w:pPr>
              <w:pStyle w:val="PBACTabletext0"/>
              <w:keepNext/>
              <w:keepLines/>
              <w:widowControl w:val="0"/>
              <w:spacing w:before="0" w:after="0"/>
              <w:jc w:val="center"/>
              <w:rPr>
                <w:b/>
              </w:rPr>
            </w:pPr>
            <w:r w:rsidRPr="007F116C">
              <w:rPr>
                <w:b/>
              </w:rPr>
              <w:t>p=0.029</w:t>
            </w:r>
          </w:p>
        </w:tc>
        <w:tc>
          <w:tcPr>
            <w:tcW w:w="1060" w:type="pct"/>
            <w:vMerge w:val="restart"/>
          </w:tcPr>
          <w:p w:rsidR="005E15EF" w:rsidRPr="007F116C" w:rsidRDefault="005E15EF" w:rsidP="005E15EF">
            <w:pPr>
              <w:pStyle w:val="PBACTabletext0"/>
              <w:keepNext/>
              <w:keepLines/>
              <w:spacing w:before="0" w:after="0"/>
              <w:jc w:val="center"/>
            </w:pPr>
            <w:r w:rsidRPr="007F116C">
              <w:t>0.67 (0.45, 1.01)</w:t>
            </w:r>
          </w:p>
          <w:p w:rsidR="005E15EF" w:rsidRPr="007F116C" w:rsidRDefault="005E15EF" w:rsidP="005E15EF">
            <w:pPr>
              <w:pStyle w:val="PBACTabletext0"/>
              <w:keepNext/>
              <w:keepLines/>
              <w:widowControl w:val="0"/>
              <w:spacing w:before="0" w:after="0"/>
              <w:jc w:val="center"/>
              <w:rPr>
                <w:b/>
              </w:rPr>
            </w:pPr>
            <w:r w:rsidRPr="007F116C">
              <w:t>p=0.06</w:t>
            </w:r>
          </w:p>
        </w:tc>
      </w:tr>
      <w:tr w:rsidR="005E15EF" w:rsidRPr="007F116C" w:rsidTr="00905948">
        <w:tc>
          <w:tcPr>
            <w:tcW w:w="877" w:type="pct"/>
          </w:tcPr>
          <w:p w:rsidR="005E15EF" w:rsidRPr="007F116C" w:rsidRDefault="005E15EF" w:rsidP="005E15EF">
            <w:pPr>
              <w:pStyle w:val="PBACTableText"/>
              <w:keepNext/>
              <w:keepLines/>
              <w:widowControl w:val="0"/>
              <w:spacing w:before="0" w:after="0"/>
            </w:pPr>
            <w:r w:rsidRPr="007F116C">
              <w:t>teriflunomide</w:t>
            </w:r>
          </w:p>
        </w:tc>
        <w:tc>
          <w:tcPr>
            <w:tcW w:w="691" w:type="pct"/>
          </w:tcPr>
          <w:p w:rsidR="005E15EF" w:rsidRPr="007F116C" w:rsidRDefault="005E15EF" w:rsidP="005E15EF">
            <w:pPr>
              <w:pStyle w:val="PBACTabletext0"/>
              <w:keepNext/>
              <w:keepLines/>
              <w:widowControl w:val="0"/>
              <w:spacing w:before="0" w:after="0"/>
              <w:jc w:val="center"/>
            </w:pPr>
            <w:r w:rsidRPr="007F116C">
              <w:t>63/459</w:t>
            </w:r>
          </w:p>
        </w:tc>
        <w:tc>
          <w:tcPr>
            <w:tcW w:w="450" w:type="pct"/>
          </w:tcPr>
          <w:p w:rsidR="005E15EF" w:rsidRPr="007F116C" w:rsidRDefault="005E15EF" w:rsidP="005E15EF">
            <w:pPr>
              <w:pStyle w:val="PBACTabletext0"/>
              <w:keepNext/>
              <w:keepLines/>
              <w:widowControl w:val="0"/>
              <w:spacing w:before="0" w:after="0"/>
              <w:jc w:val="center"/>
            </w:pPr>
            <w:r w:rsidRPr="007F116C">
              <w:t>13.7</w:t>
            </w:r>
          </w:p>
        </w:tc>
        <w:tc>
          <w:tcPr>
            <w:tcW w:w="713" w:type="pct"/>
            <w:vMerge/>
          </w:tcPr>
          <w:p w:rsidR="005E15EF" w:rsidRPr="007F116C" w:rsidRDefault="005E15EF" w:rsidP="005E15EF">
            <w:pPr>
              <w:pStyle w:val="PBACTabletext0"/>
              <w:keepNext/>
              <w:keepLines/>
              <w:widowControl w:val="0"/>
              <w:spacing w:before="0" w:after="0"/>
              <w:jc w:val="center"/>
            </w:pPr>
          </w:p>
        </w:tc>
        <w:tc>
          <w:tcPr>
            <w:tcW w:w="1209" w:type="pct"/>
            <w:vMerge/>
          </w:tcPr>
          <w:p w:rsidR="005E15EF" w:rsidRPr="007F116C" w:rsidRDefault="005E15EF" w:rsidP="005E15EF">
            <w:pPr>
              <w:pStyle w:val="PBACTabletext0"/>
              <w:keepNext/>
              <w:keepLines/>
              <w:widowControl w:val="0"/>
              <w:spacing w:before="0" w:after="0"/>
              <w:jc w:val="center"/>
            </w:pPr>
          </w:p>
        </w:tc>
        <w:tc>
          <w:tcPr>
            <w:tcW w:w="1060" w:type="pct"/>
            <w:vMerge/>
          </w:tcPr>
          <w:p w:rsidR="005E15EF" w:rsidRPr="007F116C" w:rsidRDefault="005E15EF" w:rsidP="005E15EF">
            <w:pPr>
              <w:pStyle w:val="PBACTabletext0"/>
              <w:keepNext/>
              <w:keepLines/>
              <w:widowControl w:val="0"/>
              <w:spacing w:before="0" w:after="0"/>
              <w:jc w:val="center"/>
            </w:pPr>
          </w:p>
        </w:tc>
      </w:tr>
      <w:tr w:rsidR="005E15EF" w:rsidRPr="007F116C" w:rsidTr="00905948">
        <w:tc>
          <w:tcPr>
            <w:tcW w:w="5000" w:type="pct"/>
            <w:gridSpan w:val="6"/>
          </w:tcPr>
          <w:p w:rsidR="005E15EF" w:rsidRPr="007F116C" w:rsidRDefault="005E15EF" w:rsidP="005E15EF">
            <w:pPr>
              <w:pStyle w:val="PBACTabletext0"/>
              <w:keepNext/>
              <w:keepLines/>
              <w:widowControl w:val="0"/>
              <w:spacing w:before="0" w:after="0"/>
            </w:pPr>
            <w:r w:rsidRPr="007F116C">
              <w:rPr>
                <w:b/>
              </w:rPr>
              <w:t>ASCLEPIOS II</w:t>
            </w:r>
          </w:p>
        </w:tc>
      </w:tr>
      <w:tr w:rsidR="005E15EF" w:rsidRPr="007F116C" w:rsidTr="00905948">
        <w:tc>
          <w:tcPr>
            <w:tcW w:w="877" w:type="pct"/>
          </w:tcPr>
          <w:p w:rsidR="005E15EF" w:rsidRPr="007F116C" w:rsidRDefault="005E15EF" w:rsidP="005E15EF">
            <w:pPr>
              <w:pStyle w:val="PBACTableText"/>
              <w:keepNext/>
              <w:keepLines/>
              <w:widowControl w:val="0"/>
              <w:spacing w:before="0" w:after="0"/>
            </w:pPr>
            <w:r w:rsidRPr="007F116C">
              <w:t>ofatumumab</w:t>
            </w:r>
          </w:p>
        </w:tc>
        <w:tc>
          <w:tcPr>
            <w:tcW w:w="691" w:type="pct"/>
          </w:tcPr>
          <w:p w:rsidR="005E15EF" w:rsidRPr="007F116C" w:rsidRDefault="005E15EF" w:rsidP="005E15EF">
            <w:pPr>
              <w:pStyle w:val="PBACTabletext0"/>
              <w:keepNext/>
              <w:keepLines/>
              <w:widowControl w:val="0"/>
              <w:spacing w:before="0" w:after="0"/>
              <w:jc w:val="center"/>
            </w:pPr>
            <w:r w:rsidRPr="007F116C">
              <w:t>43/479</w:t>
            </w:r>
          </w:p>
        </w:tc>
        <w:tc>
          <w:tcPr>
            <w:tcW w:w="450" w:type="pct"/>
          </w:tcPr>
          <w:p w:rsidR="005E15EF" w:rsidRPr="007F116C" w:rsidRDefault="005E15EF" w:rsidP="005E15EF">
            <w:pPr>
              <w:pStyle w:val="PBACTabletext0"/>
              <w:keepNext/>
              <w:keepLines/>
              <w:widowControl w:val="0"/>
              <w:spacing w:before="0" w:after="0"/>
              <w:jc w:val="center"/>
            </w:pPr>
            <w:r w:rsidRPr="007F116C">
              <w:t>9.0</w:t>
            </w:r>
          </w:p>
        </w:tc>
        <w:tc>
          <w:tcPr>
            <w:tcW w:w="713" w:type="pct"/>
            <w:vMerge w:val="restart"/>
            <w:vAlign w:val="center"/>
          </w:tcPr>
          <w:p w:rsidR="005E15EF" w:rsidRPr="007F116C" w:rsidRDefault="005E15EF" w:rsidP="005E15EF">
            <w:pPr>
              <w:pStyle w:val="PBACTabletext0"/>
              <w:keepNext/>
              <w:keepLines/>
              <w:widowControl w:val="0"/>
              <w:spacing w:before="0" w:after="0"/>
              <w:jc w:val="center"/>
            </w:pPr>
            <w:r w:rsidRPr="007F116C">
              <w:t>34.0%</w:t>
            </w:r>
          </w:p>
        </w:tc>
        <w:tc>
          <w:tcPr>
            <w:tcW w:w="1209" w:type="pct"/>
            <w:vMerge w:val="restart"/>
          </w:tcPr>
          <w:p w:rsidR="005E15EF" w:rsidRPr="007F116C" w:rsidRDefault="005E15EF" w:rsidP="005E15EF">
            <w:pPr>
              <w:pStyle w:val="PBACTabletext0"/>
              <w:keepNext/>
              <w:keepLines/>
              <w:widowControl w:val="0"/>
              <w:spacing w:before="0" w:after="0"/>
              <w:jc w:val="center"/>
              <w:rPr>
                <w:b/>
              </w:rPr>
            </w:pPr>
            <w:r w:rsidRPr="007F116C">
              <w:rPr>
                <w:b/>
              </w:rPr>
              <w:t>0.660 (0.447, 0.974</w:t>
            </w:r>
          </w:p>
          <w:p w:rsidR="005E15EF" w:rsidRPr="007F116C" w:rsidRDefault="005E15EF" w:rsidP="005E15EF">
            <w:pPr>
              <w:pStyle w:val="PBACTabletext0"/>
              <w:keepNext/>
              <w:keepLines/>
              <w:widowControl w:val="0"/>
              <w:spacing w:before="0" w:after="0"/>
              <w:jc w:val="center"/>
              <w:rPr>
                <w:b/>
              </w:rPr>
            </w:pPr>
            <w:r w:rsidRPr="007F116C">
              <w:rPr>
                <w:b/>
              </w:rPr>
              <w:t>p=0.036</w:t>
            </w:r>
          </w:p>
        </w:tc>
        <w:tc>
          <w:tcPr>
            <w:tcW w:w="1060" w:type="pct"/>
            <w:vMerge w:val="restart"/>
          </w:tcPr>
          <w:p w:rsidR="005E15EF" w:rsidRPr="007F116C" w:rsidRDefault="005E15EF" w:rsidP="005E15EF">
            <w:pPr>
              <w:pStyle w:val="PBACTabletext0"/>
              <w:keepNext/>
              <w:keepLines/>
              <w:spacing w:before="0" w:after="0"/>
              <w:jc w:val="center"/>
              <w:rPr>
                <w:b/>
              </w:rPr>
            </w:pPr>
            <w:r w:rsidRPr="007F116C">
              <w:rPr>
                <w:b/>
              </w:rPr>
              <w:t xml:space="preserve">0.65 (0.43, 0.98) </w:t>
            </w:r>
          </w:p>
          <w:p w:rsidR="005E15EF" w:rsidRPr="007F116C" w:rsidRDefault="005E15EF" w:rsidP="005E15EF">
            <w:pPr>
              <w:pStyle w:val="PBACTabletext0"/>
              <w:keepNext/>
              <w:keepLines/>
              <w:widowControl w:val="0"/>
              <w:spacing w:before="0" w:after="0"/>
              <w:jc w:val="center"/>
              <w:rPr>
                <w:b/>
              </w:rPr>
            </w:pPr>
            <w:r w:rsidRPr="007F116C">
              <w:rPr>
                <w:b/>
              </w:rPr>
              <w:t>p=0.04</w:t>
            </w:r>
          </w:p>
        </w:tc>
      </w:tr>
      <w:tr w:rsidR="005E15EF" w:rsidRPr="007F116C" w:rsidTr="00905948">
        <w:tc>
          <w:tcPr>
            <w:tcW w:w="877" w:type="pct"/>
          </w:tcPr>
          <w:p w:rsidR="005E15EF" w:rsidRPr="007F116C" w:rsidRDefault="005E15EF" w:rsidP="005E15EF">
            <w:pPr>
              <w:pStyle w:val="PBACTableText"/>
              <w:keepNext/>
              <w:keepLines/>
              <w:widowControl w:val="0"/>
              <w:spacing w:before="0" w:after="0"/>
            </w:pPr>
            <w:r w:rsidRPr="007F116C">
              <w:t>teriflunomide</w:t>
            </w:r>
          </w:p>
        </w:tc>
        <w:tc>
          <w:tcPr>
            <w:tcW w:w="691" w:type="pct"/>
          </w:tcPr>
          <w:p w:rsidR="005E15EF" w:rsidRPr="007F116C" w:rsidRDefault="005E15EF" w:rsidP="005E15EF">
            <w:pPr>
              <w:pStyle w:val="PBACTabletext0"/>
              <w:keepNext/>
              <w:keepLines/>
              <w:widowControl w:val="0"/>
              <w:spacing w:before="0" w:after="0"/>
              <w:jc w:val="center"/>
            </w:pPr>
            <w:r w:rsidRPr="007F116C">
              <w:t>62/472</w:t>
            </w:r>
          </w:p>
        </w:tc>
        <w:tc>
          <w:tcPr>
            <w:tcW w:w="450" w:type="pct"/>
          </w:tcPr>
          <w:p w:rsidR="005E15EF" w:rsidRPr="007F116C" w:rsidRDefault="005E15EF" w:rsidP="005E15EF">
            <w:pPr>
              <w:pStyle w:val="PBACTabletext0"/>
              <w:keepNext/>
              <w:keepLines/>
              <w:widowControl w:val="0"/>
              <w:spacing w:before="0" w:after="0"/>
              <w:jc w:val="center"/>
            </w:pPr>
            <w:r w:rsidRPr="007F116C">
              <w:t>13.1</w:t>
            </w:r>
          </w:p>
        </w:tc>
        <w:tc>
          <w:tcPr>
            <w:tcW w:w="713" w:type="pct"/>
            <w:vMerge/>
          </w:tcPr>
          <w:p w:rsidR="005E15EF" w:rsidRPr="007F116C" w:rsidRDefault="005E15EF" w:rsidP="005E15EF">
            <w:pPr>
              <w:pStyle w:val="PBACTabletext0"/>
              <w:keepNext/>
              <w:keepLines/>
              <w:widowControl w:val="0"/>
              <w:spacing w:before="0" w:after="0"/>
              <w:jc w:val="center"/>
            </w:pPr>
          </w:p>
        </w:tc>
        <w:tc>
          <w:tcPr>
            <w:tcW w:w="1209" w:type="pct"/>
            <w:vMerge/>
          </w:tcPr>
          <w:p w:rsidR="005E15EF" w:rsidRPr="007F116C" w:rsidRDefault="005E15EF" w:rsidP="005E15EF">
            <w:pPr>
              <w:pStyle w:val="PBACTabletext0"/>
              <w:keepNext/>
              <w:keepLines/>
              <w:widowControl w:val="0"/>
              <w:spacing w:before="0" w:after="0"/>
              <w:jc w:val="center"/>
            </w:pPr>
          </w:p>
        </w:tc>
        <w:tc>
          <w:tcPr>
            <w:tcW w:w="1060" w:type="pct"/>
            <w:vMerge/>
          </w:tcPr>
          <w:p w:rsidR="005E15EF" w:rsidRPr="007F116C" w:rsidRDefault="005E15EF" w:rsidP="005E15EF">
            <w:pPr>
              <w:pStyle w:val="PBACTabletext0"/>
              <w:keepNext/>
              <w:keepLines/>
              <w:widowControl w:val="0"/>
              <w:spacing w:before="0" w:after="0"/>
              <w:jc w:val="center"/>
            </w:pPr>
          </w:p>
        </w:tc>
      </w:tr>
      <w:tr w:rsidR="005E15EF" w:rsidRPr="007F116C" w:rsidTr="00905948">
        <w:tc>
          <w:tcPr>
            <w:tcW w:w="1" w:type="pct"/>
            <w:gridSpan w:val="6"/>
          </w:tcPr>
          <w:p w:rsidR="005E15EF" w:rsidRPr="007F116C" w:rsidRDefault="005E15EF" w:rsidP="005E15EF">
            <w:pPr>
              <w:pStyle w:val="PBACTabletext0"/>
              <w:keepNext/>
              <w:keepLines/>
              <w:widowControl w:val="0"/>
              <w:spacing w:before="0" w:after="0"/>
            </w:pPr>
            <w:r w:rsidRPr="007F116C">
              <w:rPr>
                <w:b/>
              </w:rPr>
              <w:t>pooled</w:t>
            </w:r>
          </w:p>
        </w:tc>
      </w:tr>
      <w:tr w:rsidR="005E15EF" w:rsidRPr="007F116C" w:rsidTr="00905948">
        <w:tc>
          <w:tcPr>
            <w:tcW w:w="877" w:type="pct"/>
          </w:tcPr>
          <w:p w:rsidR="005E15EF" w:rsidRPr="007F116C" w:rsidRDefault="005E15EF" w:rsidP="005E15EF">
            <w:pPr>
              <w:pStyle w:val="PBACTableText"/>
              <w:keepNext/>
              <w:keepLines/>
              <w:widowControl w:val="0"/>
              <w:spacing w:before="0" w:after="0"/>
            </w:pPr>
            <w:r w:rsidRPr="007F116C">
              <w:t>ofatumumab</w:t>
            </w:r>
          </w:p>
        </w:tc>
        <w:tc>
          <w:tcPr>
            <w:tcW w:w="691" w:type="pct"/>
          </w:tcPr>
          <w:p w:rsidR="005E15EF" w:rsidRPr="007F116C" w:rsidRDefault="005E15EF" w:rsidP="005E15EF">
            <w:pPr>
              <w:pStyle w:val="PBACTabletext0"/>
              <w:keepNext/>
              <w:keepLines/>
              <w:widowControl w:val="0"/>
              <w:spacing w:before="0" w:after="0"/>
              <w:jc w:val="center"/>
            </w:pPr>
            <w:r w:rsidRPr="007F116C">
              <w:t>88/944</w:t>
            </w:r>
          </w:p>
        </w:tc>
        <w:tc>
          <w:tcPr>
            <w:tcW w:w="450" w:type="pct"/>
          </w:tcPr>
          <w:p w:rsidR="005E15EF" w:rsidRPr="007F116C" w:rsidRDefault="005E15EF" w:rsidP="005E15EF">
            <w:pPr>
              <w:pStyle w:val="PBACTabletext0"/>
              <w:keepNext/>
              <w:keepLines/>
              <w:widowControl w:val="0"/>
              <w:spacing w:before="0" w:after="0"/>
              <w:jc w:val="center"/>
            </w:pPr>
            <w:r w:rsidRPr="007F116C">
              <w:t>9.3</w:t>
            </w:r>
          </w:p>
        </w:tc>
        <w:tc>
          <w:tcPr>
            <w:tcW w:w="713" w:type="pct"/>
            <w:vMerge w:val="restart"/>
            <w:vAlign w:val="center"/>
          </w:tcPr>
          <w:p w:rsidR="005E15EF" w:rsidRPr="007F116C" w:rsidRDefault="005E15EF" w:rsidP="005E15EF">
            <w:pPr>
              <w:pStyle w:val="PBACTabletext0"/>
              <w:keepNext/>
              <w:keepLines/>
              <w:widowControl w:val="0"/>
              <w:spacing w:before="0" w:after="0"/>
              <w:jc w:val="center"/>
            </w:pPr>
            <w:r w:rsidRPr="007F116C">
              <w:t>34.4%</w:t>
            </w:r>
          </w:p>
        </w:tc>
        <w:tc>
          <w:tcPr>
            <w:tcW w:w="1209" w:type="pct"/>
            <w:vMerge w:val="restart"/>
          </w:tcPr>
          <w:p w:rsidR="005E15EF" w:rsidRPr="007F116C" w:rsidRDefault="005E15EF" w:rsidP="005E15EF">
            <w:pPr>
              <w:pStyle w:val="PBACTabletext0"/>
              <w:keepNext/>
              <w:keepLines/>
              <w:widowControl w:val="0"/>
              <w:spacing w:before="0" w:after="0"/>
              <w:jc w:val="center"/>
              <w:rPr>
                <w:b/>
              </w:rPr>
            </w:pPr>
            <w:r w:rsidRPr="007F116C">
              <w:rPr>
                <w:b/>
              </w:rPr>
              <w:t>0.656  (0.499, 0.862)</w:t>
            </w:r>
          </w:p>
          <w:p w:rsidR="005E15EF" w:rsidRPr="007F116C" w:rsidRDefault="005E15EF" w:rsidP="005E15EF">
            <w:pPr>
              <w:pStyle w:val="PBACTabletext0"/>
              <w:keepNext/>
              <w:keepLines/>
              <w:widowControl w:val="0"/>
              <w:spacing w:before="0" w:after="0"/>
              <w:jc w:val="center"/>
              <w:rPr>
                <w:b/>
              </w:rPr>
            </w:pPr>
            <w:r w:rsidRPr="007F116C">
              <w:rPr>
                <w:b/>
              </w:rPr>
              <w:t>P=0.002</w:t>
            </w:r>
          </w:p>
        </w:tc>
        <w:tc>
          <w:tcPr>
            <w:tcW w:w="1060" w:type="pct"/>
            <w:vMerge w:val="restart"/>
          </w:tcPr>
          <w:p w:rsidR="005E15EF" w:rsidRPr="007F116C" w:rsidRDefault="005E15EF" w:rsidP="005E15EF">
            <w:pPr>
              <w:pStyle w:val="PBACTabletext0"/>
              <w:keepNext/>
              <w:keepLines/>
              <w:spacing w:before="0" w:after="0"/>
              <w:jc w:val="center"/>
              <w:rPr>
                <w:b/>
              </w:rPr>
            </w:pPr>
            <w:r w:rsidRPr="007F116C">
              <w:rPr>
                <w:b/>
              </w:rPr>
              <w:t>0.66 (0.50, 0.89)</w:t>
            </w:r>
          </w:p>
          <w:p w:rsidR="005E15EF" w:rsidRPr="007F116C" w:rsidRDefault="005E15EF" w:rsidP="005E15EF">
            <w:pPr>
              <w:pStyle w:val="PBACTabletext0"/>
              <w:keepNext/>
              <w:keepLines/>
              <w:widowControl w:val="0"/>
              <w:spacing w:before="0" w:after="0"/>
              <w:jc w:val="center"/>
              <w:rPr>
                <w:b/>
              </w:rPr>
            </w:pPr>
            <w:r w:rsidRPr="007F116C">
              <w:rPr>
                <w:b/>
              </w:rPr>
              <w:t>p=0.005</w:t>
            </w:r>
          </w:p>
        </w:tc>
      </w:tr>
      <w:tr w:rsidR="005E15EF" w:rsidRPr="007F116C" w:rsidTr="00905948">
        <w:tc>
          <w:tcPr>
            <w:tcW w:w="877" w:type="pct"/>
          </w:tcPr>
          <w:p w:rsidR="005E15EF" w:rsidRPr="007F116C" w:rsidRDefault="005E15EF" w:rsidP="005E15EF">
            <w:pPr>
              <w:pStyle w:val="PBACTableText"/>
              <w:keepNext/>
              <w:keepLines/>
              <w:widowControl w:val="0"/>
              <w:spacing w:before="0" w:after="0"/>
            </w:pPr>
            <w:r w:rsidRPr="007F116C">
              <w:t>teriflunomide</w:t>
            </w:r>
          </w:p>
        </w:tc>
        <w:tc>
          <w:tcPr>
            <w:tcW w:w="691" w:type="pct"/>
          </w:tcPr>
          <w:p w:rsidR="005E15EF" w:rsidRPr="007F116C" w:rsidRDefault="005E15EF" w:rsidP="005E15EF">
            <w:pPr>
              <w:pStyle w:val="PBACTabletext0"/>
              <w:keepNext/>
              <w:keepLines/>
              <w:widowControl w:val="0"/>
              <w:spacing w:before="0" w:after="0"/>
              <w:jc w:val="center"/>
            </w:pPr>
            <w:r w:rsidRPr="007F116C">
              <w:t>125/931</w:t>
            </w:r>
          </w:p>
        </w:tc>
        <w:tc>
          <w:tcPr>
            <w:tcW w:w="450" w:type="pct"/>
          </w:tcPr>
          <w:p w:rsidR="005E15EF" w:rsidRPr="007F116C" w:rsidRDefault="005E15EF" w:rsidP="005E15EF">
            <w:pPr>
              <w:pStyle w:val="PBACTabletext0"/>
              <w:keepNext/>
              <w:keepLines/>
              <w:widowControl w:val="0"/>
              <w:spacing w:before="0" w:after="0"/>
              <w:jc w:val="center"/>
            </w:pPr>
            <w:r w:rsidRPr="007F116C">
              <w:t>13.4</w:t>
            </w:r>
          </w:p>
        </w:tc>
        <w:tc>
          <w:tcPr>
            <w:tcW w:w="713" w:type="pct"/>
            <w:vMerge/>
          </w:tcPr>
          <w:p w:rsidR="005E15EF" w:rsidRPr="007F116C" w:rsidRDefault="005E15EF" w:rsidP="005E15EF">
            <w:pPr>
              <w:pStyle w:val="PBACTabletext0"/>
              <w:keepNext/>
              <w:keepLines/>
              <w:widowControl w:val="0"/>
              <w:spacing w:before="0" w:after="0"/>
              <w:jc w:val="center"/>
            </w:pPr>
          </w:p>
        </w:tc>
        <w:tc>
          <w:tcPr>
            <w:tcW w:w="1209" w:type="pct"/>
            <w:vMerge/>
          </w:tcPr>
          <w:p w:rsidR="005E15EF" w:rsidRPr="007F116C" w:rsidRDefault="005E15EF" w:rsidP="005E15EF">
            <w:pPr>
              <w:pStyle w:val="PBACTabletext0"/>
              <w:keepNext/>
              <w:keepLines/>
              <w:widowControl w:val="0"/>
              <w:spacing w:before="0" w:after="0"/>
              <w:jc w:val="center"/>
            </w:pPr>
          </w:p>
        </w:tc>
        <w:tc>
          <w:tcPr>
            <w:tcW w:w="1060" w:type="pct"/>
            <w:vMerge/>
          </w:tcPr>
          <w:p w:rsidR="005E15EF" w:rsidRPr="007F116C" w:rsidRDefault="005E15EF" w:rsidP="005E15EF">
            <w:pPr>
              <w:pStyle w:val="PBACTabletext0"/>
              <w:keepNext/>
              <w:keepLines/>
              <w:widowControl w:val="0"/>
              <w:spacing w:before="0" w:after="0"/>
              <w:jc w:val="center"/>
            </w:pPr>
          </w:p>
        </w:tc>
      </w:tr>
    </w:tbl>
    <w:p w:rsidR="005E15EF" w:rsidRPr="007F116C" w:rsidRDefault="00296911" w:rsidP="005E15EF">
      <w:pPr>
        <w:pStyle w:val="TableFooter"/>
        <w:keepNext/>
        <w:keepLines/>
      </w:pPr>
      <w:r w:rsidRPr="007F116C">
        <w:t>Source: Table 2.40, p152</w:t>
      </w:r>
      <w:r w:rsidR="005E15EF" w:rsidRPr="007F116C">
        <w:t xml:space="preserve"> and Table 2.42, p155 of the submission. CI = confidence interval</w:t>
      </w:r>
    </w:p>
    <w:p w:rsidR="005E15EF" w:rsidRPr="007F116C" w:rsidRDefault="005E15EF" w:rsidP="005E15EF">
      <w:pPr>
        <w:pStyle w:val="TableFooter"/>
      </w:pPr>
      <w:r w:rsidRPr="007F116C">
        <w:t xml:space="preserve">Values in bold indicate statistically significant differences </w:t>
      </w:r>
    </w:p>
    <w:p w:rsidR="005E15EF" w:rsidRPr="007F116C" w:rsidRDefault="005E15EF" w:rsidP="005E15EF">
      <w:pPr>
        <w:pStyle w:val="TableFooter"/>
        <w:keepNext/>
        <w:keepLines/>
      </w:pPr>
      <w:r w:rsidRPr="007F116C">
        <w:rPr>
          <w:vertAlign w:val="superscript"/>
        </w:rPr>
        <w:t xml:space="preserve">a </w:t>
      </w:r>
      <w:r w:rsidRPr="007F116C">
        <w:t>Results of treatment comparison obtained from a Cox regression adjusted for study as stratum, treatment, and region as factors and baseline EDSS as a continuous covariate. Statistical test uses significance (2-sided) level at 0.04875 between treatments according to the multiplicity procedure.</w:t>
      </w:r>
    </w:p>
    <w:p w:rsidR="005E15EF" w:rsidRPr="007F116C" w:rsidRDefault="005E15EF" w:rsidP="005E15EF">
      <w:pPr>
        <w:pStyle w:val="TableFooter"/>
        <w:keepNext/>
        <w:keepLines/>
      </w:pPr>
      <w:r w:rsidRPr="007F116C">
        <w:t xml:space="preserve">*The submission table included the number 46/465 instead of 45/465. This number did not fit with the numbers of the pooled results, and was changed during the evaluation to be consistent with Table 7.4.4 of the TGA Clinical Evaluator’s Report. </w:t>
      </w:r>
    </w:p>
    <w:p w:rsidR="005E15EF" w:rsidRPr="007F116C" w:rsidRDefault="005E15EF" w:rsidP="005E15EF"/>
    <w:p w:rsidR="005E15EF" w:rsidRPr="007F116C" w:rsidRDefault="005E15EF" w:rsidP="005E15EF">
      <w:pPr>
        <w:pStyle w:val="TableText0"/>
        <w:spacing w:before="0" w:after="0"/>
        <w:rPr>
          <w:rStyle w:val="CommentReference"/>
        </w:rPr>
      </w:pPr>
      <w:bookmarkStart w:id="21" w:name="_Ref60996209"/>
      <w:r w:rsidRPr="007F116C">
        <w:rPr>
          <w:rStyle w:val="CommentReference"/>
        </w:rPr>
        <w:t xml:space="preserve">Table </w:t>
      </w:r>
      <w:r w:rsidR="00522713" w:rsidRPr="007F116C">
        <w:rPr>
          <w:rStyle w:val="CommentReference"/>
        </w:rPr>
        <w:t>8</w:t>
      </w:r>
      <w:bookmarkEnd w:id="21"/>
      <w:r w:rsidRPr="007F116C">
        <w:rPr>
          <w:rStyle w:val="CommentReference"/>
        </w:rPr>
        <w:t>: 6-month CD</w:t>
      </w:r>
      <w:r w:rsidR="00877871" w:rsidRPr="007F116C">
        <w:rPr>
          <w:rStyle w:val="CommentReference"/>
        </w:rPr>
        <w:t>P</w:t>
      </w:r>
      <w:r w:rsidRPr="007F116C">
        <w:rPr>
          <w:rStyle w:val="CommentReference"/>
        </w:rPr>
        <w:t xml:space="preserve"> in the ASCLEPIOS I/II trials (24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060"/>
        <w:gridCol w:w="1062"/>
        <w:gridCol w:w="1380"/>
        <w:gridCol w:w="1895"/>
        <w:gridCol w:w="1636"/>
      </w:tblGrid>
      <w:tr w:rsidR="005E15EF" w:rsidRPr="007F116C" w:rsidTr="00905948">
        <w:trPr>
          <w:trHeight w:val="170"/>
        </w:trPr>
        <w:tc>
          <w:tcPr>
            <w:tcW w:w="1100" w:type="pct"/>
          </w:tcPr>
          <w:p w:rsidR="005E15EF" w:rsidRPr="007F116C" w:rsidRDefault="005E15EF" w:rsidP="005E15EF">
            <w:pPr>
              <w:pStyle w:val="TableText0"/>
              <w:spacing w:before="0" w:after="0"/>
              <w:rPr>
                <w:b/>
                <w:bCs/>
                <w:szCs w:val="20"/>
              </w:rPr>
            </w:pPr>
            <w:r w:rsidRPr="007F116C">
              <w:rPr>
                <w:b/>
                <w:bCs/>
                <w:szCs w:val="20"/>
              </w:rPr>
              <w:t>Treatment</w:t>
            </w:r>
          </w:p>
        </w:tc>
        <w:tc>
          <w:tcPr>
            <w:tcW w:w="588" w:type="pct"/>
          </w:tcPr>
          <w:p w:rsidR="005E15EF" w:rsidRPr="007F116C" w:rsidRDefault="005E15EF" w:rsidP="005E15EF">
            <w:pPr>
              <w:pStyle w:val="TableText0"/>
              <w:spacing w:before="0" w:after="0"/>
              <w:jc w:val="center"/>
              <w:rPr>
                <w:b/>
                <w:bCs/>
                <w:szCs w:val="20"/>
              </w:rPr>
            </w:pPr>
            <w:r w:rsidRPr="007F116C">
              <w:rPr>
                <w:b/>
                <w:bCs/>
                <w:szCs w:val="20"/>
              </w:rPr>
              <w:t>n/N</w:t>
            </w:r>
          </w:p>
        </w:tc>
        <w:tc>
          <w:tcPr>
            <w:tcW w:w="589" w:type="pct"/>
          </w:tcPr>
          <w:p w:rsidR="005E15EF" w:rsidRPr="007F116C" w:rsidRDefault="005E15EF" w:rsidP="005E15EF">
            <w:pPr>
              <w:pStyle w:val="TableText0"/>
              <w:spacing w:before="0" w:after="0"/>
              <w:jc w:val="center"/>
              <w:rPr>
                <w:b/>
                <w:bCs/>
                <w:szCs w:val="20"/>
              </w:rPr>
            </w:pPr>
            <w:r w:rsidRPr="007F116C">
              <w:rPr>
                <w:b/>
                <w:bCs/>
                <w:szCs w:val="20"/>
              </w:rPr>
              <w:t>(%)</w:t>
            </w:r>
          </w:p>
        </w:tc>
        <w:tc>
          <w:tcPr>
            <w:tcW w:w="765" w:type="pct"/>
          </w:tcPr>
          <w:p w:rsidR="005E15EF" w:rsidRPr="007F116C" w:rsidRDefault="005E15EF" w:rsidP="005E15EF">
            <w:pPr>
              <w:pStyle w:val="TableText0"/>
              <w:spacing w:before="0" w:after="0"/>
              <w:jc w:val="center"/>
              <w:rPr>
                <w:b/>
                <w:bCs/>
                <w:szCs w:val="20"/>
              </w:rPr>
            </w:pPr>
            <w:r w:rsidRPr="007F116C">
              <w:rPr>
                <w:b/>
                <w:bCs/>
                <w:szCs w:val="20"/>
              </w:rPr>
              <w:t>Risk reduction</w:t>
            </w:r>
          </w:p>
        </w:tc>
        <w:tc>
          <w:tcPr>
            <w:tcW w:w="1051" w:type="pct"/>
          </w:tcPr>
          <w:p w:rsidR="005E15EF" w:rsidRPr="007F116C" w:rsidRDefault="005E15EF" w:rsidP="005E15EF">
            <w:pPr>
              <w:pStyle w:val="TableText0"/>
              <w:spacing w:before="0" w:after="0"/>
              <w:jc w:val="center"/>
              <w:rPr>
                <w:b/>
                <w:bCs/>
                <w:szCs w:val="20"/>
                <w:vertAlign w:val="superscript"/>
              </w:rPr>
            </w:pPr>
            <w:r w:rsidRPr="007F116C">
              <w:rPr>
                <w:b/>
                <w:bCs/>
                <w:szCs w:val="20"/>
              </w:rPr>
              <w:t>Hazard ratio (95%CI)</w:t>
            </w:r>
            <w:r w:rsidRPr="007F116C">
              <w:rPr>
                <w:b/>
                <w:bCs/>
                <w:szCs w:val="20"/>
                <w:vertAlign w:val="superscript"/>
              </w:rPr>
              <w:t>a</w:t>
            </w:r>
          </w:p>
          <w:p w:rsidR="005E15EF" w:rsidRPr="007F116C" w:rsidRDefault="005E15EF" w:rsidP="005E15EF">
            <w:pPr>
              <w:pStyle w:val="TableText0"/>
              <w:spacing w:before="0" w:after="0"/>
              <w:jc w:val="center"/>
              <w:rPr>
                <w:b/>
                <w:bCs/>
                <w:szCs w:val="20"/>
              </w:rPr>
            </w:pPr>
            <w:r w:rsidRPr="007F116C">
              <w:rPr>
                <w:b/>
                <w:bCs/>
                <w:szCs w:val="20"/>
              </w:rPr>
              <w:t>P value</w:t>
            </w:r>
          </w:p>
        </w:tc>
        <w:tc>
          <w:tcPr>
            <w:tcW w:w="907" w:type="pct"/>
          </w:tcPr>
          <w:p w:rsidR="005E15EF" w:rsidRPr="007F116C" w:rsidRDefault="005E15EF" w:rsidP="005E15EF">
            <w:pPr>
              <w:pStyle w:val="TableText0"/>
              <w:spacing w:before="0" w:after="0"/>
              <w:jc w:val="center"/>
              <w:rPr>
                <w:b/>
                <w:bCs/>
                <w:szCs w:val="20"/>
              </w:rPr>
            </w:pPr>
            <w:r w:rsidRPr="007F116C">
              <w:rPr>
                <w:b/>
                <w:bCs/>
                <w:szCs w:val="20"/>
              </w:rPr>
              <w:t>OR (95% CI)</w:t>
            </w:r>
          </w:p>
          <w:p w:rsidR="005E15EF" w:rsidRPr="007F116C" w:rsidRDefault="005E15EF" w:rsidP="005E15EF">
            <w:pPr>
              <w:pStyle w:val="TableText0"/>
              <w:spacing w:before="0" w:after="0"/>
              <w:jc w:val="center"/>
              <w:rPr>
                <w:b/>
                <w:bCs/>
                <w:szCs w:val="20"/>
              </w:rPr>
            </w:pPr>
            <w:r w:rsidRPr="007F116C">
              <w:rPr>
                <w:b/>
                <w:bCs/>
                <w:szCs w:val="20"/>
              </w:rPr>
              <w:t>P value</w:t>
            </w:r>
          </w:p>
        </w:tc>
      </w:tr>
      <w:tr w:rsidR="005E15EF" w:rsidRPr="007F116C" w:rsidTr="00905948">
        <w:trPr>
          <w:trHeight w:val="170"/>
        </w:trPr>
        <w:tc>
          <w:tcPr>
            <w:tcW w:w="5000" w:type="pct"/>
            <w:gridSpan w:val="6"/>
          </w:tcPr>
          <w:p w:rsidR="005E15EF" w:rsidRPr="007F116C" w:rsidRDefault="005E15EF" w:rsidP="005E15EF">
            <w:pPr>
              <w:pStyle w:val="TableText0"/>
              <w:spacing w:before="0" w:after="0"/>
              <w:rPr>
                <w:b/>
                <w:szCs w:val="20"/>
              </w:rPr>
            </w:pPr>
            <w:r w:rsidRPr="007F116C">
              <w:rPr>
                <w:b/>
                <w:szCs w:val="20"/>
              </w:rPr>
              <w:t>ASCLEPIOS I</w:t>
            </w:r>
          </w:p>
        </w:tc>
      </w:tr>
      <w:tr w:rsidR="005E15EF" w:rsidRPr="007F116C" w:rsidTr="00905948">
        <w:trPr>
          <w:trHeight w:val="170"/>
        </w:trPr>
        <w:tc>
          <w:tcPr>
            <w:tcW w:w="1100" w:type="pct"/>
          </w:tcPr>
          <w:p w:rsidR="005E15EF" w:rsidRPr="007F116C" w:rsidRDefault="005E15EF" w:rsidP="005E15EF">
            <w:pPr>
              <w:pStyle w:val="TableText0"/>
              <w:spacing w:before="0" w:after="0"/>
              <w:rPr>
                <w:szCs w:val="20"/>
              </w:rPr>
            </w:pPr>
            <w:r w:rsidRPr="007F116C">
              <w:rPr>
                <w:szCs w:val="20"/>
              </w:rPr>
              <w:t>ofatumumab</w:t>
            </w:r>
          </w:p>
        </w:tc>
        <w:tc>
          <w:tcPr>
            <w:tcW w:w="588" w:type="pct"/>
          </w:tcPr>
          <w:p w:rsidR="005E15EF" w:rsidRPr="007F116C" w:rsidRDefault="005E15EF" w:rsidP="005E15EF">
            <w:pPr>
              <w:pStyle w:val="TableText0"/>
              <w:spacing w:before="0" w:after="0"/>
              <w:jc w:val="center"/>
              <w:rPr>
                <w:szCs w:val="20"/>
              </w:rPr>
            </w:pPr>
            <w:r w:rsidRPr="007F116C">
              <w:rPr>
                <w:szCs w:val="20"/>
              </w:rPr>
              <w:t>35/465</w:t>
            </w:r>
          </w:p>
        </w:tc>
        <w:tc>
          <w:tcPr>
            <w:tcW w:w="589" w:type="pct"/>
          </w:tcPr>
          <w:p w:rsidR="005E15EF" w:rsidRPr="007F116C" w:rsidRDefault="005E15EF" w:rsidP="005E15EF">
            <w:pPr>
              <w:pStyle w:val="TableText0"/>
              <w:spacing w:before="0" w:after="0"/>
              <w:jc w:val="center"/>
              <w:rPr>
                <w:szCs w:val="20"/>
              </w:rPr>
            </w:pPr>
            <w:r w:rsidRPr="007F116C">
              <w:rPr>
                <w:szCs w:val="20"/>
              </w:rPr>
              <w:t>7.5</w:t>
            </w:r>
          </w:p>
        </w:tc>
        <w:tc>
          <w:tcPr>
            <w:tcW w:w="765" w:type="pct"/>
            <w:vMerge w:val="restart"/>
            <w:vAlign w:val="center"/>
          </w:tcPr>
          <w:p w:rsidR="005E15EF" w:rsidRPr="007F116C" w:rsidRDefault="005E15EF" w:rsidP="005E15EF">
            <w:pPr>
              <w:pStyle w:val="TableText0"/>
              <w:spacing w:before="0" w:after="0"/>
              <w:jc w:val="center"/>
              <w:rPr>
                <w:szCs w:val="20"/>
              </w:rPr>
            </w:pPr>
            <w:r w:rsidRPr="007F116C">
              <w:rPr>
                <w:szCs w:val="20"/>
              </w:rPr>
              <w:t>39.3%</w:t>
            </w:r>
          </w:p>
        </w:tc>
        <w:tc>
          <w:tcPr>
            <w:tcW w:w="1051" w:type="pct"/>
            <w:vMerge w:val="restart"/>
          </w:tcPr>
          <w:p w:rsidR="005E15EF" w:rsidRPr="007F116C" w:rsidRDefault="005E15EF" w:rsidP="005E15EF">
            <w:pPr>
              <w:pStyle w:val="TableText0"/>
              <w:spacing w:before="0" w:after="0"/>
              <w:jc w:val="center"/>
              <w:rPr>
                <w:b/>
                <w:szCs w:val="20"/>
              </w:rPr>
            </w:pPr>
            <w:r w:rsidRPr="007F116C">
              <w:rPr>
                <w:b/>
                <w:szCs w:val="20"/>
              </w:rPr>
              <w:t>0.607 (0.396, 0.930)</w:t>
            </w:r>
          </w:p>
          <w:p w:rsidR="005E15EF" w:rsidRPr="007F116C" w:rsidRDefault="005E15EF" w:rsidP="005E15EF">
            <w:pPr>
              <w:pStyle w:val="TableText0"/>
              <w:spacing w:before="0" w:after="0"/>
              <w:jc w:val="center"/>
              <w:rPr>
                <w:b/>
                <w:szCs w:val="20"/>
              </w:rPr>
            </w:pPr>
            <w:r w:rsidRPr="007F116C">
              <w:rPr>
                <w:b/>
                <w:szCs w:val="20"/>
              </w:rPr>
              <w:t>p=0.022</w:t>
            </w:r>
          </w:p>
        </w:tc>
        <w:tc>
          <w:tcPr>
            <w:tcW w:w="907" w:type="pct"/>
            <w:vMerge w:val="restart"/>
          </w:tcPr>
          <w:p w:rsidR="005E15EF" w:rsidRPr="007F116C" w:rsidRDefault="005E15EF" w:rsidP="005E15EF">
            <w:pPr>
              <w:pStyle w:val="TableText0"/>
              <w:spacing w:before="0" w:after="0"/>
              <w:jc w:val="center"/>
              <w:rPr>
                <w:b/>
                <w:szCs w:val="20"/>
              </w:rPr>
            </w:pPr>
            <w:r w:rsidRPr="007F116C">
              <w:rPr>
                <w:b/>
                <w:szCs w:val="20"/>
              </w:rPr>
              <w:t>0.62 (0.40, 0.98)</w:t>
            </w:r>
          </w:p>
          <w:p w:rsidR="005E15EF" w:rsidRPr="007F116C" w:rsidRDefault="005E15EF" w:rsidP="005E15EF">
            <w:pPr>
              <w:pStyle w:val="TableText0"/>
              <w:spacing w:before="0" w:after="0"/>
              <w:jc w:val="center"/>
              <w:rPr>
                <w:b/>
                <w:szCs w:val="20"/>
              </w:rPr>
            </w:pPr>
            <w:r w:rsidRPr="007F116C">
              <w:rPr>
                <w:b/>
                <w:szCs w:val="20"/>
              </w:rPr>
              <w:t>p=0.04</w:t>
            </w:r>
          </w:p>
        </w:tc>
      </w:tr>
      <w:tr w:rsidR="005E15EF" w:rsidRPr="007F116C" w:rsidTr="00905948">
        <w:trPr>
          <w:trHeight w:val="170"/>
        </w:trPr>
        <w:tc>
          <w:tcPr>
            <w:tcW w:w="1100" w:type="pct"/>
          </w:tcPr>
          <w:p w:rsidR="005E15EF" w:rsidRPr="007F116C" w:rsidRDefault="005E15EF" w:rsidP="005E15EF">
            <w:pPr>
              <w:pStyle w:val="TableText0"/>
              <w:spacing w:before="0" w:after="0"/>
              <w:rPr>
                <w:szCs w:val="20"/>
              </w:rPr>
            </w:pPr>
            <w:r w:rsidRPr="007F116C">
              <w:rPr>
                <w:szCs w:val="20"/>
              </w:rPr>
              <w:t>teriflunomide</w:t>
            </w:r>
          </w:p>
        </w:tc>
        <w:tc>
          <w:tcPr>
            <w:tcW w:w="588" w:type="pct"/>
          </w:tcPr>
          <w:p w:rsidR="005E15EF" w:rsidRPr="007F116C" w:rsidRDefault="005E15EF" w:rsidP="005E15EF">
            <w:pPr>
              <w:pStyle w:val="TableText0"/>
              <w:spacing w:before="0" w:after="0"/>
              <w:jc w:val="center"/>
              <w:rPr>
                <w:szCs w:val="20"/>
              </w:rPr>
            </w:pPr>
            <w:r w:rsidRPr="007F116C">
              <w:rPr>
                <w:szCs w:val="20"/>
              </w:rPr>
              <w:t>53/459</w:t>
            </w:r>
          </w:p>
        </w:tc>
        <w:tc>
          <w:tcPr>
            <w:tcW w:w="589" w:type="pct"/>
          </w:tcPr>
          <w:p w:rsidR="005E15EF" w:rsidRPr="007F116C" w:rsidRDefault="005E15EF" w:rsidP="005E15EF">
            <w:pPr>
              <w:pStyle w:val="TableText0"/>
              <w:spacing w:before="0" w:after="0"/>
              <w:jc w:val="center"/>
              <w:rPr>
                <w:szCs w:val="20"/>
              </w:rPr>
            </w:pPr>
            <w:r w:rsidRPr="007F116C">
              <w:rPr>
                <w:szCs w:val="20"/>
              </w:rPr>
              <w:t>11.5</w:t>
            </w:r>
          </w:p>
        </w:tc>
        <w:tc>
          <w:tcPr>
            <w:tcW w:w="765" w:type="pct"/>
            <w:vMerge/>
          </w:tcPr>
          <w:p w:rsidR="005E15EF" w:rsidRPr="007F116C" w:rsidRDefault="005E15EF" w:rsidP="005E15EF">
            <w:pPr>
              <w:pStyle w:val="TableText0"/>
              <w:spacing w:before="0" w:after="0"/>
              <w:jc w:val="center"/>
              <w:rPr>
                <w:szCs w:val="20"/>
              </w:rPr>
            </w:pPr>
          </w:p>
        </w:tc>
        <w:tc>
          <w:tcPr>
            <w:tcW w:w="1051" w:type="pct"/>
            <w:vMerge/>
          </w:tcPr>
          <w:p w:rsidR="005E15EF" w:rsidRPr="007F116C" w:rsidRDefault="005E15EF" w:rsidP="005E15EF">
            <w:pPr>
              <w:pStyle w:val="TableText0"/>
              <w:spacing w:before="0" w:after="0"/>
              <w:jc w:val="center"/>
              <w:rPr>
                <w:szCs w:val="20"/>
              </w:rPr>
            </w:pPr>
          </w:p>
        </w:tc>
        <w:tc>
          <w:tcPr>
            <w:tcW w:w="907" w:type="pct"/>
            <w:vMerge/>
          </w:tcPr>
          <w:p w:rsidR="005E15EF" w:rsidRPr="007F116C" w:rsidRDefault="005E15EF" w:rsidP="005E15EF">
            <w:pPr>
              <w:pStyle w:val="TableText0"/>
              <w:spacing w:before="0" w:after="0"/>
              <w:jc w:val="center"/>
              <w:rPr>
                <w:szCs w:val="20"/>
              </w:rPr>
            </w:pPr>
          </w:p>
        </w:tc>
      </w:tr>
      <w:tr w:rsidR="005E15EF" w:rsidRPr="007F116C" w:rsidTr="00905948">
        <w:trPr>
          <w:trHeight w:val="170"/>
        </w:trPr>
        <w:tc>
          <w:tcPr>
            <w:tcW w:w="5000" w:type="pct"/>
            <w:gridSpan w:val="6"/>
          </w:tcPr>
          <w:p w:rsidR="005E15EF" w:rsidRPr="007F116C" w:rsidRDefault="005E15EF" w:rsidP="005E15EF">
            <w:pPr>
              <w:pStyle w:val="TableText0"/>
              <w:spacing w:before="0" w:after="0"/>
              <w:rPr>
                <w:szCs w:val="20"/>
              </w:rPr>
            </w:pPr>
            <w:r w:rsidRPr="007F116C">
              <w:rPr>
                <w:b/>
                <w:szCs w:val="20"/>
              </w:rPr>
              <w:t>ASCLEPIOS II</w:t>
            </w:r>
          </w:p>
        </w:tc>
      </w:tr>
      <w:tr w:rsidR="005E15EF" w:rsidRPr="007F116C" w:rsidTr="00905948">
        <w:trPr>
          <w:trHeight w:val="170"/>
        </w:trPr>
        <w:tc>
          <w:tcPr>
            <w:tcW w:w="1100" w:type="pct"/>
          </w:tcPr>
          <w:p w:rsidR="005E15EF" w:rsidRPr="007F116C" w:rsidRDefault="005E15EF" w:rsidP="005E15EF">
            <w:pPr>
              <w:pStyle w:val="TableText0"/>
              <w:spacing w:before="0" w:after="0"/>
              <w:rPr>
                <w:szCs w:val="20"/>
              </w:rPr>
            </w:pPr>
            <w:r w:rsidRPr="007F116C">
              <w:rPr>
                <w:szCs w:val="20"/>
              </w:rPr>
              <w:t>ofatumumab</w:t>
            </w:r>
          </w:p>
        </w:tc>
        <w:tc>
          <w:tcPr>
            <w:tcW w:w="588" w:type="pct"/>
          </w:tcPr>
          <w:p w:rsidR="005E15EF" w:rsidRPr="007F116C" w:rsidRDefault="005E15EF" w:rsidP="005E15EF">
            <w:pPr>
              <w:pStyle w:val="TableText0"/>
              <w:spacing w:before="0" w:after="0"/>
              <w:jc w:val="center"/>
              <w:rPr>
                <w:szCs w:val="20"/>
              </w:rPr>
            </w:pPr>
            <w:r w:rsidRPr="007F116C">
              <w:rPr>
                <w:szCs w:val="20"/>
              </w:rPr>
              <w:t>36/479</w:t>
            </w:r>
          </w:p>
        </w:tc>
        <w:tc>
          <w:tcPr>
            <w:tcW w:w="589" w:type="pct"/>
          </w:tcPr>
          <w:p w:rsidR="005E15EF" w:rsidRPr="007F116C" w:rsidRDefault="005E15EF" w:rsidP="005E15EF">
            <w:pPr>
              <w:pStyle w:val="TableText0"/>
              <w:spacing w:before="0" w:after="0"/>
              <w:jc w:val="center"/>
              <w:rPr>
                <w:szCs w:val="20"/>
              </w:rPr>
            </w:pPr>
            <w:r w:rsidRPr="007F116C">
              <w:rPr>
                <w:szCs w:val="20"/>
              </w:rPr>
              <w:t>7.5</w:t>
            </w:r>
          </w:p>
        </w:tc>
        <w:tc>
          <w:tcPr>
            <w:tcW w:w="765" w:type="pct"/>
            <w:vMerge w:val="restart"/>
            <w:vAlign w:val="center"/>
          </w:tcPr>
          <w:p w:rsidR="005E15EF" w:rsidRPr="007F116C" w:rsidRDefault="005E15EF" w:rsidP="005E15EF">
            <w:pPr>
              <w:pStyle w:val="TableText0"/>
              <w:spacing w:before="0" w:after="0"/>
              <w:jc w:val="center"/>
              <w:rPr>
                <w:szCs w:val="20"/>
              </w:rPr>
            </w:pPr>
            <w:r w:rsidRPr="007F116C">
              <w:rPr>
                <w:szCs w:val="20"/>
              </w:rPr>
              <w:t>24.4%</w:t>
            </w:r>
          </w:p>
        </w:tc>
        <w:tc>
          <w:tcPr>
            <w:tcW w:w="1051" w:type="pct"/>
            <w:vMerge w:val="restart"/>
          </w:tcPr>
          <w:p w:rsidR="005E15EF" w:rsidRPr="007F116C" w:rsidRDefault="005E15EF" w:rsidP="005E15EF">
            <w:pPr>
              <w:pStyle w:val="TableText0"/>
              <w:spacing w:before="0" w:after="0"/>
              <w:jc w:val="center"/>
              <w:rPr>
                <w:szCs w:val="20"/>
              </w:rPr>
            </w:pPr>
            <w:r w:rsidRPr="007F116C">
              <w:rPr>
                <w:szCs w:val="20"/>
              </w:rPr>
              <w:t>0.756 (0.489, 1.170)</w:t>
            </w:r>
          </w:p>
          <w:p w:rsidR="005E15EF" w:rsidRPr="007F116C" w:rsidRDefault="005E15EF" w:rsidP="005E15EF">
            <w:pPr>
              <w:pStyle w:val="TableText0"/>
              <w:spacing w:before="0" w:after="0"/>
              <w:jc w:val="center"/>
              <w:rPr>
                <w:szCs w:val="20"/>
              </w:rPr>
            </w:pPr>
            <w:r w:rsidRPr="007F116C">
              <w:rPr>
                <w:szCs w:val="20"/>
              </w:rPr>
              <w:t>p=0.209</w:t>
            </w:r>
          </w:p>
        </w:tc>
        <w:tc>
          <w:tcPr>
            <w:tcW w:w="907" w:type="pct"/>
            <w:vMerge w:val="restart"/>
          </w:tcPr>
          <w:p w:rsidR="005E15EF" w:rsidRPr="007F116C" w:rsidRDefault="005E15EF" w:rsidP="005E15EF">
            <w:pPr>
              <w:pStyle w:val="TableText0"/>
              <w:spacing w:before="0" w:after="0"/>
              <w:jc w:val="center"/>
              <w:rPr>
                <w:szCs w:val="20"/>
              </w:rPr>
            </w:pPr>
            <w:r w:rsidRPr="007F116C">
              <w:rPr>
                <w:szCs w:val="20"/>
              </w:rPr>
              <w:t>0.75 (0.48, 1.19)</w:t>
            </w:r>
          </w:p>
          <w:p w:rsidR="005E15EF" w:rsidRPr="007F116C" w:rsidRDefault="005E15EF" w:rsidP="005E15EF">
            <w:pPr>
              <w:pStyle w:val="TableText0"/>
              <w:spacing w:before="0" w:after="0"/>
              <w:jc w:val="center"/>
              <w:rPr>
                <w:szCs w:val="20"/>
              </w:rPr>
            </w:pPr>
            <w:r w:rsidRPr="007F116C">
              <w:rPr>
                <w:szCs w:val="20"/>
              </w:rPr>
              <w:t>p=0.22</w:t>
            </w:r>
          </w:p>
        </w:tc>
      </w:tr>
      <w:tr w:rsidR="005E15EF" w:rsidRPr="007F116C" w:rsidTr="00905948">
        <w:trPr>
          <w:trHeight w:val="170"/>
        </w:trPr>
        <w:tc>
          <w:tcPr>
            <w:tcW w:w="1100" w:type="pct"/>
          </w:tcPr>
          <w:p w:rsidR="005E15EF" w:rsidRPr="007F116C" w:rsidRDefault="005E15EF" w:rsidP="005E15EF">
            <w:pPr>
              <w:pStyle w:val="TableText0"/>
              <w:spacing w:before="0" w:after="0"/>
              <w:rPr>
                <w:szCs w:val="20"/>
              </w:rPr>
            </w:pPr>
            <w:r w:rsidRPr="007F116C">
              <w:rPr>
                <w:szCs w:val="20"/>
              </w:rPr>
              <w:t>teriflunomide</w:t>
            </w:r>
          </w:p>
        </w:tc>
        <w:tc>
          <w:tcPr>
            <w:tcW w:w="588" w:type="pct"/>
          </w:tcPr>
          <w:p w:rsidR="005E15EF" w:rsidRPr="007F116C" w:rsidRDefault="005E15EF" w:rsidP="005E15EF">
            <w:pPr>
              <w:pStyle w:val="TableText0"/>
              <w:spacing w:before="0" w:after="0"/>
              <w:jc w:val="center"/>
              <w:rPr>
                <w:szCs w:val="20"/>
              </w:rPr>
            </w:pPr>
            <w:r w:rsidRPr="007F116C">
              <w:rPr>
                <w:szCs w:val="20"/>
              </w:rPr>
              <w:t>46/472</w:t>
            </w:r>
          </w:p>
        </w:tc>
        <w:tc>
          <w:tcPr>
            <w:tcW w:w="589" w:type="pct"/>
          </w:tcPr>
          <w:p w:rsidR="005E15EF" w:rsidRPr="007F116C" w:rsidRDefault="005E15EF" w:rsidP="005E15EF">
            <w:pPr>
              <w:pStyle w:val="TableText0"/>
              <w:spacing w:before="0" w:after="0"/>
              <w:jc w:val="center"/>
              <w:rPr>
                <w:szCs w:val="20"/>
              </w:rPr>
            </w:pPr>
            <w:r w:rsidRPr="007F116C">
              <w:rPr>
                <w:szCs w:val="20"/>
              </w:rPr>
              <w:t>9.7</w:t>
            </w:r>
          </w:p>
        </w:tc>
        <w:tc>
          <w:tcPr>
            <w:tcW w:w="765" w:type="pct"/>
            <w:vMerge/>
          </w:tcPr>
          <w:p w:rsidR="005E15EF" w:rsidRPr="007F116C" w:rsidRDefault="005E15EF" w:rsidP="005E15EF">
            <w:pPr>
              <w:pStyle w:val="TableText0"/>
              <w:spacing w:before="0" w:after="0"/>
              <w:jc w:val="center"/>
              <w:rPr>
                <w:szCs w:val="20"/>
              </w:rPr>
            </w:pPr>
          </w:p>
        </w:tc>
        <w:tc>
          <w:tcPr>
            <w:tcW w:w="1051" w:type="pct"/>
            <w:vMerge/>
          </w:tcPr>
          <w:p w:rsidR="005E15EF" w:rsidRPr="007F116C" w:rsidRDefault="005E15EF" w:rsidP="005E15EF">
            <w:pPr>
              <w:pStyle w:val="TableText0"/>
              <w:spacing w:before="0" w:after="0"/>
              <w:jc w:val="center"/>
              <w:rPr>
                <w:szCs w:val="20"/>
              </w:rPr>
            </w:pPr>
          </w:p>
        </w:tc>
        <w:tc>
          <w:tcPr>
            <w:tcW w:w="907" w:type="pct"/>
            <w:vMerge/>
          </w:tcPr>
          <w:p w:rsidR="005E15EF" w:rsidRPr="007F116C" w:rsidRDefault="005E15EF" w:rsidP="005E15EF">
            <w:pPr>
              <w:pStyle w:val="TableText0"/>
              <w:spacing w:before="0" w:after="0"/>
              <w:jc w:val="center"/>
              <w:rPr>
                <w:szCs w:val="20"/>
              </w:rPr>
            </w:pPr>
          </w:p>
        </w:tc>
      </w:tr>
      <w:tr w:rsidR="005E15EF" w:rsidRPr="007F116C" w:rsidTr="00905948">
        <w:trPr>
          <w:trHeight w:val="170"/>
        </w:trPr>
        <w:tc>
          <w:tcPr>
            <w:tcW w:w="1" w:type="pct"/>
            <w:gridSpan w:val="6"/>
          </w:tcPr>
          <w:p w:rsidR="005E15EF" w:rsidRPr="007F116C" w:rsidRDefault="005E15EF" w:rsidP="005E15EF">
            <w:pPr>
              <w:pStyle w:val="TableText0"/>
              <w:spacing w:before="0" w:after="0"/>
              <w:rPr>
                <w:szCs w:val="20"/>
              </w:rPr>
            </w:pPr>
            <w:r w:rsidRPr="007F116C">
              <w:rPr>
                <w:b/>
                <w:szCs w:val="20"/>
              </w:rPr>
              <w:t>Pooled</w:t>
            </w:r>
          </w:p>
        </w:tc>
      </w:tr>
      <w:tr w:rsidR="005E15EF" w:rsidRPr="007F116C" w:rsidTr="00905948">
        <w:trPr>
          <w:trHeight w:val="170"/>
        </w:trPr>
        <w:tc>
          <w:tcPr>
            <w:tcW w:w="1100" w:type="pct"/>
          </w:tcPr>
          <w:p w:rsidR="005E15EF" w:rsidRPr="007F116C" w:rsidRDefault="005E15EF" w:rsidP="005E15EF">
            <w:pPr>
              <w:pStyle w:val="TableText0"/>
              <w:spacing w:before="0" w:after="0"/>
              <w:rPr>
                <w:szCs w:val="20"/>
              </w:rPr>
            </w:pPr>
            <w:r w:rsidRPr="007F116C">
              <w:rPr>
                <w:szCs w:val="20"/>
              </w:rPr>
              <w:t>ofatumumab</w:t>
            </w:r>
          </w:p>
        </w:tc>
        <w:tc>
          <w:tcPr>
            <w:tcW w:w="588" w:type="pct"/>
          </w:tcPr>
          <w:p w:rsidR="005E15EF" w:rsidRPr="007F116C" w:rsidRDefault="005E15EF" w:rsidP="005E15EF">
            <w:pPr>
              <w:pStyle w:val="TableText0"/>
              <w:spacing w:before="0" w:after="0"/>
              <w:jc w:val="center"/>
              <w:rPr>
                <w:szCs w:val="20"/>
              </w:rPr>
            </w:pPr>
            <w:r w:rsidRPr="007F116C">
              <w:rPr>
                <w:szCs w:val="20"/>
              </w:rPr>
              <w:t>71/944</w:t>
            </w:r>
          </w:p>
        </w:tc>
        <w:tc>
          <w:tcPr>
            <w:tcW w:w="589" w:type="pct"/>
          </w:tcPr>
          <w:p w:rsidR="005E15EF" w:rsidRPr="007F116C" w:rsidRDefault="005E15EF" w:rsidP="005E15EF">
            <w:pPr>
              <w:pStyle w:val="TableText0"/>
              <w:spacing w:before="0" w:after="0"/>
              <w:jc w:val="center"/>
              <w:rPr>
                <w:szCs w:val="20"/>
              </w:rPr>
            </w:pPr>
            <w:r w:rsidRPr="007F116C">
              <w:rPr>
                <w:szCs w:val="20"/>
              </w:rPr>
              <w:t>7.5</w:t>
            </w:r>
          </w:p>
        </w:tc>
        <w:tc>
          <w:tcPr>
            <w:tcW w:w="765" w:type="pct"/>
            <w:vMerge w:val="restart"/>
            <w:vAlign w:val="center"/>
          </w:tcPr>
          <w:p w:rsidR="005E15EF" w:rsidRPr="007F116C" w:rsidRDefault="005E15EF" w:rsidP="005E15EF">
            <w:pPr>
              <w:pStyle w:val="TableText0"/>
              <w:spacing w:before="0" w:after="0"/>
              <w:jc w:val="center"/>
              <w:rPr>
                <w:szCs w:val="20"/>
              </w:rPr>
            </w:pPr>
            <w:r w:rsidRPr="007F116C">
              <w:rPr>
                <w:szCs w:val="20"/>
              </w:rPr>
              <w:t>32.5%</w:t>
            </w:r>
          </w:p>
        </w:tc>
        <w:tc>
          <w:tcPr>
            <w:tcW w:w="1051" w:type="pct"/>
            <w:vMerge w:val="restart"/>
          </w:tcPr>
          <w:p w:rsidR="005E15EF" w:rsidRPr="007F116C" w:rsidRDefault="005E15EF" w:rsidP="005E15EF">
            <w:pPr>
              <w:pStyle w:val="TableText0"/>
              <w:spacing w:before="0" w:after="0"/>
              <w:jc w:val="center"/>
              <w:rPr>
                <w:b/>
                <w:szCs w:val="20"/>
              </w:rPr>
            </w:pPr>
            <w:r w:rsidRPr="007F116C">
              <w:rPr>
                <w:b/>
                <w:szCs w:val="20"/>
              </w:rPr>
              <w:t>0.675 (0.498, 0.916)</w:t>
            </w:r>
          </w:p>
          <w:p w:rsidR="005E15EF" w:rsidRPr="007F116C" w:rsidRDefault="005E15EF" w:rsidP="005E15EF">
            <w:pPr>
              <w:pStyle w:val="TableText0"/>
              <w:spacing w:before="0" w:after="0"/>
              <w:jc w:val="center"/>
              <w:rPr>
                <w:b/>
                <w:szCs w:val="20"/>
              </w:rPr>
            </w:pPr>
            <w:r w:rsidRPr="007F116C">
              <w:rPr>
                <w:b/>
                <w:szCs w:val="20"/>
              </w:rPr>
              <w:t>p=0.012</w:t>
            </w:r>
          </w:p>
        </w:tc>
        <w:tc>
          <w:tcPr>
            <w:tcW w:w="907" w:type="pct"/>
            <w:vMerge w:val="restart"/>
          </w:tcPr>
          <w:p w:rsidR="005E15EF" w:rsidRPr="007F116C" w:rsidRDefault="005E15EF" w:rsidP="005E15EF">
            <w:pPr>
              <w:pStyle w:val="TableText0"/>
              <w:spacing w:before="0" w:after="0"/>
              <w:jc w:val="center"/>
              <w:rPr>
                <w:b/>
                <w:szCs w:val="20"/>
              </w:rPr>
            </w:pPr>
            <w:r w:rsidRPr="007F116C">
              <w:rPr>
                <w:b/>
                <w:szCs w:val="20"/>
              </w:rPr>
              <w:t>0.68 (0.50, 0.94)</w:t>
            </w:r>
          </w:p>
          <w:p w:rsidR="005E15EF" w:rsidRPr="007F116C" w:rsidRDefault="005E15EF" w:rsidP="005E15EF">
            <w:pPr>
              <w:pStyle w:val="TableText0"/>
              <w:spacing w:before="0" w:after="0"/>
              <w:jc w:val="center"/>
              <w:rPr>
                <w:b/>
                <w:szCs w:val="20"/>
              </w:rPr>
            </w:pPr>
            <w:r w:rsidRPr="007F116C">
              <w:rPr>
                <w:b/>
                <w:szCs w:val="20"/>
              </w:rPr>
              <w:t>p=0.02</w:t>
            </w:r>
          </w:p>
        </w:tc>
      </w:tr>
      <w:tr w:rsidR="005E15EF" w:rsidRPr="007F116C" w:rsidTr="00905948">
        <w:trPr>
          <w:trHeight w:val="170"/>
        </w:trPr>
        <w:tc>
          <w:tcPr>
            <w:tcW w:w="1100" w:type="pct"/>
          </w:tcPr>
          <w:p w:rsidR="005E15EF" w:rsidRPr="007F116C" w:rsidRDefault="005E15EF" w:rsidP="005E15EF">
            <w:pPr>
              <w:pStyle w:val="TableText0"/>
              <w:spacing w:before="0" w:after="0"/>
              <w:rPr>
                <w:szCs w:val="20"/>
              </w:rPr>
            </w:pPr>
            <w:r w:rsidRPr="007F116C">
              <w:rPr>
                <w:szCs w:val="20"/>
              </w:rPr>
              <w:t>teriflunomide</w:t>
            </w:r>
          </w:p>
        </w:tc>
        <w:tc>
          <w:tcPr>
            <w:tcW w:w="588" w:type="pct"/>
          </w:tcPr>
          <w:p w:rsidR="005E15EF" w:rsidRPr="007F116C" w:rsidRDefault="005E15EF" w:rsidP="005E15EF">
            <w:pPr>
              <w:pStyle w:val="TableText0"/>
              <w:spacing w:before="0" w:after="0"/>
              <w:jc w:val="center"/>
              <w:rPr>
                <w:szCs w:val="20"/>
              </w:rPr>
            </w:pPr>
            <w:r w:rsidRPr="007F116C">
              <w:rPr>
                <w:szCs w:val="20"/>
              </w:rPr>
              <w:t>99/931</w:t>
            </w:r>
          </w:p>
        </w:tc>
        <w:tc>
          <w:tcPr>
            <w:tcW w:w="589" w:type="pct"/>
          </w:tcPr>
          <w:p w:rsidR="005E15EF" w:rsidRPr="007F116C" w:rsidRDefault="005E15EF" w:rsidP="005E15EF">
            <w:pPr>
              <w:pStyle w:val="TableText0"/>
              <w:spacing w:before="0" w:after="0"/>
              <w:jc w:val="center"/>
              <w:rPr>
                <w:szCs w:val="20"/>
              </w:rPr>
            </w:pPr>
            <w:r w:rsidRPr="007F116C">
              <w:rPr>
                <w:szCs w:val="20"/>
              </w:rPr>
              <w:t>10.6</w:t>
            </w:r>
          </w:p>
        </w:tc>
        <w:tc>
          <w:tcPr>
            <w:tcW w:w="765" w:type="pct"/>
            <w:vMerge/>
          </w:tcPr>
          <w:p w:rsidR="005E15EF" w:rsidRPr="007F116C" w:rsidRDefault="005E15EF" w:rsidP="005E15EF">
            <w:pPr>
              <w:pStyle w:val="TableText0"/>
              <w:spacing w:before="0" w:after="0"/>
              <w:rPr>
                <w:szCs w:val="20"/>
              </w:rPr>
            </w:pPr>
          </w:p>
        </w:tc>
        <w:tc>
          <w:tcPr>
            <w:tcW w:w="1051" w:type="pct"/>
            <w:vMerge/>
          </w:tcPr>
          <w:p w:rsidR="005E15EF" w:rsidRPr="007F116C" w:rsidRDefault="005E15EF" w:rsidP="005E15EF">
            <w:pPr>
              <w:pStyle w:val="TableText0"/>
              <w:spacing w:before="0" w:after="0"/>
              <w:jc w:val="center"/>
              <w:rPr>
                <w:szCs w:val="20"/>
              </w:rPr>
            </w:pPr>
          </w:p>
        </w:tc>
        <w:tc>
          <w:tcPr>
            <w:tcW w:w="907" w:type="pct"/>
            <w:vMerge/>
          </w:tcPr>
          <w:p w:rsidR="005E15EF" w:rsidRPr="007F116C" w:rsidRDefault="005E15EF" w:rsidP="005E15EF">
            <w:pPr>
              <w:pStyle w:val="TableText0"/>
              <w:spacing w:before="0" w:after="0"/>
              <w:jc w:val="center"/>
              <w:rPr>
                <w:szCs w:val="20"/>
              </w:rPr>
            </w:pPr>
          </w:p>
        </w:tc>
      </w:tr>
    </w:tbl>
    <w:p w:rsidR="005E15EF" w:rsidRPr="007F116C" w:rsidRDefault="005E15EF" w:rsidP="005E15EF">
      <w:pPr>
        <w:pStyle w:val="TableFooter"/>
      </w:pPr>
      <w:r w:rsidRPr="007F116C">
        <w:t xml:space="preserve">Source: Table 2.41, p153 and Table 2.42, p155 of the submission. </w:t>
      </w:r>
    </w:p>
    <w:p w:rsidR="005E15EF" w:rsidRPr="007F116C" w:rsidRDefault="005E15EF" w:rsidP="005E15EF">
      <w:pPr>
        <w:pStyle w:val="TableFooter"/>
      </w:pPr>
      <w:r w:rsidRPr="007F116C">
        <w:t xml:space="preserve">Values in bold indicate statistically significant differences </w:t>
      </w:r>
    </w:p>
    <w:p w:rsidR="005E15EF" w:rsidRPr="007F116C" w:rsidRDefault="005E15EF" w:rsidP="005E15EF">
      <w:pPr>
        <w:pStyle w:val="TableFooter"/>
      </w:pPr>
      <w:r w:rsidRPr="007F116C">
        <w:rPr>
          <w:vertAlign w:val="superscript"/>
        </w:rPr>
        <w:t xml:space="preserve">a </w:t>
      </w:r>
      <w:r w:rsidRPr="007F116C">
        <w:t>Results of treatment comparison obtained from a Cox regression adjusted for study as stratum, treatment, and region as factors and baseline EDSS as a continuous covariate  Statistical test uses significance (2-sided) level at 0.04875 between treatments according to the multiplicity procedure</w:t>
      </w:r>
    </w:p>
    <w:p w:rsidR="005E15EF" w:rsidRPr="007F116C" w:rsidRDefault="005E15EF" w:rsidP="005E15EF">
      <w:pPr>
        <w:widowControl/>
        <w:rPr>
          <w:color w:val="000000" w:themeColor="text1"/>
        </w:rPr>
      </w:pPr>
    </w:p>
    <w:p w:rsidR="005E15EF" w:rsidRPr="007F116C" w:rsidRDefault="005E15EF" w:rsidP="005E15EF">
      <w:pPr>
        <w:pStyle w:val="ListParagraph"/>
        <w:widowControl/>
        <w:numPr>
          <w:ilvl w:val="1"/>
          <w:numId w:val="2"/>
        </w:numPr>
        <w:rPr>
          <w:iCs/>
          <w:color w:val="000000" w:themeColor="text1"/>
        </w:rPr>
      </w:pPr>
      <w:r w:rsidRPr="007F116C">
        <w:rPr>
          <w:iCs/>
          <w:color w:val="000000" w:themeColor="text1"/>
        </w:rPr>
        <w:t xml:space="preserve">Though the upper bounds of confidence intervals for both the </w:t>
      </w:r>
      <w:r w:rsidR="00361C3E" w:rsidRPr="007F116C">
        <w:rPr>
          <w:iCs/>
          <w:color w:val="000000" w:themeColor="text1"/>
        </w:rPr>
        <w:t>HR</w:t>
      </w:r>
      <w:r w:rsidRPr="007F116C">
        <w:rPr>
          <w:iCs/>
          <w:color w:val="000000" w:themeColor="text1"/>
        </w:rPr>
        <w:t xml:space="preserve"> and </w:t>
      </w:r>
      <w:r w:rsidR="00361C3E" w:rsidRPr="007F116C">
        <w:rPr>
          <w:iCs/>
          <w:color w:val="000000" w:themeColor="text1"/>
        </w:rPr>
        <w:t>OR</w:t>
      </w:r>
      <w:r w:rsidRPr="007F116C">
        <w:rPr>
          <w:iCs/>
          <w:color w:val="000000" w:themeColor="text1"/>
        </w:rPr>
        <w:t xml:space="preserve"> were close to one in both endpoints in both individual trials, the pooled results indicated statistically significant reductions in three and six month </w:t>
      </w:r>
      <w:r w:rsidR="00E72AF6" w:rsidRPr="007F116C">
        <w:rPr>
          <w:iCs/>
          <w:color w:val="000000" w:themeColor="text1"/>
        </w:rPr>
        <w:t xml:space="preserve">CDP </w:t>
      </w:r>
      <w:r w:rsidRPr="007F116C">
        <w:rPr>
          <w:iCs/>
          <w:color w:val="000000" w:themeColor="text1"/>
        </w:rPr>
        <w:t>for patients randomised to ofatumumab compared to patients randomised to teriflunomide.</w:t>
      </w:r>
    </w:p>
    <w:p w:rsidR="00110940" w:rsidRPr="007F116C" w:rsidRDefault="00110940" w:rsidP="00110940">
      <w:pPr>
        <w:pStyle w:val="ListParagraph"/>
        <w:widowControl/>
        <w:numPr>
          <w:ilvl w:val="1"/>
          <w:numId w:val="2"/>
        </w:numPr>
        <w:rPr>
          <w:iCs/>
          <w:color w:val="000000" w:themeColor="text1"/>
        </w:rPr>
      </w:pPr>
      <w:r w:rsidRPr="007F116C">
        <w:rPr>
          <w:iCs/>
          <w:color w:val="000000" w:themeColor="text1"/>
        </w:rPr>
        <w:t xml:space="preserve">Health related quality of life (HRQoL) data from ASCLEPIOS I and II were assessed using Multiple Sclerosis Impact Scale (MSIS-29) and the </w:t>
      </w:r>
      <w:r w:rsidRPr="007F116C">
        <w:rPr>
          <w:iCs/>
        </w:rPr>
        <w:t>EuroQol 5 dimensions (</w:t>
      </w:r>
      <w:r w:rsidRPr="007F116C">
        <w:rPr>
          <w:iCs/>
          <w:color w:val="000000" w:themeColor="text1"/>
        </w:rPr>
        <w:t>EQ-5D)</w:t>
      </w:r>
      <w:r w:rsidR="00126B47" w:rsidRPr="007F116C">
        <w:rPr>
          <w:iCs/>
          <w:color w:val="000000" w:themeColor="text1"/>
        </w:rPr>
        <w:t xml:space="preserve"> instruments</w:t>
      </w:r>
      <w:r w:rsidRPr="007F116C">
        <w:rPr>
          <w:iCs/>
          <w:color w:val="000000" w:themeColor="text1"/>
        </w:rPr>
        <w:t>. The MSIS-29 is a 29-item, self-administer</w:t>
      </w:r>
      <w:r w:rsidR="00296911" w:rsidRPr="007F116C">
        <w:rPr>
          <w:iCs/>
          <w:color w:val="000000" w:themeColor="text1"/>
        </w:rPr>
        <w:t>ed questionnaire that includes two</w:t>
      </w:r>
      <w:r w:rsidRPr="007F116C">
        <w:rPr>
          <w:iCs/>
          <w:color w:val="000000" w:themeColor="text1"/>
        </w:rPr>
        <w:t xml:space="preserve"> domains: physical and psychological. Responses were captured on a 4-point ordinal scale ranging from 1 (not at all) to 4 (extremely), with higher scores reflecting greater impact on day to day life.</w:t>
      </w:r>
    </w:p>
    <w:p w:rsidR="005E15EF" w:rsidRPr="007F116C" w:rsidRDefault="005E15EF" w:rsidP="005E15EF">
      <w:pPr>
        <w:pStyle w:val="ListParagraph"/>
        <w:widowControl/>
        <w:numPr>
          <w:ilvl w:val="1"/>
          <w:numId w:val="2"/>
        </w:numPr>
        <w:rPr>
          <w:iCs/>
          <w:color w:val="000000" w:themeColor="text1"/>
        </w:rPr>
      </w:pPr>
      <w:r w:rsidRPr="007F116C">
        <w:rPr>
          <w:iCs/>
        </w:rPr>
        <w:t xml:space="preserve">The </w:t>
      </w:r>
      <w:r w:rsidR="00110940" w:rsidRPr="007F116C">
        <w:rPr>
          <w:iCs/>
        </w:rPr>
        <w:t xml:space="preserve">MSIS-29 reported statistically significant differences for physical impact in favour of ofatumumab at </w:t>
      </w:r>
      <w:r w:rsidR="00126B47" w:rsidRPr="007F116C">
        <w:rPr>
          <w:iCs/>
        </w:rPr>
        <w:t>12 months</w:t>
      </w:r>
      <w:r w:rsidR="00110940" w:rsidRPr="007F116C">
        <w:rPr>
          <w:iCs/>
        </w:rPr>
        <w:t xml:space="preserve"> (</w:t>
      </w:r>
      <w:r w:rsidR="00D0663B" w:rsidRPr="007F116C">
        <w:rPr>
          <w:iCs/>
        </w:rPr>
        <w:t>d</w:t>
      </w:r>
      <w:r w:rsidR="00110940" w:rsidRPr="007F116C">
        <w:rPr>
          <w:iCs/>
        </w:rPr>
        <w:t xml:space="preserve">ifference between treatment = -2.59 [95% CI -4.54, </w:t>
      </w:r>
      <w:r w:rsidR="003E723F" w:rsidRPr="007F116C">
        <w:rPr>
          <w:iCs/>
        </w:rPr>
        <w:br/>
      </w:r>
      <w:r w:rsidR="00110940" w:rsidRPr="007F116C">
        <w:rPr>
          <w:iCs/>
        </w:rPr>
        <w:t xml:space="preserve">-0.65] and -1.97 [95% CI -3.91, -0.03]) and 24 months (difference = -3.19 [95% CI -5.56, -0.082] and -3.54 [95%CI -6.05, -1.03]), for ASCLEPIOS I and II respectively, but no statistically significant difference was observed for psychological impact. </w:t>
      </w:r>
      <w:r w:rsidRPr="007F116C">
        <w:rPr>
          <w:iCs/>
        </w:rPr>
        <w:t>For EQ-5D, a statistically significant difference was observed only at 24 months in ASCLEPIOS II favouring ofatumumab (difference = 0.03, p = 0.039).</w:t>
      </w:r>
      <w:r w:rsidRPr="007F116C">
        <w:t xml:space="preserve"> It was unclear if this difference</w:t>
      </w:r>
      <w:r w:rsidR="00110940" w:rsidRPr="007F116C">
        <w:t xml:space="preserve"> in EQ-5D</w:t>
      </w:r>
      <w:r w:rsidRPr="007F116C">
        <w:t xml:space="preserve"> was clinically meaningful, and the lack of statistically significant difference in ASCLEPIOS I at month 24 suggests that this difference may be uncertain. </w:t>
      </w:r>
    </w:p>
    <w:p w:rsidR="005E15EF" w:rsidRPr="007F116C" w:rsidRDefault="005E15EF" w:rsidP="005E15EF">
      <w:pPr>
        <w:pStyle w:val="ListParagraph"/>
        <w:widowControl/>
        <w:numPr>
          <w:ilvl w:val="1"/>
          <w:numId w:val="2"/>
        </w:numPr>
        <w:rPr>
          <w:iCs/>
          <w:color w:val="000000" w:themeColor="text1"/>
        </w:rPr>
      </w:pPr>
      <w:r w:rsidRPr="007F116C">
        <w:rPr>
          <w:iCs/>
        </w:rPr>
        <w:t xml:space="preserve">The TGA </w:t>
      </w:r>
      <w:r w:rsidR="008178DC" w:rsidRPr="007F116C">
        <w:rPr>
          <w:iCs/>
        </w:rPr>
        <w:t>Round 1 CER</w:t>
      </w:r>
      <w:r w:rsidRPr="007F116C">
        <w:rPr>
          <w:iCs/>
        </w:rPr>
        <w:t xml:space="preserve"> considered that the submitted data provided adequate evidence to support efficacy of ofatumumab in treatment of RMS </w:t>
      </w:r>
      <w:r w:rsidR="00EF1FB8">
        <w:rPr>
          <w:iCs/>
        </w:rPr>
        <w:t>(</w:t>
      </w:r>
      <w:r w:rsidRPr="007F116C">
        <w:rPr>
          <w:iCs/>
        </w:rPr>
        <w:t>.</w:t>
      </w:r>
    </w:p>
    <w:p w:rsidR="005E15EF" w:rsidRPr="007F116C" w:rsidRDefault="00110940" w:rsidP="005E15EF">
      <w:pPr>
        <w:pStyle w:val="ListParagraph"/>
        <w:widowControl/>
        <w:numPr>
          <w:ilvl w:val="1"/>
          <w:numId w:val="2"/>
        </w:numPr>
        <w:rPr>
          <w:color w:val="000000" w:themeColor="text1"/>
        </w:rPr>
      </w:pPr>
      <w:r w:rsidRPr="007F116C">
        <w:t xml:space="preserve">The submission presented </w:t>
      </w:r>
      <w:r w:rsidR="005E15EF" w:rsidRPr="007F116C">
        <w:t>multi-stepped indirect comparison</w:t>
      </w:r>
      <w:r w:rsidRPr="007F116C">
        <w:t xml:space="preserve">s for the outcomes of </w:t>
      </w:r>
      <w:r w:rsidR="008178DC" w:rsidRPr="007F116C">
        <w:t>ARR</w:t>
      </w:r>
      <w:r w:rsidRPr="007F116C">
        <w:t>, proportion relapse</w:t>
      </w:r>
      <w:r w:rsidR="008178DC" w:rsidRPr="007F116C">
        <w:t>-</w:t>
      </w:r>
      <w:r w:rsidRPr="007F116C">
        <w:t>free and 3-month CDP to support their clinical claim.</w:t>
      </w:r>
      <w:r w:rsidR="005E15EF" w:rsidRPr="007F116C">
        <w:t xml:space="preserve"> </w:t>
      </w:r>
      <w:r w:rsidR="00522713" w:rsidRPr="007F116C">
        <w:t>Table 9</w:t>
      </w:r>
      <w:r w:rsidR="005E15EF" w:rsidRPr="007F116C">
        <w:t xml:space="preserve"> presents the results of these indirect comparisons</w:t>
      </w:r>
      <w:r w:rsidRPr="007F116C">
        <w:t xml:space="preserve"> against the main comparators</w:t>
      </w:r>
      <w:r w:rsidR="005E15EF" w:rsidRPr="007F116C">
        <w:t>.</w:t>
      </w:r>
    </w:p>
    <w:p w:rsidR="005E15EF" w:rsidRPr="007F116C" w:rsidRDefault="005E15EF" w:rsidP="005E15EF">
      <w:pPr>
        <w:pStyle w:val="PBACtablecaption"/>
        <w:keepNext/>
        <w:keepLines/>
        <w:spacing w:after="0"/>
        <w:rPr>
          <w:rStyle w:val="CommentReference"/>
          <w:b/>
          <w:bCs/>
        </w:rPr>
      </w:pPr>
      <w:bookmarkStart w:id="22" w:name="_Ref60997207"/>
      <w:r w:rsidRPr="007F116C">
        <w:rPr>
          <w:rStyle w:val="CommentReference"/>
          <w:b/>
          <w:bCs/>
        </w:rPr>
        <w:t xml:space="preserve">Table </w:t>
      </w:r>
      <w:r w:rsidR="00522713" w:rsidRPr="007F116C">
        <w:rPr>
          <w:rStyle w:val="CommentReference"/>
          <w:b/>
          <w:bCs/>
        </w:rPr>
        <w:t>9</w:t>
      </w:r>
      <w:bookmarkEnd w:id="22"/>
      <w:r w:rsidRPr="007F116C">
        <w:rPr>
          <w:rStyle w:val="CommentReference"/>
          <w:b/>
          <w:bCs/>
        </w:rPr>
        <w:t>:</w:t>
      </w:r>
      <w:r w:rsidRPr="007F116C">
        <w:rPr>
          <w:rStyle w:val="CommentReference"/>
        </w:rPr>
        <w:t xml:space="preserve"> </w:t>
      </w:r>
      <w:r w:rsidRPr="007F116C">
        <w:rPr>
          <w:rStyle w:val="CommentReference"/>
          <w:b/>
          <w:bCs/>
        </w:rPr>
        <w:t>Indirect comparison of ofatumumab versus fingolimod, cladribine and natalizumab via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261"/>
        <w:gridCol w:w="2411"/>
        <w:gridCol w:w="1841"/>
        <w:gridCol w:w="1701"/>
        <w:gridCol w:w="803"/>
      </w:tblGrid>
      <w:tr w:rsidR="005E15EF" w:rsidRPr="007F116C" w:rsidTr="00905948">
        <w:tc>
          <w:tcPr>
            <w:tcW w:w="1254" w:type="pct"/>
            <w:noWrap/>
            <w:hideMark/>
          </w:tcPr>
          <w:p w:rsidR="005E15EF" w:rsidRPr="007F116C" w:rsidRDefault="005E15EF" w:rsidP="005E15EF">
            <w:pPr>
              <w:pStyle w:val="TableText0"/>
              <w:keepLines/>
              <w:spacing w:before="0" w:after="0"/>
              <w:rPr>
                <w:lang w:eastAsia="en-AU"/>
              </w:rPr>
            </w:pPr>
          </w:p>
        </w:tc>
        <w:tc>
          <w:tcPr>
            <w:tcW w:w="1337" w:type="pct"/>
            <w:noWrap/>
            <w:hideMark/>
          </w:tcPr>
          <w:p w:rsidR="005E15EF" w:rsidRPr="007F116C" w:rsidRDefault="005E15EF" w:rsidP="005E15EF">
            <w:pPr>
              <w:pStyle w:val="TableText0"/>
              <w:keepLines/>
              <w:spacing w:before="0" w:after="0"/>
              <w:jc w:val="center"/>
              <w:rPr>
                <w:rFonts w:cs="Calibri"/>
                <w:b/>
                <w:bCs/>
                <w:lang w:eastAsia="en-AU"/>
              </w:rPr>
            </w:pPr>
            <w:r w:rsidRPr="007F116C">
              <w:rPr>
                <w:rFonts w:cs="Calibri"/>
                <w:b/>
                <w:bCs/>
                <w:lang w:eastAsia="en-AU"/>
              </w:rPr>
              <w:t xml:space="preserve">Ofatumumab 20mg monthly </w:t>
            </w:r>
          </w:p>
          <w:p w:rsidR="005E15EF" w:rsidRPr="007F116C" w:rsidRDefault="005E15EF" w:rsidP="005E15EF">
            <w:pPr>
              <w:pStyle w:val="TableText0"/>
              <w:keepLines/>
              <w:spacing w:before="0" w:after="0"/>
              <w:jc w:val="center"/>
              <w:rPr>
                <w:rFonts w:cs="Calibri"/>
                <w:b/>
                <w:bCs/>
                <w:lang w:eastAsia="en-AU"/>
              </w:rPr>
            </w:pPr>
            <w:r w:rsidRPr="007F116C">
              <w:rPr>
                <w:rFonts w:cs="Calibri"/>
                <w:b/>
                <w:bCs/>
                <w:lang w:eastAsia="en-AU"/>
              </w:rPr>
              <w:t>vs placebo</w:t>
            </w:r>
          </w:p>
          <w:p w:rsidR="005E15EF" w:rsidRPr="007F116C" w:rsidRDefault="005E15EF" w:rsidP="005E15EF">
            <w:pPr>
              <w:pStyle w:val="TableText0"/>
              <w:keepLines/>
              <w:spacing w:before="0" w:after="0"/>
              <w:jc w:val="center"/>
              <w:rPr>
                <w:rFonts w:cs="Calibri"/>
                <w:b/>
                <w:bCs/>
                <w:lang w:eastAsia="en-AU"/>
              </w:rPr>
            </w:pPr>
            <w:r w:rsidRPr="007F116C">
              <w:rPr>
                <w:rFonts w:cs="Calibri"/>
                <w:b/>
                <w:bCs/>
                <w:lang w:eastAsia="en-AU"/>
              </w:rPr>
              <w:t>(Ratio/OR 95%CI)</w:t>
            </w:r>
            <w:r w:rsidRPr="007F116C">
              <w:rPr>
                <w:rFonts w:cs="Calibri"/>
                <w:b/>
                <w:bCs/>
                <w:vertAlign w:val="superscript"/>
                <w:lang w:eastAsia="en-AU"/>
              </w:rPr>
              <w:t>a</w:t>
            </w:r>
          </w:p>
        </w:tc>
        <w:tc>
          <w:tcPr>
            <w:tcW w:w="1021" w:type="pct"/>
            <w:noWrap/>
            <w:hideMark/>
          </w:tcPr>
          <w:p w:rsidR="005E15EF" w:rsidRPr="007F116C" w:rsidRDefault="005E15EF" w:rsidP="005E15EF">
            <w:pPr>
              <w:pStyle w:val="TableText0"/>
              <w:keepLines/>
              <w:spacing w:before="0" w:after="0"/>
              <w:jc w:val="center"/>
              <w:rPr>
                <w:rFonts w:cs="Calibri"/>
                <w:b/>
                <w:bCs/>
                <w:lang w:eastAsia="en-AU"/>
              </w:rPr>
            </w:pPr>
            <w:r w:rsidRPr="007F116C">
              <w:rPr>
                <w:rFonts w:cs="Calibri"/>
                <w:b/>
                <w:bCs/>
                <w:lang w:eastAsia="en-AU"/>
              </w:rPr>
              <w:t>DMT</w:t>
            </w:r>
          </w:p>
          <w:p w:rsidR="005E15EF" w:rsidRPr="007F116C" w:rsidRDefault="005E15EF" w:rsidP="005E15EF">
            <w:pPr>
              <w:pStyle w:val="TableText0"/>
              <w:keepLines/>
              <w:spacing w:before="0" w:after="0"/>
              <w:jc w:val="center"/>
              <w:rPr>
                <w:rFonts w:cs="Calibri"/>
                <w:b/>
                <w:bCs/>
                <w:lang w:eastAsia="en-AU"/>
              </w:rPr>
            </w:pPr>
            <w:r w:rsidRPr="007F116C">
              <w:rPr>
                <w:rFonts w:cs="Calibri"/>
                <w:b/>
                <w:bCs/>
                <w:lang w:eastAsia="en-AU"/>
              </w:rPr>
              <w:t>vs placebo</w:t>
            </w:r>
          </w:p>
          <w:p w:rsidR="005E15EF" w:rsidRPr="007F116C" w:rsidRDefault="005E15EF" w:rsidP="005E15EF">
            <w:pPr>
              <w:pStyle w:val="TableText0"/>
              <w:keepLines/>
              <w:spacing w:before="0" w:after="0"/>
              <w:jc w:val="center"/>
              <w:rPr>
                <w:rFonts w:cs="Calibri"/>
                <w:b/>
                <w:bCs/>
                <w:lang w:eastAsia="en-AU"/>
              </w:rPr>
            </w:pPr>
            <w:r w:rsidRPr="007F116C">
              <w:rPr>
                <w:rFonts w:cs="Calibri"/>
                <w:b/>
                <w:bCs/>
                <w:lang w:eastAsia="en-AU"/>
              </w:rPr>
              <w:t>(Ratio/OR 95%CI)</w:t>
            </w:r>
            <w:r w:rsidRPr="007F116C">
              <w:rPr>
                <w:rFonts w:cs="Calibri"/>
                <w:b/>
                <w:bCs/>
                <w:vertAlign w:val="superscript"/>
                <w:lang w:eastAsia="en-AU"/>
              </w:rPr>
              <w:t>a</w:t>
            </w:r>
          </w:p>
        </w:tc>
        <w:tc>
          <w:tcPr>
            <w:tcW w:w="943" w:type="pct"/>
            <w:noWrap/>
            <w:hideMark/>
          </w:tcPr>
          <w:p w:rsidR="005E15EF" w:rsidRPr="007F116C" w:rsidRDefault="005E15EF" w:rsidP="005E15EF">
            <w:pPr>
              <w:pStyle w:val="TableText0"/>
              <w:keepLines/>
              <w:spacing w:before="0" w:after="0"/>
              <w:jc w:val="center"/>
              <w:rPr>
                <w:rFonts w:cs="Calibri"/>
                <w:b/>
                <w:bCs/>
                <w:lang w:eastAsia="en-AU"/>
              </w:rPr>
            </w:pPr>
            <w:r w:rsidRPr="007F116C">
              <w:rPr>
                <w:rFonts w:cs="Calibri"/>
                <w:b/>
                <w:bCs/>
                <w:lang w:eastAsia="en-AU"/>
              </w:rPr>
              <w:t>Ofatumumab 20mg</w:t>
            </w:r>
          </w:p>
          <w:p w:rsidR="005E15EF" w:rsidRPr="007F116C" w:rsidRDefault="005E15EF" w:rsidP="005E15EF">
            <w:pPr>
              <w:pStyle w:val="TableText0"/>
              <w:keepLines/>
              <w:spacing w:before="0" w:after="0"/>
              <w:jc w:val="center"/>
              <w:rPr>
                <w:rFonts w:cs="Calibri"/>
                <w:b/>
                <w:bCs/>
                <w:lang w:eastAsia="en-AU"/>
              </w:rPr>
            </w:pPr>
            <w:r w:rsidRPr="007F116C">
              <w:rPr>
                <w:rFonts w:cs="Calibri"/>
                <w:b/>
                <w:bCs/>
                <w:lang w:eastAsia="en-AU"/>
              </w:rPr>
              <w:t xml:space="preserve"> monthly vs DMT</w:t>
            </w:r>
          </w:p>
          <w:p w:rsidR="005E15EF" w:rsidRPr="007F116C" w:rsidRDefault="005E15EF" w:rsidP="005E15EF">
            <w:pPr>
              <w:pStyle w:val="TableText0"/>
              <w:keepLines/>
              <w:spacing w:before="0" w:after="0"/>
              <w:jc w:val="center"/>
              <w:rPr>
                <w:rFonts w:cs="Calibri"/>
                <w:b/>
                <w:bCs/>
                <w:vertAlign w:val="superscript"/>
                <w:lang w:eastAsia="en-AU"/>
              </w:rPr>
            </w:pPr>
            <w:r w:rsidRPr="007F116C">
              <w:rPr>
                <w:rFonts w:cs="Calibri"/>
                <w:b/>
                <w:bCs/>
                <w:lang w:eastAsia="en-AU"/>
              </w:rPr>
              <w:t>(Ratio/OR 95%CI)</w:t>
            </w:r>
            <w:r w:rsidRPr="007F116C">
              <w:rPr>
                <w:rFonts w:cs="Calibri"/>
                <w:b/>
                <w:bCs/>
                <w:vertAlign w:val="superscript"/>
                <w:lang w:eastAsia="en-AU"/>
              </w:rPr>
              <w:t>a</w:t>
            </w:r>
          </w:p>
        </w:tc>
        <w:tc>
          <w:tcPr>
            <w:tcW w:w="445" w:type="pct"/>
          </w:tcPr>
          <w:p w:rsidR="005E15EF" w:rsidRPr="007F116C" w:rsidRDefault="005E15EF" w:rsidP="005E15EF">
            <w:pPr>
              <w:pStyle w:val="TableText0"/>
              <w:keepLines/>
              <w:spacing w:before="0" w:after="0"/>
              <w:jc w:val="center"/>
              <w:rPr>
                <w:rFonts w:cs="Calibri"/>
                <w:b/>
                <w:bCs/>
                <w:lang w:eastAsia="en-AU"/>
              </w:rPr>
            </w:pPr>
            <w:r w:rsidRPr="007F116C">
              <w:rPr>
                <w:rFonts w:cs="Calibri"/>
                <w:b/>
                <w:bCs/>
                <w:lang w:eastAsia="en-AU"/>
              </w:rPr>
              <w:t>P value</w:t>
            </w:r>
          </w:p>
        </w:tc>
      </w:tr>
      <w:tr w:rsidR="005E15EF" w:rsidRPr="007F116C" w:rsidTr="00905948">
        <w:tc>
          <w:tcPr>
            <w:tcW w:w="5000" w:type="pct"/>
            <w:gridSpan w:val="5"/>
            <w:noWrap/>
          </w:tcPr>
          <w:p w:rsidR="005E15EF" w:rsidRPr="007F116C" w:rsidRDefault="005E15EF" w:rsidP="005E15EF">
            <w:pPr>
              <w:pStyle w:val="TableText0"/>
              <w:keepLines/>
              <w:spacing w:before="0" w:after="0"/>
            </w:pPr>
            <w:r w:rsidRPr="007F116C">
              <w:rPr>
                <w:rFonts w:cs="Calibri"/>
                <w:b/>
                <w:color w:val="000000"/>
                <w:lang w:eastAsia="en-AU"/>
              </w:rPr>
              <w:t>Fingolimod 0.5mg daily (FREEDOMS I and II)</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ARR</w:t>
            </w:r>
          </w:p>
        </w:tc>
        <w:tc>
          <w:tcPr>
            <w:tcW w:w="1337" w:type="pct"/>
            <w:noWrap/>
          </w:tcPr>
          <w:p w:rsidR="005E15EF" w:rsidRPr="007F116C" w:rsidRDefault="005E15EF" w:rsidP="005E15EF">
            <w:pPr>
              <w:pStyle w:val="TableText0"/>
              <w:keepLines/>
              <w:spacing w:before="0" w:after="0"/>
              <w:jc w:val="center"/>
              <w:rPr>
                <w:b/>
              </w:rPr>
            </w:pPr>
            <w:r w:rsidRPr="007F116C">
              <w:rPr>
                <w:b/>
              </w:rPr>
              <w:t>0.303 (0.235, 0.390)</w:t>
            </w:r>
          </w:p>
        </w:tc>
        <w:tc>
          <w:tcPr>
            <w:tcW w:w="1021" w:type="pct"/>
            <w:noWrap/>
          </w:tcPr>
          <w:p w:rsidR="005E15EF" w:rsidRPr="007F116C" w:rsidRDefault="005E15EF" w:rsidP="005E15EF">
            <w:pPr>
              <w:pStyle w:val="TableText0"/>
              <w:keepLines/>
              <w:spacing w:before="0" w:after="0"/>
              <w:jc w:val="center"/>
              <w:rPr>
                <w:b/>
              </w:rPr>
            </w:pPr>
            <w:r w:rsidRPr="007F116C">
              <w:rPr>
                <w:b/>
              </w:rPr>
              <w:t>0.477 (0.406, 0.561)</w:t>
            </w:r>
          </w:p>
        </w:tc>
        <w:tc>
          <w:tcPr>
            <w:tcW w:w="943" w:type="pct"/>
            <w:noWrap/>
          </w:tcPr>
          <w:p w:rsidR="005E15EF" w:rsidRPr="007F116C" w:rsidRDefault="005E15EF" w:rsidP="005E15EF">
            <w:pPr>
              <w:pStyle w:val="TableText0"/>
              <w:keepLines/>
              <w:spacing w:before="0" w:after="0"/>
              <w:jc w:val="center"/>
              <w:rPr>
                <w:b/>
                <w:bCs/>
              </w:rPr>
            </w:pPr>
            <w:r w:rsidRPr="007F116C">
              <w:rPr>
                <w:b/>
                <w:bCs/>
              </w:rPr>
              <w:t>0.635 (0.470, 0.858)</w:t>
            </w:r>
          </w:p>
        </w:tc>
        <w:tc>
          <w:tcPr>
            <w:tcW w:w="445" w:type="pct"/>
          </w:tcPr>
          <w:p w:rsidR="005E15EF" w:rsidRPr="007F116C" w:rsidRDefault="005E15EF" w:rsidP="005E15EF">
            <w:pPr>
              <w:pStyle w:val="TableText0"/>
              <w:keepLines/>
              <w:spacing w:before="0" w:after="0"/>
              <w:jc w:val="center"/>
            </w:pPr>
            <w:r w:rsidRPr="007F116C">
              <w:t>0.0031</w:t>
            </w:r>
          </w:p>
        </w:tc>
      </w:tr>
      <w:tr w:rsidR="005E15EF" w:rsidRPr="007F116C" w:rsidTr="00905948">
        <w:tc>
          <w:tcPr>
            <w:tcW w:w="1254" w:type="pct"/>
            <w:noWrap/>
            <w:hideMark/>
          </w:tcPr>
          <w:p w:rsidR="005E15EF" w:rsidRPr="007F116C" w:rsidRDefault="005E15EF" w:rsidP="005E15EF">
            <w:pPr>
              <w:pStyle w:val="TableText0"/>
              <w:keepLines/>
              <w:spacing w:before="0" w:after="0"/>
              <w:rPr>
                <w:lang w:eastAsia="en-AU"/>
              </w:rPr>
            </w:pPr>
            <w:r w:rsidRPr="007F116C">
              <w:rPr>
                <w:rFonts w:cs="Calibri"/>
                <w:bCs/>
                <w:color w:val="000000"/>
                <w:lang w:eastAsia="en-AU"/>
              </w:rPr>
              <w:t>Proportion (%) relapse free</w:t>
            </w:r>
          </w:p>
        </w:tc>
        <w:tc>
          <w:tcPr>
            <w:tcW w:w="1337" w:type="pct"/>
            <w:noWrap/>
            <w:hideMark/>
          </w:tcPr>
          <w:p w:rsidR="005E15EF" w:rsidRPr="007F116C" w:rsidRDefault="005E15EF" w:rsidP="005E15EF">
            <w:pPr>
              <w:pStyle w:val="TableText0"/>
              <w:keepLines/>
              <w:spacing w:before="0" w:after="0"/>
              <w:jc w:val="center"/>
              <w:rPr>
                <w:b/>
              </w:rPr>
            </w:pPr>
            <w:r w:rsidRPr="007F116C">
              <w:rPr>
                <w:b/>
              </w:rPr>
              <w:t>3.804 (2.620, 5.521)</w:t>
            </w:r>
          </w:p>
        </w:tc>
        <w:tc>
          <w:tcPr>
            <w:tcW w:w="1021" w:type="pct"/>
            <w:noWrap/>
            <w:hideMark/>
          </w:tcPr>
          <w:p w:rsidR="005E15EF" w:rsidRPr="007F116C" w:rsidRDefault="005E15EF" w:rsidP="005E15EF">
            <w:pPr>
              <w:pStyle w:val="TableText0"/>
              <w:keepLines/>
              <w:spacing w:before="0" w:after="0"/>
              <w:jc w:val="center"/>
              <w:rPr>
                <w:b/>
              </w:rPr>
            </w:pPr>
            <w:r w:rsidRPr="007F116C">
              <w:rPr>
                <w:b/>
              </w:rPr>
              <w:t>2.54 (2.05, 3.17)</w:t>
            </w:r>
          </w:p>
        </w:tc>
        <w:tc>
          <w:tcPr>
            <w:tcW w:w="943" w:type="pct"/>
            <w:noWrap/>
            <w:hideMark/>
          </w:tcPr>
          <w:p w:rsidR="005E15EF" w:rsidRPr="007F116C" w:rsidRDefault="005E15EF" w:rsidP="005E15EF">
            <w:pPr>
              <w:pStyle w:val="TableText0"/>
              <w:keepLines/>
              <w:spacing w:before="0" w:after="0"/>
              <w:jc w:val="center"/>
            </w:pPr>
            <w:r w:rsidRPr="007F116C">
              <w:t>1.498 (0.973, 2.306)</w:t>
            </w:r>
          </w:p>
        </w:tc>
        <w:tc>
          <w:tcPr>
            <w:tcW w:w="445" w:type="pct"/>
          </w:tcPr>
          <w:p w:rsidR="005E15EF" w:rsidRPr="007F116C" w:rsidRDefault="005E15EF" w:rsidP="005E15EF">
            <w:pPr>
              <w:pStyle w:val="TableText0"/>
              <w:keepLines/>
              <w:spacing w:before="0" w:after="0"/>
              <w:jc w:val="center"/>
            </w:pPr>
            <w:r w:rsidRPr="007F116C">
              <w:t>0.0667</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3-month CDP</w:t>
            </w:r>
          </w:p>
        </w:tc>
        <w:tc>
          <w:tcPr>
            <w:tcW w:w="1337" w:type="pct"/>
            <w:noWrap/>
          </w:tcPr>
          <w:p w:rsidR="005E15EF" w:rsidRPr="007F116C" w:rsidRDefault="005E15EF" w:rsidP="005E15EF">
            <w:pPr>
              <w:pStyle w:val="TableText0"/>
              <w:keepLines/>
              <w:spacing w:before="0" w:after="0"/>
              <w:jc w:val="center"/>
              <w:rPr>
                <w:b/>
              </w:rPr>
            </w:pPr>
            <w:r w:rsidRPr="007F116C">
              <w:rPr>
                <w:b/>
              </w:rPr>
              <w:t>0.475 (0.323, 0.698)</w:t>
            </w:r>
          </w:p>
        </w:tc>
        <w:tc>
          <w:tcPr>
            <w:tcW w:w="1021" w:type="pct"/>
            <w:noWrap/>
          </w:tcPr>
          <w:p w:rsidR="005E15EF" w:rsidRPr="007F116C" w:rsidRDefault="005E15EF" w:rsidP="005E15EF">
            <w:pPr>
              <w:pStyle w:val="TableText0"/>
              <w:keepLines/>
              <w:spacing w:before="0" w:after="0"/>
              <w:jc w:val="center"/>
              <w:rPr>
                <w:b/>
                <w:vertAlign w:val="superscript"/>
              </w:rPr>
            </w:pPr>
            <w:r w:rsidRPr="007F116C">
              <w:rPr>
                <w:b/>
              </w:rPr>
              <w:t xml:space="preserve">0.71 (0.55, 0.91) </w:t>
            </w:r>
            <w:r w:rsidRPr="007F116C">
              <w:rPr>
                <w:b/>
                <w:vertAlign w:val="superscript"/>
              </w:rPr>
              <w:t>b</w:t>
            </w:r>
          </w:p>
        </w:tc>
        <w:tc>
          <w:tcPr>
            <w:tcW w:w="943" w:type="pct"/>
            <w:noWrap/>
          </w:tcPr>
          <w:p w:rsidR="005E15EF" w:rsidRPr="007F116C" w:rsidRDefault="005E15EF" w:rsidP="005E15EF">
            <w:pPr>
              <w:pStyle w:val="TableText0"/>
              <w:keepLines/>
              <w:spacing w:before="0" w:after="0"/>
              <w:jc w:val="center"/>
            </w:pPr>
            <w:r w:rsidRPr="007F116C">
              <w:t>0.669 (0.422, 1.06)</w:t>
            </w:r>
          </w:p>
        </w:tc>
        <w:tc>
          <w:tcPr>
            <w:tcW w:w="445" w:type="pct"/>
          </w:tcPr>
          <w:p w:rsidR="005E15EF" w:rsidRPr="007F116C" w:rsidRDefault="005E15EF" w:rsidP="005E15EF">
            <w:pPr>
              <w:pStyle w:val="TableText0"/>
              <w:keepLines/>
              <w:spacing w:before="0" w:after="0"/>
              <w:jc w:val="center"/>
            </w:pPr>
            <w:r w:rsidRPr="007F116C">
              <w:t>0.0870</w:t>
            </w:r>
          </w:p>
        </w:tc>
      </w:tr>
      <w:tr w:rsidR="005E15EF" w:rsidRPr="007F116C" w:rsidTr="00905948">
        <w:tc>
          <w:tcPr>
            <w:tcW w:w="5000" w:type="pct"/>
            <w:gridSpan w:val="5"/>
            <w:noWrap/>
          </w:tcPr>
          <w:p w:rsidR="005E15EF" w:rsidRPr="007F116C" w:rsidRDefault="005E15EF" w:rsidP="005E15EF">
            <w:pPr>
              <w:pStyle w:val="TableText0"/>
              <w:keepLines/>
              <w:spacing w:before="0" w:after="0"/>
            </w:pPr>
            <w:r w:rsidRPr="007F116C">
              <w:rPr>
                <w:rFonts w:cs="Calibri"/>
                <w:b/>
                <w:bCs/>
                <w:color w:val="000000"/>
                <w:lang w:eastAsia="en-AU"/>
              </w:rPr>
              <w:t>C</w:t>
            </w:r>
            <w:r w:rsidRPr="007F116C">
              <w:rPr>
                <w:rFonts w:cs="Calibri"/>
                <w:b/>
                <w:color w:val="000000"/>
                <w:lang w:eastAsia="en-AU"/>
              </w:rPr>
              <w:t>ladribine 3.5mg/kg (CLARITY)</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ARR</w:t>
            </w:r>
          </w:p>
        </w:tc>
        <w:tc>
          <w:tcPr>
            <w:tcW w:w="1337" w:type="pct"/>
            <w:noWrap/>
          </w:tcPr>
          <w:p w:rsidR="005E15EF" w:rsidRPr="007F116C" w:rsidRDefault="005E15EF" w:rsidP="005E15EF">
            <w:pPr>
              <w:pStyle w:val="PBACTableText"/>
              <w:keepNext/>
              <w:keepLines/>
              <w:spacing w:before="0" w:after="0"/>
              <w:jc w:val="center"/>
              <w:rPr>
                <w:b/>
              </w:rPr>
            </w:pPr>
            <w:r w:rsidRPr="007F116C">
              <w:rPr>
                <w:b/>
              </w:rPr>
              <w:t>0.303 (0.235, 0.390)</w:t>
            </w:r>
          </w:p>
        </w:tc>
        <w:tc>
          <w:tcPr>
            <w:tcW w:w="1021" w:type="pct"/>
            <w:noWrap/>
          </w:tcPr>
          <w:p w:rsidR="005E15EF" w:rsidRPr="007F116C" w:rsidRDefault="005E15EF" w:rsidP="005E15EF">
            <w:pPr>
              <w:pStyle w:val="PBACTableText"/>
              <w:keepNext/>
              <w:keepLines/>
              <w:spacing w:before="0" w:after="0"/>
              <w:jc w:val="center"/>
              <w:rPr>
                <w:b/>
              </w:rPr>
            </w:pPr>
            <w:r w:rsidRPr="007F116C">
              <w:rPr>
                <w:b/>
              </w:rPr>
              <w:t>0.430 (0.340, 0.540)</w:t>
            </w:r>
          </w:p>
        </w:tc>
        <w:tc>
          <w:tcPr>
            <w:tcW w:w="943" w:type="pct"/>
            <w:noWrap/>
          </w:tcPr>
          <w:p w:rsidR="005E15EF" w:rsidRPr="007F116C" w:rsidRDefault="005E15EF" w:rsidP="005E15EF">
            <w:pPr>
              <w:pStyle w:val="PBACTableText"/>
              <w:keepNext/>
              <w:keepLines/>
              <w:spacing w:before="0" w:after="0"/>
              <w:jc w:val="center"/>
              <w:rPr>
                <w:b/>
                <w:bCs/>
              </w:rPr>
            </w:pPr>
            <w:r w:rsidRPr="007F116C">
              <w:rPr>
                <w:b/>
                <w:bCs/>
              </w:rPr>
              <w:t>0.705 (0.500, 0.993)</w:t>
            </w:r>
          </w:p>
        </w:tc>
        <w:tc>
          <w:tcPr>
            <w:tcW w:w="445" w:type="pct"/>
          </w:tcPr>
          <w:p w:rsidR="005E15EF" w:rsidRPr="007F116C" w:rsidRDefault="005E15EF" w:rsidP="005E15EF">
            <w:pPr>
              <w:pStyle w:val="TableText0"/>
              <w:keepLines/>
              <w:spacing w:before="0" w:after="0"/>
              <w:jc w:val="center"/>
            </w:pPr>
            <w:r w:rsidRPr="007F116C">
              <w:t>0.0455</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Proportion (%) relapse free</w:t>
            </w:r>
          </w:p>
        </w:tc>
        <w:tc>
          <w:tcPr>
            <w:tcW w:w="1337" w:type="pct"/>
            <w:noWrap/>
          </w:tcPr>
          <w:p w:rsidR="005E15EF" w:rsidRPr="007F116C" w:rsidRDefault="005E15EF" w:rsidP="005E15EF">
            <w:pPr>
              <w:pStyle w:val="PBACTableText"/>
              <w:keepNext/>
              <w:keepLines/>
              <w:spacing w:before="0" w:after="0"/>
              <w:jc w:val="center"/>
              <w:rPr>
                <w:b/>
              </w:rPr>
            </w:pPr>
            <w:r w:rsidRPr="007F116C">
              <w:rPr>
                <w:b/>
              </w:rPr>
              <w:t>3.804 (2.620, 5.521)</w:t>
            </w:r>
          </w:p>
        </w:tc>
        <w:tc>
          <w:tcPr>
            <w:tcW w:w="1021" w:type="pct"/>
            <w:noWrap/>
          </w:tcPr>
          <w:p w:rsidR="005E15EF" w:rsidRPr="007F116C" w:rsidRDefault="005E15EF" w:rsidP="005E15EF">
            <w:pPr>
              <w:pStyle w:val="PBACTableText"/>
              <w:keepNext/>
              <w:keepLines/>
              <w:spacing w:before="0" w:after="0"/>
              <w:jc w:val="center"/>
              <w:rPr>
                <w:b/>
              </w:rPr>
            </w:pPr>
            <w:r w:rsidRPr="007F116C">
              <w:rPr>
                <w:b/>
              </w:rPr>
              <w:t>2.52 (1.86, 3.41)</w:t>
            </w:r>
          </w:p>
        </w:tc>
        <w:tc>
          <w:tcPr>
            <w:tcW w:w="943" w:type="pct"/>
            <w:noWrap/>
          </w:tcPr>
          <w:p w:rsidR="005E15EF" w:rsidRPr="007F116C" w:rsidRDefault="005E15EF" w:rsidP="005E15EF">
            <w:pPr>
              <w:pStyle w:val="PBACTableText"/>
              <w:keepNext/>
              <w:keepLines/>
              <w:spacing w:before="0" w:after="0"/>
              <w:jc w:val="center"/>
            </w:pPr>
            <w:r w:rsidRPr="007F116C">
              <w:t>1.510 (0.934, 2.440)</w:t>
            </w:r>
          </w:p>
        </w:tc>
        <w:tc>
          <w:tcPr>
            <w:tcW w:w="445" w:type="pct"/>
          </w:tcPr>
          <w:p w:rsidR="005E15EF" w:rsidRPr="007F116C" w:rsidRDefault="005E15EF" w:rsidP="005E15EF">
            <w:pPr>
              <w:pStyle w:val="TableText0"/>
              <w:keepLines/>
              <w:spacing w:before="0" w:after="0"/>
              <w:jc w:val="center"/>
            </w:pPr>
            <w:r w:rsidRPr="007F116C">
              <w:t>0.0929</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3-month CDP</w:t>
            </w:r>
          </w:p>
        </w:tc>
        <w:tc>
          <w:tcPr>
            <w:tcW w:w="1337" w:type="pct"/>
            <w:noWrap/>
          </w:tcPr>
          <w:p w:rsidR="005E15EF" w:rsidRPr="007F116C" w:rsidRDefault="005E15EF" w:rsidP="005E15EF">
            <w:pPr>
              <w:pStyle w:val="PBACTableText"/>
              <w:keepNext/>
              <w:keepLines/>
              <w:spacing w:before="0" w:after="0"/>
              <w:jc w:val="center"/>
              <w:rPr>
                <w:b/>
              </w:rPr>
            </w:pPr>
            <w:r w:rsidRPr="007F116C">
              <w:rPr>
                <w:b/>
              </w:rPr>
              <w:t>0.475 (0.323, 0.698)</w:t>
            </w:r>
          </w:p>
        </w:tc>
        <w:tc>
          <w:tcPr>
            <w:tcW w:w="1021" w:type="pct"/>
            <w:noWrap/>
          </w:tcPr>
          <w:p w:rsidR="005E15EF" w:rsidRPr="007F116C" w:rsidRDefault="005E15EF" w:rsidP="005E15EF">
            <w:pPr>
              <w:pStyle w:val="PBACTableText"/>
              <w:keepNext/>
              <w:keepLines/>
              <w:spacing w:before="0" w:after="0"/>
              <w:jc w:val="center"/>
              <w:rPr>
                <w:b/>
              </w:rPr>
            </w:pPr>
            <w:r w:rsidRPr="007F116C">
              <w:rPr>
                <w:b/>
              </w:rPr>
              <w:t>0.670 (0.460, 0.970)</w:t>
            </w:r>
          </w:p>
        </w:tc>
        <w:tc>
          <w:tcPr>
            <w:tcW w:w="943" w:type="pct"/>
            <w:noWrap/>
          </w:tcPr>
          <w:p w:rsidR="005E15EF" w:rsidRPr="007F116C" w:rsidRDefault="005E15EF" w:rsidP="005E15EF">
            <w:pPr>
              <w:pStyle w:val="PBACTableText"/>
              <w:keepNext/>
              <w:keepLines/>
              <w:spacing w:before="0" w:after="0"/>
              <w:jc w:val="center"/>
            </w:pPr>
            <w:r w:rsidRPr="007F116C">
              <w:t>0.709 (0.415, 1.212)</w:t>
            </w:r>
          </w:p>
        </w:tc>
        <w:tc>
          <w:tcPr>
            <w:tcW w:w="445" w:type="pct"/>
          </w:tcPr>
          <w:p w:rsidR="005E15EF" w:rsidRPr="007F116C" w:rsidRDefault="005E15EF" w:rsidP="005E15EF">
            <w:pPr>
              <w:pStyle w:val="TableText0"/>
              <w:keepLines/>
              <w:spacing w:before="0" w:after="0"/>
              <w:jc w:val="center"/>
            </w:pPr>
            <w:r w:rsidRPr="007F116C">
              <w:t>0.2087</w:t>
            </w:r>
          </w:p>
        </w:tc>
      </w:tr>
      <w:tr w:rsidR="005E15EF" w:rsidRPr="007F116C" w:rsidTr="00905948">
        <w:tc>
          <w:tcPr>
            <w:tcW w:w="5000" w:type="pct"/>
            <w:gridSpan w:val="5"/>
            <w:noWrap/>
          </w:tcPr>
          <w:p w:rsidR="005E15EF" w:rsidRPr="007F116C" w:rsidRDefault="005E15EF" w:rsidP="005E15EF">
            <w:pPr>
              <w:pStyle w:val="TableText0"/>
              <w:keepLines/>
              <w:spacing w:before="0" w:after="0"/>
            </w:pPr>
            <w:r w:rsidRPr="007F116C">
              <w:rPr>
                <w:rFonts w:cs="Calibri"/>
                <w:b/>
                <w:color w:val="000000"/>
                <w:lang w:eastAsia="en-AU"/>
              </w:rPr>
              <w:t>Natalizumab 300mg IV four weekly (AFFIRM)</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ARR</w:t>
            </w:r>
          </w:p>
        </w:tc>
        <w:tc>
          <w:tcPr>
            <w:tcW w:w="1337" w:type="pct"/>
            <w:noWrap/>
          </w:tcPr>
          <w:p w:rsidR="005E15EF" w:rsidRPr="007F116C" w:rsidRDefault="005E15EF" w:rsidP="005E15EF">
            <w:pPr>
              <w:pStyle w:val="PBACTableText"/>
              <w:keepNext/>
              <w:keepLines/>
              <w:spacing w:before="0" w:after="0"/>
              <w:jc w:val="center"/>
              <w:rPr>
                <w:b/>
              </w:rPr>
            </w:pPr>
            <w:r w:rsidRPr="007F116C">
              <w:rPr>
                <w:b/>
              </w:rPr>
              <w:t>0.303 (0.235, 0.390)</w:t>
            </w:r>
          </w:p>
        </w:tc>
        <w:tc>
          <w:tcPr>
            <w:tcW w:w="1021" w:type="pct"/>
            <w:noWrap/>
          </w:tcPr>
          <w:p w:rsidR="005E15EF" w:rsidRPr="007F116C" w:rsidRDefault="005E15EF" w:rsidP="005E15EF">
            <w:pPr>
              <w:pStyle w:val="PBACTableText"/>
              <w:keepNext/>
              <w:keepLines/>
              <w:spacing w:before="0" w:after="0"/>
              <w:jc w:val="center"/>
              <w:rPr>
                <w:b/>
              </w:rPr>
            </w:pPr>
            <w:r w:rsidRPr="007F116C">
              <w:rPr>
                <w:b/>
              </w:rPr>
              <w:t>0.320 (0.256, 0.399)</w:t>
            </w:r>
          </w:p>
        </w:tc>
        <w:tc>
          <w:tcPr>
            <w:tcW w:w="943" w:type="pct"/>
            <w:noWrap/>
          </w:tcPr>
          <w:p w:rsidR="005E15EF" w:rsidRPr="007F116C" w:rsidRDefault="005E15EF" w:rsidP="005E15EF">
            <w:pPr>
              <w:pStyle w:val="PBACTableText"/>
              <w:keepNext/>
              <w:keepLines/>
              <w:spacing w:before="0" w:after="0"/>
              <w:jc w:val="center"/>
            </w:pPr>
            <w:r w:rsidRPr="007F116C">
              <w:t>0.947 (0.676, 1.326)</w:t>
            </w:r>
          </w:p>
        </w:tc>
        <w:tc>
          <w:tcPr>
            <w:tcW w:w="445" w:type="pct"/>
          </w:tcPr>
          <w:p w:rsidR="005E15EF" w:rsidRPr="007F116C" w:rsidRDefault="005E15EF" w:rsidP="005E15EF">
            <w:pPr>
              <w:pStyle w:val="TableText0"/>
              <w:keepLines/>
              <w:spacing w:before="0" w:after="0"/>
              <w:jc w:val="center"/>
            </w:pPr>
            <w:r w:rsidRPr="007F116C">
              <w:t>0.7507</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Proportion (%) relapse free</w:t>
            </w:r>
          </w:p>
        </w:tc>
        <w:tc>
          <w:tcPr>
            <w:tcW w:w="1337" w:type="pct"/>
            <w:noWrap/>
          </w:tcPr>
          <w:p w:rsidR="005E15EF" w:rsidRPr="007F116C" w:rsidRDefault="005E15EF" w:rsidP="005E15EF">
            <w:pPr>
              <w:pStyle w:val="PBACTableText"/>
              <w:keepNext/>
              <w:keepLines/>
              <w:spacing w:before="0" w:after="0"/>
              <w:jc w:val="center"/>
              <w:rPr>
                <w:b/>
              </w:rPr>
            </w:pPr>
            <w:r w:rsidRPr="007F116C">
              <w:rPr>
                <w:b/>
              </w:rPr>
              <w:t>3.804 (2.620, 5.521)</w:t>
            </w:r>
          </w:p>
        </w:tc>
        <w:tc>
          <w:tcPr>
            <w:tcW w:w="1021" w:type="pct"/>
            <w:noWrap/>
          </w:tcPr>
          <w:p w:rsidR="005E15EF" w:rsidRPr="007F116C" w:rsidRDefault="005E15EF" w:rsidP="005E15EF">
            <w:pPr>
              <w:pStyle w:val="PBACTableText"/>
              <w:keepNext/>
              <w:keepLines/>
              <w:spacing w:before="0" w:after="0"/>
              <w:jc w:val="center"/>
              <w:rPr>
                <w:b/>
              </w:rPr>
            </w:pPr>
            <w:r w:rsidRPr="007F116C">
              <w:rPr>
                <w:b/>
              </w:rPr>
              <w:t>2.880 (2.180, 3.810)</w:t>
            </w:r>
          </w:p>
        </w:tc>
        <w:tc>
          <w:tcPr>
            <w:tcW w:w="943" w:type="pct"/>
            <w:noWrap/>
          </w:tcPr>
          <w:p w:rsidR="005E15EF" w:rsidRPr="007F116C" w:rsidRDefault="005E15EF" w:rsidP="005E15EF">
            <w:pPr>
              <w:pStyle w:val="PBACTableText"/>
              <w:keepNext/>
              <w:keepLines/>
              <w:spacing w:before="0" w:after="0"/>
              <w:jc w:val="center"/>
            </w:pPr>
            <w:r w:rsidRPr="007F116C">
              <w:t>1.321 (0.829, 2.104)</w:t>
            </w:r>
          </w:p>
        </w:tc>
        <w:tc>
          <w:tcPr>
            <w:tcW w:w="445" w:type="pct"/>
          </w:tcPr>
          <w:p w:rsidR="005E15EF" w:rsidRPr="007F116C" w:rsidRDefault="005E15EF" w:rsidP="005E15EF">
            <w:pPr>
              <w:pStyle w:val="TableText0"/>
              <w:keepLines/>
              <w:spacing w:before="0" w:after="0"/>
              <w:jc w:val="center"/>
            </w:pPr>
            <w:r w:rsidRPr="007F116C">
              <w:t>0.2415</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3-month CDP</w:t>
            </w:r>
          </w:p>
        </w:tc>
        <w:tc>
          <w:tcPr>
            <w:tcW w:w="1337" w:type="pct"/>
            <w:noWrap/>
          </w:tcPr>
          <w:p w:rsidR="005E15EF" w:rsidRPr="007F116C" w:rsidRDefault="005E15EF" w:rsidP="005E15EF">
            <w:pPr>
              <w:pStyle w:val="PBACTableText"/>
              <w:keepNext/>
              <w:keepLines/>
              <w:spacing w:before="0" w:after="0"/>
              <w:jc w:val="center"/>
              <w:rPr>
                <w:b/>
              </w:rPr>
            </w:pPr>
            <w:r w:rsidRPr="007F116C">
              <w:rPr>
                <w:b/>
              </w:rPr>
              <w:t>0.475 (0.323, 0.698)</w:t>
            </w:r>
          </w:p>
        </w:tc>
        <w:tc>
          <w:tcPr>
            <w:tcW w:w="1021" w:type="pct"/>
            <w:noWrap/>
          </w:tcPr>
          <w:p w:rsidR="005E15EF" w:rsidRPr="007F116C" w:rsidRDefault="005E15EF" w:rsidP="005E15EF">
            <w:pPr>
              <w:pStyle w:val="PBACTableText"/>
              <w:keepNext/>
              <w:keepLines/>
              <w:spacing w:before="0" w:after="0"/>
              <w:jc w:val="center"/>
              <w:rPr>
                <w:b/>
                <w:vertAlign w:val="superscript"/>
              </w:rPr>
            </w:pPr>
            <w:r w:rsidRPr="007F116C">
              <w:rPr>
                <w:b/>
              </w:rPr>
              <w:t xml:space="preserve">0.550 (0.390, 0.760) </w:t>
            </w:r>
            <w:r w:rsidRPr="007F116C">
              <w:rPr>
                <w:b/>
                <w:vertAlign w:val="superscript"/>
              </w:rPr>
              <w:t>b</w:t>
            </w:r>
          </w:p>
        </w:tc>
        <w:tc>
          <w:tcPr>
            <w:tcW w:w="943" w:type="pct"/>
            <w:noWrap/>
          </w:tcPr>
          <w:p w:rsidR="005E15EF" w:rsidRPr="007F116C" w:rsidRDefault="005E15EF" w:rsidP="005E15EF">
            <w:pPr>
              <w:pStyle w:val="PBACTableText"/>
              <w:keepNext/>
              <w:keepLines/>
              <w:spacing w:before="0" w:after="0"/>
              <w:jc w:val="center"/>
            </w:pPr>
            <w:r w:rsidRPr="007F116C">
              <w:t>0.864 (0.519, 1.438)</w:t>
            </w:r>
          </w:p>
        </w:tc>
        <w:tc>
          <w:tcPr>
            <w:tcW w:w="445" w:type="pct"/>
          </w:tcPr>
          <w:p w:rsidR="005E15EF" w:rsidRPr="007F116C" w:rsidRDefault="005E15EF" w:rsidP="005E15EF">
            <w:pPr>
              <w:pStyle w:val="TableText0"/>
              <w:keepLines/>
              <w:spacing w:before="0" w:after="0"/>
              <w:jc w:val="center"/>
            </w:pPr>
            <w:r w:rsidRPr="007F116C">
              <w:t>0.5729</w:t>
            </w:r>
          </w:p>
        </w:tc>
      </w:tr>
      <w:tr w:rsidR="005E15EF" w:rsidRPr="007F116C" w:rsidTr="00905948">
        <w:tc>
          <w:tcPr>
            <w:tcW w:w="5000" w:type="pct"/>
            <w:gridSpan w:val="5"/>
            <w:noWrap/>
          </w:tcPr>
          <w:p w:rsidR="005E15EF" w:rsidRPr="007F116C" w:rsidRDefault="005E15EF" w:rsidP="005E15EF">
            <w:pPr>
              <w:pStyle w:val="TableText0"/>
              <w:keepLines/>
              <w:spacing w:before="0" w:after="0"/>
            </w:pPr>
            <w:r w:rsidRPr="007F116C">
              <w:rPr>
                <w:rFonts w:cs="Calibri"/>
                <w:b/>
                <w:bCs/>
                <w:lang w:eastAsia="en-AU"/>
              </w:rPr>
              <w:t xml:space="preserve">Ocrelizumab 600mg 24 weekly (OPERA I and II) </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ARR</w:t>
            </w:r>
          </w:p>
        </w:tc>
        <w:tc>
          <w:tcPr>
            <w:tcW w:w="1337" w:type="pct"/>
            <w:noWrap/>
          </w:tcPr>
          <w:p w:rsidR="005E15EF" w:rsidRPr="007F116C" w:rsidRDefault="005E15EF" w:rsidP="005E15EF">
            <w:pPr>
              <w:pStyle w:val="PBACTableText"/>
              <w:keepNext/>
              <w:keepLines/>
              <w:spacing w:before="0" w:after="0"/>
              <w:jc w:val="center"/>
              <w:rPr>
                <w:b/>
                <w:bCs/>
              </w:rPr>
            </w:pPr>
            <w:r w:rsidRPr="007F116C">
              <w:rPr>
                <w:b/>
                <w:bCs/>
              </w:rPr>
              <w:t>0.303(0.235, 0.390)</w:t>
            </w:r>
          </w:p>
        </w:tc>
        <w:tc>
          <w:tcPr>
            <w:tcW w:w="1021" w:type="pct"/>
            <w:noWrap/>
          </w:tcPr>
          <w:p w:rsidR="005E15EF" w:rsidRPr="007F116C" w:rsidRDefault="005E15EF" w:rsidP="005E15EF">
            <w:pPr>
              <w:pStyle w:val="PBACTableText"/>
              <w:keepNext/>
              <w:keepLines/>
              <w:spacing w:before="0" w:after="0"/>
              <w:jc w:val="center"/>
              <w:rPr>
                <w:b/>
                <w:bCs/>
              </w:rPr>
            </w:pPr>
            <w:r w:rsidRPr="007F116C">
              <w:rPr>
                <w:b/>
                <w:bCs/>
              </w:rPr>
              <w:t>0.405 (0.317, 0.517)</w:t>
            </w:r>
          </w:p>
        </w:tc>
        <w:tc>
          <w:tcPr>
            <w:tcW w:w="943" w:type="pct"/>
            <w:noWrap/>
          </w:tcPr>
          <w:p w:rsidR="005E15EF" w:rsidRPr="007F116C" w:rsidRDefault="005E15EF" w:rsidP="005E15EF">
            <w:pPr>
              <w:pStyle w:val="PBACTableText"/>
              <w:keepNext/>
              <w:keepLines/>
              <w:spacing w:before="0" w:after="0"/>
              <w:jc w:val="center"/>
            </w:pPr>
            <w:r w:rsidRPr="007F116C">
              <w:t>0.748 (0.526, 1.064)</w:t>
            </w:r>
          </w:p>
        </w:tc>
        <w:tc>
          <w:tcPr>
            <w:tcW w:w="445" w:type="pct"/>
          </w:tcPr>
          <w:p w:rsidR="005E15EF" w:rsidRPr="007F116C" w:rsidRDefault="005E15EF" w:rsidP="005E15EF">
            <w:pPr>
              <w:pStyle w:val="TableText0"/>
              <w:keepLines/>
              <w:spacing w:before="0" w:after="0"/>
              <w:jc w:val="center"/>
            </w:pPr>
            <w:r w:rsidRPr="007F116C">
              <w:t>0.1063</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Proportion (%) relapse free</w:t>
            </w:r>
          </w:p>
        </w:tc>
        <w:tc>
          <w:tcPr>
            <w:tcW w:w="1337" w:type="pct"/>
            <w:noWrap/>
          </w:tcPr>
          <w:p w:rsidR="005E15EF" w:rsidRPr="007F116C" w:rsidRDefault="005E15EF" w:rsidP="005E15EF">
            <w:pPr>
              <w:pStyle w:val="PBACTableText"/>
              <w:keepNext/>
              <w:keepLines/>
              <w:spacing w:before="0" w:after="0"/>
              <w:jc w:val="center"/>
              <w:rPr>
                <w:b/>
                <w:bCs/>
              </w:rPr>
            </w:pPr>
            <w:r w:rsidRPr="007F116C">
              <w:rPr>
                <w:b/>
                <w:bCs/>
              </w:rPr>
              <w:t>3.804 (2.620, 5.521)</w:t>
            </w:r>
          </w:p>
        </w:tc>
        <w:tc>
          <w:tcPr>
            <w:tcW w:w="1021" w:type="pct"/>
            <w:noWrap/>
          </w:tcPr>
          <w:p w:rsidR="005E15EF" w:rsidRPr="007F116C" w:rsidRDefault="005E15EF" w:rsidP="005E15EF">
            <w:pPr>
              <w:pStyle w:val="PBACTableText"/>
              <w:keepNext/>
              <w:keepLines/>
              <w:spacing w:before="0" w:after="0"/>
              <w:jc w:val="center"/>
              <w:rPr>
                <w:b/>
                <w:bCs/>
              </w:rPr>
            </w:pPr>
            <w:r w:rsidRPr="007F116C">
              <w:rPr>
                <w:b/>
                <w:bCs/>
              </w:rPr>
              <w:t>3.328 (2.170, 5.103)</w:t>
            </w:r>
          </w:p>
        </w:tc>
        <w:tc>
          <w:tcPr>
            <w:tcW w:w="943" w:type="pct"/>
            <w:noWrap/>
          </w:tcPr>
          <w:p w:rsidR="005E15EF" w:rsidRPr="007F116C" w:rsidRDefault="005E15EF" w:rsidP="005E15EF">
            <w:pPr>
              <w:pStyle w:val="PBACTableText"/>
              <w:keepNext/>
              <w:keepLines/>
              <w:spacing w:before="0" w:after="0"/>
              <w:jc w:val="center"/>
            </w:pPr>
            <w:r w:rsidRPr="007F116C">
              <w:t>1.143 (0.648, 2.015)</w:t>
            </w:r>
          </w:p>
        </w:tc>
        <w:tc>
          <w:tcPr>
            <w:tcW w:w="445" w:type="pct"/>
          </w:tcPr>
          <w:p w:rsidR="005E15EF" w:rsidRPr="007F116C" w:rsidRDefault="005E15EF" w:rsidP="005E15EF">
            <w:pPr>
              <w:pStyle w:val="TableText0"/>
              <w:keepLines/>
              <w:spacing w:before="0" w:after="0"/>
              <w:jc w:val="center"/>
            </w:pPr>
            <w:r w:rsidRPr="007F116C">
              <w:t>0.6441</w:t>
            </w:r>
          </w:p>
        </w:tc>
      </w:tr>
      <w:tr w:rsidR="005E15EF" w:rsidRPr="007F116C" w:rsidTr="00905948">
        <w:tc>
          <w:tcPr>
            <w:tcW w:w="1254" w:type="pct"/>
            <w:noWrap/>
          </w:tcPr>
          <w:p w:rsidR="005E15EF" w:rsidRPr="007F116C" w:rsidRDefault="005E15EF" w:rsidP="005E15EF">
            <w:pPr>
              <w:pStyle w:val="TableText0"/>
              <w:keepLines/>
              <w:spacing w:before="0" w:after="0"/>
              <w:rPr>
                <w:rFonts w:cs="Calibri"/>
                <w:bCs/>
                <w:color w:val="000000"/>
                <w:lang w:eastAsia="en-AU"/>
              </w:rPr>
            </w:pPr>
            <w:r w:rsidRPr="007F116C">
              <w:rPr>
                <w:rFonts w:cs="Calibri"/>
                <w:bCs/>
                <w:color w:val="000000"/>
                <w:lang w:eastAsia="en-AU"/>
              </w:rPr>
              <w:t>3-month CDP</w:t>
            </w:r>
          </w:p>
        </w:tc>
        <w:tc>
          <w:tcPr>
            <w:tcW w:w="1337" w:type="pct"/>
            <w:noWrap/>
          </w:tcPr>
          <w:p w:rsidR="005E15EF" w:rsidRPr="007F116C" w:rsidRDefault="005E15EF" w:rsidP="005E15EF">
            <w:pPr>
              <w:pStyle w:val="PBACTableText"/>
              <w:keepNext/>
              <w:keepLines/>
              <w:spacing w:before="0" w:after="0"/>
              <w:jc w:val="center"/>
              <w:rPr>
                <w:b/>
                <w:bCs/>
              </w:rPr>
            </w:pPr>
            <w:r w:rsidRPr="007F116C">
              <w:rPr>
                <w:b/>
                <w:bCs/>
              </w:rPr>
              <w:t>0.475 (0.323, 0.698)</w:t>
            </w:r>
          </w:p>
        </w:tc>
        <w:tc>
          <w:tcPr>
            <w:tcW w:w="1021" w:type="pct"/>
            <w:noWrap/>
          </w:tcPr>
          <w:p w:rsidR="005E15EF" w:rsidRPr="007F116C" w:rsidRDefault="005E15EF" w:rsidP="005E15EF">
            <w:pPr>
              <w:pStyle w:val="PBACTableText"/>
              <w:keepNext/>
              <w:keepLines/>
              <w:spacing w:before="0" w:after="0"/>
              <w:jc w:val="center"/>
              <w:rPr>
                <w:b/>
                <w:bCs/>
              </w:rPr>
            </w:pPr>
            <w:r w:rsidRPr="007F116C">
              <w:rPr>
                <w:b/>
                <w:bCs/>
              </w:rPr>
              <w:t>0.426 (0.276, 0.656)</w:t>
            </w:r>
          </w:p>
        </w:tc>
        <w:tc>
          <w:tcPr>
            <w:tcW w:w="943" w:type="pct"/>
            <w:noWrap/>
          </w:tcPr>
          <w:p w:rsidR="005E15EF" w:rsidRPr="007F116C" w:rsidRDefault="005E15EF" w:rsidP="005E15EF">
            <w:pPr>
              <w:pStyle w:val="PBACTableText"/>
              <w:keepNext/>
              <w:keepLines/>
              <w:spacing w:before="0" w:after="0"/>
              <w:jc w:val="center"/>
            </w:pPr>
            <w:r w:rsidRPr="007F116C">
              <w:t>1.115 (0.625, 1.99)</w:t>
            </w:r>
          </w:p>
        </w:tc>
        <w:tc>
          <w:tcPr>
            <w:tcW w:w="445" w:type="pct"/>
          </w:tcPr>
          <w:p w:rsidR="005E15EF" w:rsidRPr="007F116C" w:rsidRDefault="005E15EF" w:rsidP="005E15EF">
            <w:pPr>
              <w:pStyle w:val="TableText0"/>
              <w:keepLines/>
              <w:spacing w:before="0" w:after="0"/>
              <w:jc w:val="center"/>
            </w:pPr>
            <w:r w:rsidRPr="007F116C">
              <w:t>0.7127</w:t>
            </w:r>
          </w:p>
        </w:tc>
      </w:tr>
    </w:tbl>
    <w:p w:rsidR="005E15EF" w:rsidRPr="007F116C" w:rsidRDefault="005E15EF" w:rsidP="005E15EF">
      <w:pPr>
        <w:pStyle w:val="TableFooter"/>
        <w:keepNext/>
        <w:keepLines/>
      </w:pPr>
      <w:r w:rsidRPr="007F116C">
        <w:t>Sour</w:t>
      </w:r>
      <w:r w:rsidR="00296911" w:rsidRPr="007F116C">
        <w:t xml:space="preserve">ce: Tables 2.103, 2.105, 2.107 </w:t>
      </w:r>
      <w:r w:rsidRPr="007F116C">
        <w:t>and Table 2.101, pp213-215 ARR=annualised relapse rate, CI=confidence interval; OR=odds ratio; PBO=placebo; DMT = disease modifying therapy</w:t>
      </w:r>
      <w:r w:rsidR="0020547C" w:rsidRPr="007F116C">
        <w:t>, OFA = ofatumumab</w:t>
      </w:r>
    </w:p>
    <w:p w:rsidR="005E15EF" w:rsidRPr="007F116C" w:rsidRDefault="005E15EF" w:rsidP="005E15EF">
      <w:pPr>
        <w:pStyle w:val="TableFooter"/>
        <w:keepNext/>
        <w:keepLines/>
      </w:pPr>
      <w:r w:rsidRPr="007F116C">
        <w:t>ARR&lt; 1 favours OFA, % relapse free &gt;1 favours OFA, 3 and 6-month CDP &lt; favours OFA</w:t>
      </w:r>
    </w:p>
    <w:p w:rsidR="005E15EF" w:rsidRPr="007F116C" w:rsidRDefault="005E15EF" w:rsidP="005E15EF">
      <w:pPr>
        <w:pStyle w:val="TableFooter"/>
        <w:keepNext/>
        <w:keepLines/>
      </w:pPr>
      <w:r w:rsidRPr="007F116C">
        <w:rPr>
          <w:vertAlign w:val="superscript"/>
        </w:rPr>
        <w:t>a</w:t>
      </w:r>
      <w:r w:rsidRPr="007F116C">
        <w:t xml:space="preserve"> Difference in ARR expressed as ARR ratio, difference in proportion relapse free and 3 month CDP expressed as OR </w:t>
      </w:r>
    </w:p>
    <w:p w:rsidR="005E15EF" w:rsidRPr="007F116C" w:rsidRDefault="005E15EF" w:rsidP="005E15EF">
      <w:pPr>
        <w:pStyle w:val="TableFooter"/>
        <w:keepNext/>
        <w:keepLines/>
      </w:pPr>
      <w:r w:rsidRPr="007F116C">
        <w:rPr>
          <w:vertAlign w:val="superscript"/>
        </w:rPr>
        <w:t>b</w:t>
      </w:r>
      <w:r w:rsidRPr="007F116C">
        <w:t xml:space="preserve"> Values differed to meta-analysis reported in ocrelizumab July 2017, which reported a meta HR instead of a post hoc OR. It is unclear </w:t>
      </w:r>
    </w:p>
    <w:p w:rsidR="005E15EF" w:rsidRPr="007F116C" w:rsidRDefault="005E15EF" w:rsidP="0020547C">
      <w:pPr>
        <w:pStyle w:val="TableFooter"/>
        <w:keepNext/>
        <w:keepLines/>
        <w:spacing w:after="120"/>
        <w:rPr>
          <w:bCs/>
        </w:rPr>
      </w:pPr>
      <w:r w:rsidRPr="007F116C">
        <w:rPr>
          <w:bCs/>
        </w:rPr>
        <w:t>Text in bold indicates statistical significance.</w:t>
      </w:r>
    </w:p>
    <w:p w:rsidR="005E15EF" w:rsidRPr="007F116C" w:rsidRDefault="005E15EF" w:rsidP="005E15EF">
      <w:pPr>
        <w:pStyle w:val="ListParagraph"/>
        <w:widowControl/>
        <w:numPr>
          <w:ilvl w:val="1"/>
          <w:numId w:val="2"/>
        </w:numPr>
        <w:rPr>
          <w:iCs/>
          <w:color w:val="000000" w:themeColor="text1"/>
        </w:rPr>
      </w:pPr>
      <w:r w:rsidRPr="007F116C">
        <w:t xml:space="preserve">The results of the indirect comparisons showed </w:t>
      </w:r>
      <w:r w:rsidR="008178DC" w:rsidRPr="007F116C">
        <w:t xml:space="preserve">statistically significant results </w:t>
      </w:r>
      <w:r w:rsidRPr="007F116C">
        <w:t>for the outcome of ARR in the</w:t>
      </w:r>
      <w:r w:rsidR="0020547C" w:rsidRPr="007F116C">
        <w:t xml:space="preserve"> comparisons versus fingolimod and </w:t>
      </w:r>
      <w:r w:rsidRPr="007F116C">
        <w:t xml:space="preserve">cladribine. </w:t>
      </w:r>
      <w:r w:rsidRPr="007F116C">
        <w:rPr>
          <w:iCs/>
        </w:rPr>
        <w:t>Given the multiple steps in the indirect comparison and the differences in trial design</w:t>
      </w:r>
      <w:r w:rsidR="008178DC" w:rsidRPr="007F116C">
        <w:rPr>
          <w:iCs/>
        </w:rPr>
        <w:t>,</w:t>
      </w:r>
      <w:r w:rsidRPr="007F116C">
        <w:rPr>
          <w:iCs/>
        </w:rPr>
        <w:t xml:space="preserve"> particularly in reference to the bridging comparator teriflunomide trials, these results must be interpreted with caution. All point estimates of the multi</w:t>
      </w:r>
      <w:r w:rsidR="008178DC" w:rsidRPr="007F116C">
        <w:rPr>
          <w:iCs/>
        </w:rPr>
        <w:t>-</w:t>
      </w:r>
      <w:r w:rsidRPr="007F116C">
        <w:rPr>
          <w:iCs/>
        </w:rPr>
        <w:t>step indirect comparison</w:t>
      </w:r>
      <w:r w:rsidR="008178DC" w:rsidRPr="007F116C">
        <w:rPr>
          <w:iCs/>
        </w:rPr>
        <w:t>s</w:t>
      </w:r>
      <w:r w:rsidRPr="007F116C">
        <w:rPr>
          <w:iCs/>
        </w:rPr>
        <w:t xml:space="preserve"> favoured treatment with ofatumumab compared to treatment with fingolimod, cladribine, natalizumab or ocrelizumab</w:t>
      </w:r>
      <w:r w:rsidR="008178DC" w:rsidRPr="007F116C">
        <w:rPr>
          <w:iCs/>
        </w:rPr>
        <w:t xml:space="preserve"> (albeit with wide confidence margins)</w:t>
      </w:r>
      <w:r w:rsidRPr="007F116C">
        <w:rPr>
          <w:iCs/>
        </w:rPr>
        <w:t>, and overall there does not appear to be any evidence to suggest that treatment with ofatumumab would be inferior to fingolimod, cladribine, natalizumab or ocrelizumab.</w:t>
      </w:r>
    </w:p>
    <w:p w:rsidR="002F6F33" w:rsidRPr="007F116C" w:rsidRDefault="005E15EF" w:rsidP="005E15EF">
      <w:pPr>
        <w:pStyle w:val="ListParagraph"/>
        <w:widowControl/>
        <w:numPr>
          <w:ilvl w:val="1"/>
          <w:numId w:val="2"/>
        </w:numPr>
        <w:rPr>
          <w:iCs/>
          <w:color w:val="000000" w:themeColor="text1"/>
        </w:rPr>
      </w:pPr>
      <w:r w:rsidRPr="007F116C">
        <w:t>The submission also presented a supplement</w:t>
      </w:r>
      <w:r w:rsidR="008178DC" w:rsidRPr="007F116C">
        <w:t>ary</w:t>
      </w:r>
      <w:r w:rsidRPr="007F116C">
        <w:t xml:space="preserve"> network meta-</w:t>
      </w:r>
      <w:r w:rsidRPr="007F116C">
        <w:rPr>
          <w:iCs/>
          <w:color w:val="000000" w:themeColor="text1"/>
        </w:rPr>
        <w:t>analysis</w:t>
      </w:r>
      <w:r w:rsidR="0020547C" w:rsidRPr="007F116C">
        <w:rPr>
          <w:iCs/>
          <w:color w:val="000000" w:themeColor="text1"/>
        </w:rPr>
        <w:t xml:space="preserve"> (NMA)</w:t>
      </w:r>
      <w:r w:rsidR="00602388" w:rsidRPr="007F116C">
        <w:rPr>
          <w:iCs/>
          <w:color w:val="000000" w:themeColor="text1"/>
        </w:rPr>
        <w:t xml:space="preserve"> for the outcomes of ARR, proportion relapse</w:t>
      </w:r>
      <w:r w:rsidR="008178DC" w:rsidRPr="007F116C">
        <w:rPr>
          <w:iCs/>
          <w:color w:val="000000" w:themeColor="text1"/>
        </w:rPr>
        <w:t>-</w:t>
      </w:r>
      <w:r w:rsidR="00602388" w:rsidRPr="007F116C">
        <w:rPr>
          <w:iCs/>
          <w:color w:val="000000" w:themeColor="text1"/>
        </w:rPr>
        <w:t>free, 3 month CDP, 6 month CDP as well as for some safety outcomes</w:t>
      </w:r>
      <w:r w:rsidR="0020547C" w:rsidRPr="007F116C">
        <w:rPr>
          <w:iCs/>
          <w:color w:val="000000" w:themeColor="text1"/>
        </w:rPr>
        <w:t xml:space="preserve">. </w:t>
      </w:r>
      <w:r w:rsidR="002F6F33" w:rsidRPr="007F116C">
        <w:rPr>
          <w:iCs/>
          <w:color w:val="000000" w:themeColor="text1"/>
        </w:rPr>
        <w:t xml:space="preserve">Key results from the NMA for the outcomes of ARR, 3 month and 6 month CDP are presented in </w:t>
      </w:r>
      <w:r w:rsidR="00522713" w:rsidRPr="007F116C">
        <w:rPr>
          <w:iCs/>
          <w:color w:val="000000" w:themeColor="text1"/>
        </w:rPr>
        <w:t>Figure 2</w:t>
      </w:r>
      <w:r w:rsidR="00FB74B7" w:rsidRPr="007F116C">
        <w:rPr>
          <w:iCs/>
          <w:color w:val="000000" w:themeColor="text1"/>
        </w:rPr>
        <w:t xml:space="preserve">, </w:t>
      </w:r>
      <w:r w:rsidR="00522713" w:rsidRPr="007F116C">
        <w:rPr>
          <w:iCs/>
          <w:color w:val="000000" w:themeColor="text1"/>
        </w:rPr>
        <w:t>Figure 3</w:t>
      </w:r>
      <w:r w:rsidR="00FB74B7" w:rsidRPr="007F116C">
        <w:rPr>
          <w:iCs/>
          <w:color w:val="000000" w:themeColor="text1"/>
        </w:rPr>
        <w:t xml:space="preserve"> and </w:t>
      </w:r>
      <w:r w:rsidR="00522713" w:rsidRPr="007F116C">
        <w:rPr>
          <w:iCs/>
          <w:color w:val="000000" w:themeColor="text1"/>
        </w:rPr>
        <w:t>Figure 4</w:t>
      </w:r>
      <w:r w:rsidR="00FB74B7" w:rsidRPr="007F116C">
        <w:rPr>
          <w:iCs/>
          <w:color w:val="000000" w:themeColor="text1"/>
        </w:rPr>
        <w:t xml:space="preserve"> </w:t>
      </w:r>
      <w:r w:rsidR="002F6F33" w:rsidRPr="007F116C">
        <w:rPr>
          <w:iCs/>
          <w:color w:val="000000" w:themeColor="text1"/>
        </w:rPr>
        <w:t>below.</w:t>
      </w:r>
      <w:r w:rsidR="00BE1E6B" w:rsidRPr="007F116C">
        <w:rPr>
          <w:iCs/>
          <w:color w:val="000000" w:themeColor="text1"/>
        </w:rPr>
        <w:t xml:space="preserve"> </w:t>
      </w:r>
    </w:p>
    <w:p w:rsidR="002F6F33" w:rsidRPr="007F116C" w:rsidRDefault="002F6F33" w:rsidP="002F6F33">
      <w:pPr>
        <w:pStyle w:val="TableFooter"/>
        <w:jc w:val="center"/>
      </w:pPr>
    </w:p>
    <w:p w:rsidR="002F6F33" w:rsidRPr="007F116C" w:rsidRDefault="00FB74B7" w:rsidP="00FB74B7">
      <w:pPr>
        <w:pStyle w:val="TableFooter"/>
        <w:keepNext/>
        <w:keepLines/>
        <w:jc w:val="left"/>
        <w:rPr>
          <w:rStyle w:val="CommentReference"/>
        </w:rPr>
      </w:pPr>
      <w:bookmarkStart w:id="23" w:name="_Ref61614891"/>
      <w:r w:rsidRPr="007F116C">
        <w:rPr>
          <w:rStyle w:val="CommentReference"/>
        </w:rPr>
        <w:t xml:space="preserve">Figure </w:t>
      </w:r>
      <w:r w:rsidR="00522713" w:rsidRPr="007F116C">
        <w:rPr>
          <w:rStyle w:val="CommentReference"/>
        </w:rPr>
        <w:t>2</w:t>
      </w:r>
      <w:bookmarkEnd w:id="23"/>
      <w:r w:rsidR="002F6F33" w:rsidRPr="007F116C">
        <w:rPr>
          <w:rStyle w:val="CommentReference"/>
        </w:rPr>
        <w:t>:  Results of NMA – (ofatumumab vs comparator) ARR</w:t>
      </w:r>
    </w:p>
    <w:p w:rsidR="002F6F33" w:rsidRPr="007F116C" w:rsidRDefault="002F6F33" w:rsidP="002F6F33">
      <w:pPr>
        <w:pStyle w:val="TableFooter"/>
        <w:keepNext/>
        <w:keepLines/>
        <w:jc w:val="left"/>
        <w:rPr>
          <w:b/>
          <w:bCs/>
        </w:rPr>
      </w:pPr>
      <w:r w:rsidRPr="007F116C">
        <w:rPr>
          <w:noProof/>
          <w:lang w:eastAsia="en-AU"/>
        </w:rPr>
        <w:drawing>
          <wp:inline distT="0" distB="0" distL="0" distR="0" wp14:anchorId="2C47000F" wp14:editId="4FADE440">
            <wp:extent cx="5768340" cy="3906265"/>
            <wp:effectExtent l="0" t="0" r="3810"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10;&#10;Description automatically generated"/>
                    <pic:cNvPicPr/>
                  </pic:nvPicPr>
                  <pic:blipFill>
                    <a:blip r:embed="rId9"/>
                    <a:stretch>
                      <a:fillRect/>
                    </a:stretch>
                  </pic:blipFill>
                  <pic:spPr>
                    <a:xfrm>
                      <a:off x="0" y="0"/>
                      <a:ext cx="5866639" cy="3972832"/>
                    </a:xfrm>
                    <a:prstGeom prst="rect">
                      <a:avLst/>
                    </a:prstGeom>
                  </pic:spPr>
                </pic:pic>
              </a:graphicData>
            </a:graphic>
          </wp:inline>
        </w:drawing>
      </w:r>
    </w:p>
    <w:p w:rsidR="002F6F33" w:rsidRPr="007F116C" w:rsidRDefault="002F6F33" w:rsidP="002F6F33">
      <w:pPr>
        <w:pStyle w:val="TableFooter"/>
        <w:keepNext/>
        <w:keepLines/>
        <w:jc w:val="left"/>
      </w:pPr>
      <w:r w:rsidRPr="007F116C">
        <w:t>Source: Figure 2.15, p229 of the submission</w:t>
      </w:r>
      <w:r w:rsidR="007F116C">
        <w:t xml:space="preserve">. </w:t>
      </w:r>
      <w:r w:rsidRPr="007F116C">
        <w:t>IM = intramuscular</w:t>
      </w:r>
      <w:r w:rsidR="004C7AE1" w:rsidRPr="007F116C">
        <w:t>; kg</w:t>
      </w:r>
      <w:r w:rsidRPr="007F116C">
        <w:t xml:space="preserve"> = kilogram; mg = milligram</w:t>
      </w:r>
      <w:r w:rsidR="004C7AE1" w:rsidRPr="007F116C">
        <w:t>; SC</w:t>
      </w:r>
      <w:r w:rsidRPr="007F116C">
        <w:t xml:space="preserve"> = subcutaneous; µg = microgram</w:t>
      </w:r>
    </w:p>
    <w:p w:rsidR="002F6F33" w:rsidRPr="007F116C" w:rsidRDefault="002F6F33" w:rsidP="002F6F33">
      <w:pPr>
        <w:widowControl/>
        <w:rPr>
          <w:iCs/>
          <w:color w:val="000000" w:themeColor="text1"/>
        </w:rPr>
      </w:pPr>
    </w:p>
    <w:p w:rsidR="00BE177A" w:rsidRPr="007F116C" w:rsidRDefault="00FB74B7" w:rsidP="00FB74B7">
      <w:pPr>
        <w:keepNext/>
        <w:keepLines/>
        <w:jc w:val="left"/>
        <w:rPr>
          <w:rStyle w:val="CommentReference"/>
        </w:rPr>
      </w:pPr>
      <w:bookmarkStart w:id="24" w:name="_Ref61614893"/>
      <w:r w:rsidRPr="007F116C">
        <w:rPr>
          <w:rStyle w:val="CommentReference"/>
        </w:rPr>
        <w:t xml:space="preserve">Figure </w:t>
      </w:r>
      <w:r w:rsidR="00522713" w:rsidRPr="007F116C">
        <w:rPr>
          <w:rStyle w:val="CommentReference"/>
        </w:rPr>
        <w:t>3</w:t>
      </w:r>
      <w:bookmarkEnd w:id="24"/>
      <w:r w:rsidR="00BE177A" w:rsidRPr="007F116C">
        <w:rPr>
          <w:rStyle w:val="CommentReference"/>
        </w:rPr>
        <w:t>: Results of NMA – (ofatumumab vs comparator) CDP – 3 month</w:t>
      </w:r>
    </w:p>
    <w:p w:rsidR="00BE177A" w:rsidRPr="007F116C" w:rsidRDefault="00BE177A" w:rsidP="00BE177A">
      <w:pPr>
        <w:keepNext/>
        <w:keepLines/>
        <w:jc w:val="left"/>
      </w:pPr>
      <w:r w:rsidRPr="007F116C">
        <w:rPr>
          <w:noProof/>
          <w:lang w:eastAsia="en-AU"/>
        </w:rPr>
        <w:drawing>
          <wp:inline distT="0" distB="0" distL="0" distR="0" wp14:anchorId="159D5124" wp14:editId="12EDBBD3">
            <wp:extent cx="5639407" cy="3436620"/>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10;&#10;Description automatically generated"/>
                    <pic:cNvPicPr/>
                  </pic:nvPicPr>
                  <pic:blipFill>
                    <a:blip r:embed="rId10"/>
                    <a:stretch>
                      <a:fillRect/>
                    </a:stretch>
                  </pic:blipFill>
                  <pic:spPr>
                    <a:xfrm>
                      <a:off x="0" y="0"/>
                      <a:ext cx="5705002" cy="3476593"/>
                    </a:xfrm>
                    <a:prstGeom prst="rect">
                      <a:avLst/>
                    </a:prstGeom>
                  </pic:spPr>
                </pic:pic>
              </a:graphicData>
            </a:graphic>
          </wp:inline>
        </w:drawing>
      </w:r>
    </w:p>
    <w:p w:rsidR="00BE177A" w:rsidRPr="007F116C" w:rsidRDefault="00BE177A" w:rsidP="00BE177A">
      <w:pPr>
        <w:pStyle w:val="TableFooter"/>
        <w:keepNext/>
        <w:keepLines/>
        <w:jc w:val="left"/>
      </w:pPr>
      <w:r w:rsidRPr="007F116C">
        <w:t xml:space="preserve">Source: Figure 2.18, p233 of the </w:t>
      </w:r>
      <w:r w:rsidR="004C7AE1" w:rsidRPr="007F116C">
        <w:t>submission.</w:t>
      </w:r>
      <w:r w:rsidRPr="007F116C">
        <w:t xml:space="preserve"> IM = intramuscular;  kg = kilogram; mg = milligram;  SC = subcutaneous; µg = microgram</w:t>
      </w:r>
    </w:p>
    <w:p w:rsidR="002F6F33" w:rsidRPr="007F116C" w:rsidRDefault="002F6F33" w:rsidP="002F6F33">
      <w:pPr>
        <w:widowControl/>
        <w:rPr>
          <w:iCs/>
          <w:color w:val="000000" w:themeColor="text1"/>
        </w:rPr>
      </w:pPr>
    </w:p>
    <w:p w:rsidR="00BE177A" w:rsidRPr="007F116C" w:rsidRDefault="00FB74B7" w:rsidP="00FB74B7">
      <w:pPr>
        <w:keepNext/>
        <w:keepLines/>
        <w:jc w:val="left"/>
        <w:rPr>
          <w:rStyle w:val="CommentReference"/>
        </w:rPr>
      </w:pPr>
      <w:bookmarkStart w:id="25" w:name="_Ref61614894"/>
      <w:r w:rsidRPr="007F116C">
        <w:rPr>
          <w:rStyle w:val="CommentReference"/>
        </w:rPr>
        <w:t xml:space="preserve">Figure </w:t>
      </w:r>
      <w:r w:rsidR="00522713" w:rsidRPr="007F116C">
        <w:rPr>
          <w:rStyle w:val="CommentReference"/>
        </w:rPr>
        <w:t>4</w:t>
      </w:r>
      <w:bookmarkEnd w:id="25"/>
      <w:r w:rsidR="00BE177A" w:rsidRPr="007F116C">
        <w:rPr>
          <w:rStyle w:val="CommentReference"/>
        </w:rPr>
        <w:t xml:space="preserve">: Results of NMA – (ofatumumab vs comparator) </w:t>
      </w:r>
      <w:r w:rsidR="005C17EF" w:rsidRPr="007F116C">
        <w:rPr>
          <w:rStyle w:val="CommentReference"/>
        </w:rPr>
        <w:t>CDP – 6 month</w:t>
      </w:r>
    </w:p>
    <w:p w:rsidR="00BE177A" w:rsidRPr="007F116C" w:rsidRDefault="00BE177A" w:rsidP="00BE177A">
      <w:pPr>
        <w:keepNext/>
        <w:keepLines/>
        <w:jc w:val="left"/>
      </w:pPr>
      <w:r w:rsidRPr="007F116C">
        <w:rPr>
          <w:noProof/>
          <w:lang w:eastAsia="en-AU"/>
        </w:rPr>
        <w:drawing>
          <wp:inline distT="0" distB="0" distL="0" distR="0" wp14:anchorId="437FDAE8" wp14:editId="7585B1DC">
            <wp:extent cx="5707380" cy="3562764"/>
            <wp:effectExtent l="0" t="0" r="7620" b="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hart&#10;&#10;Description automatically generated"/>
                    <pic:cNvPicPr/>
                  </pic:nvPicPr>
                  <pic:blipFill>
                    <a:blip r:embed="rId11"/>
                    <a:stretch>
                      <a:fillRect/>
                    </a:stretch>
                  </pic:blipFill>
                  <pic:spPr>
                    <a:xfrm>
                      <a:off x="0" y="0"/>
                      <a:ext cx="5793234" cy="3616357"/>
                    </a:xfrm>
                    <a:prstGeom prst="rect">
                      <a:avLst/>
                    </a:prstGeom>
                  </pic:spPr>
                </pic:pic>
              </a:graphicData>
            </a:graphic>
          </wp:inline>
        </w:drawing>
      </w:r>
    </w:p>
    <w:p w:rsidR="00BE177A" w:rsidRPr="007F116C" w:rsidRDefault="00BE177A" w:rsidP="00BE177A">
      <w:pPr>
        <w:pStyle w:val="TableFooter"/>
        <w:keepNext/>
        <w:keepLines/>
        <w:jc w:val="left"/>
      </w:pPr>
      <w:r w:rsidRPr="007F116C">
        <w:t>Source: Figure 2.23, p240. IM = intramuscular</w:t>
      </w:r>
      <w:r w:rsidR="004C7AE1" w:rsidRPr="007F116C">
        <w:t>; kg</w:t>
      </w:r>
      <w:r w:rsidRPr="007F116C">
        <w:t xml:space="preserve"> = kilogram; mg = milligram</w:t>
      </w:r>
      <w:r w:rsidR="004C7AE1" w:rsidRPr="007F116C">
        <w:t>; SC</w:t>
      </w:r>
      <w:r w:rsidRPr="007F116C">
        <w:t xml:space="preserve"> = subcutaneous; µg = microgram</w:t>
      </w:r>
    </w:p>
    <w:p w:rsidR="00BE177A" w:rsidRPr="007F116C" w:rsidRDefault="00BE177A" w:rsidP="00BE177A">
      <w:pPr>
        <w:widowControl/>
        <w:rPr>
          <w:iCs/>
          <w:color w:val="000000" w:themeColor="text1"/>
        </w:rPr>
      </w:pPr>
    </w:p>
    <w:p w:rsidR="005E15EF" w:rsidRPr="007F116C" w:rsidRDefault="0020547C" w:rsidP="005E15EF">
      <w:pPr>
        <w:pStyle w:val="ListParagraph"/>
        <w:widowControl/>
        <w:numPr>
          <w:ilvl w:val="1"/>
          <w:numId w:val="2"/>
        </w:numPr>
        <w:rPr>
          <w:iCs/>
          <w:color w:val="000000" w:themeColor="text1"/>
        </w:rPr>
      </w:pPr>
      <w:r w:rsidRPr="007F116C">
        <w:rPr>
          <w:iCs/>
          <w:color w:val="000000" w:themeColor="text1"/>
        </w:rPr>
        <w:t>The results of the NMA</w:t>
      </w:r>
      <w:r w:rsidR="005E15EF" w:rsidRPr="007F116C">
        <w:rPr>
          <w:iCs/>
          <w:color w:val="000000" w:themeColor="text1"/>
        </w:rPr>
        <w:t xml:space="preserve"> largely supported the results of the multi-stepped indirect comparison</w:t>
      </w:r>
      <w:r w:rsidR="0081490C" w:rsidRPr="007F116C">
        <w:rPr>
          <w:iCs/>
          <w:color w:val="000000" w:themeColor="text1"/>
        </w:rPr>
        <w:t>.</w:t>
      </w:r>
      <w:r w:rsidR="005E15EF" w:rsidRPr="007F116C">
        <w:rPr>
          <w:iCs/>
          <w:color w:val="000000" w:themeColor="text1"/>
        </w:rPr>
        <w:t xml:space="preserve"> </w:t>
      </w:r>
    </w:p>
    <w:p w:rsidR="0081490C" w:rsidRPr="007F116C" w:rsidRDefault="0081490C" w:rsidP="0081490C">
      <w:pPr>
        <w:pStyle w:val="ListParagraph"/>
        <w:widowControl/>
        <w:numPr>
          <w:ilvl w:val="1"/>
          <w:numId w:val="2"/>
        </w:numPr>
        <w:rPr>
          <w:iCs/>
          <w:color w:val="000000" w:themeColor="text1"/>
        </w:rPr>
      </w:pPr>
      <w:r w:rsidRPr="007F116C">
        <w:rPr>
          <w:iCs/>
        </w:rPr>
        <w:t>The PSCR</w:t>
      </w:r>
      <w:r w:rsidR="007C157B">
        <w:rPr>
          <w:iCs/>
        </w:rPr>
        <w:t xml:space="preserve"> </w:t>
      </w:r>
      <w:r w:rsidRPr="007F116C">
        <w:rPr>
          <w:iCs/>
        </w:rPr>
        <w:t xml:space="preserve">acknowledged the inherent uncertainties of the multi-step indirect comparison approach but argued the results of the supplementary network meta-analysis provided additional certainty of the comparative effectiveness of ofatumumab to the nominated comparators. The ESC agreed and </w:t>
      </w:r>
      <w:r w:rsidR="00E66D1A" w:rsidRPr="007F116C">
        <w:rPr>
          <w:iCs/>
        </w:rPr>
        <w:t>noted</w:t>
      </w:r>
      <w:r w:rsidRPr="007F116C">
        <w:rPr>
          <w:iCs/>
        </w:rPr>
        <w:t xml:space="preserve"> the </w:t>
      </w:r>
      <w:r w:rsidR="00E66D1A" w:rsidRPr="007F116C">
        <w:rPr>
          <w:iCs/>
        </w:rPr>
        <w:t xml:space="preserve">studies included in the comparisons had overall similar designs and recruited populations and considered the </w:t>
      </w:r>
      <w:r w:rsidRPr="007F116C">
        <w:rPr>
          <w:iCs/>
        </w:rPr>
        <w:t>plurality of comparisons and overall similarity</w:t>
      </w:r>
      <w:r w:rsidR="00E66D1A" w:rsidRPr="007F116C">
        <w:rPr>
          <w:iCs/>
        </w:rPr>
        <w:t xml:space="preserve"> of the</w:t>
      </w:r>
      <w:r w:rsidRPr="007F116C">
        <w:rPr>
          <w:iCs/>
        </w:rPr>
        <w:t xml:space="preserve"> results</w:t>
      </w:r>
      <w:r w:rsidR="00E66D1A" w:rsidRPr="007F116C">
        <w:rPr>
          <w:iCs/>
        </w:rPr>
        <w:t xml:space="preserve"> </w:t>
      </w:r>
      <w:r w:rsidRPr="007F116C">
        <w:rPr>
          <w:iCs/>
        </w:rPr>
        <w:t>of the indirect comparisons, as well as the results of the supplementary NMA supported a conclusion that ofatumumab was likely of non-inferior comparative effectiveness to fingolimod, natalizumab, cladribine and ocrelizumab.</w:t>
      </w:r>
    </w:p>
    <w:p w:rsidR="005E15EF" w:rsidRPr="007F116C" w:rsidRDefault="005E15EF" w:rsidP="0020302B">
      <w:pPr>
        <w:pStyle w:val="Heading2"/>
      </w:pPr>
      <w:bookmarkStart w:id="26" w:name="_Toc62048846"/>
      <w:r w:rsidRPr="007F116C">
        <w:t>Comparative harms</w:t>
      </w:r>
      <w:bookmarkEnd w:id="26"/>
    </w:p>
    <w:p w:rsidR="005E15EF" w:rsidRPr="007F116C" w:rsidRDefault="005E15EF" w:rsidP="005E15EF">
      <w:pPr>
        <w:widowControl/>
      </w:pPr>
    </w:p>
    <w:p w:rsidR="005E15EF" w:rsidRPr="007F116C" w:rsidRDefault="00522713" w:rsidP="005E15EF">
      <w:pPr>
        <w:pStyle w:val="ListParagraph"/>
        <w:widowControl/>
        <w:numPr>
          <w:ilvl w:val="1"/>
          <w:numId w:val="2"/>
        </w:numPr>
        <w:rPr>
          <w:iCs/>
          <w:color w:val="000000" w:themeColor="text1"/>
        </w:rPr>
      </w:pPr>
      <w:r w:rsidRPr="007F116C">
        <w:t>Table 10</w:t>
      </w:r>
      <w:r w:rsidR="005E15EF" w:rsidRPr="007F116C">
        <w:t xml:space="preserve"> presents a summary of </w:t>
      </w:r>
      <w:r w:rsidR="002B0159" w:rsidRPr="007F116C">
        <w:t>notable adverse event outcomes</w:t>
      </w:r>
      <w:r w:rsidR="00602388" w:rsidRPr="007F116C">
        <w:t xml:space="preserve"> reported in ASCLEPIOS I and II</w:t>
      </w:r>
      <w:r w:rsidR="005E15EF" w:rsidRPr="007F116C">
        <w:t>.</w:t>
      </w:r>
    </w:p>
    <w:p w:rsidR="005E15EF" w:rsidRPr="007F116C" w:rsidRDefault="005E15EF" w:rsidP="005E15EF">
      <w:pPr>
        <w:pStyle w:val="PBACtablecaption"/>
        <w:keepNext/>
        <w:keepLines/>
        <w:spacing w:after="0"/>
        <w:rPr>
          <w:rStyle w:val="CommentReference"/>
          <w:b/>
          <w:bCs/>
        </w:rPr>
      </w:pPr>
      <w:bookmarkStart w:id="27" w:name="_Ref61000495"/>
      <w:r w:rsidRPr="007F116C">
        <w:rPr>
          <w:rStyle w:val="CommentReference"/>
          <w:b/>
          <w:bCs/>
        </w:rPr>
        <w:t xml:space="preserve">Table </w:t>
      </w:r>
      <w:r w:rsidR="00522713" w:rsidRPr="007F116C">
        <w:rPr>
          <w:rStyle w:val="CommentReference"/>
          <w:b/>
          <w:bCs/>
        </w:rPr>
        <w:t>10</w:t>
      </w:r>
      <w:bookmarkEnd w:id="27"/>
      <w:r w:rsidRPr="007F116C">
        <w:rPr>
          <w:rStyle w:val="CommentReference"/>
          <w:b/>
          <w:bCs/>
        </w:rPr>
        <w:t xml:space="preserve">: </w:t>
      </w:r>
      <w:r w:rsidR="002B0159" w:rsidRPr="007F116C">
        <w:rPr>
          <w:rStyle w:val="CommentReference"/>
          <w:b/>
          <w:bCs/>
        </w:rPr>
        <w:t>Notable adverse events</w:t>
      </w:r>
      <w:r w:rsidRPr="007F116C">
        <w:rPr>
          <w:rStyle w:val="CommentReference"/>
          <w:b/>
          <w:bCs/>
        </w:rPr>
        <w:t xml:space="preserve"> </w:t>
      </w:r>
      <w:r w:rsidR="002B0159" w:rsidRPr="007F116C">
        <w:rPr>
          <w:rStyle w:val="CommentReference"/>
          <w:b/>
          <w:bCs/>
        </w:rPr>
        <w:t xml:space="preserve">outcomes </w:t>
      </w:r>
      <w:r w:rsidRPr="007F116C">
        <w:rPr>
          <w:rStyle w:val="CommentReference"/>
          <w:b/>
          <w:bCs/>
        </w:rPr>
        <w:t>related to the study drug in the ASCLEPIOS I/II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842"/>
        <w:gridCol w:w="1273"/>
        <w:gridCol w:w="1277"/>
        <w:gridCol w:w="1277"/>
        <w:gridCol w:w="1115"/>
        <w:gridCol w:w="1115"/>
        <w:gridCol w:w="1118"/>
      </w:tblGrid>
      <w:tr w:rsidR="005E15EF" w:rsidRPr="007F116C" w:rsidTr="00997403">
        <w:tc>
          <w:tcPr>
            <w:tcW w:w="1022" w:type="pct"/>
          </w:tcPr>
          <w:p w:rsidR="005E15EF" w:rsidRPr="007F116C" w:rsidRDefault="005E15EF" w:rsidP="005E15EF">
            <w:pPr>
              <w:pStyle w:val="PBACTableText"/>
              <w:keepNext/>
              <w:keepLines/>
              <w:spacing w:before="0" w:after="0"/>
              <w:rPr>
                <w:b/>
                <w:sz w:val="18"/>
                <w:szCs w:val="18"/>
              </w:rPr>
            </w:pPr>
          </w:p>
        </w:tc>
        <w:tc>
          <w:tcPr>
            <w:tcW w:w="2122" w:type="pct"/>
            <w:gridSpan w:val="3"/>
          </w:tcPr>
          <w:p w:rsidR="005E15EF" w:rsidRPr="007F116C" w:rsidRDefault="005E15EF" w:rsidP="005E15EF">
            <w:pPr>
              <w:pStyle w:val="PbacTableHeading"/>
              <w:keepNext/>
              <w:keepLines/>
              <w:spacing w:after="0"/>
              <w:jc w:val="center"/>
              <w:rPr>
                <w:sz w:val="18"/>
                <w:szCs w:val="18"/>
              </w:rPr>
            </w:pPr>
            <w:r w:rsidRPr="007F116C">
              <w:rPr>
                <w:sz w:val="18"/>
                <w:szCs w:val="18"/>
              </w:rPr>
              <w:t>ASCLEPIOS I</w:t>
            </w:r>
          </w:p>
        </w:tc>
        <w:tc>
          <w:tcPr>
            <w:tcW w:w="1856" w:type="pct"/>
            <w:gridSpan w:val="3"/>
          </w:tcPr>
          <w:p w:rsidR="005E15EF" w:rsidRPr="007F116C" w:rsidRDefault="005E15EF" w:rsidP="005E15EF">
            <w:pPr>
              <w:pStyle w:val="PbacTableHeading"/>
              <w:keepNext/>
              <w:keepLines/>
              <w:spacing w:after="0"/>
              <w:jc w:val="center"/>
              <w:rPr>
                <w:sz w:val="18"/>
                <w:szCs w:val="18"/>
              </w:rPr>
            </w:pPr>
            <w:r w:rsidRPr="007F116C">
              <w:rPr>
                <w:sz w:val="18"/>
                <w:szCs w:val="18"/>
              </w:rPr>
              <w:t>ASCLEPIOS II</w:t>
            </w:r>
          </w:p>
        </w:tc>
      </w:tr>
      <w:tr w:rsidR="005E15EF" w:rsidRPr="007F116C" w:rsidTr="00997403">
        <w:tc>
          <w:tcPr>
            <w:tcW w:w="1022" w:type="pct"/>
          </w:tcPr>
          <w:p w:rsidR="005E15EF" w:rsidRPr="007F116C" w:rsidRDefault="005E15EF" w:rsidP="005E15EF">
            <w:pPr>
              <w:pStyle w:val="PBACTableText"/>
              <w:keepNext/>
              <w:keepLines/>
              <w:spacing w:before="0" w:after="0"/>
              <w:rPr>
                <w:b/>
                <w:sz w:val="18"/>
                <w:szCs w:val="18"/>
              </w:rPr>
            </w:pPr>
            <w:r w:rsidRPr="007F116C">
              <w:rPr>
                <w:b/>
                <w:sz w:val="18"/>
                <w:szCs w:val="18"/>
              </w:rPr>
              <w:t>Primary system organ class</w:t>
            </w:r>
          </w:p>
        </w:tc>
        <w:tc>
          <w:tcPr>
            <w:tcW w:w="706" w:type="pct"/>
          </w:tcPr>
          <w:p w:rsidR="005E15EF" w:rsidRPr="007F116C" w:rsidRDefault="005E15EF" w:rsidP="005E15EF">
            <w:pPr>
              <w:pStyle w:val="PBACTableText"/>
              <w:keepNext/>
              <w:keepLines/>
              <w:spacing w:before="0" w:after="0"/>
              <w:jc w:val="center"/>
              <w:rPr>
                <w:b/>
                <w:sz w:val="18"/>
                <w:szCs w:val="18"/>
              </w:rPr>
            </w:pPr>
            <w:r w:rsidRPr="007F116C">
              <w:rPr>
                <w:b/>
                <w:sz w:val="18"/>
                <w:szCs w:val="18"/>
              </w:rPr>
              <w:t>Ofatumumab 20mg</w:t>
            </w:r>
          </w:p>
          <w:p w:rsidR="005E15EF" w:rsidRPr="007F116C" w:rsidRDefault="005E15EF" w:rsidP="005E15EF">
            <w:pPr>
              <w:pStyle w:val="PBACTableText"/>
              <w:keepNext/>
              <w:keepLines/>
              <w:spacing w:before="0" w:after="0"/>
              <w:jc w:val="center"/>
              <w:rPr>
                <w:b/>
                <w:sz w:val="18"/>
                <w:szCs w:val="18"/>
              </w:rPr>
            </w:pPr>
            <w:r w:rsidRPr="007F116C">
              <w:rPr>
                <w:b/>
                <w:sz w:val="18"/>
                <w:szCs w:val="18"/>
              </w:rPr>
              <w:t>N=465</w:t>
            </w:r>
          </w:p>
          <w:p w:rsidR="005E15EF" w:rsidRPr="007F116C" w:rsidRDefault="004C7AE1" w:rsidP="005E15EF">
            <w:pPr>
              <w:pStyle w:val="PBACTableText"/>
              <w:keepNext/>
              <w:keepLines/>
              <w:spacing w:before="0" w:after="0"/>
              <w:jc w:val="center"/>
              <w:rPr>
                <w:b/>
                <w:sz w:val="18"/>
                <w:szCs w:val="18"/>
              </w:rPr>
            </w:pPr>
            <w:r>
              <w:rPr>
                <w:b/>
                <w:sz w:val="18"/>
                <w:szCs w:val="18"/>
              </w:rPr>
              <w:t xml:space="preserve">n </w:t>
            </w:r>
            <w:r w:rsidR="005E15EF" w:rsidRPr="007F116C">
              <w:rPr>
                <w:b/>
                <w:sz w:val="18"/>
                <w:szCs w:val="18"/>
              </w:rPr>
              <w:t>(%)</w:t>
            </w:r>
          </w:p>
        </w:tc>
        <w:tc>
          <w:tcPr>
            <w:tcW w:w="708" w:type="pct"/>
          </w:tcPr>
          <w:p w:rsidR="005E15EF" w:rsidRPr="007F116C" w:rsidRDefault="005E15EF" w:rsidP="005E15EF">
            <w:pPr>
              <w:pStyle w:val="PBACTableText"/>
              <w:keepNext/>
              <w:keepLines/>
              <w:spacing w:before="0" w:after="0"/>
              <w:jc w:val="center"/>
              <w:rPr>
                <w:b/>
                <w:sz w:val="18"/>
                <w:szCs w:val="18"/>
              </w:rPr>
            </w:pPr>
            <w:r w:rsidRPr="007F116C">
              <w:rPr>
                <w:b/>
                <w:sz w:val="18"/>
                <w:szCs w:val="18"/>
              </w:rPr>
              <w:t>Teriflunomide 14mg</w:t>
            </w:r>
          </w:p>
          <w:p w:rsidR="005E15EF" w:rsidRPr="007F116C" w:rsidRDefault="005E15EF" w:rsidP="005E15EF">
            <w:pPr>
              <w:pStyle w:val="PBACTableText"/>
              <w:keepNext/>
              <w:keepLines/>
              <w:spacing w:before="0" w:after="0"/>
              <w:jc w:val="center"/>
              <w:rPr>
                <w:b/>
                <w:sz w:val="18"/>
                <w:szCs w:val="18"/>
              </w:rPr>
            </w:pPr>
            <w:r w:rsidRPr="007F116C">
              <w:rPr>
                <w:b/>
                <w:sz w:val="18"/>
                <w:szCs w:val="18"/>
              </w:rPr>
              <w:t>N=462</w:t>
            </w:r>
          </w:p>
          <w:p w:rsidR="005E15EF" w:rsidRPr="007F116C" w:rsidRDefault="004C7AE1" w:rsidP="005E15EF">
            <w:pPr>
              <w:pStyle w:val="PBACTableText"/>
              <w:keepNext/>
              <w:keepLines/>
              <w:spacing w:before="0" w:after="0"/>
              <w:jc w:val="center"/>
              <w:rPr>
                <w:b/>
                <w:sz w:val="18"/>
                <w:szCs w:val="18"/>
              </w:rPr>
            </w:pPr>
            <w:r>
              <w:rPr>
                <w:b/>
                <w:sz w:val="18"/>
                <w:szCs w:val="18"/>
              </w:rPr>
              <w:t xml:space="preserve">n </w:t>
            </w:r>
            <w:r w:rsidR="005E15EF" w:rsidRPr="007F116C">
              <w:rPr>
                <w:b/>
                <w:sz w:val="18"/>
                <w:szCs w:val="18"/>
              </w:rPr>
              <w:t>(%)</w:t>
            </w:r>
          </w:p>
        </w:tc>
        <w:tc>
          <w:tcPr>
            <w:tcW w:w="708" w:type="pct"/>
          </w:tcPr>
          <w:p w:rsidR="005E15EF" w:rsidRPr="007F116C" w:rsidRDefault="005E15EF" w:rsidP="005E15EF">
            <w:pPr>
              <w:pStyle w:val="PBACTableText"/>
              <w:keepNext/>
              <w:keepLines/>
              <w:spacing w:before="0" w:after="0"/>
              <w:jc w:val="center"/>
              <w:rPr>
                <w:b/>
                <w:iCs/>
                <w:sz w:val="18"/>
                <w:szCs w:val="18"/>
              </w:rPr>
            </w:pPr>
            <w:r w:rsidRPr="007F116C">
              <w:rPr>
                <w:b/>
                <w:iCs/>
                <w:sz w:val="18"/>
                <w:szCs w:val="18"/>
              </w:rPr>
              <w:t>RD</w:t>
            </w:r>
          </w:p>
          <w:p w:rsidR="005E15EF" w:rsidRPr="007F116C" w:rsidRDefault="005E15EF" w:rsidP="005E15EF">
            <w:pPr>
              <w:pStyle w:val="PBACTableText"/>
              <w:keepNext/>
              <w:keepLines/>
              <w:spacing w:before="0" w:after="0"/>
              <w:jc w:val="center"/>
              <w:rPr>
                <w:b/>
                <w:sz w:val="18"/>
                <w:szCs w:val="18"/>
              </w:rPr>
            </w:pPr>
            <w:r w:rsidRPr="007F116C">
              <w:rPr>
                <w:b/>
                <w:iCs/>
                <w:sz w:val="18"/>
                <w:szCs w:val="18"/>
              </w:rPr>
              <w:t>(95% CI)</w:t>
            </w:r>
          </w:p>
        </w:tc>
        <w:tc>
          <w:tcPr>
            <w:tcW w:w="618" w:type="pct"/>
          </w:tcPr>
          <w:p w:rsidR="005E15EF" w:rsidRPr="007F116C" w:rsidRDefault="005E15EF" w:rsidP="005E15EF">
            <w:pPr>
              <w:pStyle w:val="PBACTableText"/>
              <w:keepNext/>
              <w:keepLines/>
              <w:spacing w:before="0" w:after="0"/>
              <w:jc w:val="center"/>
              <w:rPr>
                <w:b/>
                <w:sz w:val="18"/>
                <w:szCs w:val="18"/>
              </w:rPr>
            </w:pPr>
            <w:r w:rsidRPr="007F116C">
              <w:rPr>
                <w:b/>
                <w:sz w:val="18"/>
                <w:szCs w:val="18"/>
              </w:rPr>
              <w:t>Ofatumumab 20mg</w:t>
            </w:r>
          </w:p>
          <w:p w:rsidR="005E15EF" w:rsidRPr="007F116C" w:rsidRDefault="005E15EF" w:rsidP="005E15EF">
            <w:pPr>
              <w:pStyle w:val="PBACTableText"/>
              <w:keepNext/>
              <w:keepLines/>
              <w:spacing w:before="0" w:after="0"/>
              <w:jc w:val="center"/>
              <w:rPr>
                <w:b/>
                <w:sz w:val="18"/>
                <w:szCs w:val="18"/>
              </w:rPr>
            </w:pPr>
            <w:r w:rsidRPr="007F116C">
              <w:rPr>
                <w:b/>
                <w:sz w:val="18"/>
                <w:szCs w:val="18"/>
              </w:rPr>
              <w:t>N=481</w:t>
            </w:r>
          </w:p>
          <w:p w:rsidR="005E15EF" w:rsidRPr="007F116C" w:rsidRDefault="004C7AE1" w:rsidP="005E15EF">
            <w:pPr>
              <w:pStyle w:val="PBACTableText"/>
              <w:keepNext/>
              <w:keepLines/>
              <w:spacing w:before="0" w:after="0"/>
              <w:jc w:val="center"/>
              <w:rPr>
                <w:b/>
                <w:sz w:val="18"/>
                <w:szCs w:val="18"/>
              </w:rPr>
            </w:pPr>
            <w:r>
              <w:rPr>
                <w:b/>
                <w:sz w:val="18"/>
                <w:szCs w:val="18"/>
              </w:rPr>
              <w:t xml:space="preserve">n </w:t>
            </w:r>
            <w:r w:rsidR="005E15EF" w:rsidRPr="007F116C">
              <w:rPr>
                <w:b/>
                <w:sz w:val="18"/>
                <w:szCs w:val="18"/>
              </w:rPr>
              <w:t>(%)</w:t>
            </w:r>
          </w:p>
        </w:tc>
        <w:tc>
          <w:tcPr>
            <w:tcW w:w="618" w:type="pct"/>
          </w:tcPr>
          <w:p w:rsidR="005E15EF" w:rsidRPr="007F116C" w:rsidRDefault="005E15EF" w:rsidP="005E15EF">
            <w:pPr>
              <w:pStyle w:val="PBACTableText"/>
              <w:keepNext/>
              <w:keepLines/>
              <w:spacing w:before="0" w:after="0"/>
              <w:jc w:val="center"/>
              <w:rPr>
                <w:b/>
                <w:sz w:val="18"/>
                <w:szCs w:val="18"/>
              </w:rPr>
            </w:pPr>
            <w:r w:rsidRPr="007F116C">
              <w:rPr>
                <w:b/>
                <w:sz w:val="18"/>
                <w:szCs w:val="18"/>
              </w:rPr>
              <w:t>Teriflunomide 14mg</w:t>
            </w:r>
          </w:p>
          <w:p w:rsidR="005E15EF" w:rsidRPr="007F116C" w:rsidRDefault="005E15EF" w:rsidP="005E15EF">
            <w:pPr>
              <w:pStyle w:val="PBACTableText"/>
              <w:keepNext/>
              <w:keepLines/>
              <w:spacing w:before="0" w:after="0"/>
              <w:jc w:val="center"/>
              <w:rPr>
                <w:b/>
                <w:sz w:val="18"/>
                <w:szCs w:val="18"/>
              </w:rPr>
            </w:pPr>
            <w:r w:rsidRPr="007F116C">
              <w:rPr>
                <w:b/>
                <w:sz w:val="18"/>
                <w:szCs w:val="18"/>
              </w:rPr>
              <w:t>N=474</w:t>
            </w:r>
          </w:p>
          <w:p w:rsidR="005E15EF" w:rsidRPr="007F116C" w:rsidRDefault="004C7AE1" w:rsidP="004C7AE1">
            <w:pPr>
              <w:pStyle w:val="PBACTableText"/>
              <w:keepNext/>
              <w:keepLines/>
              <w:spacing w:before="0" w:after="0"/>
              <w:jc w:val="center"/>
              <w:rPr>
                <w:b/>
                <w:sz w:val="18"/>
                <w:szCs w:val="18"/>
              </w:rPr>
            </w:pPr>
            <w:r>
              <w:rPr>
                <w:b/>
                <w:sz w:val="18"/>
                <w:szCs w:val="18"/>
              </w:rPr>
              <w:t xml:space="preserve">n </w:t>
            </w:r>
            <w:r w:rsidR="005E15EF" w:rsidRPr="007F116C">
              <w:rPr>
                <w:b/>
                <w:sz w:val="18"/>
                <w:szCs w:val="18"/>
              </w:rPr>
              <w:t>(%)</w:t>
            </w:r>
          </w:p>
        </w:tc>
        <w:tc>
          <w:tcPr>
            <w:tcW w:w="620" w:type="pct"/>
          </w:tcPr>
          <w:p w:rsidR="005E15EF" w:rsidRPr="007F116C" w:rsidRDefault="005E15EF" w:rsidP="005E15EF">
            <w:pPr>
              <w:pStyle w:val="PBACTableText"/>
              <w:keepNext/>
              <w:keepLines/>
              <w:spacing w:before="0" w:after="0"/>
              <w:jc w:val="center"/>
              <w:rPr>
                <w:b/>
                <w:iCs/>
                <w:sz w:val="18"/>
                <w:szCs w:val="18"/>
              </w:rPr>
            </w:pPr>
            <w:r w:rsidRPr="007F116C">
              <w:rPr>
                <w:b/>
                <w:iCs/>
                <w:sz w:val="18"/>
                <w:szCs w:val="18"/>
              </w:rPr>
              <w:t>RD</w:t>
            </w:r>
          </w:p>
          <w:p w:rsidR="005E15EF" w:rsidRPr="007F116C" w:rsidRDefault="005E15EF" w:rsidP="005E15EF">
            <w:pPr>
              <w:pStyle w:val="PBACTableText"/>
              <w:keepNext/>
              <w:keepLines/>
              <w:spacing w:before="0" w:after="0"/>
              <w:jc w:val="center"/>
              <w:rPr>
                <w:b/>
                <w:sz w:val="18"/>
                <w:szCs w:val="18"/>
              </w:rPr>
            </w:pPr>
            <w:r w:rsidRPr="007F116C">
              <w:rPr>
                <w:b/>
                <w:iCs/>
                <w:sz w:val="18"/>
                <w:szCs w:val="18"/>
              </w:rPr>
              <w:t>(95% CI)</w:t>
            </w:r>
          </w:p>
        </w:tc>
      </w:tr>
      <w:tr w:rsidR="005E15EF" w:rsidRPr="007F116C" w:rsidTr="00997403">
        <w:tc>
          <w:tcPr>
            <w:tcW w:w="1022" w:type="pct"/>
          </w:tcPr>
          <w:p w:rsidR="005E15EF" w:rsidRPr="007F116C" w:rsidRDefault="005E15EF" w:rsidP="005E15EF">
            <w:pPr>
              <w:pStyle w:val="PBACTableText"/>
              <w:keepNext/>
              <w:keepLines/>
              <w:spacing w:before="0" w:after="0"/>
              <w:rPr>
                <w:sz w:val="18"/>
                <w:szCs w:val="18"/>
              </w:rPr>
            </w:pPr>
            <w:r w:rsidRPr="007F116C">
              <w:rPr>
                <w:sz w:val="18"/>
                <w:szCs w:val="18"/>
              </w:rPr>
              <w:t xml:space="preserve">Patients with at least one AE </w:t>
            </w:r>
          </w:p>
        </w:tc>
        <w:tc>
          <w:tcPr>
            <w:tcW w:w="706"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382 (82.2)</w:t>
            </w:r>
          </w:p>
        </w:tc>
        <w:tc>
          <w:tcPr>
            <w:tcW w:w="70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380 (82.3)</w:t>
            </w:r>
          </w:p>
        </w:tc>
        <w:tc>
          <w:tcPr>
            <w:tcW w:w="708" w:type="pct"/>
            <w:vAlign w:val="center"/>
          </w:tcPr>
          <w:p w:rsidR="005E15EF" w:rsidRPr="007F116C" w:rsidRDefault="005E15EF" w:rsidP="005E15EF">
            <w:pPr>
              <w:pStyle w:val="TableText0"/>
              <w:keepLines/>
              <w:spacing w:before="0" w:after="0"/>
              <w:jc w:val="center"/>
              <w:rPr>
                <w:iCs/>
                <w:sz w:val="18"/>
                <w:szCs w:val="18"/>
              </w:rPr>
            </w:pPr>
            <w:r w:rsidRPr="007F116C">
              <w:rPr>
                <w:iCs/>
                <w:sz w:val="18"/>
                <w:szCs w:val="18"/>
              </w:rPr>
              <w:t>0</w:t>
            </w:r>
          </w:p>
          <w:p w:rsidR="005E15EF" w:rsidRPr="007F116C" w:rsidRDefault="005E15EF" w:rsidP="005E15EF">
            <w:pPr>
              <w:pStyle w:val="TableText0"/>
              <w:keepLines/>
              <w:spacing w:before="0" w:after="0"/>
              <w:jc w:val="center"/>
              <w:rPr>
                <w:iCs/>
                <w:sz w:val="18"/>
                <w:szCs w:val="18"/>
              </w:rPr>
            </w:pPr>
            <w:r w:rsidRPr="007F116C">
              <w:rPr>
                <w:iCs/>
                <w:sz w:val="18"/>
                <w:szCs w:val="18"/>
              </w:rPr>
              <w:t>(-0.05, 0.05)</w:t>
            </w:r>
          </w:p>
        </w:tc>
        <w:tc>
          <w:tcPr>
            <w:tcW w:w="61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409 (85.0)</w:t>
            </w:r>
          </w:p>
        </w:tc>
        <w:tc>
          <w:tcPr>
            <w:tcW w:w="618" w:type="pct"/>
            <w:vAlign w:val="center"/>
          </w:tcPr>
          <w:p w:rsidR="005E15EF" w:rsidRPr="007F116C" w:rsidRDefault="005E15EF" w:rsidP="005E15EF">
            <w:pPr>
              <w:pStyle w:val="PBACTableText"/>
              <w:keepNext/>
              <w:keepLines/>
              <w:spacing w:before="0" w:after="0"/>
              <w:jc w:val="center"/>
              <w:rPr>
                <w:b/>
                <w:sz w:val="18"/>
                <w:szCs w:val="18"/>
              </w:rPr>
            </w:pPr>
            <w:r w:rsidRPr="007F116C">
              <w:rPr>
                <w:sz w:val="18"/>
                <w:szCs w:val="18"/>
              </w:rPr>
              <w:t>408 (86.1)</w:t>
            </w:r>
          </w:p>
        </w:tc>
        <w:tc>
          <w:tcPr>
            <w:tcW w:w="620" w:type="pct"/>
            <w:vAlign w:val="center"/>
          </w:tcPr>
          <w:p w:rsidR="005E15EF" w:rsidRPr="007F116C" w:rsidRDefault="005E15EF" w:rsidP="005E15EF">
            <w:pPr>
              <w:pStyle w:val="TableText0"/>
              <w:keepLines/>
              <w:spacing w:before="0" w:after="0"/>
              <w:jc w:val="center"/>
              <w:rPr>
                <w:iCs/>
                <w:sz w:val="18"/>
                <w:szCs w:val="18"/>
              </w:rPr>
            </w:pPr>
            <w:r w:rsidRPr="007F116C">
              <w:rPr>
                <w:iCs/>
                <w:sz w:val="18"/>
                <w:szCs w:val="18"/>
              </w:rPr>
              <w:t>0</w:t>
            </w:r>
          </w:p>
          <w:p w:rsidR="005E15EF" w:rsidRPr="007F116C" w:rsidRDefault="005E15EF" w:rsidP="005E15EF">
            <w:pPr>
              <w:pStyle w:val="TableText0"/>
              <w:keepLines/>
              <w:spacing w:before="0" w:after="0"/>
              <w:jc w:val="center"/>
              <w:rPr>
                <w:iCs/>
                <w:sz w:val="18"/>
                <w:szCs w:val="18"/>
              </w:rPr>
            </w:pPr>
            <w:r w:rsidRPr="007F116C">
              <w:rPr>
                <w:iCs/>
                <w:sz w:val="18"/>
                <w:szCs w:val="18"/>
              </w:rPr>
              <w:t>(-0.04, 0.04)</w:t>
            </w:r>
          </w:p>
        </w:tc>
      </w:tr>
      <w:tr w:rsidR="005E15EF" w:rsidRPr="007F116C" w:rsidTr="00997403">
        <w:tc>
          <w:tcPr>
            <w:tcW w:w="1022" w:type="pct"/>
          </w:tcPr>
          <w:p w:rsidR="005E15EF" w:rsidRPr="007F116C" w:rsidRDefault="005E15EF" w:rsidP="005E15EF">
            <w:pPr>
              <w:pStyle w:val="PBACTableText"/>
              <w:keepNext/>
              <w:keepLines/>
              <w:spacing w:before="0" w:after="0"/>
              <w:rPr>
                <w:sz w:val="18"/>
                <w:szCs w:val="18"/>
              </w:rPr>
            </w:pPr>
            <w:r w:rsidRPr="007F116C">
              <w:rPr>
                <w:sz w:val="18"/>
                <w:szCs w:val="18"/>
              </w:rPr>
              <w:t>Patients with at least one Serious AE</w:t>
            </w:r>
          </w:p>
        </w:tc>
        <w:tc>
          <w:tcPr>
            <w:tcW w:w="706"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48 (10.3)</w:t>
            </w:r>
          </w:p>
        </w:tc>
        <w:tc>
          <w:tcPr>
            <w:tcW w:w="70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38 (8.2)</w:t>
            </w:r>
          </w:p>
        </w:tc>
        <w:tc>
          <w:tcPr>
            <w:tcW w:w="708" w:type="pct"/>
            <w:vAlign w:val="center"/>
          </w:tcPr>
          <w:p w:rsidR="005E15EF" w:rsidRPr="007F116C" w:rsidRDefault="005E15EF" w:rsidP="005E15EF">
            <w:pPr>
              <w:pStyle w:val="TableText0"/>
              <w:keepLines/>
              <w:spacing w:before="0" w:after="0"/>
              <w:jc w:val="center"/>
              <w:rPr>
                <w:iCs/>
                <w:sz w:val="18"/>
                <w:szCs w:val="18"/>
              </w:rPr>
            </w:pPr>
            <w:r w:rsidRPr="007F116C">
              <w:rPr>
                <w:iCs/>
                <w:sz w:val="18"/>
                <w:szCs w:val="18"/>
              </w:rPr>
              <w:t>0.02</w:t>
            </w:r>
          </w:p>
          <w:p w:rsidR="005E15EF" w:rsidRPr="007F116C" w:rsidRDefault="005E15EF" w:rsidP="005E15EF">
            <w:pPr>
              <w:pStyle w:val="TableText0"/>
              <w:keepLines/>
              <w:spacing w:before="0" w:after="0"/>
              <w:jc w:val="center"/>
              <w:rPr>
                <w:iCs/>
                <w:sz w:val="18"/>
                <w:szCs w:val="18"/>
              </w:rPr>
            </w:pPr>
            <w:r w:rsidRPr="007F116C">
              <w:rPr>
                <w:iCs/>
                <w:sz w:val="18"/>
                <w:szCs w:val="18"/>
              </w:rPr>
              <w:t>(-0.02, 0.06)</w:t>
            </w:r>
          </w:p>
        </w:tc>
        <w:tc>
          <w:tcPr>
            <w:tcW w:w="61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38 (7.9)</w:t>
            </w:r>
          </w:p>
        </w:tc>
        <w:tc>
          <w:tcPr>
            <w:tcW w:w="61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36 (7.6)</w:t>
            </w:r>
          </w:p>
        </w:tc>
        <w:tc>
          <w:tcPr>
            <w:tcW w:w="620" w:type="pct"/>
            <w:vAlign w:val="center"/>
          </w:tcPr>
          <w:p w:rsidR="005E15EF" w:rsidRPr="007F116C" w:rsidRDefault="005E15EF" w:rsidP="005E15EF">
            <w:pPr>
              <w:pStyle w:val="TableText0"/>
              <w:keepLines/>
              <w:spacing w:before="0" w:after="0"/>
              <w:jc w:val="center"/>
              <w:rPr>
                <w:iCs/>
                <w:sz w:val="18"/>
                <w:szCs w:val="18"/>
              </w:rPr>
            </w:pPr>
            <w:r w:rsidRPr="007F116C">
              <w:rPr>
                <w:iCs/>
                <w:sz w:val="18"/>
                <w:szCs w:val="18"/>
              </w:rPr>
              <w:t>0</w:t>
            </w:r>
          </w:p>
          <w:p w:rsidR="005E15EF" w:rsidRPr="007F116C" w:rsidRDefault="005E15EF" w:rsidP="005E15EF">
            <w:pPr>
              <w:pStyle w:val="TableText0"/>
              <w:keepLines/>
              <w:spacing w:before="0" w:after="0"/>
              <w:jc w:val="center"/>
              <w:rPr>
                <w:iCs/>
                <w:sz w:val="18"/>
                <w:szCs w:val="18"/>
              </w:rPr>
            </w:pPr>
            <w:r w:rsidRPr="007F116C">
              <w:rPr>
                <w:iCs/>
                <w:sz w:val="18"/>
                <w:szCs w:val="18"/>
              </w:rPr>
              <w:t>(-0.03, 0.03)</w:t>
            </w:r>
          </w:p>
        </w:tc>
      </w:tr>
      <w:tr w:rsidR="005E15EF" w:rsidRPr="007F116C" w:rsidTr="00997403">
        <w:tc>
          <w:tcPr>
            <w:tcW w:w="1022" w:type="pct"/>
          </w:tcPr>
          <w:p w:rsidR="005E15EF" w:rsidRPr="007F116C" w:rsidRDefault="005E15EF" w:rsidP="005E15EF">
            <w:pPr>
              <w:pStyle w:val="PBACTableText"/>
              <w:keepNext/>
              <w:keepLines/>
              <w:spacing w:before="0" w:after="0"/>
              <w:rPr>
                <w:sz w:val="18"/>
                <w:szCs w:val="18"/>
              </w:rPr>
            </w:pPr>
            <w:r w:rsidRPr="007F116C">
              <w:rPr>
                <w:sz w:val="18"/>
                <w:szCs w:val="18"/>
              </w:rPr>
              <w:t>Patients who discontinued due to an AEs</w:t>
            </w:r>
          </w:p>
        </w:tc>
        <w:tc>
          <w:tcPr>
            <w:tcW w:w="706"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27 (5.8)</w:t>
            </w:r>
          </w:p>
        </w:tc>
        <w:tc>
          <w:tcPr>
            <w:tcW w:w="70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24 (5.2)</w:t>
            </w:r>
          </w:p>
        </w:tc>
        <w:tc>
          <w:tcPr>
            <w:tcW w:w="708" w:type="pct"/>
            <w:vAlign w:val="center"/>
          </w:tcPr>
          <w:p w:rsidR="005E15EF" w:rsidRPr="007F116C" w:rsidRDefault="005E15EF" w:rsidP="005E15EF">
            <w:pPr>
              <w:pStyle w:val="TableText0"/>
              <w:keepLines/>
              <w:spacing w:before="0" w:after="0"/>
              <w:jc w:val="center"/>
              <w:rPr>
                <w:iCs/>
                <w:sz w:val="18"/>
                <w:szCs w:val="18"/>
              </w:rPr>
            </w:pPr>
            <w:r w:rsidRPr="007F116C">
              <w:rPr>
                <w:iCs/>
                <w:sz w:val="18"/>
                <w:szCs w:val="18"/>
              </w:rPr>
              <w:t>0.01</w:t>
            </w:r>
          </w:p>
          <w:p w:rsidR="005E15EF" w:rsidRPr="007F116C" w:rsidRDefault="005E15EF" w:rsidP="005E15EF">
            <w:pPr>
              <w:pStyle w:val="TableText0"/>
              <w:keepLines/>
              <w:spacing w:before="0" w:after="0"/>
              <w:jc w:val="center"/>
              <w:rPr>
                <w:iCs/>
                <w:sz w:val="18"/>
                <w:szCs w:val="18"/>
              </w:rPr>
            </w:pPr>
            <w:r w:rsidRPr="007F116C">
              <w:rPr>
                <w:iCs/>
                <w:sz w:val="18"/>
                <w:szCs w:val="18"/>
              </w:rPr>
              <w:t>(-0.02, 0.04)</w:t>
            </w:r>
          </w:p>
        </w:tc>
        <w:tc>
          <w:tcPr>
            <w:tcW w:w="61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27 (5.6)</w:t>
            </w:r>
          </w:p>
        </w:tc>
        <w:tc>
          <w:tcPr>
            <w:tcW w:w="61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25 (5.3)</w:t>
            </w:r>
          </w:p>
        </w:tc>
        <w:tc>
          <w:tcPr>
            <w:tcW w:w="620" w:type="pct"/>
            <w:vAlign w:val="center"/>
          </w:tcPr>
          <w:p w:rsidR="005E15EF" w:rsidRPr="007F116C" w:rsidRDefault="005E15EF" w:rsidP="005E15EF">
            <w:pPr>
              <w:pStyle w:val="TableText0"/>
              <w:keepLines/>
              <w:spacing w:before="0" w:after="0"/>
              <w:jc w:val="center"/>
              <w:rPr>
                <w:iCs/>
                <w:sz w:val="18"/>
                <w:szCs w:val="18"/>
              </w:rPr>
            </w:pPr>
            <w:r w:rsidRPr="007F116C">
              <w:rPr>
                <w:iCs/>
                <w:sz w:val="18"/>
                <w:szCs w:val="18"/>
              </w:rPr>
              <w:t>0</w:t>
            </w:r>
          </w:p>
          <w:p w:rsidR="005E15EF" w:rsidRPr="007F116C" w:rsidRDefault="005E15EF" w:rsidP="005E15EF">
            <w:pPr>
              <w:pStyle w:val="TableText0"/>
              <w:keepLines/>
              <w:spacing w:before="0" w:after="0"/>
              <w:jc w:val="center"/>
              <w:rPr>
                <w:iCs/>
                <w:sz w:val="18"/>
                <w:szCs w:val="18"/>
              </w:rPr>
            </w:pPr>
            <w:r w:rsidRPr="007F116C">
              <w:rPr>
                <w:iCs/>
                <w:sz w:val="18"/>
                <w:szCs w:val="18"/>
              </w:rPr>
              <w:t>(-0.03, 0.03)</w:t>
            </w:r>
          </w:p>
        </w:tc>
      </w:tr>
      <w:tr w:rsidR="005E15EF" w:rsidRPr="007F116C" w:rsidTr="00997403">
        <w:tc>
          <w:tcPr>
            <w:tcW w:w="1022" w:type="pct"/>
          </w:tcPr>
          <w:p w:rsidR="005E15EF" w:rsidRPr="007F116C" w:rsidRDefault="005E15EF" w:rsidP="005E15EF">
            <w:pPr>
              <w:pStyle w:val="PBACTableText"/>
              <w:keepNext/>
              <w:keepLines/>
              <w:spacing w:before="0" w:after="0"/>
              <w:rPr>
                <w:sz w:val="18"/>
                <w:szCs w:val="18"/>
              </w:rPr>
            </w:pPr>
            <w:r w:rsidRPr="007F116C">
              <w:rPr>
                <w:sz w:val="18"/>
                <w:szCs w:val="18"/>
              </w:rPr>
              <w:t>Patients who died</w:t>
            </w:r>
          </w:p>
        </w:tc>
        <w:tc>
          <w:tcPr>
            <w:tcW w:w="706"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0 (0.0)</w:t>
            </w:r>
          </w:p>
        </w:tc>
        <w:tc>
          <w:tcPr>
            <w:tcW w:w="70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0 (0.0)</w:t>
            </w:r>
          </w:p>
        </w:tc>
        <w:tc>
          <w:tcPr>
            <w:tcW w:w="708" w:type="pct"/>
            <w:vAlign w:val="center"/>
          </w:tcPr>
          <w:p w:rsidR="005E15EF" w:rsidRPr="007F116C" w:rsidRDefault="005E15EF" w:rsidP="005E15EF">
            <w:pPr>
              <w:pStyle w:val="TableText0"/>
              <w:keepLines/>
              <w:spacing w:before="0" w:after="0"/>
              <w:jc w:val="center"/>
              <w:rPr>
                <w:iCs/>
                <w:sz w:val="18"/>
                <w:szCs w:val="18"/>
              </w:rPr>
            </w:pPr>
            <w:r w:rsidRPr="007F116C">
              <w:rPr>
                <w:iCs/>
                <w:sz w:val="18"/>
                <w:szCs w:val="18"/>
              </w:rPr>
              <w:t>0(0, 0)</w:t>
            </w:r>
          </w:p>
        </w:tc>
        <w:tc>
          <w:tcPr>
            <w:tcW w:w="61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0 (0.0)</w:t>
            </w:r>
          </w:p>
        </w:tc>
        <w:tc>
          <w:tcPr>
            <w:tcW w:w="618" w:type="pct"/>
            <w:vAlign w:val="center"/>
          </w:tcPr>
          <w:p w:rsidR="005E15EF" w:rsidRPr="007F116C" w:rsidRDefault="005E15EF" w:rsidP="005E15EF">
            <w:pPr>
              <w:pStyle w:val="PBACTableText"/>
              <w:keepNext/>
              <w:keepLines/>
              <w:spacing w:before="0" w:after="0"/>
              <w:jc w:val="center"/>
              <w:rPr>
                <w:sz w:val="18"/>
                <w:szCs w:val="18"/>
              </w:rPr>
            </w:pPr>
            <w:r w:rsidRPr="007F116C">
              <w:rPr>
                <w:sz w:val="18"/>
                <w:szCs w:val="18"/>
              </w:rPr>
              <w:t>0 (0.0)</w:t>
            </w:r>
          </w:p>
        </w:tc>
        <w:tc>
          <w:tcPr>
            <w:tcW w:w="620" w:type="pct"/>
            <w:vAlign w:val="center"/>
          </w:tcPr>
          <w:p w:rsidR="005E15EF" w:rsidRPr="007F116C" w:rsidRDefault="005E15EF" w:rsidP="005E15EF">
            <w:pPr>
              <w:pStyle w:val="TableText0"/>
              <w:keepLines/>
              <w:spacing w:before="0" w:after="0"/>
              <w:jc w:val="center"/>
              <w:rPr>
                <w:iCs/>
                <w:sz w:val="18"/>
                <w:szCs w:val="18"/>
              </w:rPr>
            </w:pPr>
            <w:r w:rsidRPr="007F116C">
              <w:rPr>
                <w:iCs/>
                <w:sz w:val="18"/>
                <w:szCs w:val="18"/>
              </w:rPr>
              <w:t>0(0, 0)</w:t>
            </w:r>
          </w:p>
        </w:tc>
      </w:tr>
      <w:tr w:rsidR="005E15EF" w:rsidRPr="007F116C" w:rsidTr="00997403">
        <w:tc>
          <w:tcPr>
            <w:tcW w:w="1022" w:type="pct"/>
            <w:vAlign w:val="center"/>
          </w:tcPr>
          <w:p w:rsidR="005E15EF" w:rsidRPr="007F116C" w:rsidRDefault="005E15EF" w:rsidP="005E15EF">
            <w:pPr>
              <w:pStyle w:val="TableText0"/>
              <w:keepLines/>
              <w:widowControl w:val="0"/>
              <w:spacing w:before="0" w:after="0"/>
              <w:rPr>
                <w:sz w:val="18"/>
                <w:szCs w:val="18"/>
              </w:rPr>
            </w:pPr>
            <w:r w:rsidRPr="007F116C">
              <w:rPr>
                <w:sz w:val="18"/>
                <w:szCs w:val="18"/>
              </w:rPr>
              <w:t>Gastrointestinal Disorders</w:t>
            </w:r>
          </w:p>
        </w:tc>
        <w:tc>
          <w:tcPr>
            <w:tcW w:w="706" w:type="pct"/>
            <w:vAlign w:val="center"/>
          </w:tcPr>
          <w:p w:rsidR="005E15EF" w:rsidRPr="007F116C" w:rsidRDefault="005E15EF" w:rsidP="005E15EF">
            <w:pPr>
              <w:pStyle w:val="TableText0"/>
              <w:keepLines/>
              <w:widowControl w:val="0"/>
              <w:spacing w:before="0" w:after="0"/>
              <w:jc w:val="center"/>
              <w:rPr>
                <w:sz w:val="18"/>
                <w:szCs w:val="18"/>
              </w:rPr>
            </w:pPr>
            <w:r w:rsidRPr="007F116C">
              <w:rPr>
                <w:sz w:val="18"/>
                <w:szCs w:val="18"/>
              </w:rPr>
              <w:t>104 (22.4)</w:t>
            </w:r>
          </w:p>
        </w:tc>
        <w:tc>
          <w:tcPr>
            <w:tcW w:w="708" w:type="pct"/>
            <w:vAlign w:val="center"/>
          </w:tcPr>
          <w:p w:rsidR="005E15EF" w:rsidRPr="007F116C" w:rsidRDefault="005E15EF" w:rsidP="005E15EF">
            <w:pPr>
              <w:pStyle w:val="TableText0"/>
              <w:keepLines/>
              <w:widowControl w:val="0"/>
              <w:spacing w:before="0" w:after="0"/>
              <w:jc w:val="center"/>
              <w:rPr>
                <w:sz w:val="18"/>
                <w:szCs w:val="18"/>
              </w:rPr>
            </w:pPr>
            <w:r w:rsidRPr="007F116C">
              <w:rPr>
                <w:sz w:val="18"/>
                <w:szCs w:val="18"/>
              </w:rPr>
              <w:t>135 (29.2)</w:t>
            </w:r>
          </w:p>
        </w:tc>
        <w:tc>
          <w:tcPr>
            <w:tcW w:w="708" w:type="pct"/>
            <w:shd w:val="clear" w:color="auto" w:fill="auto"/>
            <w:vAlign w:val="center"/>
          </w:tcPr>
          <w:p w:rsidR="005E15EF" w:rsidRPr="007F116C" w:rsidRDefault="005E15EF" w:rsidP="005E15EF">
            <w:pPr>
              <w:pStyle w:val="TableText0"/>
              <w:keepLines/>
              <w:widowControl w:val="0"/>
              <w:spacing w:before="0" w:after="0"/>
              <w:jc w:val="center"/>
              <w:rPr>
                <w:b/>
                <w:iCs/>
                <w:sz w:val="18"/>
                <w:szCs w:val="18"/>
              </w:rPr>
            </w:pPr>
            <w:r w:rsidRPr="007F116C">
              <w:rPr>
                <w:b/>
                <w:iCs/>
                <w:sz w:val="18"/>
                <w:szCs w:val="18"/>
              </w:rPr>
              <w:t>-0.07</w:t>
            </w:r>
          </w:p>
          <w:p w:rsidR="005E15EF" w:rsidRPr="007F116C" w:rsidRDefault="005E15EF" w:rsidP="005E15EF">
            <w:pPr>
              <w:pStyle w:val="TableText0"/>
              <w:keepLines/>
              <w:widowControl w:val="0"/>
              <w:spacing w:before="0" w:after="0"/>
              <w:jc w:val="center"/>
              <w:rPr>
                <w:iCs/>
                <w:sz w:val="18"/>
                <w:szCs w:val="18"/>
              </w:rPr>
            </w:pPr>
            <w:r w:rsidRPr="007F116C">
              <w:rPr>
                <w:b/>
                <w:iCs/>
                <w:sz w:val="18"/>
                <w:szCs w:val="18"/>
              </w:rPr>
              <w:t>(-0.13, -0.01)</w:t>
            </w:r>
          </w:p>
        </w:tc>
        <w:tc>
          <w:tcPr>
            <w:tcW w:w="618" w:type="pct"/>
            <w:vAlign w:val="center"/>
          </w:tcPr>
          <w:p w:rsidR="005E15EF" w:rsidRPr="007F116C" w:rsidRDefault="005E15EF" w:rsidP="005E15EF">
            <w:pPr>
              <w:pStyle w:val="TableText0"/>
              <w:keepLines/>
              <w:widowControl w:val="0"/>
              <w:spacing w:before="0" w:after="0"/>
              <w:jc w:val="center"/>
              <w:rPr>
                <w:sz w:val="18"/>
                <w:szCs w:val="18"/>
              </w:rPr>
            </w:pPr>
            <w:r w:rsidRPr="007F116C">
              <w:rPr>
                <w:sz w:val="18"/>
                <w:szCs w:val="18"/>
              </w:rPr>
              <w:t>120 (24.9)</w:t>
            </w:r>
          </w:p>
        </w:tc>
        <w:tc>
          <w:tcPr>
            <w:tcW w:w="618" w:type="pct"/>
            <w:vAlign w:val="center"/>
          </w:tcPr>
          <w:p w:rsidR="005E15EF" w:rsidRPr="007F116C" w:rsidRDefault="005E15EF" w:rsidP="005E15EF">
            <w:pPr>
              <w:pStyle w:val="TableText0"/>
              <w:keepLines/>
              <w:widowControl w:val="0"/>
              <w:spacing w:before="0" w:after="0"/>
              <w:jc w:val="center"/>
              <w:rPr>
                <w:sz w:val="18"/>
                <w:szCs w:val="18"/>
              </w:rPr>
            </w:pPr>
            <w:r w:rsidRPr="007F116C">
              <w:rPr>
                <w:sz w:val="18"/>
                <w:szCs w:val="18"/>
              </w:rPr>
              <w:t>151 (31.9)</w:t>
            </w:r>
          </w:p>
        </w:tc>
        <w:tc>
          <w:tcPr>
            <w:tcW w:w="620" w:type="pct"/>
            <w:shd w:val="clear" w:color="auto" w:fill="auto"/>
            <w:vAlign w:val="center"/>
          </w:tcPr>
          <w:p w:rsidR="005E15EF" w:rsidRPr="007F116C" w:rsidRDefault="005E15EF" w:rsidP="005E15EF">
            <w:pPr>
              <w:pStyle w:val="TableText0"/>
              <w:keepLines/>
              <w:widowControl w:val="0"/>
              <w:spacing w:before="0" w:after="0"/>
              <w:jc w:val="center"/>
              <w:rPr>
                <w:b/>
                <w:iCs/>
                <w:sz w:val="18"/>
                <w:szCs w:val="18"/>
              </w:rPr>
            </w:pPr>
            <w:r w:rsidRPr="007F116C">
              <w:rPr>
                <w:b/>
                <w:iCs/>
                <w:sz w:val="18"/>
                <w:szCs w:val="18"/>
              </w:rPr>
              <w:t>-0.07</w:t>
            </w:r>
          </w:p>
          <w:p w:rsidR="005E15EF" w:rsidRPr="007F116C" w:rsidRDefault="005E15EF" w:rsidP="005E15EF">
            <w:pPr>
              <w:pStyle w:val="TableText0"/>
              <w:keepLines/>
              <w:widowControl w:val="0"/>
              <w:spacing w:before="0" w:after="0"/>
              <w:jc w:val="center"/>
              <w:rPr>
                <w:b/>
                <w:iCs/>
                <w:sz w:val="18"/>
                <w:szCs w:val="18"/>
              </w:rPr>
            </w:pPr>
            <w:r w:rsidRPr="007F116C">
              <w:rPr>
                <w:b/>
                <w:iCs/>
                <w:sz w:val="18"/>
                <w:szCs w:val="18"/>
              </w:rPr>
              <w:t>(-0.13, -0.01)</w:t>
            </w:r>
          </w:p>
        </w:tc>
      </w:tr>
      <w:tr w:rsidR="005E15EF" w:rsidRPr="007F116C" w:rsidTr="00997403">
        <w:tc>
          <w:tcPr>
            <w:tcW w:w="1022" w:type="pct"/>
            <w:vAlign w:val="center"/>
          </w:tcPr>
          <w:p w:rsidR="005E15EF" w:rsidRPr="007F116C" w:rsidRDefault="005E15EF" w:rsidP="005E15EF">
            <w:pPr>
              <w:pStyle w:val="TableText0"/>
              <w:keepLines/>
              <w:widowControl w:val="0"/>
              <w:spacing w:before="0" w:after="0"/>
              <w:rPr>
                <w:sz w:val="18"/>
                <w:szCs w:val="18"/>
              </w:rPr>
            </w:pPr>
            <w:r w:rsidRPr="007F116C">
              <w:rPr>
                <w:sz w:val="18"/>
                <w:szCs w:val="18"/>
              </w:rPr>
              <w:t>Skin And Subcutaneous Tissue Disorders</w:t>
            </w:r>
          </w:p>
        </w:tc>
        <w:tc>
          <w:tcPr>
            <w:tcW w:w="706" w:type="pct"/>
            <w:vAlign w:val="center"/>
          </w:tcPr>
          <w:p w:rsidR="005E15EF" w:rsidRPr="007F116C" w:rsidRDefault="005E15EF" w:rsidP="005E15EF">
            <w:pPr>
              <w:pStyle w:val="TableText0"/>
              <w:keepLines/>
              <w:widowControl w:val="0"/>
              <w:spacing w:before="0" w:after="0"/>
              <w:jc w:val="center"/>
              <w:rPr>
                <w:sz w:val="18"/>
                <w:szCs w:val="18"/>
              </w:rPr>
            </w:pPr>
            <w:r w:rsidRPr="007F116C">
              <w:rPr>
                <w:sz w:val="18"/>
                <w:szCs w:val="18"/>
              </w:rPr>
              <w:t>71 (15.3)</w:t>
            </w:r>
          </w:p>
        </w:tc>
        <w:tc>
          <w:tcPr>
            <w:tcW w:w="708" w:type="pct"/>
            <w:vAlign w:val="center"/>
          </w:tcPr>
          <w:p w:rsidR="005E15EF" w:rsidRPr="007F116C" w:rsidRDefault="005E15EF" w:rsidP="005E15EF">
            <w:pPr>
              <w:pStyle w:val="TableText0"/>
              <w:keepLines/>
              <w:widowControl w:val="0"/>
              <w:spacing w:before="0" w:after="0"/>
              <w:jc w:val="center"/>
              <w:rPr>
                <w:sz w:val="18"/>
                <w:szCs w:val="18"/>
              </w:rPr>
            </w:pPr>
            <w:r w:rsidRPr="007F116C">
              <w:rPr>
                <w:sz w:val="18"/>
                <w:szCs w:val="18"/>
              </w:rPr>
              <w:t>116 (25.1)</w:t>
            </w:r>
          </w:p>
        </w:tc>
        <w:tc>
          <w:tcPr>
            <w:tcW w:w="708" w:type="pct"/>
            <w:shd w:val="clear" w:color="auto" w:fill="auto"/>
            <w:vAlign w:val="center"/>
          </w:tcPr>
          <w:p w:rsidR="005E15EF" w:rsidRPr="007F116C" w:rsidRDefault="005E15EF" w:rsidP="005E15EF">
            <w:pPr>
              <w:pStyle w:val="TableText0"/>
              <w:keepLines/>
              <w:widowControl w:val="0"/>
              <w:spacing w:before="0" w:after="0"/>
              <w:jc w:val="center"/>
              <w:rPr>
                <w:b/>
                <w:iCs/>
                <w:sz w:val="18"/>
                <w:szCs w:val="18"/>
              </w:rPr>
            </w:pPr>
            <w:r w:rsidRPr="007F116C">
              <w:rPr>
                <w:b/>
                <w:iCs/>
                <w:sz w:val="18"/>
                <w:szCs w:val="18"/>
              </w:rPr>
              <w:t>-0.1</w:t>
            </w:r>
          </w:p>
          <w:p w:rsidR="005E15EF" w:rsidRPr="007F116C" w:rsidRDefault="005E15EF" w:rsidP="005E15EF">
            <w:pPr>
              <w:pStyle w:val="TableText0"/>
              <w:keepLines/>
              <w:widowControl w:val="0"/>
              <w:spacing w:before="0" w:after="0"/>
              <w:jc w:val="center"/>
              <w:rPr>
                <w:iCs/>
                <w:sz w:val="18"/>
                <w:szCs w:val="18"/>
              </w:rPr>
            </w:pPr>
            <w:r w:rsidRPr="007F116C">
              <w:rPr>
                <w:b/>
                <w:iCs/>
                <w:sz w:val="18"/>
                <w:szCs w:val="18"/>
              </w:rPr>
              <w:t>(-0.15, -0.05)</w:t>
            </w:r>
          </w:p>
        </w:tc>
        <w:tc>
          <w:tcPr>
            <w:tcW w:w="618" w:type="pct"/>
            <w:vAlign w:val="center"/>
          </w:tcPr>
          <w:p w:rsidR="005E15EF" w:rsidRPr="007F116C" w:rsidRDefault="005E15EF" w:rsidP="005E15EF">
            <w:pPr>
              <w:pStyle w:val="TableText0"/>
              <w:keepLines/>
              <w:widowControl w:val="0"/>
              <w:spacing w:before="0" w:after="0"/>
              <w:jc w:val="center"/>
              <w:rPr>
                <w:sz w:val="18"/>
                <w:szCs w:val="18"/>
              </w:rPr>
            </w:pPr>
            <w:r w:rsidRPr="007F116C">
              <w:rPr>
                <w:sz w:val="18"/>
                <w:szCs w:val="18"/>
              </w:rPr>
              <w:t>87 (18.1)</w:t>
            </w:r>
          </w:p>
        </w:tc>
        <w:tc>
          <w:tcPr>
            <w:tcW w:w="618" w:type="pct"/>
            <w:vAlign w:val="center"/>
          </w:tcPr>
          <w:p w:rsidR="005E15EF" w:rsidRPr="007F116C" w:rsidRDefault="005E15EF" w:rsidP="005E15EF">
            <w:pPr>
              <w:pStyle w:val="TableText0"/>
              <w:keepLines/>
              <w:widowControl w:val="0"/>
              <w:spacing w:before="0" w:after="0"/>
              <w:jc w:val="center"/>
              <w:rPr>
                <w:sz w:val="18"/>
                <w:szCs w:val="18"/>
              </w:rPr>
            </w:pPr>
            <w:r w:rsidRPr="007F116C">
              <w:rPr>
                <w:sz w:val="18"/>
                <w:szCs w:val="18"/>
              </w:rPr>
              <w:t>122 (25.7)</w:t>
            </w:r>
          </w:p>
        </w:tc>
        <w:tc>
          <w:tcPr>
            <w:tcW w:w="620" w:type="pct"/>
            <w:shd w:val="clear" w:color="auto" w:fill="auto"/>
            <w:vAlign w:val="center"/>
          </w:tcPr>
          <w:p w:rsidR="005E15EF" w:rsidRPr="007F116C" w:rsidRDefault="005E15EF" w:rsidP="005E15EF">
            <w:pPr>
              <w:pStyle w:val="TableText0"/>
              <w:keepLines/>
              <w:widowControl w:val="0"/>
              <w:spacing w:before="0" w:after="0"/>
              <w:jc w:val="center"/>
              <w:rPr>
                <w:b/>
                <w:iCs/>
                <w:sz w:val="18"/>
                <w:szCs w:val="18"/>
              </w:rPr>
            </w:pPr>
            <w:r w:rsidRPr="007F116C">
              <w:rPr>
                <w:b/>
                <w:iCs/>
                <w:sz w:val="18"/>
                <w:szCs w:val="18"/>
              </w:rPr>
              <w:t>-0.1</w:t>
            </w:r>
          </w:p>
          <w:p w:rsidR="005E15EF" w:rsidRPr="007F116C" w:rsidRDefault="005E15EF" w:rsidP="005E15EF">
            <w:pPr>
              <w:pStyle w:val="TableText0"/>
              <w:keepLines/>
              <w:widowControl w:val="0"/>
              <w:spacing w:before="0" w:after="0"/>
              <w:jc w:val="center"/>
              <w:rPr>
                <w:iCs/>
                <w:sz w:val="18"/>
                <w:szCs w:val="18"/>
              </w:rPr>
            </w:pPr>
            <w:r w:rsidRPr="007F116C">
              <w:rPr>
                <w:b/>
                <w:iCs/>
                <w:sz w:val="18"/>
                <w:szCs w:val="18"/>
              </w:rPr>
              <w:t>(-0.15, -0.05)</w:t>
            </w:r>
          </w:p>
        </w:tc>
      </w:tr>
    </w:tbl>
    <w:p w:rsidR="005E15EF" w:rsidRPr="007F116C" w:rsidRDefault="00296911" w:rsidP="005E15EF">
      <w:pPr>
        <w:pStyle w:val="TableFooter"/>
        <w:keepNext/>
        <w:keepLines/>
      </w:pPr>
      <w:r w:rsidRPr="007F116C">
        <w:t xml:space="preserve">Source: Tables </w:t>
      </w:r>
      <w:r w:rsidR="005E15EF" w:rsidRPr="007F116C">
        <w:t>2.73 and 2.74 p182 and p184 of the submission; AE=adverse event; LFTs=liver function tests; SAE=serious adverse event</w:t>
      </w:r>
      <w:r w:rsidR="00602388" w:rsidRPr="007F116C">
        <w:t>, RD = risk difference</w:t>
      </w:r>
    </w:p>
    <w:p w:rsidR="005E15EF" w:rsidRPr="007F116C" w:rsidRDefault="005E15EF" w:rsidP="005E15EF">
      <w:pPr>
        <w:pStyle w:val="TableFooter"/>
        <w:keepNext/>
        <w:keepLines/>
        <w:rPr>
          <w:iCs/>
        </w:rPr>
      </w:pPr>
      <w:r w:rsidRPr="007F116C">
        <w:rPr>
          <w:iCs/>
        </w:rPr>
        <w:t>Risk difference calculated during the evaluation in Microsoft Excel</w:t>
      </w:r>
    </w:p>
    <w:p w:rsidR="005E15EF" w:rsidRPr="007F116C" w:rsidRDefault="00602388" w:rsidP="005E15EF">
      <w:pPr>
        <w:pStyle w:val="TableFooter"/>
        <w:keepNext/>
        <w:keepLines/>
        <w:rPr>
          <w:b/>
          <w:bCs/>
          <w:iCs/>
        </w:rPr>
      </w:pPr>
      <w:r w:rsidRPr="007F116C">
        <w:rPr>
          <w:bCs/>
          <w:iCs/>
        </w:rPr>
        <w:t>Text in b</w:t>
      </w:r>
      <w:r w:rsidR="005E15EF" w:rsidRPr="007F116C">
        <w:rPr>
          <w:bCs/>
          <w:iCs/>
        </w:rPr>
        <w:t>old denotes statistically significant differences.</w:t>
      </w:r>
      <w:r w:rsidR="005E15EF" w:rsidRPr="007F116C">
        <w:rPr>
          <w:b/>
          <w:bCs/>
          <w:iCs/>
        </w:rPr>
        <w:t xml:space="preserve"> </w:t>
      </w:r>
    </w:p>
    <w:p w:rsidR="005E15EF" w:rsidRPr="007F116C" w:rsidRDefault="005E15EF" w:rsidP="005E15EF">
      <w:pPr>
        <w:widowControl/>
        <w:rPr>
          <w:iCs/>
          <w:color w:val="000000" w:themeColor="text1"/>
        </w:rPr>
      </w:pPr>
    </w:p>
    <w:p w:rsidR="005E15EF" w:rsidRPr="007F116C" w:rsidRDefault="005E15EF" w:rsidP="005E15EF">
      <w:pPr>
        <w:pStyle w:val="ListParagraph"/>
        <w:widowControl/>
        <w:numPr>
          <w:ilvl w:val="1"/>
          <w:numId w:val="2"/>
        </w:numPr>
        <w:rPr>
          <w:iCs/>
          <w:color w:val="000000" w:themeColor="text1"/>
        </w:rPr>
      </w:pPr>
      <w:r w:rsidRPr="007F116C">
        <w:rPr>
          <w:iCs/>
        </w:rPr>
        <w:t xml:space="preserve">In ASCLEPIOS I and II, a statistically significantly lower proportion of patients treated with ofatumumab reported gastrointestinal disorders and skin and subcutaneous tissue disorders compared to patients treated with teriflunomide. However, the TGA </w:t>
      </w:r>
      <w:r w:rsidR="008178DC" w:rsidRPr="007F116C">
        <w:rPr>
          <w:iCs/>
        </w:rPr>
        <w:t>Round 1 CER</w:t>
      </w:r>
      <w:r w:rsidRPr="007F116C">
        <w:rPr>
          <w:iCs/>
        </w:rPr>
        <w:t xml:space="preserve">  considered that risk of injection reactions was higher with ofatumumab versus teriflunomide (due to differences in route of administration) and that upper respiratory tract infections and urinary tract infections were the most frequently reported types of infections in patients treated with ofatumumab. The CER also </w:t>
      </w:r>
      <w:r w:rsidR="005F1AD4" w:rsidRPr="007F116C">
        <w:rPr>
          <w:iCs/>
        </w:rPr>
        <w:t>noted</w:t>
      </w:r>
      <w:r w:rsidRPr="007F116C">
        <w:rPr>
          <w:iCs/>
        </w:rPr>
        <w:t xml:space="preserve"> that </w:t>
      </w:r>
      <w:r w:rsidR="00296911" w:rsidRPr="007F116C">
        <w:rPr>
          <w:iCs/>
        </w:rPr>
        <w:t>long-term</w:t>
      </w:r>
      <w:r w:rsidRPr="007F116C">
        <w:rPr>
          <w:iCs/>
        </w:rPr>
        <w:t xml:space="preserve"> safety of ofatumumab in </w:t>
      </w:r>
      <w:r w:rsidR="005F1AD4" w:rsidRPr="007F116C">
        <w:rPr>
          <w:iCs/>
        </w:rPr>
        <w:t>R</w:t>
      </w:r>
      <w:r w:rsidRPr="007F116C">
        <w:rPr>
          <w:iCs/>
        </w:rPr>
        <w:t xml:space="preserve">MS was not assessed beyond 30 months. </w:t>
      </w:r>
    </w:p>
    <w:p w:rsidR="005E15EF" w:rsidRPr="007F116C" w:rsidRDefault="005E15EF" w:rsidP="005E15EF">
      <w:pPr>
        <w:pStyle w:val="ListParagraph"/>
        <w:widowControl/>
        <w:numPr>
          <w:ilvl w:val="1"/>
          <w:numId w:val="2"/>
        </w:numPr>
        <w:rPr>
          <w:iCs/>
          <w:color w:val="000000" w:themeColor="text1"/>
        </w:rPr>
      </w:pPr>
      <w:r w:rsidRPr="007F116C">
        <w:t>The submission considered that all the injection site reactions were</w:t>
      </w:r>
      <w:r w:rsidR="005F1AD4" w:rsidRPr="007F116C">
        <w:t xml:space="preserve"> classified as</w:t>
      </w:r>
      <w:r w:rsidRPr="007F116C">
        <w:t xml:space="preserve"> non-serious, Grade 1 or 2, (except for 1 patient with Grade 3 in ASCLEPIOS I) and mostly self-limiting in nature. There were no discontinuations due to injection site reactions in either treatment groups, in both ASCLEPIOS I and II.</w:t>
      </w:r>
    </w:p>
    <w:p w:rsidR="005E15EF" w:rsidRPr="007F116C" w:rsidRDefault="005E15EF" w:rsidP="005E15EF">
      <w:pPr>
        <w:pStyle w:val="ListParagraph"/>
        <w:widowControl/>
        <w:numPr>
          <w:ilvl w:val="1"/>
          <w:numId w:val="2"/>
        </w:numPr>
        <w:rPr>
          <w:iCs/>
          <w:color w:val="000000" w:themeColor="text1"/>
        </w:rPr>
      </w:pPr>
      <w:r w:rsidRPr="007F116C">
        <w:t>T</w:t>
      </w:r>
      <w:r w:rsidR="005F1AD4" w:rsidRPr="007F116C">
        <w:t>he submission did not present a multistep</w:t>
      </w:r>
      <w:r w:rsidRPr="007F116C">
        <w:t xml:space="preserve"> indirec</w:t>
      </w:r>
      <w:r w:rsidR="005F1AD4" w:rsidRPr="007F116C">
        <w:t>t comparison for adverse event outcomes as for efficacy outcomes. Instead</w:t>
      </w:r>
      <w:r w:rsidR="001167CA" w:rsidRPr="007F116C">
        <w:t>,</w:t>
      </w:r>
      <w:r w:rsidR="005F1AD4" w:rsidRPr="007F116C">
        <w:t xml:space="preserve"> naïve </w:t>
      </w:r>
      <w:r w:rsidRPr="007F116C">
        <w:t>indirect comparison</w:t>
      </w:r>
      <w:r w:rsidR="005F1AD4" w:rsidRPr="007F116C">
        <w:t>s of adverse events reported in the identified clinical trials for the nominated comparators</w:t>
      </w:r>
      <w:r w:rsidR="001167CA" w:rsidRPr="007F116C">
        <w:t xml:space="preserve"> were presented</w:t>
      </w:r>
      <w:r w:rsidRPr="007F116C">
        <w:t xml:space="preserve">, </w:t>
      </w:r>
      <w:r w:rsidR="001167CA" w:rsidRPr="007F116C">
        <w:t xml:space="preserve">but were </w:t>
      </w:r>
      <w:r w:rsidRPr="007F116C">
        <w:t>difficult to interpret. The submission considered that the safety profiles for ofatumumab and the comparators were different, often related to the differences in mode of action and method of administration, and that it can be difficult to interpret and quantify AE-related outcomes when the safety profiles between drugs are dissimilar.</w:t>
      </w:r>
    </w:p>
    <w:p w:rsidR="00D3295B" w:rsidRPr="007F116C" w:rsidRDefault="00D3295B" w:rsidP="005E15EF">
      <w:pPr>
        <w:pStyle w:val="ListParagraph"/>
        <w:widowControl/>
        <w:numPr>
          <w:ilvl w:val="1"/>
          <w:numId w:val="2"/>
        </w:numPr>
        <w:rPr>
          <w:iCs/>
          <w:color w:val="000000" w:themeColor="text1"/>
        </w:rPr>
      </w:pPr>
      <w:r w:rsidRPr="007F116C">
        <w:t xml:space="preserve">The PSCR argued that pairwise indirect comparisons could not be completed due to differences in the control/comparator arms in the clinical trials for ofatumumab and the nominated comparators and further argued a network meta-analysis for comparative safety would be limited by differences in classes of events and differences in dosing regimens between agents. </w:t>
      </w:r>
      <w:r w:rsidR="009A2E16" w:rsidRPr="007F116C">
        <w:t xml:space="preserve">The PSCR also reiterated that ofatumumab is a pharmacological analogue of ocrelizumab </w:t>
      </w:r>
      <w:r w:rsidR="00413453" w:rsidRPr="007F116C">
        <w:t xml:space="preserve">and it was reasonable to conclude these agents had a similar safety profile which was different but not worse than the other nominated comparators. </w:t>
      </w:r>
      <w:r w:rsidR="00FD359F" w:rsidRPr="007F116C">
        <w:t>The ESC considered the comparative safety of ofatumumab was difficult to assess due to the lack of available comparisons</w:t>
      </w:r>
      <w:r w:rsidR="007740CB" w:rsidRPr="007F116C">
        <w:t xml:space="preserve"> and</w:t>
      </w:r>
      <w:r w:rsidR="00FD359F" w:rsidRPr="007F116C">
        <w:t xml:space="preserve"> different pharmacological profiles of RRMS DMTs but considered there were no specific issues in the safety data which would indicate ofatumumab had a worse safety profile than the nominated comparators.</w:t>
      </w:r>
    </w:p>
    <w:p w:rsidR="00EF563B" w:rsidRPr="007F116C" w:rsidRDefault="00EF563B" w:rsidP="00EF563B">
      <w:pPr>
        <w:pStyle w:val="Heading2"/>
      </w:pPr>
      <w:bookmarkStart w:id="28" w:name="_Toc62048848"/>
      <w:r w:rsidRPr="007F116C">
        <w:t>Clinical claim</w:t>
      </w:r>
    </w:p>
    <w:p w:rsidR="00EF563B" w:rsidRPr="007F116C" w:rsidRDefault="00EF563B" w:rsidP="00EF563B">
      <w:pPr>
        <w:keepNext/>
        <w:keepLines/>
        <w:ind w:left="720" w:hanging="720"/>
      </w:pPr>
    </w:p>
    <w:p w:rsidR="00EF563B" w:rsidRPr="007F116C" w:rsidRDefault="00EF563B" w:rsidP="00EF563B">
      <w:pPr>
        <w:pStyle w:val="ListParagraph"/>
        <w:keepNext/>
        <w:keepLines/>
        <w:widowControl/>
        <w:numPr>
          <w:ilvl w:val="1"/>
          <w:numId w:val="2"/>
        </w:numPr>
      </w:pPr>
      <w:r w:rsidRPr="007F116C">
        <w:t>The submission made efficacy and safety claims against each of its nominated comparators as well as additional comparators. These claims were stated as follows</w:t>
      </w:r>
      <w:r w:rsidR="001613D1" w:rsidRPr="007F116C">
        <w:t>.</w:t>
      </w:r>
    </w:p>
    <w:p w:rsidR="00EF563B" w:rsidRPr="007F116C" w:rsidRDefault="00EF563B" w:rsidP="00EF563B">
      <w:pPr>
        <w:pStyle w:val="ListParagraph"/>
        <w:widowControl/>
        <w:numPr>
          <w:ilvl w:val="1"/>
          <w:numId w:val="2"/>
        </w:numPr>
      </w:pPr>
      <w:r w:rsidRPr="007F116C">
        <w:t xml:space="preserve">With respect to efficacy: </w:t>
      </w:r>
    </w:p>
    <w:p w:rsidR="00EF563B" w:rsidRPr="007F116C" w:rsidRDefault="00EF563B" w:rsidP="00EF563B">
      <w:pPr>
        <w:pStyle w:val="ListParagraph"/>
        <w:numPr>
          <w:ilvl w:val="0"/>
          <w:numId w:val="10"/>
        </w:numPr>
        <w:spacing w:after="120"/>
        <w:ind w:left="993" w:hanging="284"/>
      </w:pPr>
      <w:r w:rsidRPr="007F116C">
        <w:t xml:space="preserve">Ofatumumab is non-inferior to ocrelizumab, fingolimod, cladribine and natalizumab  in patients with </w:t>
      </w:r>
      <w:r w:rsidR="00361C3E" w:rsidRPr="007F116C">
        <w:t>RMS</w:t>
      </w:r>
      <w:r w:rsidRPr="007F116C">
        <w:t>; and</w:t>
      </w:r>
    </w:p>
    <w:p w:rsidR="00EF563B" w:rsidRPr="007F116C" w:rsidRDefault="00EF563B" w:rsidP="00EF563B">
      <w:pPr>
        <w:pStyle w:val="ListParagraph"/>
        <w:numPr>
          <w:ilvl w:val="0"/>
          <w:numId w:val="10"/>
        </w:numPr>
        <w:spacing w:after="120"/>
        <w:ind w:left="993" w:hanging="284"/>
      </w:pPr>
      <w:r w:rsidRPr="007F116C">
        <w:t xml:space="preserve">Ofatumumab is superior to teriflunomide and interferon beta-1a in patients with </w:t>
      </w:r>
      <w:r w:rsidR="00361C3E" w:rsidRPr="007F116C">
        <w:t>RMS</w:t>
      </w:r>
      <w:r w:rsidRPr="007F116C">
        <w:t>.</w:t>
      </w:r>
    </w:p>
    <w:p w:rsidR="00EF563B" w:rsidRPr="007F116C" w:rsidRDefault="00EF563B" w:rsidP="00EF563B">
      <w:pPr>
        <w:pStyle w:val="ListParagraph"/>
        <w:widowControl/>
        <w:numPr>
          <w:ilvl w:val="1"/>
          <w:numId w:val="2"/>
        </w:numPr>
      </w:pPr>
      <w:r w:rsidRPr="007F116C">
        <w:t>With respect to safety:</w:t>
      </w:r>
    </w:p>
    <w:p w:rsidR="00EF563B" w:rsidRPr="007F116C" w:rsidRDefault="00EF563B" w:rsidP="00EF563B">
      <w:pPr>
        <w:pStyle w:val="ListParagraph"/>
        <w:numPr>
          <w:ilvl w:val="0"/>
          <w:numId w:val="11"/>
        </w:numPr>
        <w:spacing w:after="120"/>
        <w:ind w:left="993" w:hanging="284"/>
      </w:pPr>
      <w:r w:rsidRPr="007F116C">
        <w:t>Ofatumumab is non-inferior to ocrel</w:t>
      </w:r>
      <w:r w:rsidR="00361C3E" w:rsidRPr="007F116C">
        <w:t>izumab in patients with R</w:t>
      </w:r>
      <w:r w:rsidRPr="007F116C">
        <w:t>MS, with a similar safety profile; and</w:t>
      </w:r>
    </w:p>
    <w:p w:rsidR="00EF563B" w:rsidRPr="007F116C" w:rsidRDefault="00EF563B" w:rsidP="00EF563B">
      <w:pPr>
        <w:pStyle w:val="ListParagraph"/>
        <w:numPr>
          <w:ilvl w:val="0"/>
          <w:numId w:val="11"/>
        </w:numPr>
        <w:spacing w:after="120"/>
        <w:ind w:left="993" w:hanging="284"/>
      </w:pPr>
      <w:r w:rsidRPr="007F116C">
        <w:t xml:space="preserve">Ofatumumab is non-inferior to fingolimod, cladribine, natalizumab, teriflunomide and interferon beta-1a in patients with </w:t>
      </w:r>
      <w:r w:rsidR="00361C3E" w:rsidRPr="007F116C">
        <w:t>RMS</w:t>
      </w:r>
      <w:r w:rsidRPr="007F116C">
        <w:t>, with a different safety profile.</w:t>
      </w:r>
    </w:p>
    <w:p w:rsidR="00EF563B" w:rsidRPr="007F116C" w:rsidRDefault="00EF563B" w:rsidP="00EF563B">
      <w:pPr>
        <w:pStyle w:val="ListParagraph"/>
        <w:widowControl/>
        <w:numPr>
          <w:ilvl w:val="1"/>
          <w:numId w:val="2"/>
        </w:numPr>
      </w:pPr>
      <w:r w:rsidRPr="007F116C">
        <w:rPr>
          <w:iCs/>
        </w:rPr>
        <w:t>Overall, the ESC considered the claims of non-inferior comparative efficacy against the nominated comparators of fingolimod, ocrelizumab, cladribine and natalizumab were likely supported. However, the conclusion should be considered with some caution due to the following issues and limitations:</w:t>
      </w:r>
    </w:p>
    <w:p w:rsidR="00EF563B" w:rsidRPr="007F116C" w:rsidRDefault="00EF563B" w:rsidP="00EF563B">
      <w:pPr>
        <w:pStyle w:val="ListParagraph"/>
        <w:numPr>
          <w:ilvl w:val="0"/>
          <w:numId w:val="17"/>
        </w:numPr>
        <w:ind w:left="993" w:hanging="284"/>
        <w:rPr>
          <w:iCs/>
        </w:rPr>
      </w:pPr>
      <w:r w:rsidRPr="007F116C">
        <w:rPr>
          <w:iCs/>
        </w:rPr>
        <w:t>all comparisons relied on older teriflunomide trials (TEMSO and TOWER), to serve as bridges between ofatumumab and the placebo controlled fingolimod, cladribine and natalizumab trials,;</w:t>
      </w:r>
    </w:p>
    <w:p w:rsidR="00EF563B" w:rsidRPr="007F116C" w:rsidRDefault="00EF563B" w:rsidP="00EF563B">
      <w:pPr>
        <w:pStyle w:val="ListParagraph"/>
        <w:numPr>
          <w:ilvl w:val="0"/>
          <w:numId w:val="17"/>
        </w:numPr>
        <w:ind w:left="993" w:hanging="284"/>
        <w:rPr>
          <w:iCs/>
        </w:rPr>
      </w:pPr>
      <w:r w:rsidRPr="007F116C">
        <w:rPr>
          <w:iCs/>
        </w:rPr>
        <w:t>both TEMSO and TOWER were considered to have a high risk of bias;</w:t>
      </w:r>
    </w:p>
    <w:p w:rsidR="00EF563B" w:rsidRPr="007F116C" w:rsidRDefault="00EF563B" w:rsidP="00EF563B">
      <w:pPr>
        <w:pStyle w:val="ListParagraph"/>
        <w:numPr>
          <w:ilvl w:val="0"/>
          <w:numId w:val="17"/>
        </w:numPr>
        <w:ind w:left="993" w:hanging="284"/>
        <w:rPr>
          <w:iCs/>
        </w:rPr>
      </w:pPr>
      <w:r w:rsidRPr="007F116C">
        <w:rPr>
          <w:iCs/>
        </w:rPr>
        <w:t xml:space="preserve">TOWER only included 48 week treatment duration compared to around two years for all other included trials; </w:t>
      </w:r>
    </w:p>
    <w:p w:rsidR="00EF563B" w:rsidRPr="007F116C" w:rsidRDefault="00EF563B" w:rsidP="00EF563B">
      <w:pPr>
        <w:pStyle w:val="ListParagraph"/>
        <w:numPr>
          <w:ilvl w:val="0"/>
          <w:numId w:val="17"/>
        </w:numPr>
        <w:ind w:left="993" w:hanging="284"/>
        <w:rPr>
          <w:iCs/>
        </w:rPr>
      </w:pPr>
      <w:r w:rsidRPr="007F116C">
        <w:rPr>
          <w:iCs/>
        </w:rPr>
        <w:t>The submission inappropriately assumed that IM interferon beta-1a 30µg once weekly results were exchangeable with SC interferon beta-1a 44µg three times weekly results (which may impact the comparison with ocrelizumab)</w:t>
      </w:r>
      <w:r w:rsidR="001613D1" w:rsidRPr="007F116C">
        <w:rPr>
          <w:iCs/>
        </w:rPr>
        <w:t>; and</w:t>
      </w:r>
      <w:r w:rsidRPr="007F116C">
        <w:rPr>
          <w:iCs/>
        </w:rPr>
        <w:t xml:space="preserve"> </w:t>
      </w:r>
    </w:p>
    <w:p w:rsidR="00EF563B" w:rsidRPr="007F116C" w:rsidRDefault="00EF563B" w:rsidP="00EF563B">
      <w:pPr>
        <w:pStyle w:val="ListParagraph"/>
        <w:numPr>
          <w:ilvl w:val="0"/>
          <w:numId w:val="17"/>
        </w:numPr>
        <w:ind w:left="993" w:hanging="284"/>
        <w:rPr>
          <w:iCs/>
        </w:rPr>
      </w:pPr>
      <w:r w:rsidRPr="007F116C">
        <w:rPr>
          <w:iCs/>
        </w:rPr>
        <w:t xml:space="preserve">The estimated comparative efficacies relied on multi-step comparisons, in the case of the ocrelizumab comparison, there were three steps. </w:t>
      </w:r>
    </w:p>
    <w:p w:rsidR="00EF563B" w:rsidRPr="007F116C" w:rsidRDefault="00EF563B" w:rsidP="00EF563B">
      <w:pPr>
        <w:pStyle w:val="ListParagraph"/>
        <w:widowControl/>
        <w:numPr>
          <w:ilvl w:val="1"/>
          <w:numId w:val="2"/>
        </w:numPr>
      </w:pPr>
      <w:r w:rsidRPr="007F116C">
        <w:rPr>
          <w:iCs/>
        </w:rPr>
        <w:t xml:space="preserve">Though teriflunomide was not a nominated comparator, the ESC considered the claim of superior efficacy of ofatumumab was well supported by the ASCLEPIOS I and II trials and the TGA clinical evaluator’s consideration of effectiveness of ofatumumab versus teriflunomide. </w:t>
      </w:r>
    </w:p>
    <w:p w:rsidR="00EF563B" w:rsidRPr="007F116C" w:rsidRDefault="00EF563B" w:rsidP="00EF563B">
      <w:pPr>
        <w:pStyle w:val="ListParagraph"/>
        <w:widowControl/>
        <w:numPr>
          <w:ilvl w:val="1"/>
          <w:numId w:val="2"/>
        </w:numPr>
      </w:pPr>
      <w:r w:rsidRPr="007F116C">
        <w:rPr>
          <w:iCs/>
        </w:rPr>
        <w:t xml:space="preserve">The claim of superior efficacy versus interferon beta-1a was based on a multistep indirect comparison and therefore had the same limitations as for the comparisons with of fingolimod, ocrelizumab, cladribine and natalizumab. Additionally, it was inappropriate for the submission to have combined IM and SC interferon beta-1a, and while statistically significant differences favouring ofatumumab over interferon beta-1a were estimated for ARR (ratio = 0.399, 95% CI 0.301, 0.529) and proportion relapse free (OR = 2.212, 95%CI 1.315, 3.721) there was no statistically significant difference for 3 month CDP (OR = 0.709, 95% CI 0.435, 1.155). </w:t>
      </w:r>
    </w:p>
    <w:p w:rsidR="00EF563B" w:rsidRPr="007F116C" w:rsidRDefault="00EF563B" w:rsidP="00EF563B">
      <w:pPr>
        <w:pStyle w:val="ListParagraph"/>
        <w:widowControl/>
        <w:numPr>
          <w:ilvl w:val="1"/>
          <w:numId w:val="2"/>
        </w:numPr>
      </w:pPr>
      <w:r w:rsidRPr="007F116C">
        <w:rPr>
          <w:iCs/>
        </w:rPr>
        <w:t xml:space="preserve">Overall, though the ITC and the submission’s supplementary NMA indicated non-inferior safety of ofatumumab versus the nominated comparators of ocrelizumab, fingolimod, cladribine and natalizumab, the comparability of the trial populations used in the indirect comparisons was unclear. Moreover, it was difficult to conclude non-inferior safety given the differences in route of administration of the various DMTs. It was reasonable to acknowledge that ofatumumab would have a different safety profile compared to other DMTs. </w:t>
      </w:r>
    </w:p>
    <w:p w:rsidR="00EF563B" w:rsidRPr="007F116C" w:rsidRDefault="00EF563B" w:rsidP="00EF563B">
      <w:pPr>
        <w:pStyle w:val="ListParagraph"/>
        <w:widowControl/>
        <w:numPr>
          <w:ilvl w:val="1"/>
          <w:numId w:val="2"/>
        </w:numPr>
        <w:rPr>
          <w:iCs/>
        </w:rPr>
      </w:pPr>
      <w:r w:rsidRPr="007F116C">
        <w:rPr>
          <w:iCs/>
        </w:rPr>
        <w:t>The PBAC considered that the claim of non-inferior comparative effectiveness</w:t>
      </w:r>
      <w:r w:rsidR="00361C3E" w:rsidRPr="007F116C">
        <w:rPr>
          <w:iCs/>
        </w:rPr>
        <w:t xml:space="preserve"> to </w:t>
      </w:r>
      <w:r w:rsidR="00361C3E" w:rsidRPr="007F116C">
        <w:t xml:space="preserve">ocrelizumab, fingolimod, cladribine and natalizumab </w:t>
      </w:r>
      <w:r w:rsidRPr="007F116C">
        <w:rPr>
          <w:iCs/>
        </w:rPr>
        <w:t>was reasonable.</w:t>
      </w:r>
    </w:p>
    <w:p w:rsidR="00EF563B" w:rsidRPr="007F116C" w:rsidRDefault="00EF563B" w:rsidP="00361C3E">
      <w:pPr>
        <w:pStyle w:val="ListParagraph"/>
        <w:widowControl/>
        <w:numPr>
          <w:ilvl w:val="1"/>
          <w:numId w:val="2"/>
        </w:numPr>
        <w:rPr>
          <w:iCs/>
        </w:rPr>
      </w:pPr>
      <w:r w:rsidRPr="007F116C">
        <w:rPr>
          <w:iCs/>
        </w:rPr>
        <w:t>The PBAC considered that the claim of</w:t>
      </w:r>
      <w:r w:rsidR="00361C3E" w:rsidRPr="007F116C">
        <w:rPr>
          <w:iCs/>
        </w:rPr>
        <w:t xml:space="preserve"> non-inferior safety to ocrelizumab and</w:t>
      </w:r>
      <w:r w:rsidRPr="007F116C">
        <w:rPr>
          <w:iCs/>
        </w:rPr>
        <w:t xml:space="preserve"> different (but not worse) safety</w:t>
      </w:r>
      <w:r w:rsidR="00361C3E" w:rsidRPr="007F116C">
        <w:rPr>
          <w:iCs/>
        </w:rPr>
        <w:t xml:space="preserve"> to </w:t>
      </w:r>
      <w:r w:rsidR="00942AC3" w:rsidRPr="007F116C">
        <w:rPr>
          <w:iCs/>
        </w:rPr>
        <w:t>f</w:t>
      </w:r>
      <w:r w:rsidR="00361C3E" w:rsidRPr="007F116C">
        <w:rPr>
          <w:iCs/>
        </w:rPr>
        <w:t xml:space="preserve">ingolimod, cladribine, natalizumab, teriflunomide and interferon beta-1a </w:t>
      </w:r>
      <w:r w:rsidRPr="007F116C">
        <w:rPr>
          <w:iCs/>
        </w:rPr>
        <w:t>was reasonable and noted there were no specific safety signals that would indicate ofatumumab has a worse safety profile than the alternatives.</w:t>
      </w:r>
    </w:p>
    <w:p w:rsidR="005E15EF" w:rsidRPr="007F116C" w:rsidRDefault="005E15EF" w:rsidP="0020302B">
      <w:pPr>
        <w:pStyle w:val="Heading2"/>
      </w:pPr>
      <w:r w:rsidRPr="007F116C">
        <w:t>Economic analysis</w:t>
      </w:r>
      <w:bookmarkEnd w:id="28"/>
      <w:r w:rsidRPr="007F116C">
        <w:t xml:space="preserve"> </w:t>
      </w:r>
    </w:p>
    <w:p w:rsidR="005E15EF" w:rsidRPr="007F116C" w:rsidRDefault="005E15EF" w:rsidP="005E15EF">
      <w:pPr>
        <w:ind w:left="720" w:hanging="720"/>
      </w:pPr>
    </w:p>
    <w:p w:rsidR="005E15EF" w:rsidRPr="007F116C" w:rsidRDefault="005E15EF" w:rsidP="005E15EF">
      <w:pPr>
        <w:pStyle w:val="ListParagraph"/>
        <w:widowControl/>
        <w:numPr>
          <w:ilvl w:val="1"/>
          <w:numId w:val="2"/>
        </w:numPr>
        <w:rPr>
          <w:color w:val="000000" w:themeColor="text1"/>
        </w:rPr>
      </w:pPr>
      <w:r w:rsidRPr="007F116C">
        <w:rPr>
          <w:rFonts w:cs="Calibri"/>
          <w:snapToGrid/>
          <w:color w:val="000000" w:themeColor="text1"/>
          <w:szCs w:val="24"/>
          <w:lang w:eastAsia="en-AU"/>
        </w:rPr>
        <w:t xml:space="preserve">The submission presented a cost-minimisation analysis against the reference comparator fingolimod. </w:t>
      </w:r>
      <w:r w:rsidR="00522713" w:rsidRPr="007F116C">
        <w:t>Table 11</w:t>
      </w:r>
      <w:r w:rsidRPr="007F116C">
        <w:t xml:space="preserve"> presents</w:t>
      </w:r>
      <w:r w:rsidRPr="007F116C">
        <w:rPr>
          <w:rFonts w:cs="Calibri"/>
          <w:snapToGrid/>
          <w:color w:val="000000" w:themeColor="text1"/>
          <w:szCs w:val="24"/>
          <w:lang w:eastAsia="en-AU"/>
        </w:rPr>
        <w:t xml:space="preserve"> the key components and assumptions of the cost minimisation analysis.</w:t>
      </w:r>
    </w:p>
    <w:p w:rsidR="005E15EF" w:rsidRPr="007F116C" w:rsidRDefault="005E15EF" w:rsidP="00F81FB3">
      <w:pPr>
        <w:keepNext/>
        <w:keepLines/>
        <w:rPr>
          <w:rStyle w:val="CommentReference"/>
        </w:rPr>
      </w:pPr>
      <w:bookmarkStart w:id="29" w:name="_Ref61002936"/>
      <w:r w:rsidRPr="007F116C">
        <w:rPr>
          <w:rStyle w:val="CommentReference"/>
        </w:rPr>
        <w:t xml:space="preserve">Table </w:t>
      </w:r>
      <w:r w:rsidR="00522713" w:rsidRPr="007F116C">
        <w:rPr>
          <w:rStyle w:val="CommentReference"/>
        </w:rPr>
        <w:t>11</w:t>
      </w:r>
      <w:bookmarkEnd w:id="29"/>
      <w:r w:rsidRPr="007F116C">
        <w:rPr>
          <w:rStyle w:val="CommentReference"/>
        </w:rPr>
        <w:t>: Key components and assumptions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404"/>
      </w:tblGrid>
      <w:tr w:rsidR="005E15EF" w:rsidRPr="007F116C" w:rsidTr="00997403">
        <w:tc>
          <w:tcPr>
            <w:tcW w:w="1449" w:type="pct"/>
            <w:vAlign w:val="center"/>
          </w:tcPr>
          <w:p w:rsidR="005E15EF" w:rsidRPr="007F116C" w:rsidRDefault="005E15EF" w:rsidP="00F81FB3">
            <w:pPr>
              <w:pStyle w:val="Tabletext"/>
              <w:keepNext/>
              <w:keepLines/>
              <w:rPr>
                <w:b/>
              </w:rPr>
            </w:pPr>
            <w:r w:rsidRPr="007F116C">
              <w:rPr>
                <w:b/>
              </w:rPr>
              <w:t>Component</w:t>
            </w:r>
          </w:p>
        </w:tc>
        <w:tc>
          <w:tcPr>
            <w:tcW w:w="3551" w:type="pct"/>
            <w:vAlign w:val="center"/>
          </w:tcPr>
          <w:p w:rsidR="005E15EF" w:rsidRPr="007F116C" w:rsidRDefault="005E15EF" w:rsidP="00F81FB3">
            <w:pPr>
              <w:pStyle w:val="Tabletext"/>
              <w:keepNext/>
              <w:keepLines/>
              <w:jc w:val="center"/>
              <w:rPr>
                <w:b/>
              </w:rPr>
            </w:pPr>
            <w:r w:rsidRPr="007F116C">
              <w:rPr>
                <w:b/>
              </w:rPr>
              <w:t>Claim or assumption</w:t>
            </w:r>
          </w:p>
        </w:tc>
      </w:tr>
      <w:tr w:rsidR="005E15EF" w:rsidRPr="007F116C" w:rsidTr="00997403">
        <w:tc>
          <w:tcPr>
            <w:tcW w:w="1449" w:type="pct"/>
            <w:vAlign w:val="center"/>
          </w:tcPr>
          <w:p w:rsidR="005E15EF" w:rsidRPr="007F116C" w:rsidRDefault="005E15EF" w:rsidP="00F81FB3">
            <w:pPr>
              <w:pStyle w:val="Tabletext"/>
              <w:keepNext/>
              <w:keepLines/>
            </w:pPr>
            <w:r w:rsidRPr="007F116C">
              <w:t>Therapeutic claim: effectiveness</w:t>
            </w:r>
          </w:p>
        </w:tc>
        <w:tc>
          <w:tcPr>
            <w:tcW w:w="3551" w:type="pct"/>
          </w:tcPr>
          <w:p w:rsidR="005E15EF" w:rsidRPr="007F116C" w:rsidRDefault="005E15EF" w:rsidP="00A8236C">
            <w:pPr>
              <w:pStyle w:val="Tabletext"/>
              <w:keepNext/>
              <w:keepLines/>
            </w:pPr>
            <w:r w:rsidRPr="007F116C">
              <w:t xml:space="preserve">Based on evidence presented in Section 2, ofatumumab is non-inferior ocrelizumab, fingolimod, cladribine and natalizumab. </w:t>
            </w:r>
            <w:r w:rsidR="00A8236C" w:rsidRPr="007F116C">
              <w:t>The cost of f</w:t>
            </w:r>
            <w:r w:rsidRPr="007F116C">
              <w:t>ingolimod is used in the cost-minimisation analysis based on the therapeutic relativities (i.e. ocrelizumab and cladribine were cost-minimised to fingolimod)</w:t>
            </w:r>
          </w:p>
        </w:tc>
      </w:tr>
      <w:tr w:rsidR="005E15EF" w:rsidRPr="007F116C" w:rsidTr="00997403">
        <w:tc>
          <w:tcPr>
            <w:tcW w:w="1449" w:type="pct"/>
            <w:vAlign w:val="center"/>
          </w:tcPr>
          <w:p w:rsidR="005E15EF" w:rsidRPr="007F116C" w:rsidRDefault="005E15EF" w:rsidP="00F81FB3">
            <w:pPr>
              <w:pStyle w:val="Tabletext"/>
              <w:keepNext/>
              <w:keepLines/>
            </w:pPr>
            <w:r w:rsidRPr="007F116C">
              <w:t>Therapeutic claim: safety</w:t>
            </w:r>
          </w:p>
        </w:tc>
        <w:tc>
          <w:tcPr>
            <w:tcW w:w="3551" w:type="pct"/>
          </w:tcPr>
          <w:p w:rsidR="005E15EF" w:rsidRPr="007F116C" w:rsidRDefault="005E15EF" w:rsidP="00F81FB3">
            <w:pPr>
              <w:pStyle w:val="Tabletext"/>
              <w:keepNext/>
              <w:keepLines/>
            </w:pPr>
            <w:r w:rsidRPr="007F116C">
              <w:t>Based on evidence presented in Section 2, ofatumumab has a different safety profile to the main comparators. No specific adverse safety issues have been identified in the comparisons suggesting differential claims on safety</w:t>
            </w:r>
          </w:p>
        </w:tc>
      </w:tr>
      <w:tr w:rsidR="005E15EF" w:rsidRPr="007F116C" w:rsidTr="00997403">
        <w:tc>
          <w:tcPr>
            <w:tcW w:w="1449" w:type="pct"/>
            <w:vAlign w:val="center"/>
          </w:tcPr>
          <w:p w:rsidR="005E15EF" w:rsidRPr="007F116C" w:rsidRDefault="005E15EF" w:rsidP="00F81FB3">
            <w:pPr>
              <w:pStyle w:val="Tabletext"/>
              <w:keepNext/>
              <w:keepLines/>
            </w:pPr>
            <w:r w:rsidRPr="007F116C">
              <w:t>Evidence base</w:t>
            </w:r>
          </w:p>
        </w:tc>
        <w:tc>
          <w:tcPr>
            <w:tcW w:w="3551" w:type="pct"/>
          </w:tcPr>
          <w:p w:rsidR="005E15EF" w:rsidRPr="007F116C" w:rsidRDefault="005E15EF" w:rsidP="00F81FB3">
            <w:pPr>
              <w:pStyle w:val="Tabletext"/>
              <w:keepNext/>
              <w:keepLines/>
            </w:pPr>
            <w:r w:rsidRPr="007F116C">
              <w:t>The therapeutic relativities are informed by indirect comparison of randomised trials in Section 2</w:t>
            </w:r>
          </w:p>
        </w:tc>
      </w:tr>
      <w:tr w:rsidR="005E15EF" w:rsidRPr="007F116C" w:rsidTr="00997403">
        <w:tc>
          <w:tcPr>
            <w:tcW w:w="1449" w:type="pct"/>
            <w:vAlign w:val="center"/>
          </w:tcPr>
          <w:p w:rsidR="005E15EF" w:rsidRPr="007F116C" w:rsidRDefault="005E15EF" w:rsidP="00F81FB3">
            <w:pPr>
              <w:pStyle w:val="Tabletext"/>
              <w:keepNext/>
              <w:keepLines/>
            </w:pPr>
            <w:r w:rsidRPr="007F116C">
              <w:t>Equi-effective doses</w:t>
            </w:r>
          </w:p>
        </w:tc>
        <w:tc>
          <w:tcPr>
            <w:tcW w:w="3551" w:type="pct"/>
          </w:tcPr>
          <w:p w:rsidR="005E15EF" w:rsidRPr="007F116C" w:rsidRDefault="005E15EF" w:rsidP="00F81FB3">
            <w:pPr>
              <w:pStyle w:val="Tabletext"/>
              <w:keepNext/>
              <w:keepLines/>
            </w:pPr>
            <w:r w:rsidRPr="007F116C">
              <w:t>Ofatumumab 20mg SC every month is equivalent to fingolimod 500mcg (0.5mg) daily, over 2 years</w:t>
            </w:r>
          </w:p>
        </w:tc>
      </w:tr>
      <w:tr w:rsidR="005E15EF" w:rsidRPr="007F116C" w:rsidTr="00997403">
        <w:tc>
          <w:tcPr>
            <w:tcW w:w="1449" w:type="pct"/>
            <w:vAlign w:val="center"/>
          </w:tcPr>
          <w:p w:rsidR="005E15EF" w:rsidRPr="007F116C" w:rsidRDefault="005E15EF" w:rsidP="00F81FB3">
            <w:pPr>
              <w:pStyle w:val="Tabletext"/>
              <w:keepNext/>
              <w:keepLines/>
            </w:pPr>
            <w:r w:rsidRPr="007F116C">
              <w:t>Direct medicine costs</w:t>
            </w:r>
          </w:p>
        </w:tc>
        <w:tc>
          <w:tcPr>
            <w:tcW w:w="3551" w:type="pct"/>
          </w:tcPr>
          <w:p w:rsidR="005E15EF" w:rsidRPr="007F116C" w:rsidRDefault="005E15EF" w:rsidP="00F81FB3">
            <w:pPr>
              <w:pStyle w:val="Tabletext"/>
              <w:keepNext/>
              <w:keepLines/>
            </w:pPr>
            <w:r w:rsidRPr="007F116C">
              <w:rPr>
                <w:rFonts w:cstheme="minorBidi"/>
              </w:rPr>
              <w:t>Treatment costs for ofatumumab and fingolimod should be the same, at equi-effective doses of ofatumumab 20 mg SC every month and fingolimod 500 micrograms (0.5mg) daily, over 2 years (after titration is complete)</w:t>
            </w:r>
          </w:p>
        </w:tc>
      </w:tr>
      <w:tr w:rsidR="005E15EF" w:rsidRPr="007F116C" w:rsidTr="00997403">
        <w:tc>
          <w:tcPr>
            <w:tcW w:w="1449" w:type="pct"/>
            <w:vAlign w:val="center"/>
          </w:tcPr>
          <w:p w:rsidR="005E15EF" w:rsidRPr="007F116C" w:rsidRDefault="005E15EF" w:rsidP="00F81FB3">
            <w:pPr>
              <w:pStyle w:val="Tabletext"/>
              <w:keepNext/>
              <w:keepLines/>
            </w:pPr>
            <w:r w:rsidRPr="007F116C">
              <w:t>Other costs or cost offsets</w:t>
            </w:r>
          </w:p>
        </w:tc>
        <w:tc>
          <w:tcPr>
            <w:tcW w:w="3551" w:type="pct"/>
          </w:tcPr>
          <w:p w:rsidR="005E15EF" w:rsidRPr="007F116C" w:rsidRDefault="005E15EF" w:rsidP="00F81FB3">
            <w:pPr>
              <w:pStyle w:val="Tabletext"/>
              <w:keepNext/>
              <w:keepLines/>
            </w:pPr>
            <w:r w:rsidRPr="007F116C">
              <w:t>First dose monitoring associated with the initiation of fingolimod (i.e. continuous ECG). First SC injection for ofatumumab is administered by a healthcare professional (i.e. nurse/ doctor)</w:t>
            </w:r>
          </w:p>
        </w:tc>
      </w:tr>
    </w:tbl>
    <w:p w:rsidR="005E15EF" w:rsidRPr="007F116C" w:rsidRDefault="005E15EF" w:rsidP="00F81FB3">
      <w:pPr>
        <w:pStyle w:val="TableFooter"/>
        <w:keepNext/>
        <w:keepLines/>
        <w:spacing w:after="120"/>
        <w:rPr>
          <w:sz w:val="20"/>
        </w:rPr>
      </w:pPr>
      <w:r w:rsidRPr="007F116C">
        <w:t xml:space="preserve">Source: Table 3.1, p277 of the submission. </w:t>
      </w:r>
    </w:p>
    <w:p w:rsidR="005E15EF" w:rsidRPr="007F116C" w:rsidRDefault="005E15EF" w:rsidP="005E15EF">
      <w:pPr>
        <w:pStyle w:val="ListParagraph"/>
        <w:widowControl/>
        <w:numPr>
          <w:ilvl w:val="1"/>
          <w:numId w:val="2"/>
        </w:numPr>
      </w:pPr>
      <w:r w:rsidRPr="007F116C">
        <w:t>The equi-effective doses were estimated as ofatumumab 20</w:t>
      </w:r>
      <w:r w:rsidR="00942AC3" w:rsidRPr="007F116C">
        <w:t> </w:t>
      </w:r>
      <w:r w:rsidRPr="007F116C">
        <w:t>mg SC every month being equivalen</w:t>
      </w:r>
      <w:r w:rsidR="00F81FB3" w:rsidRPr="007F116C">
        <w:t>t to fingolimod 0.5</w:t>
      </w:r>
      <w:r w:rsidR="00942AC3" w:rsidRPr="007F116C">
        <w:t> </w:t>
      </w:r>
      <w:r w:rsidR="00F81FB3" w:rsidRPr="007F116C">
        <w:t>mg daily (at</w:t>
      </w:r>
      <w:r w:rsidRPr="007F116C">
        <w:t xml:space="preserve"> steady state</w:t>
      </w:r>
      <w:r w:rsidR="00F81FB3" w:rsidRPr="007F116C">
        <w:t xml:space="preserve"> maintenance dosing frequency</w:t>
      </w:r>
      <w:r w:rsidRPr="007F116C">
        <w:t>).</w:t>
      </w:r>
      <w:r w:rsidRPr="007F116C">
        <w:rPr>
          <w:color w:val="3366FF"/>
        </w:rPr>
        <w:t xml:space="preserve"> </w:t>
      </w:r>
    </w:p>
    <w:p w:rsidR="005E15EF" w:rsidRPr="007F116C" w:rsidRDefault="005E15EF" w:rsidP="005E15EF">
      <w:pPr>
        <w:pStyle w:val="ListParagraph"/>
        <w:widowControl/>
        <w:numPr>
          <w:ilvl w:val="1"/>
          <w:numId w:val="2"/>
        </w:numPr>
      </w:pPr>
      <w:r w:rsidRPr="007F116C">
        <w:t xml:space="preserve">The equi-effective doses of ofatumumab compared with fingolimod were based on the recommended dosing regimens outlined in the fingolimod product information and ofatumumab draft product information. </w:t>
      </w:r>
    </w:p>
    <w:p w:rsidR="00F5589F" w:rsidRPr="007F116C" w:rsidRDefault="00F5589F" w:rsidP="00403A16">
      <w:pPr>
        <w:pStyle w:val="ListParagraph"/>
        <w:widowControl/>
        <w:numPr>
          <w:ilvl w:val="1"/>
          <w:numId w:val="2"/>
        </w:numPr>
      </w:pPr>
      <w:r w:rsidRPr="007F116C">
        <w:rPr>
          <w:iCs/>
        </w:rPr>
        <w:t>The number of injections of ofatumumab was inconsistent with</w:t>
      </w:r>
      <w:r w:rsidR="003C02E1" w:rsidRPr="007F116C">
        <w:rPr>
          <w:iCs/>
        </w:rPr>
        <w:t xml:space="preserve"> the</w:t>
      </w:r>
      <w:r w:rsidRPr="007F116C">
        <w:rPr>
          <w:iCs/>
        </w:rPr>
        <w:t xml:space="preserve"> ASCLEPIOS I and II</w:t>
      </w:r>
      <w:r w:rsidR="003C02E1" w:rsidRPr="007F116C">
        <w:rPr>
          <w:iCs/>
        </w:rPr>
        <w:t xml:space="preserve"> trials</w:t>
      </w:r>
      <w:r w:rsidRPr="007F116C">
        <w:rPr>
          <w:iCs/>
        </w:rPr>
        <w:t>, which had a dosing frequency of every 4 weeks (13 doses per year) as opposed to the monthly frequency (12 doses per year) as suggested by the submission.</w:t>
      </w:r>
      <w:r w:rsidR="003C02E1" w:rsidRPr="007F116C">
        <w:rPr>
          <w:iCs/>
        </w:rPr>
        <w:t xml:space="preserve"> This assumption impacts the proposed equi-effective doses</w:t>
      </w:r>
      <w:r w:rsidR="00403A16" w:rsidRPr="007F116C">
        <w:rPr>
          <w:iCs/>
        </w:rPr>
        <w:t xml:space="preserve"> in favour of a higher ofatumumab price. </w:t>
      </w:r>
      <w:r w:rsidR="00403A16" w:rsidRPr="007F116C">
        <w:t>In its consideration of ocrelizumab in July 2017</w:t>
      </w:r>
      <w:r w:rsidR="00C66065" w:rsidRPr="007F116C">
        <w:t xml:space="preserve"> (Paragraph 6.42, Ocrelizumab July </w:t>
      </w:r>
      <w:r w:rsidR="00C66065" w:rsidRPr="00070E7E">
        <w:t>2017</w:t>
      </w:r>
      <w:r w:rsidR="00070E7E">
        <w:t xml:space="preserve"> </w:t>
      </w:r>
      <w:r w:rsidR="00845689" w:rsidRPr="00070E7E">
        <w:t>PSD</w:t>
      </w:r>
      <w:r w:rsidR="00C66065" w:rsidRPr="00070E7E">
        <w:t>)</w:t>
      </w:r>
      <w:r w:rsidR="00403A16" w:rsidRPr="00070E7E">
        <w:t>,</w:t>
      </w:r>
      <w:r w:rsidR="00403A16" w:rsidRPr="007F116C">
        <w:t xml:space="preserve"> the PBAC considered it was appropriate to use the dosing intervals in the clinical trials (once every 24 weeks) rather than that in the TGA Product Information (once every six months) for establishing equi-effective dosing.</w:t>
      </w:r>
      <w:r w:rsidR="00386B5F" w:rsidRPr="007F116C">
        <w:t xml:space="preserve"> </w:t>
      </w:r>
      <w:r w:rsidR="000E60C9" w:rsidRPr="007F116C">
        <w:rPr>
          <w:iCs/>
        </w:rPr>
        <w:t>An analysis assuming dosing every 4 weeks was conducted during the evaluation</w:t>
      </w:r>
      <w:r w:rsidR="00403A16" w:rsidRPr="007F116C">
        <w:rPr>
          <w:iCs/>
        </w:rPr>
        <w:t xml:space="preserve"> and is presented as a sensitivity analysis</w:t>
      </w:r>
      <w:r w:rsidR="000E60C9" w:rsidRPr="007F116C">
        <w:rPr>
          <w:iCs/>
        </w:rPr>
        <w:t xml:space="preserve">. </w:t>
      </w:r>
      <w:r w:rsidR="00F030C4" w:rsidRPr="007F116C">
        <w:rPr>
          <w:iCs/>
        </w:rPr>
        <w:t xml:space="preserve">The PSCR </w:t>
      </w:r>
      <w:r w:rsidR="004E6A6B" w:rsidRPr="007F116C">
        <w:rPr>
          <w:iCs/>
        </w:rPr>
        <w:t xml:space="preserve"> and Pre-PBAC Response</w:t>
      </w:r>
      <w:r w:rsidR="00F030C4" w:rsidRPr="007F116C">
        <w:rPr>
          <w:iCs/>
        </w:rPr>
        <w:t xml:space="preserve"> argued that monthly dosing was the most appropriate basis for deriving the equi-effective doses as this was consistent with the draft PI and Delegate’s Overview and that clinicians would be most influenced by the PI rather than the clinical trial reports. The ESC </w:t>
      </w:r>
      <w:r w:rsidR="00C3035A" w:rsidRPr="007F116C">
        <w:rPr>
          <w:iCs/>
        </w:rPr>
        <w:t>considered</w:t>
      </w:r>
      <w:r w:rsidR="00FD359F" w:rsidRPr="007F116C">
        <w:t xml:space="preserve"> that</w:t>
      </w:r>
      <w:r w:rsidR="00386B5F" w:rsidRPr="007F116C">
        <w:t xml:space="preserve"> </w:t>
      </w:r>
      <w:r w:rsidR="00C3035A" w:rsidRPr="007F116C">
        <w:t>the most appropriate basis for deriving equi-effective doses for the cost minimisation analysis was based on the dose regimen used in the clinical trials.</w:t>
      </w:r>
      <w:r w:rsidR="00386B5F" w:rsidRPr="007F116C">
        <w:t xml:space="preserve"> </w:t>
      </w:r>
    </w:p>
    <w:p w:rsidR="00F5589F" w:rsidRPr="007F116C" w:rsidRDefault="00F5589F" w:rsidP="00F5589F">
      <w:pPr>
        <w:pStyle w:val="ListParagraph"/>
        <w:widowControl/>
        <w:numPr>
          <w:ilvl w:val="1"/>
          <w:numId w:val="2"/>
        </w:numPr>
      </w:pPr>
      <w:r w:rsidRPr="007F116C">
        <w:t>Based on the draft PI of ofatumumab, the first injection of ofatumumab should be performed under the guidance of a healthcare professional. Based on the fingolimod PI, fingolimod requires first dose cardiac monitoring. These costs were considered as part of the cost minimisation analysis. All other monitoring costs associated with ongoing treatment with a DMT as considered to be the same for ofatumumab and fingolimod</w:t>
      </w:r>
      <w:r w:rsidR="007F116C">
        <w:t xml:space="preserve">. </w:t>
      </w:r>
      <w:r w:rsidRPr="007F116C">
        <w:rPr>
          <w:iCs/>
        </w:rPr>
        <w:t xml:space="preserve">This was reasonable. </w:t>
      </w:r>
    </w:p>
    <w:p w:rsidR="005E15EF" w:rsidRPr="007F116C" w:rsidRDefault="00522713" w:rsidP="005E15EF">
      <w:pPr>
        <w:pStyle w:val="ListParagraph"/>
        <w:widowControl/>
        <w:numPr>
          <w:ilvl w:val="1"/>
          <w:numId w:val="2"/>
        </w:numPr>
      </w:pPr>
      <w:r w:rsidRPr="007F116C">
        <w:t>Table 12</w:t>
      </w:r>
      <w:r w:rsidR="005E15EF" w:rsidRPr="007F116C">
        <w:t xml:space="preserve"> presents the results of the cost minimisation analysis. </w:t>
      </w:r>
    </w:p>
    <w:p w:rsidR="005E15EF" w:rsidRPr="007F116C" w:rsidRDefault="005E15EF" w:rsidP="00F81FB3">
      <w:pPr>
        <w:pStyle w:val="PBACcaption"/>
        <w:keepNext/>
        <w:keepLines/>
        <w:rPr>
          <w:rStyle w:val="CommentReference"/>
          <w:b/>
          <w:bCs/>
        </w:rPr>
      </w:pPr>
      <w:bookmarkStart w:id="30" w:name="_Ref61003126"/>
      <w:bookmarkStart w:id="31" w:name="_Ref61258674"/>
      <w:r w:rsidRPr="007F116C">
        <w:rPr>
          <w:rStyle w:val="CommentReference"/>
          <w:b/>
          <w:bCs/>
        </w:rPr>
        <w:t xml:space="preserve">Table </w:t>
      </w:r>
      <w:r w:rsidR="00522713" w:rsidRPr="007F116C">
        <w:rPr>
          <w:rStyle w:val="CommentReference"/>
          <w:b/>
          <w:bCs/>
        </w:rPr>
        <w:t>12</w:t>
      </w:r>
      <w:bookmarkEnd w:id="30"/>
      <w:r w:rsidRPr="007F116C">
        <w:rPr>
          <w:rStyle w:val="CommentReference"/>
          <w:b/>
          <w:bCs/>
        </w:rPr>
        <w:t>:</w:t>
      </w:r>
      <w:r w:rsidRPr="007F116C">
        <w:rPr>
          <w:rStyle w:val="CommentReference"/>
        </w:rPr>
        <w:t xml:space="preserve"> </w:t>
      </w:r>
      <w:r w:rsidRPr="007F116C">
        <w:rPr>
          <w:rStyle w:val="CommentReference"/>
          <w:b/>
          <w:bCs/>
        </w:rPr>
        <w:t>Cost-minimisation price for ofatumumab</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17"/>
        <w:gridCol w:w="4911"/>
      </w:tblGrid>
      <w:tr w:rsidR="005E15EF" w:rsidRPr="007F116C" w:rsidTr="00997403">
        <w:tc>
          <w:tcPr>
            <w:tcW w:w="1491" w:type="pct"/>
            <w:tcBorders>
              <w:bottom w:val="single" w:sz="4" w:space="0" w:color="auto"/>
            </w:tcBorders>
          </w:tcPr>
          <w:p w:rsidR="005E15EF" w:rsidRPr="007F116C" w:rsidRDefault="005E15EF" w:rsidP="00F81FB3">
            <w:pPr>
              <w:pStyle w:val="Tabletext"/>
              <w:keepNext/>
              <w:keepLines/>
              <w:rPr>
                <w:b/>
                <w:bCs/>
              </w:rPr>
            </w:pPr>
          </w:p>
        </w:tc>
        <w:tc>
          <w:tcPr>
            <w:tcW w:w="786" w:type="pct"/>
            <w:tcBorders>
              <w:bottom w:val="single" w:sz="4" w:space="0" w:color="auto"/>
            </w:tcBorders>
          </w:tcPr>
          <w:p w:rsidR="005E15EF" w:rsidRPr="007F116C" w:rsidRDefault="005E15EF" w:rsidP="00F81FB3">
            <w:pPr>
              <w:pStyle w:val="Tabletext"/>
              <w:keepNext/>
              <w:keepLines/>
              <w:jc w:val="center"/>
              <w:rPr>
                <w:b/>
                <w:bCs/>
              </w:rPr>
            </w:pPr>
            <w:r w:rsidRPr="007F116C">
              <w:rPr>
                <w:b/>
                <w:bCs/>
              </w:rPr>
              <w:t>Cost</w:t>
            </w:r>
          </w:p>
        </w:tc>
        <w:tc>
          <w:tcPr>
            <w:tcW w:w="2723" w:type="pct"/>
            <w:tcBorders>
              <w:bottom w:val="single" w:sz="4" w:space="0" w:color="auto"/>
            </w:tcBorders>
          </w:tcPr>
          <w:p w:rsidR="005E15EF" w:rsidRPr="007F116C" w:rsidRDefault="005E15EF" w:rsidP="00F81FB3">
            <w:pPr>
              <w:pStyle w:val="Tabletext"/>
              <w:keepNext/>
              <w:keepLines/>
              <w:jc w:val="center"/>
              <w:rPr>
                <w:b/>
                <w:bCs/>
              </w:rPr>
            </w:pPr>
            <w:r w:rsidRPr="007F116C">
              <w:rPr>
                <w:b/>
                <w:bCs/>
              </w:rPr>
              <w:t>Source</w:t>
            </w:r>
          </w:p>
        </w:tc>
      </w:tr>
      <w:tr w:rsidR="005E15EF" w:rsidRPr="007F116C" w:rsidTr="00997403">
        <w:tc>
          <w:tcPr>
            <w:tcW w:w="1491" w:type="pct"/>
            <w:tcBorders>
              <w:right w:val="nil"/>
            </w:tcBorders>
          </w:tcPr>
          <w:p w:rsidR="005E15EF" w:rsidRPr="007F116C" w:rsidRDefault="005E15EF" w:rsidP="00F81FB3">
            <w:pPr>
              <w:pStyle w:val="Tabletext"/>
              <w:keepNext/>
              <w:keepLines/>
              <w:rPr>
                <w:b/>
                <w:bCs/>
              </w:rPr>
            </w:pPr>
            <w:r w:rsidRPr="007F116C">
              <w:rPr>
                <w:b/>
                <w:bCs/>
              </w:rPr>
              <w:t>Fingolimod (comparator)</w:t>
            </w:r>
          </w:p>
        </w:tc>
        <w:tc>
          <w:tcPr>
            <w:tcW w:w="786" w:type="pct"/>
            <w:tcBorders>
              <w:left w:val="nil"/>
              <w:right w:val="nil"/>
            </w:tcBorders>
            <w:shd w:val="clear" w:color="auto" w:fill="auto"/>
          </w:tcPr>
          <w:p w:rsidR="005E15EF" w:rsidRPr="007F116C" w:rsidRDefault="005E15EF" w:rsidP="00F81FB3">
            <w:pPr>
              <w:pStyle w:val="Tabletext"/>
              <w:keepNext/>
              <w:keepLines/>
              <w:jc w:val="center"/>
              <w:rPr>
                <w:b/>
                <w:bCs/>
              </w:rPr>
            </w:pPr>
          </w:p>
        </w:tc>
        <w:tc>
          <w:tcPr>
            <w:tcW w:w="2723" w:type="pct"/>
            <w:tcBorders>
              <w:left w:val="nil"/>
            </w:tcBorders>
          </w:tcPr>
          <w:p w:rsidR="005E15EF" w:rsidRPr="007F116C" w:rsidRDefault="005E15EF" w:rsidP="00F81FB3">
            <w:pPr>
              <w:pStyle w:val="Tabletext"/>
              <w:keepNext/>
              <w:keepLines/>
              <w:jc w:val="center"/>
              <w:rPr>
                <w:b/>
                <w:bCs/>
              </w:rPr>
            </w:pPr>
          </w:p>
        </w:tc>
      </w:tr>
      <w:tr w:rsidR="005E15EF" w:rsidRPr="007F116C" w:rsidTr="00997403">
        <w:tc>
          <w:tcPr>
            <w:tcW w:w="1491" w:type="pct"/>
          </w:tcPr>
          <w:p w:rsidR="005E15EF" w:rsidRPr="007F116C" w:rsidRDefault="005E15EF" w:rsidP="00F81FB3">
            <w:pPr>
              <w:pStyle w:val="Tabletext"/>
              <w:keepNext/>
              <w:keepLines/>
            </w:pPr>
            <w:r w:rsidRPr="007F116C">
              <w:t>Drug cost</w:t>
            </w:r>
          </w:p>
        </w:tc>
        <w:tc>
          <w:tcPr>
            <w:tcW w:w="786" w:type="pct"/>
            <w:shd w:val="clear" w:color="auto" w:fill="auto"/>
          </w:tcPr>
          <w:p w:rsidR="005E15EF" w:rsidRPr="007F116C" w:rsidRDefault="005E15EF" w:rsidP="00F81FB3">
            <w:pPr>
              <w:pStyle w:val="Tabletext"/>
              <w:keepNext/>
              <w:keepLines/>
              <w:jc w:val="center"/>
            </w:pPr>
            <w:r w:rsidRPr="007F116C">
              <w:t>$</w:t>
            </w:r>
            <w:r w:rsidR="00070E7E">
              <w:rPr>
                <w:noProof/>
                <w:color w:val="000000"/>
                <w:highlight w:val="black"/>
              </w:rPr>
              <w:t>''''''''''''''''''''''</w:t>
            </w:r>
          </w:p>
        </w:tc>
        <w:tc>
          <w:tcPr>
            <w:tcW w:w="2723" w:type="pct"/>
          </w:tcPr>
          <w:p w:rsidR="005E15EF" w:rsidRPr="007F116C" w:rsidRDefault="005E15EF" w:rsidP="00F81FB3">
            <w:pPr>
              <w:pStyle w:val="Tabletext"/>
              <w:keepNext/>
              <w:keepLines/>
              <w:jc w:val="center"/>
            </w:pPr>
            <w:r w:rsidRPr="007F116C">
              <w:t>Fingolimod– 500mcg tablets × 28 (AEMP)</w:t>
            </w:r>
          </w:p>
        </w:tc>
      </w:tr>
      <w:tr w:rsidR="005E15EF" w:rsidRPr="007F116C" w:rsidTr="00997403">
        <w:tc>
          <w:tcPr>
            <w:tcW w:w="1491" w:type="pct"/>
          </w:tcPr>
          <w:p w:rsidR="005E15EF" w:rsidRPr="007F116C" w:rsidRDefault="005E15EF" w:rsidP="00F81FB3">
            <w:pPr>
              <w:pStyle w:val="Tabletext"/>
              <w:keepNext/>
              <w:keepLines/>
            </w:pPr>
            <w:r w:rsidRPr="007F116C">
              <w:t>Packs per year</w:t>
            </w:r>
          </w:p>
        </w:tc>
        <w:tc>
          <w:tcPr>
            <w:tcW w:w="786" w:type="pct"/>
            <w:shd w:val="clear" w:color="auto" w:fill="auto"/>
          </w:tcPr>
          <w:p w:rsidR="005E15EF" w:rsidRPr="007F116C" w:rsidRDefault="005E15EF" w:rsidP="00F81FB3">
            <w:pPr>
              <w:pStyle w:val="Tabletext"/>
              <w:keepNext/>
              <w:keepLines/>
              <w:jc w:val="center"/>
            </w:pPr>
            <w:r w:rsidRPr="007F116C">
              <w:t>13.04</w:t>
            </w:r>
          </w:p>
        </w:tc>
        <w:tc>
          <w:tcPr>
            <w:tcW w:w="2723" w:type="pct"/>
          </w:tcPr>
          <w:p w:rsidR="005E15EF" w:rsidRPr="007F116C" w:rsidRDefault="005E15EF" w:rsidP="00F81FB3">
            <w:pPr>
              <w:pStyle w:val="Tabletext"/>
              <w:keepNext/>
              <w:keepLines/>
              <w:jc w:val="center"/>
            </w:pPr>
            <w:r w:rsidRPr="007F116C">
              <w:t>Daily administration (365.25 days/28 days)</w:t>
            </w:r>
          </w:p>
        </w:tc>
      </w:tr>
      <w:tr w:rsidR="005E15EF" w:rsidRPr="007F116C" w:rsidTr="00997403">
        <w:tc>
          <w:tcPr>
            <w:tcW w:w="1491" w:type="pct"/>
          </w:tcPr>
          <w:p w:rsidR="005E15EF" w:rsidRPr="007F116C" w:rsidRDefault="005E15EF" w:rsidP="00F81FB3">
            <w:pPr>
              <w:pStyle w:val="Tabletext"/>
              <w:keepNext/>
              <w:keepLines/>
            </w:pPr>
            <w:r w:rsidRPr="007F116C">
              <w:t>Drug cost (annual)</w:t>
            </w:r>
          </w:p>
        </w:tc>
        <w:tc>
          <w:tcPr>
            <w:tcW w:w="786" w:type="pct"/>
            <w:shd w:val="clear" w:color="auto" w:fill="auto"/>
          </w:tcPr>
          <w:p w:rsidR="005E15EF" w:rsidRPr="007F116C" w:rsidRDefault="005E15EF" w:rsidP="00F81FB3">
            <w:pPr>
              <w:pStyle w:val="Tabletext"/>
              <w:keepNext/>
              <w:keepLines/>
              <w:jc w:val="center"/>
            </w:pPr>
            <w:r w:rsidRPr="007F116C">
              <w:t>$</w:t>
            </w:r>
            <w:r w:rsidR="00070E7E">
              <w:rPr>
                <w:noProof/>
                <w:color w:val="000000"/>
                <w:highlight w:val="black"/>
              </w:rPr>
              <w:t>'''''''''''''''''''''</w:t>
            </w:r>
          </w:p>
        </w:tc>
        <w:tc>
          <w:tcPr>
            <w:tcW w:w="2723" w:type="pct"/>
          </w:tcPr>
          <w:p w:rsidR="005E15EF" w:rsidRPr="007F116C" w:rsidRDefault="005E15EF" w:rsidP="00F81FB3">
            <w:pPr>
              <w:pStyle w:val="Tabletext"/>
              <w:keepNext/>
              <w:keepLines/>
              <w:jc w:val="center"/>
            </w:pPr>
            <w:r w:rsidRPr="007F116C">
              <w:t>Drug cost × packs per years</w:t>
            </w:r>
          </w:p>
        </w:tc>
      </w:tr>
      <w:tr w:rsidR="005E15EF" w:rsidRPr="007F116C" w:rsidTr="00997403">
        <w:tc>
          <w:tcPr>
            <w:tcW w:w="1491" w:type="pct"/>
          </w:tcPr>
          <w:p w:rsidR="005E15EF" w:rsidRPr="007F116C" w:rsidRDefault="005E15EF" w:rsidP="00F81FB3">
            <w:pPr>
              <w:pStyle w:val="Tabletext"/>
              <w:keepNext/>
              <w:keepLines/>
              <w:rPr>
                <w:highlight w:val="yellow"/>
              </w:rPr>
            </w:pPr>
            <w:r w:rsidRPr="007F116C">
              <w:t>Total monitoring cost</w:t>
            </w:r>
          </w:p>
        </w:tc>
        <w:tc>
          <w:tcPr>
            <w:tcW w:w="786" w:type="pct"/>
            <w:shd w:val="clear" w:color="auto" w:fill="auto"/>
          </w:tcPr>
          <w:p w:rsidR="005E15EF" w:rsidRPr="007F116C" w:rsidRDefault="005E15EF" w:rsidP="00F81FB3">
            <w:pPr>
              <w:pStyle w:val="Tabletext"/>
              <w:keepNext/>
              <w:keepLines/>
              <w:jc w:val="center"/>
            </w:pPr>
            <w:r w:rsidRPr="007F116C">
              <w:t>$172.75</w:t>
            </w:r>
          </w:p>
        </w:tc>
        <w:tc>
          <w:tcPr>
            <w:tcW w:w="2723" w:type="pct"/>
          </w:tcPr>
          <w:p w:rsidR="005E15EF" w:rsidRPr="007F116C" w:rsidRDefault="005E15EF" w:rsidP="00F81FB3">
            <w:pPr>
              <w:pStyle w:val="Tabletext"/>
              <w:keepNext/>
              <w:keepLines/>
              <w:jc w:val="center"/>
              <w:rPr>
                <w:highlight w:val="yellow"/>
              </w:rPr>
            </w:pPr>
            <w:r w:rsidRPr="007F116C">
              <w:t>First dose cardiac monitoring</w:t>
            </w:r>
            <w:r w:rsidR="000E60C9" w:rsidRPr="007F116C">
              <w:t xml:space="preserve"> -</w:t>
            </w:r>
            <w:r w:rsidRPr="007F116C">
              <w:t xml:space="preserve"> </w:t>
            </w:r>
            <w:r w:rsidR="000E60C9" w:rsidRPr="007F116C">
              <w:t>MBS 11716</w:t>
            </w:r>
          </w:p>
        </w:tc>
      </w:tr>
      <w:tr w:rsidR="005E15EF" w:rsidRPr="007F116C" w:rsidTr="00997403">
        <w:tc>
          <w:tcPr>
            <w:tcW w:w="1491" w:type="pct"/>
          </w:tcPr>
          <w:p w:rsidR="005E15EF" w:rsidRPr="007F116C" w:rsidRDefault="005E15EF" w:rsidP="00F81FB3">
            <w:pPr>
              <w:pStyle w:val="Tabletext"/>
              <w:keepNext/>
              <w:keepLines/>
              <w:rPr>
                <w:highlight w:val="yellow"/>
              </w:rPr>
            </w:pPr>
            <w:r w:rsidRPr="007F116C">
              <w:t xml:space="preserve">Total cost over 2 years </w:t>
            </w:r>
          </w:p>
        </w:tc>
        <w:tc>
          <w:tcPr>
            <w:tcW w:w="786" w:type="pct"/>
            <w:shd w:val="clear" w:color="auto" w:fill="auto"/>
          </w:tcPr>
          <w:p w:rsidR="005E15EF" w:rsidRPr="007F116C" w:rsidRDefault="005E15EF" w:rsidP="00F81FB3">
            <w:pPr>
              <w:pStyle w:val="Tabletext"/>
              <w:keepNext/>
              <w:keepLines/>
              <w:jc w:val="center"/>
            </w:pPr>
            <w:r w:rsidRPr="007F116C">
              <w:t>$</w:t>
            </w:r>
            <w:r w:rsidR="00070E7E">
              <w:rPr>
                <w:noProof/>
                <w:color w:val="000000"/>
                <w:highlight w:val="black"/>
              </w:rPr>
              <w:t>''''''''''''''''''''''''</w:t>
            </w:r>
          </w:p>
        </w:tc>
        <w:tc>
          <w:tcPr>
            <w:tcW w:w="2723" w:type="pct"/>
          </w:tcPr>
          <w:p w:rsidR="005E15EF" w:rsidRPr="007F116C" w:rsidRDefault="005E15EF" w:rsidP="00F81FB3">
            <w:pPr>
              <w:pStyle w:val="Tabletext"/>
              <w:keepNext/>
              <w:keepLines/>
              <w:jc w:val="center"/>
              <w:rPr>
                <w:highlight w:val="yellow"/>
              </w:rPr>
            </w:pPr>
            <w:r w:rsidRPr="007F116C">
              <w:t>Drug cost (annual) × 2 +Total monitoring cost</w:t>
            </w:r>
          </w:p>
        </w:tc>
      </w:tr>
      <w:tr w:rsidR="005E15EF" w:rsidRPr="007F116C" w:rsidTr="00997403">
        <w:tc>
          <w:tcPr>
            <w:tcW w:w="1491" w:type="pct"/>
          </w:tcPr>
          <w:p w:rsidR="005E15EF" w:rsidRPr="007F116C" w:rsidRDefault="005E15EF" w:rsidP="00F81FB3">
            <w:pPr>
              <w:pStyle w:val="Tabletext"/>
              <w:keepNext/>
              <w:keepLines/>
              <w:rPr>
                <w:b/>
                <w:bCs/>
              </w:rPr>
            </w:pPr>
            <w:r w:rsidRPr="007F116C">
              <w:rPr>
                <w:b/>
                <w:bCs/>
              </w:rPr>
              <w:t>Ofatumumab</w:t>
            </w:r>
          </w:p>
        </w:tc>
        <w:tc>
          <w:tcPr>
            <w:tcW w:w="786" w:type="pct"/>
            <w:shd w:val="clear" w:color="auto" w:fill="auto"/>
          </w:tcPr>
          <w:p w:rsidR="005E15EF" w:rsidRPr="007F116C" w:rsidRDefault="005E15EF" w:rsidP="00F81FB3">
            <w:pPr>
              <w:pStyle w:val="Tabletext"/>
              <w:keepNext/>
              <w:keepLines/>
              <w:jc w:val="center"/>
              <w:rPr>
                <w:b/>
                <w:bCs/>
              </w:rPr>
            </w:pPr>
          </w:p>
        </w:tc>
        <w:tc>
          <w:tcPr>
            <w:tcW w:w="2723" w:type="pct"/>
          </w:tcPr>
          <w:p w:rsidR="005E15EF" w:rsidRPr="007F116C" w:rsidRDefault="005E15EF" w:rsidP="00F81FB3">
            <w:pPr>
              <w:pStyle w:val="Tabletext"/>
              <w:keepNext/>
              <w:keepLines/>
              <w:jc w:val="center"/>
              <w:rPr>
                <w:b/>
                <w:bCs/>
              </w:rPr>
            </w:pPr>
          </w:p>
        </w:tc>
      </w:tr>
      <w:tr w:rsidR="005E15EF" w:rsidRPr="007F116C" w:rsidTr="00997403">
        <w:tc>
          <w:tcPr>
            <w:tcW w:w="1491" w:type="pct"/>
          </w:tcPr>
          <w:p w:rsidR="005E15EF" w:rsidRPr="007F116C" w:rsidRDefault="005E15EF" w:rsidP="00F81FB3">
            <w:pPr>
              <w:pStyle w:val="Tabletext"/>
              <w:keepNext/>
              <w:keepLines/>
            </w:pPr>
            <w:r w:rsidRPr="007F116C">
              <w:t>Fingolimod costs</w:t>
            </w:r>
          </w:p>
        </w:tc>
        <w:tc>
          <w:tcPr>
            <w:tcW w:w="786" w:type="pct"/>
            <w:shd w:val="clear" w:color="auto" w:fill="auto"/>
          </w:tcPr>
          <w:p w:rsidR="005E15EF" w:rsidRPr="007F116C" w:rsidRDefault="005E15EF" w:rsidP="00F81FB3">
            <w:pPr>
              <w:pStyle w:val="Tabletext"/>
              <w:keepNext/>
              <w:keepLines/>
              <w:jc w:val="center"/>
            </w:pPr>
            <w:r w:rsidRPr="007F116C">
              <w:t>$</w:t>
            </w:r>
            <w:r w:rsidR="00070E7E">
              <w:rPr>
                <w:noProof/>
                <w:color w:val="000000"/>
                <w:highlight w:val="black"/>
              </w:rPr>
              <w:t>''''''''''''''''''''''</w:t>
            </w:r>
          </w:p>
        </w:tc>
        <w:tc>
          <w:tcPr>
            <w:tcW w:w="2723" w:type="pct"/>
          </w:tcPr>
          <w:p w:rsidR="005E15EF" w:rsidRPr="007F116C" w:rsidRDefault="005E15EF" w:rsidP="00F81FB3">
            <w:pPr>
              <w:pStyle w:val="Tabletext"/>
              <w:keepNext/>
              <w:keepLines/>
              <w:jc w:val="center"/>
            </w:pPr>
            <w:r w:rsidRPr="007F116C">
              <w:t>Treatment cost equivalent to fingolimod over 2 years</w:t>
            </w:r>
          </w:p>
        </w:tc>
      </w:tr>
      <w:tr w:rsidR="005E15EF" w:rsidRPr="007F116C" w:rsidTr="00997403">
        <w:tc>
          <w:tcPr>
            <w:tcW w:w="1491" w:type="pct"/>
          </w:tcPr>
          <w:p w:rsidR="005E15EF" w:rsidRPr="007F116C" w:rsidRDefault="005E15EF" w:rsidP="00F81FB3">
            <w:pPr>
              <w:pStyle w:val="Tabletext"/>
              <w:keepNext/>
              <w:keepLines/>
              <w:rPr>
                <w:highlight w:val="yellow"/>
              </w:rPr>
            </w:pPr>
            <w:r w:rsidRPr="007F116C">
              <w:t>Administration cost (first dose)</w:t>
            </w:r>
          </w:p>
        </w:tc>
        <w:tc>
          <w:tcPr>
            <w:tcW w:w="786" w:type="pct"/>
            <w:shd w:val="clear" w:color="auto" w:fill="auto"/>
          </w:tcPr>
          <w:p w:rsidR="005E15EF" w:rsidRPr="007F116C" w:rsidRDefault="005E15EF" w:rsidP="00F81FB3">
            <w:pPr>
              <w:pStyle w:val="Tabletext"/>
              <w:keepNext/>
              <w:keepLines/>
              <w:jc w:val="center"/>
            </w:pPr>
            <w:r w:rsidRPr="007F116C">
              <w:t>$38.75</w:t>
            </w:r>
          </w:p>
        </w:tc>
        <w:tc>
          <w:tcPr>
            <w:tcW w:w="2723" w:type="pct"/>
          </w:tcPr>
          <w:p w:rsidR="005E15EF" w:rsidRPr="007F116C" w:rsidRDefault="005E15EF" w:rsidP="00F81FB3">
            <w:pPr>
              <w:pStyle w:val="Tabletext"/>
              <w:keepNext/>
              <w:keepLines/>
              <w:jc w:val="center"/>
              <w:rPr>
                <w:highlight w:val="yellow"/>
              </w:rPr>
            </w:pPr>
            <w:r w:rsidRPr="007F116C">
              <w:t xml:space="preserve">First dose administration </w:t>
            </w:r>
            <w:r w:rsidR="000E60C9" w:rsidRPr="007F116C">
              <w:t>– MBS 23</w:t>
            </w:r>
          </w:p>
        </w:tc>
      </w:tr>
      <w:tr w:rsidR="005E15EF" w:rsidRPr="007F116C" w:rsidTr="00997403">
        <w:tc>
          <w:tcPr>
            <w:tcW w:w="1491" w:type="pct"/>
          </w:tcPr>
          <w:p w:rsidR="005E15EF" w:rsidRPr="007F116C" w:rsidRDefault="005E15EF" w:rsidP="00F81FB3">
            <w:pPr>
              <w:pStyle w:val="Tabletext"/>
              <w:keepNext/>
              <w:keepLines/>
              <w:rPr>
                <w:highlight w:val="yellow"/>
              </w:rPr>
            </w:pPr>
            <w:r w:rsidRPr="007F116C">
              <w:t xml:space="preserve">Drug cost over 2 years </w:t>
            </w:r>
          </w:p>
        </w:tc>
        <w:tc>
          <w:tcPr>
            <w:tcW w:w="786" w:type="pct"/>
            <w:shd w:val="clear" w:color="auto" w:fill="auto"/>
          </w:tcPr>
          <w:p w:rsidR="005E15EF" w:rsidRPr="007F116C" w:rsidRDefault="005E15EF" w:rsidP="00F81FB3">
            <w:pPr>
              <w:pStyle w:val="Tabletext"/>
              <w:keepNext/>
              <w:keepLines/>
              <w:jc w:val="center"/>
            </w:pPr>
            <w:r w:rsidRPr="007F116C">
              <w:t>$</w:t>
            </w:r>
            <w:r w:rsidR="00070E7E">
              <w:rPr>
                <w:noProof/>
                <w:color w:val="000000"/>
                <w:highlight w:val="black"/>
              </w:rPr>
              <w:t>''''''''''''''''''''''</w:t>
            </w:r>
          </w:p>
        </w:tc>
        <w:tc>
          <w:tcPr>
            <w:tcW w:w="2723" w:type="pct"/>
          </w:tcPr>
          <w:p w:rsidR="005E15EF" w:rsidRPr="007F116C" w:rsidRDefault="005E15EF" w:rsidP="00F81FB3">
            <w:pPr>
              <w:pStyle w:val="Tabletext"/>
              <w:keepNext/>
              <w:keepLines/>
              <w:jc w:val="center"/>
              <w:rPr>
                <w:highlight w:val="yellow"/>
              </w:rPr>
            </w:pPr>
            <w:r w:rsidRPr="007F116C">
              <w:t>Treatment cost minus administration costs</w:t>
            </w:r>
          </w:p>
        </w:tc>
      </w:tr>
      <w:tr w:rsidR="005E15EF" w:rsidRPr="007F116C" w:rsidTr="00997403">
        <w:tc>
          <w:tcPr>
            <w:tcW w:w="1491" w:type="pct"/>
          </w:tcPr>
          <w:p w:rsidR="005E15EF" w:rsidRPr="007F116C" w:rsidRDefault="005E15EF" w:rsidP="00F81FB3">
            <w:pPr>
              <w:pStyle w:val="Tabletext"/>
              <w:keepNext/>
              <w:keepLines/>
            </w:pPr>
            <w:r w:rsidRPr="007F116C">
              <w:t>Injections</w:t>
            </w:r>
          </w:p>
        </w:tc>
        <w:tc>
          <w:tcPr>
            <w:tcW w:w="786" w:type="pct"/>
            <w:shd w:val="clear" w:color="auto" w:fill="auto"/>
          </w:tcPr>
          <w:p w:rsidR="005E15EF" w:rsidRPr="007F116C" w:rsidRDefault="005E15EF" w:rsidP="00F81FB3">
            <w:pPr>
              <w:pStyle w:val="Tabletext"/>
              <w:keepNext/>
              <w:keepLines/>
              <w:jc w:val="center"/>
            </w:pPr>
          </w:p>
        </w:tc>
        <w:tc>
          <w:tcPr>
            <w:tcW w:w="2723" w:type="pct"/>
          </w:tcPr>
          <w:p w:rsidR="005E15EF" w:rsidRPr="007F116C" w:rsidRDefault="005E15EF" w:rsidP="00F81FB3">
            <w:pPr>
              <w:pStyle w:val="Tabletext"/>
              <w:keepNext/>
              <w:keepLines/>
              <w:jc w:val="center"/>
            </w:pPr>
          </w:p>
        </w:tc>
      </w:tr>
      <w:tr w:rsidR="005E15EF" w:rsidRPr="007F116C" w:rsidTr="00997403">
        <w:tc>
          <w:tcPr>
            <w:tcW w:w="1491" w:type="pct"/>
            <w:vAlign w:val="center"/>
          </w:tcPr>
          <w:p w:rsidR="005E15EF" w:rsidRPr="007F116C" w:rsidRDefault="005E15EF" w:rsidP="00F5589F">
            <w:pPr>
              <w:pStyle w:val="Tabletext"/>
              <w:keepNext/>
              <w:keepLines/>
            </w:pPr>
            <w:r w:rsidRPr="007F116C">
              <w:t>Injections in year 1</w:t>
            </w:r>
          </w:p>
        </w:tc>
        <w:tc>
          <w:tcPr>
            <w:tcW w:w="786" w:type="pct"/>
            <w:shd w:val="clear" w:color="auto" w:fill="auto"/>
          </w:tcPr>
          <w:p w:rsidR="005E15EF" w:rsidRPr="007F116C" w:rsidRDefault="005E15EF" w:rsidP="00F81FB3">
            <w:pPr>
              <w:pStyle w:val="Tabletext"/>
              <w:keepNext/>
              <w:keepLines/>
              <w:jc w:val="center"/>
            </w:pPr>
            <w:r w:rsidRPr="007F116C">
              <w:t>14</w:t>
            </w:r>
          </w:p>
        </w:tc>
        <w:tc>
          <w:tcPr>
            <w:tcW w:w="2723" w:type="pct"/>
          </w:tcPr>
          <w:p w:rsidR="005E15EF" w:rsidRPr="007F116C" w:rsidRDefault="005E15EF" w:rsidP="00F81FB3">
            <w:pPr>
              <w:pStyle w:val="Tabletext"/>
              <w:keepNext/>
              <w:keepLines/>
              <w:jc w:val="center"/>
            </w:pPr>
            <w:r w:rsidRPr="007F116C">
              <w:t>SC Injections at week 0,1,2 and 4 (4 injections, 2 months) + monthly (10 injections, 10 months)</w:t>
            </w:r>
          </w:p>
        </w:tc>
      </w:tr>
      <w:tr w:rsidR="005E15EF" w:rsidRPr="007F116C" w:rsidTr="00997403">
        <w:tc>
          <w:tcPr>
            <w:tcW w:w="1491" w:type="pct"/>
          </w:tcPr>
          <w:p w:rsidR="005E15EF" w:rsidRPr="007F116C" w:rsidRDefault="005E15EF" w:rsidP="00F81FB3">
            <w:pPr>
              <w:pStyle w:val="Tabletext"/>
              <w:keepNext/>
              <w:keepLines/>
            </w:pPr>
            <w:r w:rsidRPr="007F116C">
              <w:t>Injections in year 2</w:t>
            </w:r>
          </w:p>
        </w:tc>
        <w:tc>
          <w:tcPr>
            <w:tcW w:w="786" w:type="pct"/>
            <w:shd w:val="clear" w:color="auto" w:fill="auto"/>
          </w:tcPr>
          <w:p w:rsidR="005E15EF" w:rsidRPr="007F116C" w:rsidRDefault="005E15EF" w:rsidP="00F81FB3">
            <w:pPr>
              <w:pStyle w:val="Tabletext"/>
              <w:keepNext/>
              <w:keepLines/>
              <w:jc w:val="center"/>
            </w:pPr>
            <w:r w:rsidRPr="007F116C">
              <w:t>12</w:t>
            </w:r>
          </w:p>
        </w:tc>
        <w:tc>
          <w:tcPr>
            <w:tcW w:w="2723" w:type="pct"/>
          </w:tcPr>
          <w:p w:rsidR="005E15EF" w:rsidRPr="007F116C" w:rsidRDefault="005E15EF" w:rsidP="00F81FB3">
            <w:pPr>
              <w:pStyle w:val="Tabletext"/>
              <w:keepNext/>
              <w:keepLines/>
              <w:jc w:val="center"/>
            </w:pPr>
            <w:r w:rsidRPr="007F116C">
              <w:t>SC Injections monthly (12 months)</w:t>
            </w:r>
          </w:p>
        </w:tc>
      </w:tr>
      <w:tr w:rsidR="005E15EF" w:rsidRPr="007F116C" w:rsidTr="00997403">
        <w:tc>
          <w:tcPr>
            <w:tcW w:w="1491" w:type="pct"/>
          </w:tcPr>
          <w:p w:rsidR="005E15EF" w:rsidRPr="007F116C" w:rsidRDefault="005E15EF" w:rsidP="00F81FB3">
            <w:pPr>
              <w:pStyle w:val="Tabletext"/>
              <w:keepNext/>
              <w:keepLines/>
            </w:pPr>
            <w:r w:rsidRPr="007F116C">
              <w:t>Injections over 2 years</w:t>
            </w:r>
          </w:p>
        </w:tc>
        <w:tc>
          <w:tcPr>
            <w:tcW w:w="786" w:type="pct"/>
            <w:shd w:val="clear" w:color="auto" w:fill="auto"/>
          </w:tcPr>
          <w:p w:rsidR="005E15EF" w:rsidRPr="007F116C" w:rsidRDefault="005E15EF" w:rsidP="00F81FB3">
            <w:pPr>
              <w:pStyle w:val="Tabletext"/>
              <w:keepNext/>
              <w:keepLines/>
              <w:jc w:val="center"/>
            </w:pPr>
            <w:r w:rsidRPr="007F116C">
              <w:t>26</w:t>
            </w:r>
          </w:p>
        </w:tc>
        <w:tc>
          <w:tcPr>
            <w:tcW w:w="2723" w:type="pct"/>
          </w:tcPr>
          <w:p w:rsidR="005E15EF" w:rsidRPr="007F116C" w:rsidRDefault="005E15EF" w:rsidP="00F81FB3">
            <w:pPr>
              <w:pStyle w:val="Tabletext"/>
              <w:keepNext/>
              <w:keepLines/>
              <w:jc w:val="center"/>
            </w:pPr>
            <w:r w:rsidRPr="007F116C">
              <w:t>Year 1 + Year 2</w:t>
            </w:r>
          </w:p>
        </w:tc>
      </w:tr>
      <w:tr w:rsidR="005E15EF" w:rsidRPr="007F116C" w:rsidTr="00997403">
        <w:tc>
          <w:tcPr>
            <w:tcW w:w="1491" w:type="pct"/>
          </w:tcPr>
          <w:p w:rsidR="005E15EF" w:rsidRPr="007F116C" w:rsidRDefault="005E15EF" w:rsidP="00F81FB3">
            <w:pPr>
              <w:pStyle w:val="Tabletext"/>
              <w:keepNext/>
              <w:keepLines/>
              <w:rPr>
                <w:highlight w:val="yellow"/>
              </w:rPr>
            </w:pPr>
            <w:r w:rsidRPr="007F116C">
              <w:t>Cost per 20mg injection (AEMP) assuming dosing every month</w:t>
            </w:r>
          </w:p>
        </w:tc>
        <w:tc>
          <w:tcPr>
            <w:tcW w:w="786" w:type="pct"/>
            <w:shd w:val="clear" w:color="auto" w:fill="auto"/>
          </w:tcPr>
          <w:p w:rsidR="005E15EF" w:rsidRPr="007F116C" w:rsidRDefault="005E15EF" w:rsidP="00F81FB3">
            <w:pPr>
              <w:pStyle w:val="Tabletext"/>
              <w:keepNext/>
              <w:keepLines/>
              <w:jc w:val="center"/>
            </w:pPr>
            <w:r w:rsidRPr="007F116C">
              <w:t>$</w:t>
            </w:r>
            <w:r w:rsidR="00070E7E">
              <w:rPr>
                <w:noProof/>
                <w:color w:val="000000"/>
                <w:highlight w:val="black"/>
              </w:rPr>
              <w:t>'''''''''''''''''''</w:t>
            </w:r>
          </w:p>
        </w:tc>
        <w:tc>
          <w:tcPr>
            <w:tcW w:w="2723" w:type="pct"/>
          </w:tcPr>
          <w:p w:rsidR="005E15EF" w:rsidRPr="007F116C" w:rsidRDefault="005E15EF" w:rsidP="00F81FB3">
            <w:pPr>
              <w:pStyle w:val="Tabletext"/>
              <w:keepNext/>
              <w:keepLines/>
              <w:jc w:val="center"/>
            </w:pPr>
            <w:r w:rsidRPr="007F116C">
              <w:t>Total cost over 2 years / no. injection over 2 years</w:t>
            </w:r>
          </w:p>
          <w:p w:rsidR="005E15EF" w:rsidRPr="007F116C" w:rsidRDefault="005E15EF" w:rsidP="00F81FB3">
            <w:pPr>
              <w:pStyle w:val="Tabletext"/>
              <w:keepNext/>
              <w:keepLines/>
              <w:jc w:val="center"/>
              <w:rPr>
                <w:highlight w:val="yellow"/>
              </w:rPr>
            </w:pPr>
            <w:r w:rsidRPr="007F116C">
              <w:t>(Treatment cost minus administration costs)</w:t>
            </w:r>
          </w:p>
        </w:tc>
      </w:tr>
      <w:tr w:rsidR="00403A16" w:rsidRPr="007F116C" w:rsidTr="00997403">
        <w:tc>
          <w:tcPr>
            <w:tcW w:w="5000" w:type="pct"/>
            <w:gridSpan w:val="3"/>
          </w:tcPr>
          <w:p w:rsidR="00403A16" w:rsidRPr="007F116C" w:rsidRDefault="00403A16" w:rsidP="00403A16">
            <w:pPr>
              <w:pStyle w:val="Tabletext"/>
              <w:keepNext/>
              <w:keepLines/>
              <w:rPr>
                <w:b/>
              </w:rPr>
            </w:pPr>
            <w:r w:rsidRPr="007F116C">
              <w:rPr>
                <w:b/>
              </w:rPr>
              <w:t>Sensitivity analysis – Trial-based equi-effective doses (OFA maintenance once every four weeks)</w:t>
            </w:r>
          </w:p>
        </w:tc>
      </w:tr>
      <w:tr w:rsidR="005E15EF" w:rsidRPr="007F116C" w:rsidTr="00997403">
        <w:tc>
          <w:tcPr>
            <w:tcW w:w="1491" w:type="pct"/>
          </w:tcPr>
          <w:p w:rsidR="005E15EF" w:rsidRPr="007F116C" w:rsidRDefault="005E15EF" w:rsidP="00F81FB3">
            <w:pPr>
              <w:pStyle w:val="Tabletext"/>
              <w:keepNext/>
              <w:keepLines/>
            </w:pPr>
            <w:r w:rsidRPr="007F116C">
              <w:t>Cost per 20mg injection (AEMP) assuming dosing every 4 weeks</w:t>
            </w:r>
          </w:p>
        </w:tc>
        <w:tc>
          <w:tcPr>
            <w:tcW w:w="786" w:type="pct"/>
            <w:shd w:val="clear" w:color="auto" w:fill="auto"/>
          </w:tcPr>
          <w:p w:rsidR="005E15EF" w:rsidRPr="007F116C" w:rsidRDefault="005E15EF" w:rsidP="00F81FB3">
            <w:pPr>
              <w:pStyle w:val="Tabletext"/>
              <w:keepNext/>
              <w:keepLines/>
              <w:jc w:val="center"/>
            </w:pPr>
            <w:r w:rsidRPr="007F116C">
              <w:t>$</w:t>
            </w:r>
            <w:r w:rsidR="00070E7E">
              <w:rPr>
                <w:noProof/>
                <w:color w:val="000000"/>
                <w:highlight w:val="black"/>
              </w:rPr>
              <w:t>'''''''''''''''''''</w:t>
            </w:r>
          </w:p>
        </w:tc>
        <w:tc>
          <w:tcPr>
            <w:tcW w:w="2723" w:type="pct"/>
          </w:tcPr>
          <w:p w:rsidR="005E15EF" w:rsidRPr="007F116C" w:rsidRDefault="005E15EF" w:rsidP="00F81FB3">
            <w:pPr>
              <w:pStyle w:val="Tabletext"/>
              <w:keepNext/>
              <w:keepLines/>
              <w:jc w:val="center"/>
            </w:pPr>
            <w:r w:rsidRPr="007F116C">
              <w:t>Include 15 doses in year 1 and 13 doses in year 2 instead of 14 and 12, respectively</w:t>
            </w:r>
          </w:p>
        </w:tc>
      </w:tr>
    </w:tbl>
    <w:p w:rsidR="005E15EF" w:rsidRPr="007F116C" w:rsidRDefault="005E15EF" w:rsidP="000E60C9">
      <w:pPr>
        <w:pStyle w:val="TableFooter"/>
        <w:keepNext/>
        <w:keepLines/>
        <w:spacing w:after="120"/>
      </w:pPr>
      <w:r w:rsidRPr="007F116C">
        <w:t>Source: Table 3.3, p279 of the submission. AEMP = Australian ex manufacturer price; SC=subcutaneous</w:t>
      </w:r>
      <w:r w:rsidR="006633A7" w:rsidRPr="007F116C">
        <w:t>; OFA = ofatumumab</w:t>
      </w:r>
    </w:p>
    <w:p w:rsidR="005E15EF" w:rsidRPr="007F116C" w:rsidRDefault="005E15EF" w:rsidP="005E15EF">
      <w:pPr>
        <w:pStyle w:val="ListParagraph"/>
        <w:widowControl/>
        <w:numPr>
          <w:ilvl w:val="1"/>
          <w:numId w:val="2"/>
        </w:numPr>
      </w:pPr>
      <w:r w:rsidRPr="007F116C">
        <w:rPr>
          <w:iCs/>
        </w:rPr>
        <w:t>This cost minimisation analysis was conducted on a time hori</w:t>
      </w:r>
      <w:r w:rsidR="00661907" w:rsidRPr="007F116C">
        <w:rPr>
          <w:iCs/>
        </w:rPr>
        <w:t>zon of two years of treatment</w:t>
      </w:r>
      <w:r w:rsidR="000E60C9" w:rsidRPr="007F116C">
        <w:rPr>
          <w:iCs/>
        </w:rPr>
        <w:t>. T</w:t>
      </w:r>
      <w:r w:rsidRPr="007F116C">
        <w:rPr>
          <w:iCs/>
        </w:rPr>
        <w:t>his was consistent with previous RRMS cost-minimisation ana</w:t>
      </w:r>
      <w:r w:rsidR="000E60C9" w:rsidRPr="007F116C">
        <w:rPr>
          <w:iCs/>
        </w:rPr>
        <w:t>lyses assessed by the PBAC such as o</w:t>
      </w:r>
      <w:r w:rsidRPr="007F116C">
        <w:rPr>
          <w:iCs/>
        </w:rPr>
        <w:t>crelizumab</w:t>
      </w:r>
      <w:r w:rsidR="000E60C9" w:rsidRPr="007F116C">
        <w:rPr>
          <w:iCs/>
        </w:rPr>
        <w:t xml:space="preserve"> </w:t>
      </w:r>
      <w:r w:rsidR="00661907" w:rsidRPr="007F116C">
        <w:rPr>
          <w:iCs/>
        </w:rPr>
        <w:t xml:space="preserve">(paragraph 6.43, ocrelizumab PSD </w:t>
      </w:r>
      <w:r w:rsidR="000E60C9" w:rsidRPr="007F116C">
        <w:rPr>
          <w:iCs/>
        </w:rPr>
        <w:t>July 2017</w:t>
      </w:r>
      <w:r w:rsidR="00661907" w:rsidRPr="007F116C">
        <w:rPr>
          <w:iCs/>
        </w:rPr>
        <w:t>)</w:t>
      </w:r>
      <w:r w:rsidR="000E60C9" w:rsidRPr="007F116C">
        <w:rPr>
          <w:iCs/>
        </w:rPr>
        <w:t xml:space="preserve"> and</w:t>
      </w:r>
      <w:r w:rsidRPr="007F116C">
        <w:rPr>
          <w:iCs/>
        </w:rPr>
        <w:t xml:space="preserve"> cladribine</w:t>
      </w:r>
      <w:r w:rsidR="000E60C9" w:rsidRPr="007F116C">
        <w:rPr>
          <w:iCs/>
        </w:rPr>
        <w:t xml:space="preserve"> (paragraph 5.17, cladribine PSD July 2018</w:t>
      </w:r>
      <w:r w:rsidRPr="007F116C">
        <w:rPr>
          <w:iCs/>
        </w:rPr>
        <w:t>). However, given the increased number of injections in the first month of treatment and consequently the higher cost of the first month of treatment associated with ofatumu</w:t>
      </w:r>
      <w:r w:rsidR="000E60C9" w:rsidRPr="007F116C">
        <w:rPr>
          <w:iCs/>
        </w:rPr>
        <w:t>mab, the time horizon</w:t>
      </w:r>
      <w:r w:rsidR="00661907" w:rsidRPr="007F116C">
        <w:rPr>
          <w:iCs/>
        </w:rPr>
        <w:t xml:space="preserve"> of the cost minimisation analys</w:t>
      </w:r>
      <w:r w:rsidR="000E60C9" w:rsidRPr="007F116C">
        <w:rPr>
          <w:iCs/>
        </w:rPr>
        <w:t>is</w:t>
      </w:r>
      <w:r w:rsidRPr="007F116C">
        <w:rPr>
          <w:iCs/>
        </w:rPr>
        <w:t xml:space="preserve"> is an important consideration when cost minimising against fingolimod, which requires no specific initiation regimen. </w:t>
      </w:r>
    </w:p>
    <w:p w:rsidR="00661907" w:rsidRPr="007F116C" w:rsidRDefault="00661907" w:rsidP="005E15EF">
      <w:pPr>
        <w:pStyle w:val="ListParagraph"/>
        <w:widowControl/>
        <w:numPr>
          <w:ilvl w:val="1"/>
          <w:numId w:val="2"/>
        </w:numPr>
      </w:pPr>
      <w:r w:rsidRPr="007F116C">
        <w:rPr>
          <w:iCs/>
        </w:rPr>
        <w:t xml:space="preserve">In this context, a longer time horizon would lead to a higher price per ofatumumab script, and a shorter time horizon would lead to a lower price per ofatumumab script. </w:t>
      </w:r>
    </w:p>
    <w:p w:rsidR="005E15EF" w:rsidRPr="007F116C" w:rsidRDefault="005E15EF" w:rsidP="005E15EF">
      <w:pPr>
        <w:pStyle w:val="ListParagraph"/>
        <w:widowControl/>
        <w:numPr>
          <w:ilvl w:val="1"/>
          <w:numId w:val="2"/>
        </w:numPr>
      </w:pPr>
      <w:r w:rsidRPr="007F116C">
        <w:rPr>
          <w:iCs/>
        </w:rPr>
        <w:t>It was noted that mean treatment duration in the ofatumumab arms of the ASCLEPIOS I and II tr</w:t>
      </w:r>
      <w:r w:rsidR="00E87B65" w:rsidRPr="007F116C">
        <w:rPr>
          <w:iCs/>
        </w:rPr>
        <w:t xml:space="preserve">ials were 586 days and 563 days, </w:t>
      </w:r>
      <w:r w:rsidRPr="007F116C">
        <w:rPr>
          <w:iCs/>
        </w:rPr>
        <w:t xml:space="preserve">or approximately 1.6 years and 1.5 years, respectively. Reducing the time horizon to 1.5 years would require a lower ofatumumab cost to achieve cost-minimisation to fingolimod. </w:t>
      </w:r>
    </w:p>
    <w:p w:rsidR="00847D2D" w:rsidRPr="007F116C" w:rsidRDefault="00847D2D" w:rsidP="005E15EF">
      <w:pPr>
        <w:pStyle w:val="ListParagraph"/>
        <w:widowControl/>
        <w:numPr>
          <w:ilvl w:val="1"/>
          <w:numId w:val="2"/>
        </w:numPr>
      </w:pPr>
      <w:r w:rsidRPr="007F116C">
        <w:rPr>
          <w:iCs/>
        </w:rPr>
        <w:t>The proposed cost minimisation with fingolimod include</w:t>
      </w:r>
      <w:r w:rsidR="0056715A" w:rsidRPr="007F116C">
        <w:rPr>
          <w:iCs/>
        </w:rPr>
        <w:t>d</w:t>
      </w:r>
      <w:r w:rsidRPr="007F116C">
        <w:rPr>
          <w:iCs/>
        </w:rPr>
        <w:t xml:space="preserve"> offsets for first dose cardiac monitoring, which was inconsistent with the inputs for the cost-effectiveness model for fingolimod, which did not include </w:t>
      </w:r>
      <w:r w:rsidR="00BE1793" w:rsidRPr="007F116C">
        <w:rPr>
          <w:iCs/>
        </w:rPr>
        <w:t>did not attribute any costs to</w:t>
      </w:r>
      <w:r w:rsidRPr="007F116C">
        <w:rPr>
          <w:iCs/>
        </w:rPr>
        <w:t xml:space="preserve"> first-dose cardiac monitoring</w:t>
      </w:r>
      <w:r w:rsidR="00BE1793" w:rsidRPr="007F116C">
        <w:rPr>
          <w:iCs/>
        </w:rPr>
        <w:t xml:space="preserve"> (Table 90 of the fingolimod submission, March 2011)</w:t>
      </w:r>
      <w:r w:rsidRPr="007F116C">
        <w:rPr>
          <w:iCs/>
        </w:rPr>
        <w:t xml:space="preserve">. </w:t>
      </w:r>
      <w:r w:rsidR="0056715A" w:rsidRPr="007F116C">
        <w:rPr>
          <w:iCs/>
        </w:rPr>
        <w:t>Further, t</w:t>
      </w:r>
      <w:r w:rsidR="00B34BB7" w:rsidRPr="007F116C">
        <w:rPr>
          <w:iCs/>
        </w:rPr>
        <w:t xml:space="preserve">he ozanimod submission (March 2020) did not claim any offsets for reduced cardiac monitoring in its cost minimisation approach versus fingolimod (paragraph 6.27, ozanimod </w:t>
      </w:r>
      <w:r w:rsidR="00845689" w:rsidRPr="00070E7E">
        <w:rPr>
          <w:iCs/>
        </w:rPr>
        <w:t>PSD</w:t>
      </w:r>
      <w:r w:rsidR="00B34BB7" w:rsidRPr="00070E7E">
        <w:rPr>
          <w:iCs/>
        </w:rPr>
        <w:t>, September</w:t>
      </w:r>
      <w:r w:rsidR="00B34BB7" w:rsidRPr="007F116C">
        <w:rPr>
          <w:iCs/>
        </w:rPr>
        <w:t xml:space="preserve"> 2020 PBAC meeting).</w:t>
      </w:r>
    </w:p>
    <w:p w:rsidR="008178DC" w:rsidRPr="007F116C" w:rsidRDefault="0059504A" w:rsidP="005E15EF">
      <w:pPr>
        <w:pStyle w:val="ListParagraph"/>
        <w:widowControl/>
        <w:numPr>
          <w:ilvl w:val="1"/>
          <w:numId w:val="2"/>
        </w:numPr>
      </w:pPr>
      <w:r w:rsidRPr="007F116C">
        <w:rPr>
          <w:iCs/>
        </w:rPr>
        <w:t>As the</w:t>
      </w:r>
      <w:r w:rsidR="008178DC" w:rsidRPr="007F116C">
        <w:rPr>
          <w:iCs/>
        </w:rPr>
        <w:t xml:space="preserve"> PBAC has previously accepted that</w:t>
      </w:r>
      <w:r w:rsidR="006633A7" w:rsidRPr="007F116C">
        <w:rPr>
          <w:iCs/>
        </w:rPr>
        <w:t>, alemtuzumab,</w:t>
      </w:r>
      <w:r w:rsidR="008178DC" w:rsidRPr="007F116C">
        <w:rPr>
          <w:iCs/>
        </w:rPr>
        <w:t xml:space="preserve"> cladribine and ocrelizumab are non-inferior to fingolimod (natalizumab was listed on a cost-effectiveness basis with interferon beta)</w:t>
      </w:r>
      <w:r w:rsidRPr="007F116C">
        <w:rPr>
          <w:iCs/>
        </w:rPr>
        <w:t xml:space="preserve"> and the ESC considered that as there was no evidence to indicate ofatumumab is better than any of the alternatives</w:t>
      </w:r>
      <w:r w:rsidR="008178DC" w:rsidRPr="007F116C">
        <w:rPr>
          <w:iCs/>
        </w:rPr>
        <w:t xml:space="preserve"> it may be reasonable for the PBAC to consider the cost minimisation analysis should be based on</w:t>
      </w:r>
      <w:r w:rsidRPr="007F116C">
        <w:rPr>
          <w:iCs/>
        </w:rPr>
        <w:t xml:space="preserve"> (and cost no more than) </w:t>
      </w:r>
      <w:r w:rsidR="008178DC" w:rsidRPr="007F116C">
        <w:rPr>
          <w:iCs/>
        </w:rPr>
        <w:t>the least expensive</w:t>
      </w:r>
      <w:r w:rsidRPr="007F116C">
        <w:rPr>
          <w:iCs/>
        </w:rPr>
        <w:t xml:space="preserve"> of </w:t>
      </w:r>
      <w:r w:rsidR="006633A7" w:rsidRPr="007F116C">
        <w:rPr>
          <w:iCs/>
        </w:rPr>
        <w:t>alemtuzumab,</w:t>
      </w:r>
      <w:r w:rsidR="008178DC" w:rsidRPr="007F116C">
        <w:rPr>
          <w:iCs/>
        </w:rPr>
        <w:t xml:space="preserve"> cladribine, ocrelizumab and fingolimod. </w:t>
      </w:r>
    </w:p>
    <w:p w:rsidR="005E15EF" w:rsidRPr="007F116C" w:rsidRDefault="005E15EF" w:rsidP="0020302B">
      <w:pPr>
        <w:pStyle w:val="Heading2"/>
      </w:pPr>
      <w:bookmarkStart w:id="32" w:name="_Toc62048849"/>
      <w:r w:rsidRPr="007F116C">
        <w:t>Drug cost/patient/</w:t>
      </w:r>
      <w:r w:rsidR="00E87B65" w:rsidRPr="007F116C">
        <w:t>two</w:t>
      </w:r>
      <w:r w:rsidRPr="007F116C">
        <w:t xml:space="preserve"> years</w:t>
      </w:r>
      <w:bookmarkEnd w:id="32"/>
    </w:p>
    <w:p w:rsidR="005E15EF" w:rsidRPr="007F116C" w:rsidRDefault="005E15EF" w:rsidP="005E15EF">
      <w:pPr>
        <w:keepNext/>
        <w:widowControl/>
      </w:pPr>
    </w:p>
    <w:p w:rsidR="005E15EF" w:rsidRPr="007F116C" w:rsidRDefault="007F116C" w:rsidP="005E15EF">
      <w:pPr>
        <w:pStyle w:val="ListParagraph"/>
        <w:widowControl/>
        <w:numPr>
          <w:ilvl w:val="1"/>
          <w:numId w:val="2"/>
        </w:numPr>
        <w:spacing w:after="120"/>
        <w:rPr>
          <w:rFonts w:asciiTheme="minorHAnsi" w:hAnsiTheme="minorHAnsi" w:cstheme="minorHAnsi"/>
          <w:color w:val="000000" w:themeColor="text1"/>
          <w:szCs w:val="24"/>
          <w:lang w:eastAsia="en-AU"/>
        </w:rPr>
      </w:pPr>
      <w:r>
        <w:rPr>
          <w:rFonts w:asciiTheme="minorHAnsi" w:hAnsiTheme="minorHAnsi" w:cstheme="minorHAnsi"/>
          <w:color w:val="000000" w:themeColor="text1"/>
          <w:szCs w:val="24"/>
          <w:lang w:eastAsia="en-AU"/>
        </w:rPr>
        <w:t>B</w:t>
      </w:r>
      <w:r w:rsidRPr="007F116C">
        <w:rPr>
          <w:rFonts w:asciiTheme="minorHAnsi" w:hAnsiTheme="minorHAnsi" w:cstheme="minorHAnsi"/>
          <w:color w:val="000000" w:themeColor="text1"/>
          <w:szCs w:val="24"/>
          <w:lang w:eastAsia="en-AU"/>
        </w:rPr>
        <w:t xml:space="preserve">ased </w:t>
      </w:r>
      <w:r w:rsidR="005E15EF" w:rsidRPr="007F116C">
        <w:rPr>
          <w:rFonts w:asciiTheme="minorHAnsi" w:hAnsiTheme="minorHAnsi" w:cstheme="minorHAnsi"/>
          <w:color w:val="000000" w:themeColor="text1"/>
          <w:szCs w:val="24"/>
          <w:lang w:eastAsia="en-AU"/>
        </w:rPr>
        <w:t xml:space="preserve">on </w:t>
      </w:r>
      <w:r>
        <w:rPr>
          <w:rFonts w:asciiTheme="minorHAnsi" w:hAnsiTheme="minorHAnsi" w:cstheme="minorHAnsi"/>
          <w:color w:val="000000" w:themeColor="text1"/>
          <w:szCs w:val="24"/>
          <w:lang w:eastAsia="en-AU"/>
        </w:rPr>
        <w:t xml:space="preserve">price </w:t>
      </w:r>
      <w:r w:rsidR="005E15EF" w:rsidRPr="007F116C">
        <w:rPr>
          <w:rFonts w:asciiTheme="minorHAnsi" w:hAnsiTheme="minorHAnsi" w:cstheme="minorHAnsi"/>
          <w:color w:val="000000" w:themeColor="text1"/>
          <w:szCs w:val="24"/>
          <w:lang w:eastAsia="en-AU"/>
        </w:rPr>
        <w:t>per 20</w:t>
      </w:r>
      <w:r w:rsidR="00270710" w:rsidRPr="007F116C">
        <w:rPr>
          <w:rFonts w:asciiTheme="minorHAnsi" w:hAnsiTheme="minorHAnsi" w:cstheme="minorHAnsi"/>
          <w:color w:val="000000" w:themeColor="text1"/>
          <w:szCs w:val="24"/>
          <w:lang w:eastAsia="en-AU"/>
        </w:rPr>
        <w:t> </w:t>
      </w:r>
      <w:r w:rsidR="005E15EF" w:rsidRPr="007F116C">
        <w:rPr>
          <w:rFonts w:asciiTheme="minorHAnsi" w:hAnsiTheme="minorHAnsi" w:cstheme="minorHAnsi"/>
          <w:color w:val="000000" w:themeColor="text1"/>
          <w:szCs w:val="24"/>
          <w:lang w:eastAsia="en-AU"/>
        </w:rPr>
        <w:t>mg injection ($</w:t>
      </w:r>
      <w:r w:rsidR="00070E7E">
        <w:rPr>
          <w:rFonts w:asciiTheme="minorHAnsi" w:hAnsiTheme="minorHAnsi" w:cstheme="minorHAnsi"/>
          <w:noProof/>
          <w:color w:val="000000"/>
          <w:szCs w:val="24"/>
          <w:highlight w:val="black"/>
          <w:lang w:eastAsia="en-AU"/>
        </w:rPr>
        <w:t>''''''''''''''''''</w:t>
      </w:r>
      <w:r w:rsidR="005E15EF" w:rsidRPr="007F116C">
        <w:rPr>
          <w:rFonts w:asciiTheme="minorHAnsi" w:hAnsiTheme="minorHAnsi" w:cstheme="minorHAnsi"/>
          <w:color w:val="000000" w:themeColor="text1"/>
          <w:szCs w:val="24"/>
          <w:lang w:eastAsia="en-AU"/>
        </w:rPr>
        <w:t>) times number of injections over two years (26</w:t>
      </w:r>
      <w:r w:rsidR="00E87B65" w:rsidRPr="007F116C">
        <w:rPr>
          <w:rFonts w:asciiTheme="minorHAnsi" w:hAnsiTheme="minorHAnsi" w:cstheme="minorHAnsi"/>
          <w:color w:val="000000" w:themeColor="text1"/>
          <w:szCs w:val="24"/>
          <w:lang w:eastAsia="en-AU"/>
        </w:rPr>
        <w:t xml:space="preserve"> injections</w:t>
      </w:r>
      <w:r w:rsidR="005E15EF" w:rsidRPr="007F116C">
        <w:rPr>
          <w:rFonts w:asciiTheme="minorHAnsi" w:hAnsiTheme="minorHAnsi" w:cstheme="minorHAnsi"/>
          <w:color w:val="000000" w:themeColor="text1"/>
          <w:szCs w:val="24"/>
          <w:lang w:eastAsia="en-AU"/>
        </w:rPr>
        <w:t>, assuming maintenance dosing every month as in submission)</w:t>
      </w:r>
      <w:r>
        <w:rPr>
          <w:rFonts w:asciiTheme="minorHAnsi" w:hAnsiTheme="minorHAnsi" w:cstheme="minorHAnsi"/>
          <w:color w:val="000000" w:themeColor="text1"/>
          <w:szCs w:val="24"/>
          <w:lang w:eastAsia="en-AU"/>
        </w:rPr>
        <w:t xml:space="preserve"> the cost was </w:t>
      </w:r>
      <w:r w:rsidRPr="007F116C">
        <w:rPr>
          <w:rFonts w:asciiTheme="minorHAnsi" w:hAnsiTheme="minorHAnsi" w:cstheme="minorHAnsi"/>
          <w:color w:val="000000" w:themeColor="text1"/>
          <w:szCs w:val="24"/>
          <w:lang w:eastAsia="en-AU"/>
        </w:rPr>
        <w:t>$</w:t>
      </w:r>
      <w:r w:rsidR="00070E7E">
        <w:rPr>
          <w:rFonts w:asciiTheme="minorHAnsi" w:hAnsiTheme="minorHAnsi" w:cstheme="minorHAnsi"/>
          <w:noProof/>
          <w:color w:val="000000"/>
          <w:szCs w:val="24"/>
          <w:highlight w:val="black"/>
          <w:lang w:eastAsia="en-AU"/>
        </w:rPr>
        <w:t>''''''''''''''''''''</w:t>
      </w:r>
      <w:r w:rsidR="005E15EF" w:rsidRPr="007F116C">
        <w:rPr>
          <w:rFonts w:asciiTheme="minorHAnsi" w:hAnsiTheme="minorHAnsi" w:cstheme="minorHAnsi"/>
          <w:color w:val="000000" w:themeColor="text1"/>
          <w:szCs w:val="24"/>
          <w:lang w:eastAsia="en-AU"/>
        </w:rPr>
        <w:t xml:space="preserve">. </w:t>
      </w:r>
    </w:p>
    <w:p w:rsidR="005E15EF" w:rsidRPr="007F116C" w:rsidRDefault="007F116C" w:rsidP="005E15EF">
      <w:pPr>
        <w:pStyle w:val="ListParagraph"/>
        <w:widowControl/>
        <w:numPr>
          <w:ilvl w:val="1"/>
          <w:numId w:val="2"/>
        </w:numPr>
        <w:spacing w:after="120"/>
        <w:rPr>
          <w:rFonts w:asciiTheme="minorHAnsi" w:hAnsiTheme="minorHAnsi" w:cstheme="minorHAnsi"/>
          <w:color w:val="000000" w:themeColor="text1"/>
          <w:szCs w:val="24"/>
          <w:lang w:eastAsia="en-AU"/>
        </w:rPr>
      </w:pPr>
      <w:r>
        <w:t>The</w:t>
      </w:r>
      <w:r w:rsidRPr="007F116C">
        <w:t xml:space="preserve"> </w:t>
      </w:r>
      <w:r w:rsidR="005E15EF" w:rsidRPr="007F116C">
        <w:t>calculations of ofatumumab and fingolimod (reference comparator) costs based on inputs and assumptions from the relevant trial data, cost minimisation analysis and financial estimates</w:t>
      </w:r>
      <w:r>
        <w:t xml:space="preserve"> are presented in </w:t>
      </w:r>
      <w:r w:rsidRPr="007F116C">
        <w:rPr>
          <w:rStyle w:val="CommentReference"/>
          <w:rFonts w:ascii="Calibri" w:hAnsi="Calibri"/>
          <w:b w:val="0"/>
          <w:sz w:val="24"/>
          <w:szCs w:val="22"/>
        </w:rPr>
        <w:t>Table 13</w:t>
      </w:r>
      <w:r w:rsidR="005E15EF" w:rsidRPr="007F116C">
        <w:t xml:space="preserve">. </w:t>
      </w:r>
      <w:r w:rsidR="00E87B65" w:rsidRPr="007F116C">
        <w:t xml:space="preserve">The difference between cost/patient/year </w:t>
      </w:r>
      <w:r w:rsidR="00A8485C">
        <w:t xml:space="preserve">for </w:t>
      </w:r>
      <w:r w:rsidR="00E87B65" w:rsidRPr="007F116C">
        <w:t xml:space="preserve">ofatumumab and fingolimod was due to differences in MBS item costs for first dose administration and monitoring. </w:t>
      </w:r>
    </w:p>
    <w:p w:rsidR="005E15EF" w:rsidRPr="007F116C" w:rsidRDefault="005E15EF" w:rsidP="005E15EF">
      <w:pPr>
        <w:keepNext/>
        <w:widowControl/>
        <w:rPr>
          <w:rStyle w:val="CommentReference"/>
        </w:rPr>
      </w:pPr>
      <w:bookmarkStart w:id="33" w:name="_Ref61005216"/>
      <w:r w:rsidRPr="007F116C">
        <w:rPr>
          <w:rStyle w:val="CommentReference"/>
        </w:rPr>
        <w:t xml:space="preserve">Table </w:t>
      </w:r>
      <w:r w:rsidR="00522713" w:rsidRPr="007F116C">
        <w:rPr>
          <w:rStyle w:val="CommentReference"/>
        </w:rPr>
        <w:t>13</w:t>
      </w:r>
      <w:bookmarkEnd w:id="33"/>
      <w:r w:rsidRPr="007F116C">
        <w:rPr>
          <w:rStyle w:val="CommentReference"/>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5E15EF" w:rsidRPr="007F116C" w:rsidTr="005E15EF">
        <w:trPr>
          <w:jc w:val="center"/>
        </w:trPr>
        <w:tc>
          <w:tcPr>
            <w:tcW w:w="815" w:type="pct"/>
            <w:shd w:val="clear" w:color="auto" w:fill="auto"/>
            <w:vAlign w:val="center"/>
          </w:tcPr>
          <w:p w:rsidR="005E15EF" w:rsidRPr="007F116C" w:rsidRDefault="005E15EF" w:rsidP="005E15EF">
            <w:pPr>
              <w:keepNext/>
              <w:widowControl/>
              <w:jc w:val="left"/>
              <w:rPr>
                <w:rFonts w:ascii="Arial Narrow" w:hAnsi="Arial Narrow"/>
                <w:b/>
                <w:sz w:val="20"/>
              </w:rPr>
            </w:pPr>
          </w:p>
        </w:tc>
        <w:tc>
          <w:tcPr>
            <w:tcW w:w="697" w:type="pct"/>
            <w:shd w:val="clear" w:color="auto" w:fill="auto"/>
            <w:vAlign w:val="center"/>
          </w:tcPr>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Ofatumumab</w:t>
            </w:r>
          </w:p>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Trial dose and duration</w:t>
            </w:r>
          </w:p>
        </w:tc>
        <w:tc>
          <w:tcPr>
            <w:tcW w:w="696" w:type="pct"/>
            <w:shd w:val="clear" w:color="auto" w:fill="auto"/>
            <w:vAlign w:val="center"/>
          </w:tcPr>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Ofatumumab</w:t>
            </w:r>
          </w:p>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CMA</w:t>
            </w:r>
          </w:p>
        </w:tc>
        <w:tc>
          <w:tcPr>
            <w:tcW w:w="698" w:type="pct"/>
            <w:shd w:val="clear" w:color="auto" w:fill="auto"/>
            <w:vAlign w:val="center"/>
          </w:tcPr>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Ofatumumab</w:t>
            </w:r>
          </w:p>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Financial estimates</w:t>
            </w:r>
          </w:p>
        </w:tc>
        <w:tc>
          <w:tcPr>
            <w:tcW w:w="696" w:type="pct"/>
            <w:shd w:val="clear" w:color="auto" w:fill="auto"/>
            <w:vAlign w:val="center"/>
          </w:tcPr>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Fingolimod*</w:t>
            </w:r>
          </w:p>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Trial dose and duration</w:t>
            </w:r>
          </w:p>
        </w:tc>
        <w:tc>
          <w:tcPr>
            <w:tcW w:w="699" w:type="pct"/>
            <w:shd w:val="clear" w:color="auto" w:fill="auto"/>
            <w:vAlign w:val="center"/>
          </w:tcPr>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Fingolimod</w:t>
            </w:r>
          </w:p>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CMA</w:t>
            </w:r>
          </w:p>
        </w:tc>
        <w:tc>
          <w:tcPr>
            <w:tcW w:w="699" w:type="pct"/>
          </w:tcPr>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Fingolimod</w:t>
            </w:r>
          </w:p>
          <w:p w:rsidR="005E15EF" w:rsidRPr="007F116C" w:rsidRDefault="005E15EF" w:rsidP="005E15EF">
            <w:pPr>
              <w:keepNext/>
              <w:widowControl/>
              <w:jc w:val="center"/>
              <w:rPr>
                <w:rFonts w:ascii="Arial Narrow" w:hAnsi="Arial Narrow"/>
                <w:b/>
                <w:sz w:val="20"/>
              </w:rPr>
            </w:pPr>
            <w:r w:rsidRPr="007F116C">
              <w:rPr>
                <w:rFonts w:ascii="Arial Narrow" w:hAnsi="Arial Narrow"/>
                <w:b/>
                <w:sz w:val="20"/>
              </w:rPr>
              <w:t>Financial estimates</w:t>
            </w:r>
          </w:p>
        </w:tc>
      </w:tr>
      <w:tr w:rsidR="005E15EF" w:rsidRPr="007F116C" w:rsidTr="005E15EF">
        <w:trPr>
          <w:jc w:val="center"/>
        </w:trPr>
        <w:tc>
          <w:tcPr>
            <w:tcW w:w="815" w:type="pct"/>
            <w:shd w:val="clear" w:color="auto" w:fill="auto"/>
            <w:vAlign w:val="center"/>
          </w:tcPr>
          <w:p w:rsidR="005E15EF" w:rsidRPr="007F116C" w:rsidRDefault="005E15EF" w:rsidP="005E15EF">
            <w:pPr>
              <w:keepNext/>
              <w:widowControl/>
              <w:jc w:val="left"/>
              <w:rPr>
                <w:rFonts w:ascii="Arial Narrow" w:hAnsi="Arial Narrow"/>
                <w:sz w:val="20"/>
              </w:rPr>
            </w:pPr>
            <w:r w:rsidRPr="007F116C">
              <w:rPr>
                <w:rFonts w:ascii="Arial Narrow" w:hAnsi="Arial Narrow"/>
                <w:sz w:val="20"/>
              </w:rPr>
              <w:t>Mean dose</w:t>
            </w:r>
          </w:p>
        </w:tc>
        <w:tc>
          <w:tcPr>
            <w:tcW w:w="697" w:type="pct"/>
            <w:shd w:val="clear" w:color="auto" w:fill="auto"/>
            <w:vAlign w:val="center"/>
          </w:tcPr>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20mg doses on weeks 0,1,2  and 4  and every 4 weeks thereafter*</w:t>
            </w:r>
          </w:p>
        </w:tc>
        <w:tc>
          <w:tcPr>
            <w:tcW w:w="1394" w:type="pct"/>
            <w:gridSpan w:val="2"/>
            <w:shd w:val="clear" w:color="auto" w:fill="auto"/>
            <w:vAlign w:val="center"/>
          </w:tcPr>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20mg doses on weeks 0,1,2  and 4  and 20mg monthly thereafter</w:t>
            </w:r>
          </w:p>
        </w:tc>
        <w:tc>
          <w:tcPr>
            <w:tcW w:w="696" w:type="pct"/>
            <w:shd w:val="clear" w:color="auto" w:fill="auto"/>
            <w:vAlign w:val="center"/>
          </w:tcPr>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0.5mg daily</w:t>
            </w:r>
          </w:p>
        </w:tc>
        <w:tc>
          <w:tcPr>
            <w:tcW w:w="699" w:type="pct"/>
            <w:shd w:val="clear" w:color="auto" w:fill="auto"/>
            <w:vAlign w:val="center"/>
          </w:tcPr>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0.5mg daily</w:t>
            </w:r>
          </w:p>
        </w:tc>
        <w:tc>
          <w:tcPr>
            <w:tcW w:w="699" w:type="pct"/>
          </w:tcPr>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0.5mg daily</w:t>
            </w:r>
          </w:p>
        </w:tc>
      </w:tr>
      <w:tr w:rsidR="005E15EF" w:rsidRPr="007F116C" w:rsidTr="005E15EF">
        <w:trPr>
          <w:jc w:val="center"/>
        </w:trPr>
        <w:tc>
          <w:tcPr>
            <w:tcW w:w="815" w:type="pct"/>
            <w:shd w:val="clear" w:color="auto" w:fill="auto"/>
            <w:vAlign w:val="center"/>
          </w:tcPr>
          <w:p w:rsidR="005E15EF" w:rsidRPr="007F116C" w:rsidRDefault="005E15EF" w:rsidP="005E15EF">
            <w:pPr>
              <w:keepNext/>
              <w:widowControl/>
              <w:jc w:val="left"/>
              <w:rPr>
                <w:rFonts w:ascii="Arial Narrow" w:hAnsi="Arial Narrow"/>
                <w:sz w:val="20"/>
              </w:rPr>
            </w:pPr>
            <w:r w:rsidRPr="007F116C">
              <w:rPr>
                <w:rFonts w:ascii="Arial Narrow" w:hAnsi="Arial Narrow"/>
                <w:sz w:val="20"/>
              </w:rPr>
              <w:t xml:space="preserve">Number of injections /packs over  2 years </w:t>
            </w:r>
          </w:p>
        </w:tc>
        <w:tc>
          <w:tcPr>
            <w:tcW w:w="697" w:type="pct"/>
            <w:shd w:val="clear" w:color="auto" w:fill="auto"/>
            <w:vAlign w:val="center"/>
          </w:tcPr>
          <w:p w:rsidR="005E15EF" w:rsidRPr="007F116C" w:rsidRDefault="005E15EF" w:rsidP="005E15EF">
            <w:pPr>
              <w:keepNext/>
              <w:widowControl/>
              <w:jc w:val="center"/>
              <w:rPr>
                <w:rFonts w:ascii="Arial Narrow" w:hAnsi="Arial Narrow"/>
                <w:bCs/>
                <w:iCs/>
                <w:sz w:val="20"/>
              </w:rPr>
            </w:pPr>
            <w:r w:rsidRPr="007F116C">
              <w:rPr>
                <w:rFonts w:ascii="Arial Narrow" w:hAnsi="Arial Narrow"/>
                <w:bCs/>
                <w:iCs/>
                <w:sz w:val="20"/>
              </w:rPr>
              <w:t>28 injections:</w:t>
            </w:r>
          </w:p>
          <w:p w:rsidR="005E15EF" w:rsidRPr="007F116C" w:rsidRDefault="005E15EF" w:rsidP="005E15EF">
            <w:pPr>
              <w:keepNext/>
              <w:widowControl/>
              <w:jc w:val="center"/>
              <w:rPr>
                <w:rFonts w:ascii="Arial Narrow" w:hAnsi="Arial Narrow"/>
                <w:bCs/>
                <w:iCs/>
                <w:sz w:val="20"/>
              </w:rPr>
            </w:pPr>
            <w:r w:rsidRPr="007F116C">
              <w:rPr>
                <w:rFonts w:ascii="Arial Narrow" w:hAnsi="Arial Narrow"/>
                <w:bCs/>
                <w:iCs/>
                <w:sz w:val="20"/>
              </w:rPr>
              <w:t>15 in year 1</w:t>
            </w:r>
          </w:p>
          <w:p w:rsidR="005E15EF" w:rsidRPr="007F116C" w:rsidRDefault="005E15EF" w:rsidP="005E15EF">
            <w:pPr>
              <w:keepNext/>
              <w:widowControl/>
              <w:jc w:val="center"/>
              <w:rPr>
                <w:rFonts w:ascii="Arial Narrow" w:hAnsi="Arial Narrow"/>
                <w:bCs/>
                <w:iCs/>
                <w:sz w:val="20"/>
              </w:rPr>
            </w:pPr>
            <w:r w:rsidRPr="007F116C">
              <w:rPr>
                <w:rFonts w:ascii="Arial Narrow" w:hAnsi="Arial Narrow"/>
                <w:bCs/>
                <w:iCs/>
                <w:sz w:val="20"/>
              </w:rPr>
              <w:t>13 in year 2</w:t>
            </w:r>
          </w:p>
        </w:tc>
        <w:tc>
          <w:tcPr>
            <w:tcW w:w="1394" w:type="pct"/>
            <w:gridSpan w:val="2"/>
            <w:shd w:val="clear" w:color="auto" w:fill="auto"/>
            <w:vAlign w:val="center"/>
          </w:tcPr>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26 injections:</w:t>
            </w:r>
          </w:p>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14 in year 1</w:t>
            </w:r>
          </w:p>
          <w:p w:rsidR="005E15EF" w:rsidRPr="007F116C" w:rsidRDefault="005E15EF" w:rsidP="005E15EF">
            <w:pPr>
              <w:keepNext/>
              <w:widowControl/>
              <w:jc w:val="center"/>
              <w:rPr>
                <w:rFonts w:ascii="Arial Narrow" w:hAnsi="Arial Narrow"/>
                <w:b/>
                <w:sz w:val="20"/>
              </w:rPr>
            </w:pPr>
            <w:r w:rsidRPr="007F116C">
              <w:rPr>
                <w:rFonts w:ascii="Arial Narrow" w:hAnsi="Arial Narrow"/>
                <w:bCs/>
                <w:sz w:val="20"/>
              </w:rPr>
              <w:t>12 in year 2</w:t>
            </w:r>
          </w:p>
        </w:tc>
        <w:tc>
          <w:tcPr>
            <w:tcW w:w="2094" w:type="pct"/>
            <w:gridSpan w:val="3"/>
            <w:shd w:val="clear" w:color="auto" w:fill="auto"/>
            <w:vAlign w:val="center"/>
          </w:tcPr>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13.04 packs per year. 26.08 over 2 years</w:t>
            </w:r>
          </w:p>
        </w:tc>
      </w:tr>
      <w:tr w:rsidR="005E15EF" w:rsidRPr="007F116C" w:rsidTr="005E15EF">
        <w:trPr>
          <w:jc w:val="center"/>
        </w:trPr>
        <w:tc>
          <w:tcPr>
            <w:tcW w:w="815" w:type="pct"/>
            <w:shd w:val="clear" w:color="auto" w:fill="auto"/>
            <w:vAlign w:val="center"/>
          </w:tcPr>
          <w:p w:rsidR="005E15EF" w:rsidRPr="007F116C" w:rsidRDefault="005E15EF" w:rsidP="005E15EF">
            <w:pPr>
              <w:keepNext/>
              <w:widowControl/>
              <w:jc w:val="left"/>
              <w:rPr>
                <w:rFonts w:ascii="Arial Narrow" w:hAnsi="Arial Narrow"/>
                <w:sz w:val="20"/>
              </w:rPr>
            </w:pPr>
            <w:r w:rsidRPr="007F116C">
              <w:rPr>
                <w:rFonts w:ascii="Arial Narrow" w:hAnsi="Arial Narrow"/>
                <w:sz w:val="20"/>
              </w:rPr>
              <w:t>Cost/ injection or tablet</w:t>
            </w:r>
          </w:p>
        </w:tc>
        <w:tc>
          <w:tcPr>
            <w:tcW w:w="2091" w:type="pct"/>
            <w:gridSpan w:val="3"/>
            <w:shd w:val="clear" w:color="auto" w:fill="auto"/>
            <w:vAlign w:val="center"/>
          </w:tcPr>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w:t>
            </w:r>
            <w:r w:rsidR="00070E7E">
              <w:rPr>
                <w:rFonts w:ascii="Arial Narrow" w:hAnsi="Arial Narrow"/>
                <w:bCs/>
                <w:noProof/>
                <w:color w:val="000000"/>
                <w:sz w:val="20"/>
                <w:highlight w:val="black"/>
              </w:rPr>
              <w:t>'''''''''''''''''''''''</w:t>
            </w:r>
          </w:p>
        </w:tc>
        <w:tc>
          <w:tcPr>
            <w:tcW w:w="2094" w:type="pct"/>
            <w:gridSpan w:val="3"/>
            <w:shd w:val="clear" w:color="auto" w:fill="auto"/>
            <w:vAlign w:val="center"/>
          </w:tcPr>
          <w:p w:rsidR="005E15EF" w:rsidRPr="007F116C" w:rsidRDefault="005E15EF" w:rsidP="005E15EF">
            <w:pPr>
              <w:keepNext/>
              <w:widowControl/>
              <w:jc w:val="center"/>
              <w:rPr>
                <w:rFonts w:ascii="Arial Narrow" w:hAnsi="Arial Narrow"/>
                <w:bCs/>
                <w:sz w:val="20"/>
              </w:rPr>
            </w:pPr>
            <w:r w:rsidRPr="007F116C">
              <w:rPr>
                <w:rFonts w:ascii="Arial Narrow" w:hAnsi="Arial Narrow"/>
                <w:bCs/>
                <w:sz w:val="20"/>
              </w:rPr>
              <w:t>$</w:t>
            </w:r>
            <w:r w:rsidR="00070E7E">
              <w:rPr>
                <w:rFonts w:ascii="Arial Narrow" w:hAnsi="Arial Narrow"/>
                <w:bCs/>
                <w:noProof/>
                <w:color w:val="000000"/>
                <w:sz w:val="20"/>
                <w:highlight w:val="black"/>
              </w:rPr>
              <w:t>'''''''''''''''''''''</w:t>
            </w:r>
          </w:p>
        </w:tc>
      </w:tr>
      <w:tr w:rsidR="005E15EF" w:rsidRPr="007F116C" w:rsidTr="005E15EF">
        <w:trPr>
          <w:jc w:val="center"/>
        </w:trPr>
        <w:tc>
          <w:tcPr>
            <w:tcW w:w="815" w:type="pct"/>
            <w:shd w:val="clear" w:color="auto" w:fill="auto"/>
            <w:vAlign w:val="center"/>
          </w:tcPr>
          <w:p w:rsidR="005E15EF" w:rsidRPr="007F116C" w:rsidRDefault="005E15EF" w:rsidP="005E15EF">
            <w:pPr>
              <w:keepNext/>
              <w:widowControl/>
              <w:jc w:val="left"/>
              <w:rPr>
                <w:rFonts w:ascii="Arial Narrow" w:hAnsi="Arial Narrow"/>
                <w:sz w:val="20"/>
              </w:rPr>
            </w:pPr>
            <w:r w:rsidRPr="007F116C">
              <w:rPr>
                <w:rFonts w:ascii="Arial Narrow" w:hAnsi="Arial Narrow"/>
                <w:sz w:val="20"/>
              </w:rPr>
              <w:t>Cost/patient/ year</w:t>
            </w:r>
          </w:p>
        </w:tc>
        <w:tc>
          <w:tcPr>
            <w:tcW w:w="697" w:type="pct"/>
            <w:shd w:val="clear" w:color="auto" w:fill="auto"/>
            <w:vAlign w:val="center"/>
          </w:tcPr>
          <w:p w:rsidR="005E15EF" w:rsidRPr="007F116C" w:rsidRDefault="005E15EF" w:rsidP="005E15EF">
            <w:pPr>
              <w:keepNext/>
              <w:widowControl/>
              <w:jc w:val="center"/>
              <w:rPr>
                <w:rFonts w:ascii="Arial Narrow" w:hAnsi="Arial Narrow"/>
                <w:iCs/>
                <w:sz w:val="20"/>
              </w:rPr>
            </w:pPr>
            <w:r w:rsidRPr="007F116C">
              <w:rPr>
                <w:rFonts w:ascii="Arial Narrow" w:hAnsi="Arial Narrow"/>
                <w:iCs/>
                <w:sz w:val="20"/>
              </w:rPr>
              <w:t>$</w:t>
            </w:r>
            <w:r w:rsidR="00070E7E">
              <w:rPr>
                <w:rFonts w:ascii="Arial Narrow" w:hAnsi="Arial Narrow"/>
                <w:iCs/>
                <w:noProof/>
                <w:color w:val="000000"/>
                <w:sz w:val="20"/>
                <w:highlight w:val="black"/>
              </w:rPr>
              <w:t>''''''''''''''''''''''''</w:t>
            </w:r>
          </w:p>
        </w:tc>
        <w:tc>
          <w:tcPr>
            <w:tcW w:w="1394" w:type="pct"/>
            <w:gridSpan w:val="2"/>
            <w:shd w:val="clear" w:color="auto" w:fill="auto"/>
            <w:vAlign w:val="center"/>
          </w:tcPr>
          <w:p w:rsidR="005E15EF" w:rsidRPr="007F116C" w:rsidRDefault="005E15EF" w:rsidP="005E15EF">
            <w:pPr>
              <w:keepNext/>
              <w:widowControl/>
              <w:jc w:val="center"/>
              <w:rPr>
                <w:rFonts w:ascii="Arial Narrow" w:hAnsi="Arial Narrow"/>
                <w:sz w:val="20"/>
              </w:rPr>
            </w:pPr>
            <w:r w:rsidRPr="007F116C">
              <w:rPr>
                <w:rFonts w:ascii="Arial Narrow" w:hAnsi="Arial Narrow"/>
                <w:sz w:val="20"/>
              </w:rPr>
              <w:t>$</w:t>
            </w:r>
            <w:r w:rsidR="00070E7E">
              <w:rPr>
                <w:rFonts w:ascii="Arial Narrow" w:hAnsi="Arial Narrow"/>
                <w:noProof/>
                <w:color w:val="000000"/>
                <w:sz w:val="20"/>
                <w:highlight w:val="black"/>
              </w:rPr>
              <w:t>''''''''''''''''''''''''</w:t>
            </w:r>
          </w:p>
        </w:tc>
        <w:tc>
          <w:tcPr>
            <w:tcW w:w="2094" w:type="pct"/>
            <w:gridSpan w:val="3"/>
            <w:shd w:val="clear" w:color="auto" w:fill="auto"/>
            <w:vAlign w:val="center"/>
          </w:tcPr>
          <w:p w:rsidR="005E15EF" w:rsidRPr="007F116C" w:rsidRDefault="005E15EF" w:rsidP="005E15EF">
            <w:pPr>
              <w:keepNext/>
              <w:widowControl/>
              <w:jc w:val="center"/>
              <w:rPr>
                <w:rFonts w:ascii="Arial Narrow" w:hAnsi="Arial Narrow"/>
                <w:sz w:val="20"/>
              </w:rPr>
            </w:pPr>
            <w:r w:rsidRPr="007F116C">
              <w:rPr>
                <w:rFonts w:ascii="Arial Narrow" w:hAnsi="Arial Narrow"/>
                <w:sz w:val="20"/>
              </w:rPr>
              <w:t>$</w:t>
            </w:r>
            <w:r w:rsidR="00070E7E">
              <w:rPr>
                <w:rFonts w:ascii="Arial Narrow" w:hAnsi="Arial Narrow"/>
                <w:noProof/>
                <w:color w:val="000000"/>
                <w:sz w:val="20"/>
                <w:highlight w:val="black"/>
              </w:rPr>
              <w:t>'''''''''''''''''''''''</w:t>
            </w:r>
          </w:p>
        </w:tc>
      </w:tr>
    </w:tbl>
    <w:p w:rsidR="005E15EF" w:rsidRPr="007F116C" w:rsidRDefault="005E15EF" w:rsidP="005E15EF">
      <w:pPr>
        <w:pStyle w:val="TableFooter"/>
        <w:widowControl/>
      </w:pPr>
      <w:r w:rsidRPr="007F116C">
        <w:t xml:space="preserve">Source: </w:t>
      </w:r>
      <w:r w:rsidRPr="007F116C">
        <w:rPr>
          <w:rStyle w:val="CommentReference"/>
          <w:b w:val="0"/>
          <w:sz w:val="18"/>
          <w:szCs w:val="22"/>
        </w:rPr>
        <w:t xml:space="preserve">Table 2.25 and Table 2.26, p108 and p110 of the submission; </w:t>
      </w:r>
      <w:r w:rsidRPr="007F116C">
        <w:t>Table 3.3, p279 of the submission; “Att_21_Section 3_Cost-min_OFA.xslx” and “utilisation and financial estimates_ofatumumab_Nov2020.xlsx”</w:t>
      </w:r>
    </w:p>
    <w:p w:rsidR="005E15EF" w:rsidRPr="007F116C" w:rsidRDefault="005E15EF" w:rsidP="005E15EF">
      <w:pPr>
        <w:pStyle w:val="TableFooter"/>
        <w:widowControl/>
      </w:pPr>
      <w:r w:rsidRPr="007F116C">
        <w:t>CMA = cost minimisation analysis; mg = milligram.</w:t>
      </w:r>
    </w:p>
    <w:p w:rsidR="005E15EF" w:rsidRPr="007F116C" w:rsidRDefault="005E15EF" w:rsidP="005E15EF">
      <w:pPr>
        <w:pStyle w:val="TableFooter"/>
        <w:widowControl/>
      </w:pPr>
      <w:r w:rsidRPr="007F116C">
        <w:t xml:space="preserve">*Fingolimod is reference comparator, but not </w:t>
      </w:r>
      <w:r w:rsidR="00E87B65" w:rsidRPr="007F116C">
        <w:t>the only</w:t>
      </w:r>
      <w:r w:rsidRPr="007F116C">
        <w:t xml:space="preserve"> </w:t>
      </w:r>
      <w:r w:rsidR="00E87B65" w:rsidRPr="007F116C">
        <w:t xml:space="preserve">efficacy </w:t>
      </w:r>
      <w:r w:rsidRPr="007F116C">
        <w:t>comparator.</w:t>
      </w:r>
    </w:p>
    <w:p w:rsidR="005E15EF" w:rsidRPr="007F116C" w:rsidRDefault="005E15EF" w:rsidP="005E15EF">
      <w:pPr>
        <w:pStyle w:val="TableFooter"/>
        <w:widowControl/>
      </w:pPr>
    </w:p>
    <w:p w:rsidR="005E15EF" w:rsidRPr="007F116C" w:rsidRDefault="005E15EF" w:rsidP="0020302B">
      <w:pPr>
        <w:pStyle w:val="Heading2"/>
      </w:pPr>
      <w:bookmarkStart w:id="34" w:name="_Toc62048850"/>
      <w:r w:rsidRPr="007F116C">
        <w:t>Estimated PBS usage &amp; financial implications</w:t>
      </w:r>
      <w:bookmarkEnd w:id="34"/>
    </w:p>
    <w:p w:rsidR="005E15EF" w:rsidRPr="007F116C" w:rsidRDefault="005E15EF" w:rsidP="00997403">
      <w:pPr>
        <w:keepNext/>
        <w:keepLines/>
        <w:ind w:left="720" w:hanging="720"/>
        <w:rPr>
          <w:b/>
        </w:rPr>
      </w:pPr>
    </w:p>
    <w:p w:rsidR="005E15EF" w:rsidRPr="007F116C" w:rsidRDefault="005E15EF" w:rsidP="00997403">
      <w:pPr>
        <w:pStyle w:val="ListParagraph"/>
        <w:keepNext/>
        <w:keepLines/>
        <w:widowControl/>
        <w:numPr>
          <w:ilvl w:val="1"/>
          <w:numId w:val="2"/>
        </w:numPr>
        <w:rPr>
          <w:color w:val="000000" w:themeColor="text1"/>
        </w:rPr>
      </w:pPr>
      <w:r w:rsidRPr="007F116C">
        <w:t xml:space="preserve">This submission </w:t>
      </w:r>
      <w:r w:rsidR="0022134C" w:rsidRPr="007F116C">
        <w:t>was not</w:t>
      </w:r>
      <w:r w:rsidRPr="007F116C">
        <w:t xml:space="preserve"> considered by DUSC</w:t>
      </w:r>
      <w:r w:rsidRPr="007F116C">
        <w:rPr>
          <w:color w:val="0070C0"/>
        </w:rPr>
        <w:t xml:space="preserve">. </w:t>
      </w:r>
      <w:r w:rsidRPr="007F116C">
        <w:rPr>
          <w:color w:val="000000" w:themeColor="text1"/>
        </w:rPr>
        <w:t xml:space="preserve">The submission took a market share approach to estimating financial impact. </w:t>
      </w:r>
    </w:p>
    <w:p w:rsidR="00EA0369" w:rsidRPr="007F116C" w:rsidRDefault="00EA0369" w:rsidP="005367A7">
      <w:pPr>
        <w:pStyle w:val="ListParagraph"/>
        <w:widowControl/>
        <w:numPr>
          <w:ilvl w:val="1"/>
          <w:numId w:val="2"/>
        </w:numPr>
      </w:pPr>
      <w:bookmarkStart w:id="35" w:name="_Ref61258850"/>
      <w:bookmarkStart w:id="36" w:name="_Ref61615813"/>
      <w:r w:rsidRPr="007F116C">
        <w:t>The submission assumed that grandfathered patient</w:t>
      </w:r>
      <w:r w:rsidR="008178DC" w:rsidRPr="007F116C">
        <w:t>s</w:t>
      </w:r>
      <w:r w:rsidRPr="007F116C">
        <w:t xml:space="preserve"> would be captured in the market share model</w:t>
      </w:r>
      <w:r w:rsidR="0071404F">
        <w:t>, as ofatumumab was not expected to grow the market and patients in transitioning from a patient familiarisation program were currently treated for RRMS</w:t>
      </w:r>
      <w:r w:rsidRPr="007F116C">
        <w:t>.</w:t>
      </w:r>
      <w:r w:rsidR="0071404F">
        <w:t xml:space="preserve"> </w:t>
      </w:r>
      <w:bookmarkEnd w:id="35"/>
      <w:bookmarkEnd w:id="36"/>
    </w:p>
    <w:p w:rsidR="005E15EF" w:rsidRPr="007F116C" w:rsidRDefault="00522713" w:rsidP="005E15EF">
      <w:pPr>
        <w:pStyle w:val="ListParagraph"/>
        <w:widowControl/>
        <w:numPr>
          <w:ilvl w:val="1"/>
          <w:numId w:val="2"/>
        </w:numPr>
        <w:rPr>
          <w:color w:val="000000" w:themeColor="text1"/>
        </w:rPr>
      </w:pPr>
      <w:r w:rsidRPr="007F116C">
        <w:rPr>
          <w:snapToGrid/>
        </w:rPr>
        <w:t>Table 14</w:t>
      </w:r>
      <w:r w:rsidR="005E15EF" w:rsidRPr="007F116C">
        <w:rPr>
          <w:snapToGrid/>
        </w:rPr>
        <w:t xml:space="preserve"> presents</w:t>
      </w:r>
      <w:r w:rsidR="005E15EF" w:rsidRPr="007F116C">
        <w:t xml:space="preserve"> key dat</w:t>
      </w:r>
      <w:r w:rsidR="005E15EF" w:rsidRPr="007F116C">
        <w:rPr>
          <w:color w:val="000000" w:themeColor="text1"/>
        </w:rPr>
        <w:t>a sources and parameter values for the financial estimates.</w:t>
      </w:r>
    </w:p>
    <w:p w:rsidR="005E15EF" w:rsidRPr="007F116C" w:rsidRDefault="005E15EF" w:rsidP="00E87B65">
      <w:pPr>
        <w:keepNext/>
        <w:keepLines/>
        <w:rPr>
          <w:rStyle w:val="CommentReference"/>
        </w:rPr>
      </w:pPr>
      <w:bookmarkStart w:id="37" w:name="_Ref61005510"/>
      <w:r w:rsidRPr="007F116C">
        <w:rPr>
          <w:rStyle w:val="CommentReference"/>
        </w:rPr>
        <w:t xml:space="preserve">Table </w:t>
      </w:r>
      <w:r w:rsidR="00522713" w:rsidRPr="007F116C">
        <w:rPr>
          <w:rStyle w:val="CommentReference"/>
        </w:rPr>
        <w:t>14</w:t>
      </w:r>
      <w:bookmarkEnd w:id="37"/>
      <w:r w:rsidRPr="007F116C">
        <w:rPr>
          <w:rStyle w:val="CommentReference"/>
        </w:rPr>
        <w:t>: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829"/>
        <w:gridCol w:w="2917"/>
        <w:gridCol w:w="2333"/>
      </w:tblGrid>
      <w:tr w:rsidR="00722C25" w:rsidRPr="007F116C" w:rsidTr="00997403">
        <w:trPr>
          <w:tblHeader/>
        </w:trPr>
        <w:tc>
          <w:tcPr>
            <w:tcW w:w="1078" w:type="pct"/>
            <w:vAlign w:val="center"/>
          </w:tcPr>
          <w:p w:rsidR="005E15EF" w:rsidRPr="007F116C" w:rsidRDefault="005E15EF" w:rsidP="00E87B65">
            <w:pPr>
              <w:pStyle w:val="Tabletext"/>
              <w:keepNext/>
              <w:keepLines/>
              <w:rPr>
                <w:b/>
              </w:rPr>
            </w:pPr>
            <w:r w:rsidRPr="007F116C">
              <w:rPr>
                <w:b/>
              </w:rPr>
              <w:t>Data</w:t>
            </w:r>
          </w:p>
        </w:tc>
        <w:tc>
          <w:tcPr>
            <w:tcW w:w="1004" w:type="pct"/>
            <w:vAlign w:val="center"/>
          </w:tcPr>
          <w:p w:rsidR="005E15EF" w:rsidRPr="007F116C" w:rsidRDefault="005E15EF" w:rsidP="00E87B65">
            <w:pPr>
              <w:pStyle w:val="Tabletext"/>
              <w:keepNext/>
              <w:keepLines/>
              <w:jc w:val="center"/>
              <w:rPr>
                <w:b/>
              </w:rPr>
            </w:pPr>
            <w:r w:rsidRPr="007F116C">
              <w:rPr>
                <w:b/>
              </w:rPr>
              <w:t>Value</w:t>
            </w:r>
          </w:p>
        </w:tc>
        <w:tc>
          <w:tcPr>
            <w:tcW w:w="1621" w:type="pct"/>
            <w:vAlign w:val="center"/>
          </w:tcPr>
          <w:p w:rsidR="005E15EF" w:rsidRPr="007F116C" w:rsidRDefault="005E15EF" w:rsidP="00E87B65">
            <w:pPr>
              <w:pStyle w:val="Tabletext"/>
              <w:keepNext/>
              <w:keepLines/>
              <w:jc w:val="center"/>
              <w:rPr>
                <w:b/>
              </w:rPr>
            </w:pPr>
            <w:r w:rsidRPr="007F116C">
              <w:rPr>
                <w:b/>
              </w:rPr>
              <w:t>Source</w:t>
            </w:r>
          </w:p>
        </w:tc>
        <w:tc>
          <w:tcPr>
            <w:tcW w:w="1297" w:type="pct"/>
            <w:vAlign w:val="center"/>
          </w:tcPr>
          <w:p w:rsidR="005E15EF" w:rsidRPr="007F116C" w:rsidRDefault="005E15EF" w:rsidP="00E87B65">
            <w:pPr>
              <w:pStyle w:val="Tabletext"/>
              <w:keepNext/>
              <w:keepLines/>
              <w:jc w:val="center"/>
              <w:rPr>
                <w:b/>
              </w:rPr>
            </w:pPr>
            <w:r w:rsidRPr="007F116C">
              <w:rPr>
                <w:b/>
              </w:rPr>
              <w:t>Comment</w:t>
            </w:r>
          </w:p>
        </w:tc>
      </w:tr>
      <w:tr w:rsidR="005E15EF" w:rsidRPr="007F116C" w:rsidTr="00997403">
        <w:tc>
          <w:tcPr>
            <w:tcW w:w="5000" w:type="pct"/>
            <w:gridSpan w:val="4"/>
            <w:vAlign w:val="center"/>
          </w:tcPr>
          <w:p w:rsidR="005E15EF" w:rsidRPr="007F116C" w:rsidRDefault="005E15EF" w:rsidP="00E87B65">
            <w:pPr>
              <w:pStyle w:val="Tabletext"/>
              <w:keepNext/>
              <w:keepLines/>
              <w:rPr>
                <w:b/>
              </w:rPr>
            </w:pPr>
            <w:r w:rsidRPr="007F116C">
              <w:rPr>
                <w:b/>
              </w:rPr>
              <w:t>Treatment utilisation</w:t>
            </w:r>
          </w:p>
        </w:tc>
      </w:tr>
      <w:tr w:rsidR="00722C25" w:rsidRPr="007F116C" w:rsidTr="00997403">
        <w:tc>
          <w:tcPr>
            <w:tcW w:w="1078" w:type="pct"/>
            <w:vAlign w:val="center"/>
          </w:tcPr>
          <w:p w:rsidR="005E15EF" w:rsidRPr="007F116C" w:rsidRDefault="005E15EF" w:rsidP="00E87B65">
            <w:pPr>
              <w:pStyle w:val="Tabletext"/>
              <w:keepNext/>
              <w:keepLines/>
            </w:pPr>
            <w:r w:rsidRPr="007F116C">
              <w:t>Ofatumumab uptake rate</w:t>
            </w:r>
          </w:p>
        </w:tc>
        <w:tc>
          <w:tcPr>
            <w:tcW w:w="1004" w:type="pct"/>
            <w:vAlign w:val="center"/>
          </w:tcPr>
          <w:p w:rsidR="005E15EF" w:rsidRPr="007F116C" w:rsidRDefault="005E15EF" w:rsidP="00E87B65">
            <w:pPr>
              <w:pStyle w:val="Tabletext"/>
              <w:keepNext/>
              <w:keepLines/>
            </w:pPr>
            <w:r w:rsidRPr="007F116C">
              <w:t>Yr  1: 6%</w:t>
            </w:r>
          </w:p>
          <w:p w:rsidR="005E15EF" w:rsidRPr="007F116C" w:rsidRDefault="005E15EF" w:rsidP="00E87B65">
            <w:pPr>
              <w:pStyle w:val="Tabletext"/>
              <w:keepNext/>
              <w:keepLines/>
            </w:pPr>
            <w:r w:rsidRPr="007F116C">
              <w:t>Yr 2: 10%</w:t>
            </w:r>
          </w:p>
          <w:p w:rsidR="005E15EF" w:rsidRPr="007F116C" w:rsidRDefault="005E15EF" w:rsidP="00E87B65">
            <w:pPr>
              <w:pStyle w:val="Tabletext"/>
              <w:keepNext/>
              <w:keepLines/>
            </w:pPr>
            <w:r w:rsidRPr="007F116C">
              <w:t>Yr 3: 15%</w:t>
            </w:r>
          </w:p>
          <w:p w:rsidR="005E15EF" w:rsidRPr="007F116C" w:rsidRDefault="005E15EF" w:rsidP="00E87B65">
            <w:pPr>
              <w:pStyle w:val="Tabletext"/>
              <w:keepNext/>
              <w:keepLines/>
            </w:pPr>
            <w:r w:rsidRPr="007F116C">
              <w:t>Yr 4: 20%</w:t>
            </w:r>
          </w:p>
          <w:p w:rsidR="005E15EF" w:rsidRPr="007F116C" w:rsidRDefault="005E15EF" w:rsidP="00E87B65">
            <w:pPr>
              <w:pStyle w:val="Tabletext"/>
              <w:keepNext/>
              <w:keepLines/>
            </w:pPr>
            <w:r w:rsidRPr="007F116C">
              <w:t>Yr 5: 20%</w:t>
            </w:r>
          </w:p>
          <w:p w:rsidR="005E15EF" w:rsidRPr="007F116C" w:rsidRDefault="005E15EF" w:rsidP="00E87B65">
            <w:pPr>
              <w:pStyle w:val="Tabletext"/>
              <w:keepNext/>
              <w:keepLines/>
            </w:pPr>
            <w:r w:rsidRPr="007F116C">
              <w:t>Yr 6: 25%</w:t>
            </w:r>
          </w:p>
        </w:tc>
        <w:tc>
          <w:tcPr>
            <w:tcW w:w="1621" w:type="pct"/>
            <w:vAlign w:val="center"/>
          </w:tcPr>
          <w:p w:rsidR="005E15EF" w:rsidRPr="007F116C" w:rsidRDefault="005E15EF" w:rsidP="00E87B65">
            <w:pPr>
              <w:pStyle w:val="Tabletext"/>
              <w:keepNext/>
              <w:keepLines/>
            </w:pPr>
            <w:r w:rsidRPr="007F116C">
              <w:t>Set to half of ocrelizumab uptake in first two years, following increasing trend up to 25%</w:t>
            </w:r>
          </w:p>
        </w:tc>
        <w:tc>
          <w:tcPr>
            <w:tcW w:w="1297" w:type="pct"/>
            <w:vMerge w:val="restart"/>
            <w:vAlign w:val="center"/>
          </w:tcPr>
          <w:p w:rsidR="005E15EF" w:rsidRPr="007F116C" w:rsidRDefault="005E15EF" w:rsidP="00E87B65">
            <w:pPr>
              <w:pStyle w:val="Tabletext"/>
              <w:keepNext/>
              <w:keepLines/>
              <w:rPr>
                <w:iCs/>
              </w:rPr>
            </w:pPr>
            <w:r w:rsidRPr="007F116C">
              <w:rPr>
                <w:iCs/>
              </w:rPr>
              <w:t xml:space="preserve">Source of uncertainty, tested and reasonably explained in submission sensitivity analysis. </w:t>
            </w:r>
          </w:p>
        </w:tc>
      </w:tr>
      <w:tr w:rsidR="00722C25" w:rsidRPr="007F116C" w:rsidTr="00997403">
        <w:tc>
          <w:tcPr>
            <w:tcW w:w="1078" w:type="pct"/>
            <w:vAlign w:val="center"/>
          </w:tcPr>
          <w:p w:rsidR="005E15EF" w:rsidRPr="007F116C" w:rsidRDefault="005E15EF" w:rsidP="00E87B65">
            <w:pPr>
              <w:pStyle w:val="Tabletext"/>
              <w:keepNext/>
              <w:keepLines/>
            </w:pPr>
            <w:r w:rsidRPr="007F116C">
              <w:t>Switch from cladribine/ alemtuzumab</w:t>
            </w:r>
          </w:p>
        </w:tc>
        <w:tc>
          <w:tcPr>
            <w:tcW w:w="1004" w:type="pct"/>
            <w:vAlign w:val="center"/>
          </w:tcPr>
          <w:p w:rsidR="005E15EF" w:rsidRPr="007F116C" w:rsidRDefault="005E15EF" w:rsidP="00E87B65">
            <w:pPr>
              <w:pStyle w:val="Tabletext"/>
              <w:keepNext/>
              <w:keepLines/>
            </w:pPr>
            <w:r w:rsidRPr="007F116C">
              <w:t>Yr 1: 3%</w:t>
            </w:r>
          </w:p>
          <w:p w:rsidR="005E15EF" w:rsidRPr="007F116C" w:rsidRDefault="005E15EF" w:rsidP="00E87B65">
            <w:pPr>
              <w:pStyle w:val="Tabletext"/>
              <w:keepNext/>
              <w:keepLines/>
            </w:pPr>
            <w:r w:rsidRPr="007F116C">
              <w:t>Yr 2: 6%</w:t>
            </w:r>
          </w:p>
          <w:p w:rsidR="005E15EF" w:rsidRPr="007F116C" w:rsidRDefault="005E15EF" w:rsidP="00E87B65">
            <w:pPr>
              <w:pStyle w:val="Tabletext"/>
              <w:keepNext/>
              <w:keepLines/>
            </w:pPr>
            <w:r w:rsidRPr="007F116C">
              <w:t>Yr 3: 10%</w:t>
            </w:r>
          </w:p>
          <w:p w:rsidR="005E15EF" w:rsidRPr="007F116C" w:rsidRDefault="005E15EF" w:rsidP="00E87B65">
            <w:pPr>
              <w:pStyle w:val="Tabletext"/>
              <w:keepNext/>
              <w:keepLines/>
            </w:pPr>
            <w:r w:rsidRPr="007F116C">
              <w:t>Yr 4: 15%</w:t>
            </w:r>
          </w:p>
          <w:p w:rsidR="005E15EF" w:rsidRPr="007F116C" w:rsidRDefault="005E15EF" w:rsidP="00E87B65">
            <w:pPr>
              <w:pStyle w:val="Tabletext"/>
              <w:keepNext/>
              <w:keepLines/>
            </w:pPr>
            <w:r w:rsidRPr="007F116C">
              <w:t>Yr 5: 20%</w:t>
            </w:r>
          </w:p>
          <w:p w:rsidR="005E15EF" w:rsidRPr="007F116C" w:rsidRDefault="005E15EF" w:rsidP="00E87B65">
            <w:pPr>
              <w:pStyle w:val="Tabletext"/>
              <w:keepNext/>
              <w:keepLines/>
            </w:pPr>
            <w:r w:rsidRPr="007F116C">
              <w:t>Yr 6: 22%</w:t>
            </w:r>
          </w:p>
        </w:tc>
        <w:tc>
          <w:tcPr>
            <w:tcW w:w="1621" w:type="pct"/>
            <w:vAlign w:val="center"/>
          </w:tcPr>
          <w:p w:rsidR="005E15EF" w:rsidRPr="007F116C" w:rsidRDefault="005E15EF" w:rsidP="00E87B65">
            <w:pPr>
              <w:pStyle w:val="Tabletext"/>
              <w:keepNext/>
              <w:keepLines/>
            </w:pPr>
            <w:r w:rsidRPr="007F116C">
              <w:t xml:space="preserve">Assumed based on lower switching due to long term dosing regimen of these comparators. </w:t>
            </w:r>
          </w:p>
        </w:tc>
        <w:tc>
          <w:tcPr>
            <w:tcW w:w="1297" w:type="pct"/>
            <w:vMerge/>
            <w:vAlign w:val="center"/>
          </w:tcPr>
          <w:p w:rsidR="005E15EF" w:rsidRPr="007F116C" w:rsidRDefault="005E15EF" w:rsidP="00E87B65">
            <w:pPr>
              <w:pStyle w:val="Tabletext"/>
              <w:keepNext/>
              <w:keepLines/>
            </w:pPr>
          </w:p>
        </w:tc>
      </w:tr>
      <w:tr w:rsidR="00722C25" w:rsidRPr="007F116C" w:rsidTr="00997403">
        <w:tc>
          <w:tcPr>
            <w:tcW w:w="1078" w:type="pct"/>
            <w:vAlign w:val="center"/>
          </w:tcPr>
          <w:p w:rsidR="005E15EF" w:rsidRPr="007F116C" w:rsidRDefault="005E15EF" w:rsidP="00E87B65">
            <w:pPr>
              <w:pStyle w:val="Tabletext"/>
              <w:keepNext/>
              <w:keepLines/>
            </w:pPr>
            <w:r w:rsidRPr="007F116C">
              <w:t>Scripts per year</w:t>
            </w:r>
          </w:p>
        </w:tc>
        <w:tc>
          <w:tcPr>
            <w:tcW w:w="1004" w:type="pct"/>
            <w:vAlign w:val="center"/>
          </w:tcPr>
          <w:p w:rsidR="005E15EF" w:rsidRPr="007F116C" w:rsidRDefault="005E15EF" w:rsidP="00E87B65">
            <w:pPr>
              <w:pStyle w:val="Tabletext"/>
              <w:keepNext/>
              <w:keepLines/>
            </w:pPr>
            <w:r w:rsidRPr="007F116C">
              <w:t>11.59</w:t>
            </w:r>
          </w:p>
        </w:tc>
        <w:tc>
          <w:tcPr>
            <w:tcW w:w="1621" w:type="pct"/>
            <w:vAlign w:val="center"/>
          </w:tcPr>
          <w:p w:rsidR="005E15EF" w:rsidRPr="007F116C" w:rsidRDefault="005E15EF" w:rsidP="00E87B65">
            <w:pPr>
              <w:pStyle w:val="Tabletext"/>
              <w:keepNext/>
              <w:keepLines/>
            </w:pPr>
            <w:r w:rsidRPr="007F116C">
              <w:t>Weighted average of 11 scripts in first year and 12 scripts in 5 subsequent years</w:t>
            </w:r>
          </w:p>
        </w:tc>
        <w:tc>
          <w:tcPr>
            <w:tcW w:w="1297" w:type="pct"/>
            <w:vAlign w:val="center"/>
          </w:tcPr>
          <w:p w:rsidR="005E15EF" w:rsidRPr="007F116C" w:rsidRDefault="005E15EF" w:rsidP="00722C25">
            <w:pPr>
              <w:pStyle w:val="Tabletext"/>
              <w:keepNext/>
              <w:keepLines/>
            </w:pPr>
            <w:r w:rsidRPr="007F116C">
              <w:t xml:space="preserve">The submission stated that the financial model template </w:t>
            </w:r>
            <w:r w:rsidR="00722C25" w:rsidRPr="007F116C">
              <w:t xml:space="preserve">did not allow </w:t>
            </w:r>
            <w:r w:rsidRPr="007F116C">
              <w:t>for different substitution rates at different stages of treatment</w:t>
            </w:r>
            <w:r w:rsidR="00722C25" w:rsidRPr="007F116C">
              <w:t xml:space="preserve"> and may have </w:t>
            </w:r>
            <w:r w:rsidRPr="007F116C">
              <w:t xml:space="preserve">resulted in slight overestimation of scripts in years 1 and 2 and a slight underestimation of scripts in years 3 to 6. </w:t>
            </w:r>
          </w:p>
          <w:p w:rsidR="005E15EF" w:rsidRPr="007F116C" w:rsidRDefault="005E15EF" w:rsidP="00E87B65">
            <w:pPr>
              <w:pStyle w:val="Tabletext"/>
              <w:keepNext/>
              <w:keepLines/>
            </w:pPr>
            <w:r w:rsidRPr="007F116C">
              <w:t xml:space="preserve">May </w:t>
            </w:r>
            <w:r w:rsidR="00722C25" w:rsidRPr="007F116C">
              <w:t xml:space="preserve">also </w:t>
            </w:r>
            <w:r w:rsidRPr="007F116C">
              <w:t>be underestimated if ofatumumab is used four weekly instead of monthly</w:t>
            </w:r>
          </w:p>
        </w:tc>
      </w:tr>
      <w:tr w:rsidR="005E15EF" w:rsidRPr="007F116C" w:rsidTr="00997403">
        <w:tc>
          <w:tcPr>
            <w:tcW w:w="5000" w:type="pct"/>
            <w:gridSpan w:val="4"/>
            <w:vAlign w:val="center"/>
          </w:tcPr>
          <w:p w:rsidR="005E15EF" w:rsidRPr="007F116C" w:rsidRDefault="005E15EF" w:rsidP="00E87B65">
            <w:pPr>
              <w:pStyle w:val="Tabletext"/>
              <w:keepNext/>
              <w:keepLines/>
              <w:rPr>
                <w:b/>
              </w:rPr>
            </w:pPr>
            <w:r w:rsidRPr="007F116C">
              <w:rPr>
                <w:b/>
              </w:rPr>
              <w:t>Costs</w:t>
            </w:r>
          </w:p>
        </w:tc>
      </w:tr>
      <w:tr w:rsidR="00722C25" w:rsidRPr="007F116C" w:rsidTr="00997403">
        <w:tc>
          <w:tcPr>
            <w:tcW w:w="1078" w:type="pct"/>
            <w:vAlign w:val="center"/>
          </w:tcPr>
          <w:p w:rsidR="00722C25" w:rsidRPr="007F116C" w:rsidRDefault="00722C25" w:rsidP="00E87B65">
            <w:pPr>
              <w:pStyle w:val="Tabletext"/>
              <w:keepNext/>
              <w:keepLines/>
            </w:pPr>
            <w:r w:rsidRPr="007F116C">
              <w:t>Ofatumumab</w:t>
            </w:r>
          </w:p>
        </w:tc>
        <w:tc>
          <w:tcPr>
            <w:tcW w:w="1004" w:type="pct"/>
            <w:vAlign w:val="center"/>
          </w:tcPr>
          <w:p w:rsidR="00722C25" w:rsidRPr="007F116C" w:rsidRDefault="00722C25" w:rsidP="00722C25">
            <w:pPr>
              <w:pStyle w:val="Tabletext"/>
              <w:keepNext/>
              <w:keepLines/>
            </w:pPr>
            <w:r w:rsidRPr="007F116C">
              <w:t>Initial: $</w:t>
            </w:r>
            <w:r w:rsidR="00070E7E">
              <w:rPr>
                <w:noProof/>
                <w:color w:val="000000"/>
                <w:highlight w:val="black"/>
              </w:rPr>
              <w:t>'''''''''''''''''''</w:t>
            </w:r>
          </w:p>
          <w:p w:rsidR="00722C25" w:rsidRPr="007F116C" w:rsidRDefault="00722C25" w:rsidP="00722C25">
            <w:pPr>
              <w:pStyle w:val="Tabletext"/>
              <w:keepNext/>
              <w:keepLines/>
            </w:pPr>
            <w:r w:rsidRPr="007F116C">
              <w:t>Continuing:$</w:t>
            </w:r>
            <w:r w:rsidR="00070E7E">
              <w:rPr>
                <w:noProof/>
                <w:color w:val="000000"/>
                <w:highlight w:val="black"/>
              </w:rPr>
              <w:t>''''''''''''''''''''''</w:t>
            </w:r>
          </w:p>
        </w:tc>
        <w:tc>
          <w:tcPr>
            <w:tcW w:w="1621" w:type="pct"/>
            <w:vAlign w:val="center"/>
          </w:tcPr>
          <w:p w:rsidR="00722C25" w:rsidRPr="007F116C" w:rsidRDefault="00722C25" w:rsidP="00E87B65">
            <w:pPr>
              <w:pStyle w:val="Tabletext"/>
              <w:keepNext/>
              <w:keepLines/>
            </w:pPr>
            <w:r w:rsidRPr="007F116C">
              <w:t>Initial script include four injections</w:t>
            </w:r>
          </w:p>
        </w:tc>
        <w:tc>
          <w:tcPr>
            <w:tcW w:w="1297" w:type="pct"/>
            <w:vMerge w:val="restart"/>
            <w:vAlign w:val="center"/>
          </w:tcPr>
          <w:p w:rsidR="00722C25" w:rsidRPr="007F116C" w:rsidRDefault="00722C25" w:rsidP="00E87B65">
            <w:pPr>
              <w:pStyle w:val="Tabletext"/>
              <w:keepNext/>
              <w:keepLines/>
              <w:rPr>
                <w:iCs/>
              </w:rPr>
            </w:pPr>
            <w:r w:rsidRPr="007F116C">
              <w:rPr>
                <w:iCs/>
              </w:rPr>
              <w:t xml:space="preserve">Reasonable. </w:t>
            </w:r>
          </w:p>
        </w:tc>
      </w:tr>
      <w:tr w:rsidR="00722C25" w:rsidRPr="007F116C" w:rsidTr="00997403">
        <w:tc>
          <w:tcPr>
            <w:tcW w:w="1078" w:type="pct"/>
            <w:vAlign w:val="center"/>
          </w:tcPr>
          <w:p w:rsidR="00722C25" w:rsidRPr="007F116C" w:rsidRDefault="00722C25" w:rsidP="00E87B65">
            <w:pPr>
              <w:pStyle w:val="Tabletext"/>
              <w:keepNext/>
              <w:keepLines/>
            </w:pPr>
            <w:r w:rsidRPr="007F116C">
              <w:t>Fingolimod</w:t>
            </w:r>
          </w:p>
        </w:tc>
        <w:tc>
          <w:tcPr>
            <w:tcW w:w="1004" w:type="pct"/>
            <w:vAlign w:val="center"/>
          </w:tcPr>
          <w:p w:rsidR="00722C25" w:rsidRPr="007F116C" w:rsidRDefault="00722C25" w:rsidP="00E87B65">
            <w:pPr>
              <w:pStyle w:val="Tabletext"/>
              <w:keepNext/>
              <w:keepLines/>
            </w:pPr>
            <w:r w:rsidRPr="007F116C">
              <w:t>$2058.29</w:t>
            </w:r>
            <w:r w:rsidR="0071404F">
              <w:t xml:space="preserve"> [Published]</w:t>
            </w:r>
          </w:p>
        </w:tc>
        <w:tc>
          <w:tcPr>
            <w:tcW w:w="1621" w:type="pct"/>
            <w:vAlign w:val="center"/>
          </w:tcPr>
          <w:p w:rsidR="00722C25" w:rsidRPr="007F116C" w:rsidRDefault="00722C25" w:rsidP="00E87B65">
            <w:pPr>
              <w:pStyle w:val="Tabletext"/>
              <w:keepNext/>
              <w:keepLines/>
            </w:pPr>
            <w:r w:rsidRPr="007F116C">
              <w:t>Effective price known to Sponsor</w:t>
            </w:r>
          </w:p>
        </w:tc>
        <w:tc>
          <w:tcPr>
            <w:tcW w:w="1297" w:type="pct"/>
            <w:vMerge/>
            <w:vAlign w:val="center"/>
          </w:tcPr>
          <w:p w:rsidR="00722C25" w:rsidRPr="007F116C" w:rsidRDefault="00722C25" w:rsidP="00E87B65">
            <w:pPr>
              <w:pStyle w:val="Tabletext"/>
              <w:keepNext/>
              <w:keepLines/>
            </w:pPr>
          </w:p>
        </w:tc>
      </w:tr>
      <w:tr w:rsidR="00722C25" w:rsidRPr="007F116C" w:rsidTr="00997403">
        <w:trPr>
          <w:trHeight w:val="311"/>
        </w:trPr>
        <w:tc>
          <w:tcPr>
            <w:tcW w:w="1078" w:type="pct"/>
            <w:vAlign w:val="center"/>
          </w:tcPr>
          <w:p w:rsidR="00722C25" w:rsidRPr="007F116C" w:rsidRDefault="00722C25" w:rsidP="00E87B65">
            <w:pPr>
              <w:pStyle w:val="Tabletext"/>
              <w:keepNext/>
              <w:keepLines/>
            </w:pPr>
            <w:r w:rsidRPr="007F116C">
              <w:t>Ocrelizumab</w:t>
            </w:r>
          </w:p>
        </w:tc>
        <w:tc>
          <w:tcPr>
            <w:tcW w:w="1004" w:type="pct"/>
            <w:vAlign w:val="center"/>
          </w:tcPr>
          <w:p w:rsidR="00722C25" w:rsidRPr="007F116C" w:rsidRDefault="00722C25" w:rsidP="00E87B65">
            <w:pPr>
              <w:pStyle w:val="Tabletext"/>
              <w:keepNext/>
              <w:keepLines/>
            </w:pPr>
            <w:r w:rsidRPr="007F116C">
              <w:t>$8766.50</w:t>
            </w:r>
          </w:p>
        </w:tc>
        <w:tc>
          <w:tcPr>
            <w:tcW w:w="1621" w:type="pct"/>
            <w:vMerge w:val="restart"/>
            <w:vAlign w:val="center"/>
          </w:tcPr>
          <w:p w:rsidR="00722C25" w:rsidRPr="007F116C" w:rsidRDefault="00722C25" w:rsidP="00722C25">
            <w:pPr>
              <w:pStyle w:val="Tabletext"/>
              <w:keepNext/>
              <w:keepLines/>
            </w:pPr>
            <w:r w:rsidRPr="007F116C">
              <w:t>Listed on CMA basis to Fingolimod, based on a comparison of annual cost of therapy with fingolimod</w:t>
            </w:r>
          </w:p>
        </w:tc>
        <w:tc>
          <w:tcPr>
            <w:tcW w:w="1297" w:type="pct"/>
            <w:vMerge/>
            <w:vAlign w:val="center"/>
          </w:tcPr>
          <w:p w:rsidR="00722C25" w:rsidRPr="007F116C" w:rsidRDefault="00722C25" w:rsidP="00E87B65">
            <w:pPr>
              <w:pStyle w:val="Tabletext"/>
              <w:keepNext/>
              <w:keepLines/>
              <w:rPr>
                <w:iCs/>
              </w:rPr>
            </w:pPr>
          </w:p>
        </w:tc>
      </w:tr>
      <w:tr w:rsidR="00722C25" w:rsidRPr="007F116C" w:rsidTr="00997403">
        <w:trPr>
          <w:trHeight w:val="20"/>
        </w:trPr>
        <w:tc>
          <w:tcPr>
            <w:tcW w:w="1078" w:type="pct"/>
            <w:vAlign w:val="center"/>
          </w:tcPr>
          <w:p w:rsidR="00722C25" w:rsidRPr="007F116C" w:rsidRDefault="00722C25" w:rsidP="00E87B65">
            <w:pPr>
              <w:pStyle w:val="Tabletext"/>
              <w:keepNext/>
              <w:keepLines/>
            </w:pPr>
            <w:r w:rsidRPr="007F116C">
              <w:t>Alemtuzumab</w:t>
            </w:r>
          </w:p>
        </w:tc>
        <w:tc>
          <w:tcPr>
            <w:tcW w:w="1004" w:type="pct"/>
            <w:vAlign w:val="center"/>
          </w:tcPr>
          <w:p w:rsidR="00722C25" w:rsidRPr="007F116C" w:rsidRDefault="00722C25" w:rsidP="00E87B65">
            <w:pPr>
              <w:pStyle w:val="Tabletext"/>
              <w:keepNext/>
              <w:keepLines/>
            </w:pPr>
            <w:r w:rsidRPr="007F116C">
              <w:t>$10824.30</w:t>
            </w:r>
          </w:p>
        </w:tc>
        <w:tc>
          <w:tcPr>
            <w:tcW w:w="1621" w:type="pct"/>
            <w:vMerge/>
            <w:vAlign w:val="center"/>
          </w:tcPr>
          <w:p w:rsidR="00722C25" w:rsidRPr="007F116C" w:rsidRDefault="00722C25" w:rsidP="00E87B65">
            <w:pPr>
              <w:pStyle w:val="Tabletext"/>
              <w:keepNext/>
              <w:keepLines/>
            </w:pPr>
          </w:p>
        </w:tc>
        <w:tc>
          <w:tcPr>
            <w:tcW w:w="1297" w:type="pct"/>
            <w:vMerge/>
            <w:vAlign w:val="center"/>
          </w:tcPr>
          <w:p w:rsidR="00722C25" w:rsidRPr="007F116C" w:rsidRDefault="00722C25" w:rsidP="00E87B65">
            <w:pPr>
              <w:pStyle w:val="Tabletext"/>
              <w:keepNext/>
              <w:keepLines/>
            </w:pPr>
          </w:p>
        </w:tc>
      </w:tr>
      <w:tr w:rsidR="00722C25" w:rsidRPr="007F116C" w:rsidTr="00997403">
        <w:tc>
          <w:tcPr>
            <w:tcW w:w="1078" w:type="pct"/>
            <w:vAlign w:val="center"/>
          </w:tcPr>
          <w:p w:rsidR="00722C25" w:rsidRPr="007F116C" w:rsidRDefault="00722C25" w:rsidP="00E87B65">
            <w:pPr>
              <w:pStyle w:val="Tabletext"/>
              <w:keepNext/>
              <w:keepLines/>
            </w:pPr>
            <w:r w:rsidRPr="007F116C">
              <w:t>Cladribine</w:t>
            </w:r>
          </w:p>
        </w:tc>
        <w:tc>
          <w:tcPr>
            <w:tcW w:w="1004" w:type="pct"/>
            <w:vAlign w:val="center"/>
          </w:tcPr>
          <w:p w:rsidR="00722C25" w:rsidRPr="007F116C" w:rsidRDefault="00722C25" w:rsidP="004439E5">
            <w:pPr>
              <w:pStyle w:val="Tabletext"/>
              <w:keepNext/>
              <w:keepLines/>
            </w:pPr>
            <w:r w:rsidRPr="00070E7E">
              <w:t>$</w:t>
            </w:r>
            <w:r w:rsidR="00845689" w:rsidRPr="00070E7E">
              <w:t>3833.04</w:t>
            </w:r>
            <w:r w:rsidR="00E86B22" w:rsidRPr="00070E7E">
              <w:t xml:space="preserve"> [</w:t>
            </w:r>
            <w:r w:rsidR="00E86B22">
              <w:t>Published]</w:t>
            </w:r>
          </w:p>
        </w:tc>
        <w:tc>
          <w:tcPr>
            <w:tcW w:w="1621" w:type="pct"/>
            <w:vAlign w:val="center"/>
          </w:tcPr>
          <w:p w:rsidR="00722C25" w:rsidRPr="007F116C" w:rsidRDefault="00722C25" w:rsidP="00E87B65">
            <w:pPr>
              <w:pStyle w:val="Tabletext"/>
              <w:keepNext/>
              <w:keepLines/>
            </w:pPr>
            <w:r w:rsidRPr="007F116C">
              <w:t xml:space="preserve">Shares subsidisation caps with fingolimod. Effective price derived from supporting data provided with rebate invoices to Sponsor by Department of Health. </w:t>
            </w:r>
          </w:p>
        </w:tc>
        <w:tc>
          <w:tcPr>
            <w:tcW w:w="1297" w:type="pct"/>
            <w:vMerge/>
            <w:vAlign w:val="center"/>
          </w:tcPr>
          <w:p w:rsidR="00722C25" w:rsidRPr="007F116C" w:rsidRDefault="00722C25" w:rsidP="00E87B65">
            <w:pPr>
              <w:pStyle w:val="Tabletext"/>
              <w:keepNext/>
              <w:keepLines/>
            </w:pPr>
          </w:p>
        </w:tc>
      </w:tr>
      <w:tr w:rsidR="00722C25" w:rsidRPr="007F116C" w:rsidTr="00997403">
        <w:tc>
          <w:tcPr>
            <w:tcW w:w="1078" w:type="pct"/>
            <w:vAlign w:val="center"/>
          </w:tcPr>
          <w:p w:rsidR="00722C25" w:rsidRPr="007F116C" w:rsidRDefault="00722C25" w:rsidP="00E87B65">
            <w:pPr>
              <w:pStyle w:val="Tabletext"/>
              <w:keepNext/>
              <w:keepLines/>
            </w:pPr>
            <w:r w:rsidRPr="007F116C">
              <w:t>Natalizumab</w:t>
            </w:r>
          </w:p>
        </w:tc>
        <w:tc>
          <w:tcPr>
            <w:tcW w:w="1004" w:type="pct"/>
            <w:vAlign w:val="center"/>
          </w:tcPr>
          <w:p w:rsidR="00722C25" w:rsidRPr="007F116C" w:rsidRDefault="00722C25" w:rsidP="00E87B65">
            <w:pPr>
              <w:pStyle w:val="Tabletext"/>
              <w:keepNext/>
              <w:keepLines/>
            </w:pPr>
            <w:r w:rsidRPr="007F116C">
              <w:t>$1340.68</w:t>
            </w:r>
          </w:p>
        </w:tc>
        <w:tc>
          <w:tcPr>
            <w:tcW w:w="1621" w:type="pct"/>
            <w:vMerge w:val="restart"/>
            <w:vAlign w:val="center"/>
          </w:tcPr>
          <w:p w:rsidR="00722C25" w:rsidRPr="007F116C" w:rsidRDefault="00722C25" w:rsidP="00E87B65">
            <w:pPr>
              <w:pStyle w:val="Tabletext"/>
              <w:keepNext/>
              <w:keepLines/>
            </w:pPr>
            <w:r w:rsidRPr="007F116C">
              <w:t xml:space="preserve">No difference between published and effective prices. </w:t>
            </w:r>
          </w:p>
        </w:tc>
        <w:tc>
          <w:tcPr>
            <w:tcW w:w="1297" w:type="pct"/>
            <w:vMerge/>
            <w:vAlign w:val="center"/>
          </w:tcPr>
          <w:p w:rsidR="00722C25" w:rsidRPr="007F116C" w:rsidRDefault="00722C25" w:rsidP="00E87B65">
            <w:pPr>
              <w:pStyle w:val="Tabletext"/>
              <w:keepNext/>
              <w:keepLines/>
            </w:pPr>
          </w:p>
        </w:tc>
      </w:tr>
      <w:tr w:rsidR="00722C25" w:rsidRPr="007F116C" w:rsidTr="00997403">
        <w:tc>
          <w:tcPr>
            <w:tcW w:w="1078" w:type="pct"/>
            <w:vAlign w:val="center"/>
          </w:tcPr>
          <w:p w:rsidR="00722C25" w:rsidRPr="007F116C" w:rsidRDefault="00722C25" w:rsidP="00E87B65">
            <w:pPr>
              <w:pStyle w:val="Tabletext"/>
              <w:keepNext/>
              <w:keepLines/>
            </w:pPr>
            <w:r w:rsidRPr="007F116C">
              <w:t>teriflunomide</w:t>
            </w:r>
          </w:p>
        </w:tc>
        <w:tc>
          <w:tcPr>
            <w:tcW w:w="1004" w:type="pct"/>
            <w:vAlign w:val="center"/>
          </w:tcPr>
          <w:p w:rsidR="00722C25" w:rsidRPr="007F116C" w:rsidRDefault="00722C25" w:rsidP="00E87B65">
            <w:pPr>
              <w:pStyle w:val="Tabletext"/>
              <w:keepNext/>
              <w:keepLines/>
            </w:pPr>
            <w:r w:rsidRPr="007F116C">
              <w:t>$511.19</w:t>
            </w:r>
          </w:p>
        </w:tc>
        <w:tc>
          <w:tcPr>
            <w:tcW w:w="1621" w:type="pct"/>
            <w:vMerge/>
            <w:vAlign w:val="center"/>
          </w:tcPr>
          <w:p w:rsidR="00722C25" w:rsidRPr="007F116C" w:rsidRDefault="00722C25" w:rsidP="00E87B65">
            <w:pPr>
              <w:pStyle w:val="Tabletext"/>
              <w:keepNext/>
              <w:keepLines/>
            </w:pPr>
          </w:p>
        </w:tc>
        <w:tc>
          <w:tcPr>
            <w:tcW w:w="1297" w:type="pct"/>
            <w:vMerge/>
            <w:vAlign w:val="center"/>
          </w:tcPr>
          <w:p w:rsidR="00722C25" w:rsidRPr="007F116C" w:rsidRDefault="00722C25" w:rsidP="00E87B65">
            <w:pPr>
              <w:pStyle w:val="Tabletext"/>
              <w:keepNext/>
              <w:keepLines/>
            </w:pPr>
          </w:p>
        </w:tc>
      </w:tr>
      <w:tr w:rsidR="00722C25" w:rsidRPr="007F116C" w:rsidTr="00997403">
        <w:tc>
          <w:tcPr>
            <w:tcW w:w="1078" w:type="pct"/>
            <w:vAlign w:val="center"/>
          </w:tcPr>
          <w:p w:rsidR="00722C25" w:rsidRPr="007F116C" w:rsidRDefault="00722C25" w:rsidP="00E87B65">
            <w:pPr>
              <w:pStyle w:val="Tabletext"/>
              <w:keepNext/>
              <w:keepLines/>
            </w:pPr>
            <w:r w:rsidRPr="007F116C">
              <w:t>Interferon beta 1a</w:t>
            </w:r>
          </w:p>
        </w:tc>
        <w:tc>
          <w:tcPr>
            <w:tcW w:w="1004" w:type="pct"/>
            <w:vAlign w:val="center"/>
          </w:tcPr>
          <w:p w:rsidR="00722C25" w:rsidRPr="007F116C" w:rsidRDefault="00722C25" w:rsidP="00E87B65">
            <w:pPr>
              <w:pStyle w:val="Tabletext"/>
              <w:keepNext/>
              <w:keepLines/>
            </w:pPr>
            <w:r w:rsidRPr="007F116C">
              <w:t>$763.52</w:t>
            </w:r>
          </w:p>
        </w:tc>
        <w:tc>
          <w:tcPr>
            <w:tcW w:w="1621" w:type="pct"/>
            <w:vMerge/>
            <w:vAlign w:val="center"/>
          </w:tcPr>
          <w:p w:rsidR="00722C25" w:rsidRPr="007F116C" w:rsidRDefault="00722C25" w:rsidP="00E87B65">
            <w:pPr>
              <w:pStyle w:val="Tabletext"/>
              <w:keepNext/>
              <w:keepLines/>
            </w:pPr>
          </w:p>
        </w:tc>
        <w:tc>
          <w:tcPr>
            <w:tcW w:w="1297" w:type="pct"/>
            <w:vMerge/>
            <w:vAlign w:val="center"/>
          </w:tcPr>
          <w:p w:rsidR="00722C25" w:rsidRPr="007F116C" w:rsidRDefault="00722C25" w:rsidP="00E87B65">
            <w:pPr>
              <w:pStyle w:val="Tabletext"/>
              <w:keepNext/>
              <w:keepLines/>
            </w:pPr>
          </w:p>
        </w:tc>
      </w:tr>
      <w:tr w:rsidR="00722C25" w:rsidRPr="007F116C" w:rsidTr="00997403">
        <w:tc>
          <w:tcPr>
            <w:tcW w:w="1078" w:type="pct"/>
            <w:vAlign w:val="center"/>
          </w:tcPr>
          <w:p w:rsidR="00722C25" w:rsidRPr="007F116C" w:rsidRDefault="00722C25" w:rsidP="00E87B65">
            <w:pPr>
              <w:pStyle w:val="Tabletext"/>
              <w:keepNext/>
              <w:keepLines/>
            </w:pPr>
            <w:r w:rsidRPr="007F116C">
              <w:t>Peg interferon beta 1a</w:t>
            </w:r>
          </w:p>
        </w:tc>
        <w:tc>
          <w:tcPr>
            <w:tcW w:w="1004" w:type="pct"/>
            <w:vAlign w:val="center"/>
          </w:tcPr>
          <w:p w:rsidR="00722C25" w:rsidRPr="007F116C" w:rsidRDefault="00722C25" w:rsidP="00E87B65">
            <w:pPr>
              <w:pStyle w:val="Tabletext"/>
              <w:keepNext/>
              <w:keepLines/>
            </w:pPr>
            <w:r w:rsidRPr="007F116C">
              <w:t>$893.01</w:t>
            </w:r>
          </w:p>
        </w:tc>
        <w:tc>
          <w:tcPr>
            <w:tcW w:w="1621" w:type="pct"/>
            <w:vMerge/>
            <w:vAlign w:val="center"/>
          </w:tcPr>
          <w:p w:rsidR="00722C25" w:rsidRPr="007F116C" w:rsidRDefault="00722C25" w:rsidP="00E87B65">
            <w:pPr>
              <w:pStyle w:val="Tabletext"/>
              <w:keepNext/>
              <w:keepLines/>
            </w:pPr>
          </w:p>
        </w:tc>
        <w:tc>
          <w:tcPr>
            <w:tcW w:w="1297" w:type="pct"/>
            <w:vMerge/>
            <w:vAlign w:val="center"/>
          </w:tcPr>
          <w:p w:rsidR="00722C25" w:rsidRPr="007F116C" w:rsidRDefault="00722C25" w:rsidP="00E87B65">
            <w:pPr>
              <w:pStyle w:val="Tabletext"/>
              <w:keepNext/>
              <w:keepLines/>
            </w:pPr>
          </w:p>
        </w:tc>
      </w:tr>
      <w:tr w:rsidR="00722C25" w:rsidRPr="007F116C" w:rsidTr="00997403">
        <w:tc>
          <w:tcPr>
            <w:tcW w:w="1078" w:type="pct"/>
            <w:vAlign w:val="center"/>
          </w:tcPr>
          <w:p w:rsidR="00722C25" w:rsidRPr="007F116C" w:rsidRDefault="00722C25" w:rsidP="00E87B65">
            <w:pPr>
              <w:pStyle w:val="Tabletext"/>
              <w:keepNext/>
              <w:keepLines/>
            </w:pPr>
            <w:r w:rsidRPr="007F116C">
              <w:t>Glatiramer</w:t>
            </w:r>
          </w:p>
        </w:tc>
        <w:tc>
          <w:tcPr>
            <w:tcW w:w="1004" w:type="pct"/>
            <w:vAlign w:val="center"/>
          </w:tcPr>
          <w:p w:rsidR="00722C25" w:rsidRPr="007F116C" w:rsidRDefault="00722C25" w:rsidP="00E87B65">
            <w:pPr>
              <w:pStyle w:val="Tabletext"/>
              <w:keepNext/>
              <w:keepLines/>
            </w:pPr>
            <w:r w:rsidRPr="007F116C">
              <w:t>$891.54</w:t>
            </w:r>
          </w:p>
        </w:tc>
        <w:tc>
          <w:tcPr>
            <w:tcW w:w="1621" w:type="pct"/>
            <w:vMerge/>
            <w:vAlign w:val="center"/>
          </w:tcPr>
          <w:p w:rsidR="00722C25" w:rsidRPr="007F116C" w:rsidRDefault="00722C25" w:rsidP="00E87B65">
            <w:pPr>
              <w:pStyle w:val="Tabletext"/>
              <w:keepNext/>
              <w:keepLines/>
            </w:pPr>
          </w:p>
        </w:tc>
        <w:tc>
          <w:tcPr>
            <w:tcW w:w="1297" w:type="pct"/>
            <w:vMerge/>
            <w:vAlign w:val="center"/>
          </w:tcPr>
          <w:p w:rsidR="00722C25" w:rsidRPr="007F116C" w:rsidRDefault="00722C25" w:rsidP="00E87B65">
            <w:pPr>
              <w:pStyle w:val="Tabletext"/>
              <w:keepNext/>
              <w:keepLines/>
            </w:pPr>
          </w:p>
        </w:tc>
      </w:tr>
      <w:tr w:rsidR="00722C25" w:rsidRPr="007F116C" w:rsidTr="00997403">
        <w:tc>
          <w:tcPr>
            <w:tcW w:w="1078" w:type="pct"/>
            <w:tcBorders>
              <w:bottom w:val="single" w:sz="4" w:space="0" w:color="auto"/>
            </w:tcBorders>
            <w:vAlign w:val="center"/>
          </w:tcPr>
          <w:p w:rsidR="00722C25" w:rsidRPr="007F116C" w:rsidRDefault="00722C25" w:rsidP="00E87B65">
            <w:pPr>
              <w:pStyle w:val="Tabletext"/>
              <w:keepNext/>
              <w:keepLines/>
            </w:pPr>
            <w:r w:rsidRPr="007F116C">
              <w:t>DMF</w:t>
            </w:r>
          </w:p>
        </w:tc>
        <w:tc>
          <w:tcPr>
            <w:tcW w:w="1004" w:type="pct"/>
            <w:tcBorders>
              <w:bottom w:val="single" w:sz="4" w:space="0" w:color="auto"/>
            </w:tcBorders>
            <w:vAlign w:val="center"/>
          </w:tcPr>
          <w:p w:rsidR="00722C25" w:rsidRPr="007F116C" w:rsidRDefault="00722C25" w:rsidP="00E87B65">
            <w:pPr>
              <w:pStyle w:val="Tabletext"/>
              <w:keepNext/>
              <w:keepLines/>
            </w:pPr>
            <w:r w:rsidRPr="00070E7E">
              <w:t>AEMP: $</w:t>
            </w:r>
            <w:r w:rsidR="00845689" w:rsidRPr="00070E7E">
              <w:t>1169.40</w:t>
            </w:r>
            <w:r w:rsidR="00E86B22">
              <w:t xml:space="preserve"> [Published]</w:t>
            </w:r>
          </w:p>
        </w:tc>
        <w:tc>
          <w:tcPr>
            <w:tcW w:w="1621" w:type="pct"/>
            <w:tcBorders>
              <w:bottom w:val="single" w:sz="4" w:space="0" w:color="auto"/>
            </w:tcBorders>
            <w:vAlign w:val="center"/>
          </w:tcPr>
          <w:p w:rsidR="00722C25" w:rsidRPr="007F116C" w:rsidRDefault="00722C25" w:rsidP="00E87B65">
            <w:pPr>
              <w:pStyle w:val="Tabletext"/>
              <w:keepNext/>
              <w:keepLines/>
            </w:pPr>
            <w:r w:rsidRPr="007F116C">
              <w:t>Listed on CMA basis to older therapies weighted price calculated based on current market share of these therapies</w:t>
            </w:r>
          </w:p>
        </w:tc>
        <w:tc>
          <w:tcPr>
            <w:tcW w:w="1297" w:type="pct"/>
            <w:vMerge/>
            <w:tcBorders>
              <w:bottom w:val="single" w:sz="4" w:space="0" w:color="auto"/>
            </w:tcBorders>
            <w:vAlign w:val="center"/>
          </w:tcPr>
          <w:p w:rsidR="00722C25" w:rsidRPr="007F116C" w:rsidRDefault="00722C25" w:rsidP="00E87B65">
            <w:pPr>
              <w:pStyle w:val="Tabletext"/>
              <w:keepNext/>
              <w:keepLines/>
            </w:pPr>
          </w:p>
        </w:tc>
      </w:tr>
    </w:tbl>
    <w:p w:rsidR="005E15EF" w:rsidRPr="007F116C" w:rsidRDefault="005E15EF" w:rsidP="00722C25">
      <w:pPr>
        <w:pStyle w:val="TableFooter"/>
        <w:keepNext/>
        <w:keepLines/>
        <w:spacing w:after="120"/>
        <w:rPr>
          <w:sz w:val="20"/>
        </w:rPr>
      </w:pPr>
      <w:r w:rsidRPr="007F116C">
        <w:t>Source: Table 4.1, p282 of the submission and “Utilisation and financial estimates_ofatumumab_Nov202.xlsx” AEMP = Australian ex-manufacturer price; CMA = cost minimisation analysis; DMF = dimethyl fumarate; DPMQ = dispensed price per maximum quantity; MBS = Medicare Benefits Schedule; PBS = Pharmaceutical Benefits Scheme.</w:t>
      </w:r>
    </w:p>
    <w:p w:rsidR="005E15EF" w:rsidRPr="007F116C" w:rsidRDefault="005E15EF" w:rsidP="005E15EF">
      <w:pPr>
        <w:pStyle w:val="ListParagraph"/>
        <w:widowControl/>
        <w:numPr>
          <w:ilvl w:val="1"/>
          <w:numId w:val="2"/>
        </w:numPr>
      </w:pPr>
      <w:r w:rsidRPr="007F116C">
        <w:t xml:space="preserve">The submission noted that in the first year of therapy, the loading dose is covered by one script and lasts for the first two months of therapy, following which 10 scripts of continuing treatment are left in the year for initiating patients, and thus 11 total scripts. In subsequent years, there are 12 scripts of ofatumumab per year as it follows a monthly dosing regimen. The weighted average number of scripts of ofatumumab for the first 6 years of listing was calculated as 11.59 scripts per year. The dosing frequency of ofatumumab in ASCLEPIOS I and II was every four weeks, which would translate to 13 scripts per year. The submission’s assumption of 12 scripts per year was likely to be an underestimate. </w:t>
      </w:r>
    </w:p>
    <w:p w:rsidR="005E15EF" w:rsidRPr="007F116C" w:rsidRDefault="00522713" w:rsidP="005E15EF">
      <w:pPr>
        <w:pStyle w:val="ListParagraph"/>
        <w:widowControl/>
        <w:numPr>
          <w:ilvl w:val="1"/>
          <w:numId w:val="2"/>
        </w:numPr>
        <w:rPr>
          <w:color w:val="000000" w:themeColor="text1"/>
        </w:rPr>
      </w:pPr>
      <w:r w:rsidRPr="007F116C">
        <w:t>Table 15</w:t>
      </w:r>
      <w:r w:rsidR="005E15EF" w:rsidRPr="007F116C">
        <w:rPr>
          <w:color w:val="000000" w:themeColor="text1"/>
        </w:rPr>
        <w:t xml:space="preserve"> presents the submissions estimates of use and financial implications.</w:t>
      </w:r>
    </w:p>
    <w:p w:rsidR="005E15EF" w:rsidRPr="007F116C" w:rsidRDefault="005E15EF" w:rsidP="005E15EF">
      <w:bookmarkStart w:id="38" w:name="_Ref61006739"/>
      <w:r w:rsidRPr="007F116C">
        <w:rPr>
          <w:rStyle w:val="CommentReference"/>
        </w:rPr>
        <w:t xml:space="preserve">Table </w:t>
      </w:r>
      <w:r w:rsidR="00522713" w:rsidRPr="007F116C">
        <w:rPr>
          <w:rStyle w:val="CommentReference"/>
        </w:rPr>
        <w:t>15</w:t>
      </w:r>
      <w:bookmarkEnd w:id="38"/>
      <w:r w:rsidRPr="007F116C">
        <w:rPr>
          <w:rStyle w:val="CommentReference"/>
        </w:rPr>
        <w:t>: Estimated use and financial implications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2"/>
        <w:gridCol w:w="1274"/>
        <w:gridCol w:w="1133"/>
        <w:gridCol w:w="1274"/>
        <w:gridCol w:w="1142"/>
        <w:gridCol w:w="1267"/>
        <w:gridCol w:w="1276"/>
      </w:tblGrid>
      <w:tr w:rsidR="00070E7E" w:rsidRPr="007F116C" w:rsidTr="00070E7E">
        <w:trPr>
          <w:tblHeader/>
        </w:trPr>
        <w:tc>
          <w:tcPr>
            <w:tcW w:w="1000" w:type="pct"/>
            <w:shd w:val="clear" w:color="auto" w:fill="auto"/>
            <w:vAlign w:val="center"/>
          </w:tcPr>
          <w:p w:rsidR="005E15EF" w:rsidRPr="007F116C" w:rsidRDefault="005E15EF" w:rsidP="005E15EF">
            <w:pPr>
              <w:pStyle w:val="Tabletext"/>
            </w:pPr>
          </w:p>
        </w:tc>
        <w:tc>
          <w:tcPr>
            <w:tcW w:w="692" w:type="pct"/>
            <w:shd w:val="clear" w:color="auto" w:fill="auto"/>
            <w:vAlign w:val="center"/>
          </w:tcPr>
          <w:p w:rsidR="005E15EF" w:rsidRPr="007F116C" w:rsidRDefault="005E15EF" w:rsidP="005E15EF">
            <w:pPr>
              <w:pStyle w:val="Tabletext"/>
              <w:jc w:val="center"/>
              <w:rPr>
                <w:b/>
              </w:rPr>
            </w:pPr>
            <w:r w:rsidRPr="007F116C">
              <w:rPr>
                <w:b/>
              </w:rPr>
              <w:t>Year 1</w:t>
            </w:r>
          </w:p>
        </w:tc>
        <w:tc>
          <w:tcPr>
            <w:tcW w:w="615" w:type="pct"/>
            <w:shd w:val="clear" w:color="auto" w:fill="auto"/>
            <w:vAlign w:val="center"/>
          </w:tcPr>
          <w:p w:rsidR="005E15EF" w:rsidRPr="007F116C" w:rsidRDefault="005E15EF" w:rsidP="005E15EF">
            <w:pPr>
              <w:pStyle w:val="Tabletext"/>
              <w:jc w:val="center"/>
              <w:rPr>
                <w:b/>
              </w:rPr>
            </w:pPr>
            <w:r w:rsidRPr="007F116C">
              <w:rPr>
                <w:b/>
              </w:rPr>
              <w:t>Year 2</w:t>
            </w:r>
          </w:p>
        </w:tc>
        <w:tc>
          <w:tcPr>
            <w:tcW w:w="692" w:type="pct"/>
            <w:shd w:val="clear" w:color="auto" w:fill="auto"/>
            <w:vAlign w:val="center"/>
          </w:tcPr>
          <w:p w:rsidR="005E15EF" w:rsidRPr="007F116C" w:rsidRDefault="005E15EF" w:rsidP="005E15EF">
            <w:pPr>
              <w:pStyle w:val="Tabletext"/>
              <w:jc w:val="center"/>
              <w:rPr>
                <w:b/>
              </w:rPr>
            </w:pPr>
            <w:r w:rsidRPr="007F116C">
              <w:rPr>
                <w:b/>
              </w:rPr>
              <w:t>Year 3</w:t>
            </w:r>
          </w:p>
        </w:tc>
        <w:tc>
          <w:tcPr>
            <w:tcW w:w="620" w:type="pct"/>
            <w:shd w:val="clear" w:color="auto" w:fill="auto"/>
            <w:vAlign w:val="center"/>
          </w:tcPr>
          <w:p w:rsidR="005E15EF" w:rsidRPr="007F116C" w:rsidRDefault="005E15EF" w:rsidP="005E15EF">
            <w:pPr>
              <w:pStyle w:val="Tabletext"/>
              <w:jc w:val="center"/>
              <w:rPr>
                <w:b/>
              </w:rPr>
            </w:pPr>
            <w:r w:rsidRPr="007F116C">
              <w:rPr>
                <w:b/>
              </w:rPr>
              <w:t>Year 4</w:t>
            </w:r>
          </w:p>
        </w:tc>
        <w:tc>
          <w:tcPr>
            <w:tcW w:w="688" w:type="pct"/>
            <w:shd w:val="clear" w:color="auto" w:fill="auto"/>
            <w:vAlign w:val="center"/>
          </w:tcPr>
          <w:p w:rsidR="005E15EF" w:rsidRPr="007F116C" w:rsidRDefault="005E15EF" w:rsidP="005E15EF">
            <w:pPr>
              <w:pStyle w:val="Tabletext"/>
              <w:jc w:val="center"/>
              <w:rPr>
                <w:b/>
              </w:rPr>
            </w:pPr>
            <w:r w:rsidRPr="007F116C">
              <w:rPr>
                <w:b/>
              </w:rPr>
              <w:t>Year 5</w:t>
            </w:r>
          </w:p>
        </w:tc>
        <w:tc>
          <w:tcPr>
            <w:tcW w:w="693" w:type="pct"/>
          </w:tcPr>
          <w:p w:rsidR="005E15EF" w:rsidRPr="007F116C" w:rsidRDefault="005E15EF" w:rsidP="005E15EF">
            <w:pPr>
              <w:pStyle w:val="Tabletext"/>
              <w:jc w:val="center"/>
              <w:rPr>
                <w:b/>
              </w:rPr>
            </w:pPr>
            <w:r w:rsidRPr="007F116C">
              <w:rPr>
                <w:b/>
              </w:rPr>
              <w:t>Year 6</w:t>
            </w:r>
          </w:p>
        </w:tc>
      </w:tr>
      <w:tr w:rsidR="005E15EF" w:rsidRPr="007F116C" w:rsidTr="00070E7E">
        <w:tc>
          <w:tcPr>
            <w:tcW w:w="5000" w:type="pct"/>
            <w:gridSpan w:val="7"/>
            <w:shd w:val="clear" w:color="auto" w:fill="auto"/>
            <w:vAlign w:val="center"/>
          </w:tcPr>
          <w:p w:rsidR="005E15EF" w:rsidRPr="007F116C" w:rsidRDefault="005E15EF" w:rsidP="005E15EF">
            <w:pPr>
              <w:pStyle w:val="Tabletext"/>
              <w:rPr>
                <w:b/>
                <w:bCs/>
                <w:color w:val="000000"/>
              </w:rPr>
            </w:pPr>
            <w:r w:rsidRPr="007F116C">
              <w:rPr>
                <w:b/>
                <w:bCs/>
                <w:color w:val="000000"/>
              </w:rPr>
              <w:t>Estimated extent of use of ofatumumab</w:t>
            </w:r>
          </w:p>
        </w:tc>
      </w:tr>
      <w:tr w:rsidR="00070E7E" w:rsidRPr="007F116C" w:rsidTr="00070E7E">
        <w:tc>
          <w:tcPr>
            <w:tcW w:w="1000" w:type="pct"/>
            <w:shd w:val="clear" w:color="auto" w:fill="auto"/>
          </w:tcPr>
          <w:p w:rsidR="005E15EF" w:rsidRPr="007F116C" w:rsidRDefault="005E15EF" w:rsidP="005E15EF">
            <w:pPr>
              <w:pStyle w:val="Tabletext"/>
              <w:rPr>
                <w:rFonts w:ascii="Times" w:hAnsi="Times"/>
              </w:rPr>
            </w:pPr>
            <w:r w:rsidRPr="007F116C">
              <w:rPr>
                <w:rFonts w:cs="Arial"/>
                <w:color w:val="000000"/>
              </w:rPr>
              <w:t>Initiating scripts</w:t>
            </w:r>
          </w:p>
        </w:tc>
        <w:tc>
          <w:tcPr>
            <w:tcW w:w="692"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CE4496">
              <w:rPr>
                <w:vertAlign w:val="superscript"/>
              </w:rPr>
              <w:t>1</w:t>
            </w:r>
          </w:p>
        </w:tc>
        <w:tc>
          <w:tcPr>
            <w:tcW w:w="615"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CE4496">
              <w:rPr>
                <w:vertAlign w:val="superscript"/>
              </w:rPr>
              <w:t>1</w:t>
            </w:r>
          </w:p>
        </w:tc>
        <w:tc>
          <w:tcPr>
            <w:tcW w:w="692"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CE4496">
              <w:rPr>
                <w:vertAlign w:val="superscript"/>
              </w:rPr>
              <w:t>1</w:t>
            </w:r>
          </w:p>
        </w:tc>
        <w:tc>
          <w:tcPr>
            <w:tcW w:w="620"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CE4496">
              <w:rPr>
                <w:vertAlign w:val="superscript"/>
              </w:rPr>
              <w:t>1</w:t>
            </w:r>
          </w:p>
        </w:tc>
        <w:tc>
          <w:tcPr>
            <w:tcW w:w="688"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CE4496">
              <w:rPr>
                <w:vertAlign w:val="superscript"/>
              </w:rPr>
              <w:t>1</w:t>
            </w:r>
          </w:p>
        </w:tc>
        <w:tc>
          <w:tcPr>
            <w:tcW w:w="693" w:type="pct"/>
          </w:tcPr>
          <w:p w:rsidR="005E15EF" w:rsidRPr="00070E7E" w:rsidRDefault="00070E7E" w:rsidP="005E15EF">
            <w:pPr>
              <w:pStyle w:val="Tabletext"/>
              <w:jc w:val="center"/>
              <w:rPr>
                <w:bCs/>
                <w:color w:val="000000"/>
              </w:rPr>
            </w:pPr>
            <w:r>
              <w:rPr>
                <w:noProof/>
                <w:color w:val="000000"/>
                <w:highlight w:val="black"/>
              </w:rPr>
              <w:t>''''''''''''''</w:t>
            </w:r>
            <w:r w:rsidR="00CE4496">
              <w:rPr>
                <w:vertAlign w:val="superscript"/>
              </w:rPr>
              <w:t>1</w:t>
            </w:r>
          </w:p>
        </w:tc>
      </w:tr>
      <w:tr w:rsidR="00070E7E" w:rsidRPr="007F116C" w:rsidTr="00070E7E">
        <w:tc>
          <w:tcPr>
            <w:tcW w:w="1000" w:type="pct"/>
            <w:shd w:val="clear" w:color="auto" w:fill="auto"/>
          </w:tcPr>
          <w:p w:rsidR="005E15EF" w:rsidRPr="007F116C" w:rsidRDefault="005E15EF" w:rsidP="005E15EF">
            <w:pPr>
              <w:pStyle w:val="Tabletext"/>
              <w:rPr>
                <w:rFonts w:ascii="Times" w:hAnsi="Times"/>
              </w:rPr>
            </w:pPr>
            <w:r w:rsidRPr="007F116C">
              <w:rPr>
                <w:rFonts w:cs="Arial"/>
                <w:color w:val="000000"/>
              </w:rPr>
              <w:t>Continuing scripts</w:t>
            </w:r>
          </w:p>
        </w:tc>
        <w:tc>
          <w:tcPr>
            <w:tcW w:w="692"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CE4496">
              <w:rPr>
                <w:vertAlign w:val="superscript"/>
              </w:rPr>
              <w:t>2</w:t>
            </w:r>
          </w:p>
        </w:tc>
        <w:tc>
          <w:tcPr>
            <w:tcW w:w="615"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714800">
              <w:rPr>
                <w:vertAlign w:val="superscript"/>
              </w:rPr>
              <w:t>3</w:t>
            </w:r>
          </w:p>
        </w:tc>
        <w:tc>
          <w:tcPr>
            <w:tcW w:w="692"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714800">
              <w:rPr>
                <w:vertAlign w:val="superscript"/>
              </w:rPr>
              <w:t>4</w:t>
            </w:r>
          </w:p>
        </w:tc>
        <w:tc>
          <w:tcPr>
            <w:tcW w:w="620"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714800">
              <w:rPr>
                <w:vertAlign w:val="superscript"/>
              </w:rPr>
              <w:t>5</w:t>
            </w:r>
          </w:p>
        </w:tc>
        <w:tc>
          <w:tcPr>
            <w:tcW w:w="688" w:type="pct"/>
            <w:shd w:val="clear" w:color="auto" w:fill="auto"/>
          </w:tcPr>
          <w:p w:rsidR="005E15EF" w:rsidRPr="00070E7E" w:rsidRDefault="00070E7E" w:rsidP="005E15EF">
            <w:pPr>
              <w:pStyle w:val="Tabletext"/>
              <w:jc w:val="center"/>
              <w:rPr>
                <w:bCs/>
                <w:color w:val="000000"/>
              </w:rPr>
            </w:pPr>
            <w:r>
              <w:rPr>
                <w:noProof/>
                <w:color w:val="000000"/>
                <w:highlight w:val="black"/>
              </w:rPr>
              <w:t>'''''''''''''''''</w:t>
            </w:r>
            <w:r w:rsidR="00714800">
              <w:rPr>
                <w:vertAlign w:val="superscript"/>
              </w:rPr>
              <w:t>6</w:t>
            </w:r>
          </w:p>
        </w:tc>
        <w:tc>
          <w:tcPr>
            <w:tcW w:w="693" w:type="pct"/>
          </w:tcPr>
          <w:p w:rsidR="005E15EF" w:rsidRPr="00070E7E" w:rsidRDefault="00070E7E" w:rsidP="005E15EF">
            <w:pPr>
              <w:pStyle w:val="Tabletext"/>
              <w:jc w:val="center"/>
              <w:rPr>
                <w:bCs/>
                <w:color w:val="000000"/>
              </w:rPr>
            </w:pPr>
            <w:r>
              <w:rPr>
                <w:noProof/>
                <w:color w:val="000000"/>
                <w:highlight w:val="black"/>
              </w:rPr>
              <w:t>''''''''''''''''</w:t>
            </w:r>
            <w:r w:rsidR="00714800" w:rsidRPr="00714800">
              <w:rPr>
                <w:rStyle w:val="CommentReference"/>
                <w:b w:val="0"/>
                <w:sz w:val="18"/>
                <w:vertAlign w:val="superscript"/>
              </w:rPr>
              <w:t>7</w:t>
            </w:r>
          </w:p>
        </w:tc>
      </w:tr>
      <w:tr w:rsidR="00070E7E" w:rsidRPr="007F116C" w:rsidTr="00070E7E">
        <w:tc>
          <w:tcPr>
            <w:tcW w:w="1000" w:type="pct"/>
            <w:shd w:val="clear" w:color="auto" w:fill="auto"/>
          </w:tcPr>
          <w:p w:rsidR="005E15EF" w:rsidRPr="007F116C" w:rsidRDefault="005E15EF" w:rsidP="005E15EF">
            <w:pPr>
              <w:pStyle w:val="Tabletext"/>
            </w:pPr>
            <w:r w:rsidRPr="007F116C">
              <w:rPr>
                <w:rFonts w:cs="Arial"/>
                <w:color w:val="000000"/>
              </w:rPr>
              <w:t>Total scripts</w:t>
            </w:r>
          </w:p>
        </w:tc>
        <w:tc>
          <w:tcPr>
            <w:tcW w:w="692" w:type="pct"/>
            <w:shd w:val="clear" w:color="auto" w:fill="auto"/>
          </w:tcPr>
          <w:p w:rsidR="005E15EF" w:rsidRPr="00070E7E" w:rsidRDefault="00070E7E" w:rsidP="005E15EF">
            <w:pPr>
              <w:pStyle w:val="Tabletext"/>
              <w:jc w:val="center"/>
              <w:rPr>
                <w:color w:val="000000"/>
              </w:rPr>
            </w:pPr>
            <w:r>
              <w:rPr>
                <w:noProof/>
                <w:color w:val="000000"/>
                <w:highlight w:val="black"/>
              </w:rPr>
              <w:t>''''''''''''''''''</w:t>
            </w:r>
            <w:r w:rsidR="00714800">
              <w:rPr>
                <w:vertAlign w:val="superscript"/>
              </w:rPr>
              <w:t>2</w:t>
            </w:r>
          </w:p>
        </w:tc>
        <w:tc>
          <w:tcPr>
            <w:tcW w:w="615" w:type="pct"/>
            <w:shd w:val="clear" w:color="auto" w:fill="auto"/>
          </w:tcPr>
          <w:p w:rsidR="005E15EF" w:rsidRPr="00070E7E" w:rsidRDefault="00070E7E" w:rsidP="005E15EF">
            <w:pPr>
              <w:pStyle w:val="Tabletext"/>
              <w:jc w:val="center"/>
              <w:rPr>
                <w:color w:val="000000"/>
              </w:rPr>
            </w:pPr>
            <w:r>
              <w:rPr>
                <w:noProof/>
                <w:color w:val="000000"/>
                <w:highlight w:val="black"/>
              </w:rPr>
              <w:t>''''''''''''''''</w:t>
            </w:r>
            <w:r w:rsidR="00714800">
              <w:rPr>
                <w:vertAlign w:val="superscript"/>
              </w:rPr>
              <w:t>3</w:t>
            </w:r>
          </w:p>
        </w:tc>
        <w:tc>
          <w:tcPr>
            <w:tcW w:w="692" w:type="pct"/>
            <w:shd w:val="clear" w:color="auto" w:fill="auto"/>
          </w:tcPr>
          <w:p w:rsidR="005E15EF" w:rsidRPr="00070E7E" w:rsidRDefault="00070E7E" w:rsidP="005E15EF">
            <w:pPr>
              <w:pStyle w:val="Tabletext"/>
              <w:jc w:val="center"/>
              <w:rPr>
                <w:color w:val="000000"/>
              </w:rPr>
            </w:pPr>
            <w:r>
              <w:rPr>
                <w:noProof/>
                <w:color w:val="000000"/>
                <w:highlight w:val="black"/>
              </w:rPr>
              <w:t>'''''''''''''''</w:t>
            </w:r>
            <w:r w:rsidR="00714800">
              <w:rPr>
                <w:vertAlign w:val="superscript"/>
              </w:rPr>
              <w:t>4</w:t>
            </w:r>
          </w:p>
        </w:tc>
        <w:tc>
          <w:tcPr>
            <w:tcW w:w="620" w:type="pct"/>
            <w:shd w:val="clear" w:color="auto" w:fill="auto"/>
          </w:tcPr>
          <w:p w:rsidR="005E15EF" w:rsidRPr="00070E7E" w:rsidRDefault="00070E7E" w:rsidP="005E15EF">
            <w:pPr>
              <w:pStyle w:val="Tabletext"/>
              <w:jc w:val="center"/>
              <w:rPr>
                <w:color w:val="000000"/>
              </w:rPr>
            </w:pPr>
            <w:r>
              <w:rPr>
                <w:noProof/>
                <w:color w:val="000000"/>
                <w:highlight w:val="black"/>
              </w:rPr>
              <w:t>'''''''''''''''</w:t>
            </w:r>
            <w:r w:rsidR="00714800">
              <w:rPr>
                <w:vertAlign w:val="superscript"/>
              </w:rPr>
              <w:t>5</w:t>
            </w:r>
          </w:p>
        </w:tc>
        <w:tc>
          <w:tcPr>
            <w:tcW w:w="688" w:type="pct"/>
            <w:shd w:val="clear" w:color="auto" w:fill="auto"/>
          </w:tcPr>
          <w:p w:rsidR="005E15EF" w:rsidRPr="00070E7E" w:rsidRDefault="00070E7E" w:rsidP="005E15EF">
            <w:pPr>
              <w:pStyle w:val="Tabletext"/>
              <w:jc w:val="center"/>
              <w:rPr>
                <w:color w:val="000000"/>
              </w:rPr>
            </w:pPr>
            <w:r>
              <w:rPr>
                <w:noProof/>
                <w:color w:val="000000"/>
                <w:highlight w:val="black"/>
              </w:rPr>
              <w:t>''''''''''''''''</w:t>
            </w:r>
            <w:r w:rsidR="00714800">
              <w:rPr>
                <w:vertAlign w:val="superscript"/>
              </w:rPr>
              <w:t>6</w:t>
            </w:r>
          </w:p>
        </w:tc>
        <w:tc>
          <w:tcPr>
            <w:tcW w:w="693" w:type="pct"/>
          </w:tcPr>
          <w:p w:rsidR="005E15EF" w:rsidRPr="00070E7E" w:rsidRDefault="00070E7E" w:rsidP="005E15EF">
            <w:pPr>
              <w:pStyle w:val="Tabletext"/>
              <w:jc w:val="center"/>
              <w:rPr>
                <w:color w:val="000000"/>
              </w:rPr>
            </w:pPr>
            <w:r>
              <w:rPr>
                <w:noProof/>
                <w:color w:val="000000"/>
                <w:highlight w:val="black"/>
              </w:rPr>
              <w:t>'''''''''''''''</w:t>
            </w:r>
            <w:r w:rsidR="00714800" w:rsidRPr="00714800">
              <w:rPr>
                <w:rStyle w:val="CommentReference"/>
                <w:b w:val="0"/>
                <w:sz w:val="18"/>
                <w:vertAlign w:val="superscript"/>
              </w:rPr>
              <w:t>7</w:t>
            </w:r>
          </w:p>
        </w:tc>
      </w:tr>
      <w:tr w:rsidR="005E15EF" w:rsidRPr="007F116C" w:rsidTr="00070E7E">
        <w:tc>
          <w:tcPr>
            <w:tcW w:w="5000" w:type="pct"/>
            <w:gridSpan w:val="7"/>
            <w:shd w:val="clear" w:color="auto" w:fill="auto"/>
            <w:vAlign w:val="center"/>
          </w:tcPr>
          <w:p w:rsidR="005E15EF" w:rsidRPr="007F116C" w:rsidRDefault="005E15EF" w:rsidP="005E15EF">
            <w:pPr>
              <w:pStyle w:val="Tabletext"/>
              <w:rPr>
                <w:b/>
                <w:bCs/>
                <w:color w:val="000000"/>
              </w:rPr>
            </w:pPr>
            <w:r w:rsidRPr="007F116C">
              <w:rPr>
                <w:b/>
                <w:bCs/>
                <w:color w:val="000000"/>
              </w:rPr>
              <w:t>Estimated financial implications of ofatumumab</w:t>
            </w:r>
          </w:p>
        </w:tc>
      </w:tr>
      <w:tr w:rsidR="00070E7E" w:rsidRPr="007F116C" w:rsidTr="00070E7E">
        <w:tc>
          <w:tcPr>
            <w:tcW w:w="1000" w:type="pct"/>
            <w:shd w:val="clear" w:color="auto" w:fill="auto"/>
            <w:vAlign w:val="center"/>
          </w:tcPr>
          <w:p w:rsidR="005E15EF" w:rsidRPr="007F116C" w:rsidRDefault="005E15EF" w:rsidP="005E15EF">
            <w:pPr>
              <w:pStyle w:val="Tabletext"/>
              <w:rPr>
                <w:rFonts w:ascii="Times" w:hAnsi="Times"/>
              </w:rPr>
            </w:pPr>
            <w:r w:rsidRPr="007F116C">
              <w:rPr>
                <w:sz w:val="19"/>
                <w:szCs w:val="19"/>
              </w:rPr>
              <w:t>Cost to PBS/RPBS</w:t>
            </w:r>
          </w:p>
        </w:tc>
        <w:tc>
          <w:tcPr>
            <w:tcW w:w="692"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8</w:t>
            </w:r>
          </w:p>
        </w:tc>
        <w:tc>
          <w:tcPr>
            <w:tcW w:w="615"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9</w:t>
            </w:r>
          </w:p>
        </w:tc>
        <w:tc>
          <w:tcPr>
            <w:tcW w:w="692"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10</w:t>
            </w:r>
          </w:p>
        </w:tc>
        <w:tc>
          <w:tcPr>
            <w:tcW w:w="620"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11</w:t>
            </w:r>
          </w:p>
        </w:tc>
        <w:tc>
          <w:tcPr>
            <w:tcW w:w="688"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12</w:t>
            </w:r>
          </w:p>
        </w:tc>
        <w:tc>
          <w:tcPr>
            <w:tcW w:w="693" w:type="pct"/>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13</w:t>
            </w:r>
          </w:p>
        </w:tc>
      </w:tr>
      <w:tr w:rsidR="00070E7E" w:rsidRPr="007F116C" w:rsidTr="00070E7E">
        <w:tc>
          <w:tcPr>
            <w:tcW w:w="1000" w:type="pct"/>
            <w:shd w:val="clear" w:color="auto" w:fill="auto"/>
            <w:vAlign w:val="center"/>
          </w:tcPr>
          <w:p w:rsidR="005E15EF" w:rsidRPr="007F116C" w:rsidRDefault="005E15EF" w:rsidP="005E15EF">
            <w:pPr>
              <w:pStyle w:val="Tabletext"/>
              <w:rPr>
                <w:sz w:val="19"/>
                <w:szCs w:val="19"/>
              </w:rPr>
            </w:pPr>
            <w:r w:rsidRPr="007F116C">
              <w:rPr>
                <w:sz w:val="19"/>
                <w:szCs w:val="19"/>
              </w:rPr>
              <w:t>Copayments</w:t>
            </w:r>
          </w:p>
        </w:tc>
        <w:tc>
          <w:tcPr>
            <w:tcW w:w="692" w:type="pct"/>
            <w:shd w:val="clear" w:color="auto" w:fill="auto"/>
            <w:vAlign w:val="center"/>
          </w:tcPr>
          <w:p w:rsidR="005E15EF" w:rsidRPr="007F116C" w:rsidRDefault="005E15EF" w:rsidP="005E15EF">
            <w:pPr>
              <w:pStyle w:val="Tabletext"/>
              <w:jc w:val="center"/>
              <w:rPr>
                <w:bCs/>
                <w:color w:val="000000"/>
              </w:rPr>
            </w:pPr>
            <w:r w:rsidRPr="007F116C">
              <w:rPr>
                <w:rFonts w:cs="Calibri"/>
                <w:bCs/>
                <w:color w:val="000000"/>
                <w:szCs w:val="20"/>
              </w:rPr>
              <w:t>$</w:t>
            </w:r>
            <w:r w:rsidR="00070E7E">
              <w:rPr>
                <w:rFonts w:cs="Calibri"/>
                <w:bCs/>
                <w:noProof/>
                <w:color w:val="000000"/>
                <w:szCs w:val="20"/>
                <w:highlight w:val="black"/>
              </w:rPr>
              <w:t>'''''''''''''''''''</w:t>
            </w:r>
            <w:r w:rsidR="00182863">
              <w:rPr>
                <w:rStyle w:val="CommentReference"/>
                <w:b w:val="0"/>
                <w:sz w:val="18"/>
                <w:vertAlign w:val="superscript"/>
              </w:rPr>
              <w:t>17</w:t>
            </w:r>
          </w:p>
        </w:tc>
        <w:tc>
          <w:tcPr>
            <w:tcW w:w="615" w:type="pct"/>
            <w:shd w:val="clear" w:color="auto" w:fill="auto"/>
            <w:vAlign w:val="center"/>
          </w:tcPr>
          <w:p w:rsidR="005E15EF" w:rsidRPr="007F116C" w:rsidRDefault="005E15EF" w:rsidP="005E15EF">
            <w:pPr>
              <w:pStyle w:val="Tabletext"/>
              <w:jc w:val="center"/>
              <w:rPr>
                <w:bCs/>
                <w:color w:val="000000"/>
              </w:rPr>
            </w:pPr>
            <w:r w:rsidRPr="007F116C">
              <w:rPr>
                <w:rFonts w:cs="Calibri"/>
                <w:bCs/>
                <w:color w:val="000000"/>
                <w:szCs w:val="20"/>
              </w:rPr>
              <w:t>$</w:t>
            </w:r>
            <w:r w:rsidR="00070E7E">
              <w:rPr>
                <w:rFonts w:cs="Calibri"/>
                <w:bCs/>
                <w:noProof/>
                <w:color w:val="000000"/>
                <w:szCs w:val="20"/>
                <w:highlight w:val="black"/>
              </w:rPr>
              <w:t>''''''''''''''''''</w:t>
            </w:r>
            <w:r w:rsidR="00182863">
              <w:rPr>
                <w:rStyle w:val="CommentReference"/>
                <w:b w:val="0"/>
                <w:sz w:val="18"/>
                <w:vertAlign w:val="superscript"/>
              </w:rPr>
              <w:t>17</w:t>
            </w:r>
          </w:p>
        </w:tc>
        <w:tc>
          <w:tcPr>
            <w:tcW w:w="692" w:type="pct"/>
            <w:shd w:val="clear" w:color="auto" w:fill="auto"/>
            <w:vAlign w:val="center"/>
          </w:tcPr>
          <w:p w:rsidR="005E15EF" w:rsidRPr="007F116C" w:rsidRDefault="005E15EF" w:rsidP="005E15EF">
            <w:pPr>
              <w:pStyle w:val="Tabletext"/>
              <w:jc w:val="center"/>
              <w:rPr>
                <w:bCs/>
                <w:color w:val="000000"/>
              </w:rPr>
            </w:pPr>
            <w:r w:rsidRPr="007F116C">
              <w:rPr>
                <w:rFonts w:cs="Calibri"/>
                <w:bCs/>
                <w:color w:val="000000"/>
                <w:szCs w:val="20"/>
              </w:rPr>
              <w:t>$</w:t>
            </w:r>
            <w:r w:rsidR="00070E7E">
              <w:rPr>
                <w:rFonts w:cs="Calibri"/>
                <w:bCs/>
                <w:noProof/>
                <w:color w:val="000000"/>
                <w:szCs w:val="20"/>
                <w:highlight w:val="black"/>
              </w:rPr>
              <w:t>''''''''''''''''''</w:t>
            </w:r>
            <w:r w:rsidR="00182863">
              <w:rPr>
                <w:rStyle w:val="CommentReference"/>
                <w:b w:val="0"/>
                <w:sz w:val="18"/>
                <w:vertAlign w:val="superscript"/>
              </w:rPr>
              <w:t>17</w:t>
            </w:r>
            <w:r w:rsidRPr="007F116C">
              <w:rPr>
                <w:rFonts w:cs="Calibri"/>
                <w:bCs/>
                <w:color w:val="000000"/>
                <w:szCs w:val="20"/>
              </w:rPr>
              <w:t xml:space="preserve"> </w:t>
            </w:r>
          </w:p>
        </w:tc>
        <w:tc>
          <w:tcPr>
            <w:tcW w:w="620" w:type="pct"/>
            <w:shd w:val="clear" w:color="auto" w:fill="auto"/>
            <w:vAlign w:val="center"/>
          </w:tcPr>
          <w:p w:rsidR="005E15EF" w:rsidRPr="007F116C" w:rsidRDefault="005E15EF" w:rsidP="005E15EF">
            <w:pPr>
              <w:pStyle w:val="Tabletext"/>
              <w:jc w:val="center"/>
              <w:rPr>
                <w:bCs/>
                <w:color w:val="000000"/>
              </w:rPr>
            </w:pPr>
            <w:r w:rsidRPr="007F116C">
              <w:rPr>
                <w:rFonts w:cs="Calibri"/>
                <w:bCs/>
                <w:color w:val="000000"/>
                <w:szCs w:val="20"/>
              </w:rPr>
              <w:t>$</w:t>
            </w:r>
            <w:r w:rsidR="00070E7E">
              <w:rPr>
                <w:rFonts w:cs="Calibri"/>
                <w:bCs/>
                <w:noProof/>
                <w:color w:val="000000"/>
                <w:szCs w:val="20"/>
                <w:highlight w:val="black"/>
              </w:rPr>
              <w:t>''''''''''''''''''''''</w:t>
            </w:r>
            <w:r w:rsidR="00182863">
              <w:rPr>
                <w:rStyle w:val="CommentReference"/>
                <w:b w:val="0"/>
                <w:sz w:val="18"/>
                <w:vertAlign w:val="superscript"/>
              </w:rPr>
              <w:t>17</w:t>
            </w:r>
            <w:r w:rsidRPr="007F116C">
              <w:rPr>
                <w:rFonts w:cs="Calibri"/>
                <w:bCs/>
                <w:color w:val="000000"/>
                <w:szCs w:val="20"/>
              </w:rPr>
              <w:t xml:space="preserve"> </w:t>
            </w:r>
          </w:p>
        </w:tc>
        <w:tc>
          <w:tcPr>
            <w:tcW w:w="688" w:type="pct"/>
            <w:shd w:val="clear" w:color="auto" w:fill="auto"/>
            <w:vAlign w:val="center"/>
          </w:tcPr>
          <w:p w:rsidR="005E15EF" w:rsidRPr="007F116C" w:rsidRDefault="005E15EF" w:rsidP="005E15EF">
            <w:pPr>
              <w:pStyle w:val="Tabletext"/>
              <w:jc w:val="center"/>
              <w:rPr>
                <w:bCs/>
                <w:color w:val="000000"/>
              </w:rPr>
            </w:pPr>
            <w:r w:rsidRPr="007F116C">
              <w:rPr>
                <w:rFonts w:cs="Calibri"/>
                <w:bCs/>
                <w:color w:val="000000"/>
                <w:szCs w:val="20"/>
              </w:rPr>
              <w:t>$</w:t>
            </w:r>
            <w:r w:rsidR="00070E7E">
              <w:rPr>
                <w:rFonts w:cs="Calibri"/>
                <w:bCs/>
                <w:noProof/>
                <w:color w:val="000000"/>
                <w:szCs w:val="20"/>
                <w:highlight w:val="black"/>
              </w:rPr>
              <w:t>'''''''''''''''''''''''</w:t>
            </w:r>
            <w:r w:rsidR="00182863">
              <w:rPr>
                <w:rStyle w:val="CommentReference"/>
                <w:b w:val="0"/>
                <w:sz w:val="18"/>
                <w:vertAlign w:val="superscript"/>
              </w:rPr>
              <w:t>17</w:t>
            </w:r>
          </w:p>
        </w:tc>
        <w:tc>
          <w:tcPr>
            <w:tcW w:w="693" w:type="pct"/>
            <w:vAlign w:val="center"/>
          </w:tcPr>
          <w:p w:rsidR="005E15EF" w:rsidRPr="007F116C" w:rsidRDefault="005E15EF" w:rsidP="005E15EF">
            <w:pPr>
              <w:pStyle w:val="Tabletext"/>
              <w:jc w:val="center"/>
              <w:rPr>
                <w:bCs/>
                <w:color w:val="000000"/>
              </w:rPr>
            </w:pPr>
            <w:r w:rsidRPr="007F116C">
              <w:rPr>
                <w:rFonts w:cs="Calibri"/>
                <w:bCs/>
                <w:color w:val="000000"/>
                <w:szCs w:val="20"/>
              </w:rPr>
              <w:t>$</w:t>
            </w:r>
            <w:r w:rsidR="00070E7E">
              <w:rPr>
                <w:rFonts w:cs="Calibri"/>
                <w:bCs/>
                <w:noProof/>
                <w:color w:val="000000"/>
                <w:szCs w:val="20"/>
                <w:highlight w:val="black"/>
              </w:rPr>
              <w:t>'''''''''''''''''''''''</w:t>
            </w:r>
            <w:r w:rsidR="00182863">
              <w:rPr>
                <w:rStyle w:val="CommentReference"/>
                <w:b w:val="0"/>
                <w:sz w:val="18"/>
                <w:vertAlign w:val="superscript"/>
              </w:rPr>
              <w:t>17</w:t>
            </w:r>
            <w:r w:rsidRPr="007F116C">
              <w:rPr>
                <w:rFonts w:cs="Calibri"/>
                <w:bCs/>
                <w:color w:val="000000"/>
                <w:szCs w:val="20"/>
              </w:rPr>
              <w:t xml:space="preserve"> </w:t>
            </w:r>
          </w:p>
        </w:tc>
      </w:tr>
      <w:tr w:rsidR="00070E7E" w:rsidRPr="007F116C" w:rsidTr="00070E7E">
        <w:tc>
          <w:tcPr>
            <w:tcW w:w="1000" w:type="pct"/>
            <w:shd w:val="clear" w:color="auto" w:fill="auto"/>
            <w:vAlign w:val="center"/>
          </w:tcPr>
          <w:p w:rsidR="005E15EF" w:rsidRPr="007F116C" w:rsidRDefault="005E15EF" w:rsidP="005E15EF">
            <w:pPr>
              <w:pStyle w:val="Tabletext"/>
              <w:rPr>
                <w:sz w:val="19"/>
                <w:szCs w:val="19"/>
              </w:rPr>
            </w:pPr>
            <w:r w:rsidRPr="007F116C">
              <w:rPr>
                <w:sz w:val="19"/>
                <w:szCs w:val="19"/>
              </w:rPr>
              <w:t>Cost to PBS/RPBS less copayments</w:t>
            </w:r>
          </w:p>
        </w:tc>
        <w:tc>
          <w:tcPr>
            <w:tcW w:w="692"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8</w:t>
            </w:r>
          </w:p>
        </w:tc>
        <w:tc>
          <w:tcPr>
            <w:tcW w:w="615"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9</w:t>
            </w:r>
          </w:p>
        </w:tc>
        <w:tc>
          <w:tcPr>
            <w:tcW w:w="692"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10</w:t>
            </w:r>
          </w:p>
        </w:tc>
        <w:tc>
          <w:tcPr>
            <w:tcW w:w="620"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11</w:t>
            </w:r>
          </w:p>
        </w:tc>
        <w:tc>
          <w:tcPr>
            <w:tcW w:w="688"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12</w:t>
            </w:r>
          </w:p>
        </w:tc>
        <w:tc>
          <w:tcPr>
            <w:tcW w:w="693" w:type="pct"/>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C7C71">
              <w:rPr>
                <w:rStyle w:val="CommentReference"/>
                <w:b w:val="0"/>
                <w:sz w:val="18"/>
                <w:vertAlign w:val="superscript"/>
              </w:rPr>
              <w:t>13</w:t>
            </w:r>
          </w:p>
        </w:tc>
      </w:tr>
      <w:tr w:rsidR="005E15EF" w:rsidRPr="007F116C" w:rsidTr="00070E7E">
        <w:tc>
          <w:tcPr>
            <w:tcW w:w="5000" w:type="pct"/>
            <w:gridSpan w:val="7"/>
            <w:shd w:val="clear" w:color="auto" w:fill="auto"/>
            <w:vAlign w:val="center"/>
          </w:tcPr>
          <w:p w:rsidR="005E15EF" w:rsidRPr="007F116C" w:rsidRDefault="005E15EF" w:rsidP="005E15EF">
            <w:pPr>
              <w:pStyle w:val="Tabletext"/>
              <w:rPr>
                <w:bCs/>
                <w:color w:val="000000"/>
              </w:rPr>
            </w:pPr>
            <w:r w:rsidRPr="007F116C">
              <w:rPr>
                <w:b/>
                <w:bCs/>
                <w:color w:val="000000"/>
              </w:rPr>
              <w:t>Estimated financial implications for replaced medicines</w:t>
            </w:r>
          </w:p>
        </w:tc>
      </w:tr>
      <w:tr w:rsidR="00070E7E" w:rsidRPr="007F116C" w:rsidTr="00070E7E">
        <w:tc>
          <w:tcPr>
            <w:tcW w:w="1000" w:type="pct"/>
            <w:shd w:val="clear" w:color="auto" w:fill="auto"/>
            <w:vAlign w:val="center"/>
          </w:tcPr>
          <w:p w:rsidR="005E15EF" w:rsidRPr="007F116C" w:rsidRDefault="005E15EF" w:rsidP="005E15EF">
            <w:pPr>
              <w:pStyle w:val="Tabletext"/>
              <w:rPr>
                <w:sz w:val="19"/>
                <w:szCs w:val="19"/>
              </w:rPr>
            </w:pPr>
            <w:r w:rsidRPr="007F116C">
              <w:rPr>
                <w:sz w:val="19"/>
                <w:szCs w:val="19"/>
              </w:rPr>
              <w:t>Cost to PBS/RPBS</w:t>
            </w:r>
          </w:p>
        </w:tc>
        <w:tc>
          <w:tcPr>
            <w:tcW w:w="692"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DF2340" w:rsidRPr="00DF2340">
              <w:rPr>
                <w:rStyle w:val="CommentReference"/>
                <w:b w:val="0"/>
                <w:sz w:val="18"/>
                <w:vertAlign w:val="superscript"/>
              </w:rPr>
              <w:t>14</w:t>
            </w:r>
          </w:p>
        </w:tc>
        <w:tc>
          <w:tcPr>
            <w:tcW w:w="615"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DF2340" w:rsidRPr="00DF2340">
              <w:rPr>
                <w:rStyle w:val="CommentReference"/>
                <w:b w:val="0"/>
                <w:sz w:val="18"/>
                <w:vertAlign w:val="superscript"/>
              </w:rPr>
              <w:t>9</w:t>
            </w:r>
          </w:p>
        </w:tc>
        <w:tc>
          <w:tcPr>
            <w:tcW w:w="692"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DF2340">
              <w:rPr>
                <w:rStyle w:val="CommentReference"/>
                <w:b w:val="0"/>
                <w:sz w:val="18"/>
                <w:vertAlign w:val="superscript"/>
              </w:rPr>
              <w:t>15</w:t>
            </w:r>
          </w:p>
        </w:tc>
        <w:tc>
          <w:tcPr>
            <w:tcW w:w="620"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DF2340">
              <w:rPr>
                <w:rStyle w:val="CommentReference"/>
                <w:b w:val="0"/>
                <w:sz w:val="18"/>
                <w:vertAlign w:val="superscript"/>
              </w:rPr>
              <w:t>16</w:t>
            </w:r>
          </w:p>
        </w:tc>
        <w:tc>
          <w:tcPr>
            <w:tcW w:w="688"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DF2340" w:rsidRPr="00DF2340">
              <w:rPr>
                <w:rStyle w:val="CommentReference"/>
                <w:b w:val="0"/>
                <w:sz w:val="18"/>
                <w:vertAlign w:val="superscript"/>
              </w:rPr>
              <w:t>11</w:t>
            </w:r>
          </w:p>
        </w:tc>
        <w:tc>
          <w:tcPr>
            <w:tcW w:w="693" w:type="pct"/>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473D1D" w:rsidRPr="00DF2340">
              <w:rPr>
                <w:rStyle w:val="CommentReference"/>
                <w:b w:val="0"/>
                <w:sz w:val="18"/>
                <w:vertAlign w:val="superscript"/>
              </w:rPr>
              <w:t>13</w:t>
            </w:r>
          </w:p>
        </w:tc>
      </w:tr>
      <w:tr w:rsidR="00070E7E" w:rsidRPr="007F116C" w:rsidTr="00070E7E">
        <w:tc>
          <w:tcPr>
            <w:tcW w:w="1000" w:type="pct"/>
            <w:shd w:val="clear" w:color="auto" w:fill="auto"/>
            <w:vAlign w:val="center"/>
          </w:tcPr>
          <w:p w:rsidR="005E15EF" w:rsidRPr="007F116C" w:rsidRDefault="005E15EF" w:rsidP="005E15EF">
            <w:pPr>
              <w:pStyle w:val="Tabletext"/>
              <w:rPr>
                <w:sz w:val="19"/>
                <w:szCs w:val="19"/>
              </w:rPr>
            </w:pPr>
            <w:r w:rsidRPr="007F116C">
              <w:rPr>
                <w:sz w:val="19"/>
                <w:szCs w:val="19"/>
              </w:rPr>
              <w:t>Copayments</w:t>
            </w:r>
          </w:p>
        </w:tc>
        <w:tc>
          <w:tcPr>
            <w:tcW w:w="692"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C155AD">
              <w:rPr>
                <w:rStyle w:val="CommentReference"/>
                <w:b w:val="0"/>
                <w:sz w:val="18"/>
                <w:vertAlign w:val="superscript"/>
              </w:rPr>
              <w:t>17</w:t>
            </w:r>
          </w:p>
        </w:tc>
        <w:tc>
          <w:tcPr>
            <w:tcW w:w="615"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C155AD">
              <w:rPr>
                <w:rStyle w:val="CommentReference"/>
                <w:b w:val="0"/>
                <w:sz w:val="18"/>
                <w:vertAlign w:val="superscript"/>
              </w:rPr>
              <w:t>17</w:t>
            </w:r>
          </w:p>
        </w:tc>
        <w:tc>
          <w:tcPr>
            <w:tcW w:w="692"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C155AD">
              <w:rPr>
                <w:rStyle w:val="CommentReference"/>
                <w:b w:val="0"/>
                <w:sz w:val="18"/>
                <w:vertAlign w:val="superscript"/>
              </w:rPr>
              <w:t>17</w:t>
            </w:r>
          </w:p>
        </w:tc>
        <w:tc>
          <w:tcPr>
            <w:tcW w:w="620"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C155AD">
              <w:rPr>
                <w:rStyle w:val="CommentReference"/>
                <w:b w:val="0"/>
                <w:sz w:val="18"/>
                <w:vertAlign w:val="superscript"/>
              </w:rPr>
              <w:t>17</w:t>
            </w:r>
          </w:p>
        </w:tc>
        <w:tc>
          <w:tcPr>
            <w:tcW w:w="688"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C155AD">
              <w:rPr>
                <w:rStyle w:val="CommentReference"/>
                <w:b w:val="0"/>
                <w:sz w:val="18"/>
                <w:vertAlign w:val="superscript"/>
              </w:rPr>
              <w:t>17</w:t>
            </w:r>
          </w:p>
        </w:tc>
        <w:tc>
          <w:tcPr>
            <w:tcW w:w="693" w:type="pct"/>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C155AD">
              <w:rPr>
                <w:rStyle w:val="CommentReference"/>
                <w:b w:val="0"/>
                <w:sz w:val="18"/>
                <w:vertAlign w:val="superscript"/>
              </w:rPr>
              <w:t>17</w:t>
            </w:r>
          </w:p>
        </w:tc>
      </w:tr>
      <w:tr w:rsidR="00070E7E" w:rsidRPr="007F116C" w:rsidTr="00070E7E">
        <w:tc>
          <w:tcPr>
            <w:tcW w:w="1000" w:type="pct"/>
            <w:shd w:val="clear" w:color="auto" w:fill="auto"/>
            <w:vAlign w:val="center"/>
          </w:tcPr>
          <w:p w:rsidR="005E15EF" w:rsidRPr="007F116C" w:rsidRDefault="005E15EF" w:rsidP="005E15EF">
            <w:pPr>
              <w:pStyle w:val="Tabletext"/>
              <w:rPr>
                <w:sz w:val="19"/>
                <w:szCs w:val="19"/>
              </w:rPr>
            </w:pPr>
            <w:r w:rsidRPr="007F116C">
              <w:rPr>
                <w:sz w:val="19"/>
                <w:szCs w:val="19"/>
              </w:rPr>
              <w:t>Cost to PBS/RPBS less copayments</w:t>
            </w:r>
          </w:p>
        </w:tc>
        <w:tc>
          <w:tcPr>
            <w:tcW w:w="692"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DF2340" w:rsidRPr="00DF2340">
              <w:rPr>
                <w:rStyle w:val="CommentReference"/>
                <w:b w:val="0"/>
                <w:sz w:val="18"/>
                <w:vertAlign w:val="superscript"/>
              </w:rPr>
              <w:t>14</w:t>
            </w:r>
          </w:p>
        </w:tc>
        <w:tc>
          <w:tcPr>
            <w:tcW w:w="615"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473D1D" w:rsidRPr="00DF2340">
              <w:rPr>
                <w:rStyle w:val="CommentReference"/>
                <w:b w:val="0"/>
                <w:sz w:val="18"/>
                <w:vertAlign w:val="superscript"/>
              </w:rPr>
              <w:t>9</w:t>
            </w:r>
          </w:p>
        </w:tc>
        <w:tc>
          <w:tcPr>
            <w:tcW w:w="692"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473D1D">
              <w:rPr>
                <w:rStyle w:val="CommentReference"/>
                <w:b w:val="0"/>
                <w:sz w:val="18"/>
                <w:vertAlign w:val="superscript"/>
              </w:rPr>
              <w:t>15</w:t>
            </w:r>
          </w:p>
        </w:tc>
        <w:tc>
          <w:tcPr>
            <w:tcW w:w="620"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DF2340">
              <w:rPr>
                <w:rStyle w:val="CommentReference"/>
                <w:b w:val="0"/>
                <w:sz w:val="18"/>
                <w:vertAlign w:val="superscript"/>
              </w:rPr>
              <w:t>16</w:t>
            </w:r>
          </w:p>
        </w:tc>
        <w:tc>
          <w:tcPr>
            <w:tcW w:w="688" w:type="pct"/>
            <w:shd w:val="clear" w:color="auto" w:fill="auto"/>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DF2340" w:rsidRPr="00DF2340">
              <w:rPr>
                <w:rStyle w:val="CommentReference"/>
                <w:b w:val="0"/>
                <w:sz w:val="18"/>
                <w:vertAlign w:val="superscript"/>
              </w:rPr>
              <w:t>11</w:t>
            </w:r>
          </w:p>
        </w:tc>
        <w:tc>
          <w:tcPr>
            <w:tcW w:w="693" w:type="pct"/>
            <w:vAlign w:val="center"/>
          </w:tcPr>
          <w:p w:rsidR="005E15EF" w:rsidRPr="001364DB" w:rsidRDefault="005E15EF" w:rsidP="005E15EF">
            <w:pPr>
              <w:pStyle w:val="Tabletext"/>
              <w:jc w:val="center"/>
              <w:rPr>
                <w:color w:val="000000"/>
              </w:rPr>
            </w:pPr>
            <w:r w:rsidRPr="001364DB">
              <w:rPr>
                <w:szCs w:val="18"/>
              </w:rPr>
              <w:t>-$</w:t>
            </w:r>
            <w:r w:rsidR="00070E7E">
              <w:rPr>
                <w:noProof/>
                <w:color w:val="000000"/>
                <w:szCs w:val="18"/>
                <w:highlight w:val="black"/>
              </w:rPr>
              <w:t>''''''''''''''''''''''''</w:t>
            </w:r>
            <w:r w:rsidR="00473D1D" w:rsidRPr="00DF2340">
              <w:rPr>
                <w:rStyle w:val="CommentReference"/>
                <w:b w:val="0"/>
                <w:sz w:val="18"/>
                <w:vertAlign w:val="superscript"/>
              </w:rPr>
              <w:t>12</w:t>
            </w:r>
          </w:p>
        </w:tc>
      </w:tr>
      <w:tr w:rsidR="005E15EF" w:rsidRPr="007F116C" w:rsidTr="00070E7E">
        <w:tc>
          <w:tcPr>
            <w:tcW w:w="5000" w:type="pct"/>
            <w:gridSpan w:val="7"/>
            <w:shd w:val="clear" w:color="auto" w:fill="auto"/>
            <w:vAlign w:val="center"/>
          </w:tcPr>
          <w:p w:rsidR="005E15EF" w:rsidRPr="007F116C" w:rsidRDefault="005E15EF" w:rsidP="005E15EF">
            <w:pPr>
              <w:pStyle w:val="Tabletext"/>
              <w:rPr>
                <w:b/>
                <w:bCs/>
                <w:color w:val="000000"/>
              </w:rPr>
            </w:pPr>
            <w:r w:rsidRPr="007F116C">
              <w:rPr>
                <w:b/>
                <w:bCs/>
                <w:color w:val="000000"/>
              </w:rPr>
              <w:t>Net financial implications</w:t>
            </w:r>
          </w:p>
        </w:tc>
      </w:tr>
      <w:tr w:rsidR="00070E7E" w:rsidRPr="007F116C" w:rsidTr="00070E7E">
        <w:tc>
          <w:tcPr>
            <w:tcW w:w="1000" w:type="pct"/>
            <w:shd w:val="clear" w:color="auto" w:fill="auto"/>
            <w:vAlign w:val="center"/>
          </w:tcPr>
          <w:p w:rsidR="005E15EF" w:rsidRPr="007F116C" w:rsidRDefault="005E15EF" w:rsidP="005E15EF">
            <w:pPr>
              <w:pStyle w:val="Tabletext"/>
              <w:rPr>
                <w:sz w:val="19"/>
                <w:szCs w:val="19"/>
              </w:rPr>
            </w:pPr>
            <w:r w:rsidRPr="007F116C">
              <w:rPr>
                <w:sz w:val="19"/>
                <w:szCs w:val="19"/>
              </w:rPr>
              <w:t>Net cost to PBS/RPBS</w:t>
            </w:r>
          </w:p>
        </w:tc>
        <w:tc>
          <w:tcPr>
            <w:tcW w:w="692" w:type="pct"/>
            <w:shd w:val="clear" w:color="auto" w:fill="auto"/>
          </w:tcPr>
          <w:p w:rsidR="005E15EF" w:rsidRPr="007F116C" w:rsidRDefault="005E15EF" w:rsidP="005E15EF">
            <w:pPr>
              <w:pStyle w:val="Tabletext"/>
              <w:jc w:val="center"/>
              <w:rPr>
                <w:bCs/>
                <w:color w:val="000000"/>
              </w:rPr>
            </w:pPr>
            <w:r w:rsidRPr="007F116C">
              <w:t>$</w:t>
            </w:r>
            <w:r w:rsidR="00070E7E">
              <w:rPr>
                <w:noProof/>
                <w:color w:val="000000"/>
                <w:highlight w:val="black"/>
              </w:rPr>
              <w:t>''''''''''''''''''''''''''</w:t>
            </w:r>
            <w:r w:rsidR="00473D1D">
              <w:rPr>
                <w:rStyle w:val="CommentReference"/>
                <w:b w:val="0"/>
                <w:sz w:val="18"/>
                <w:vertAlign w:val="superscript"/>
              </w:rPr>
              <w:t>17</w:t>
            </w:r>
          </w:p>
        </w:tc>
        <w:tc>
          <w:tcPr>
            <w:tcW w:w="615" w:type="pct"/>
            <w:shd w:val="clear" w:color="auto" w:fill="auto"/>
          </w:tcPr>
          <w:p w:rsidR="005E15EF" w:rsidRPr="007F116C" w:rsidRDefault="005E15EF" w:rsidP="005E15EF">
            <w:pPr>
              <w:pStyle w:val="Tabletext"/>
              <w:jc w:val="center"/>
              <w:rPr>
                <w:bCs/>
                <w:color w:val="000000"/>
              </w:rPr>
            </w:pPr>
            <w:r w:rsidRPr="007F116C">
              <w:t>$</w:t>
            </w:r>
            <w:r w:rsidR="00070E7E">
              <w:rPr>
                <w:noProof/>
                <w:color w:val="000000"/>
                <w:highlight w:val="black"/>
              </w:rPr>
              <w:t>'''''''''''''''''''''''''</w:t>
            </w:r>
            <w:r w:rsidR="00473D1D">
              <w:rPr>
                <w:rStyle w:val="CommentReference"/>
                <w:b w:val="0"/>
                <w:sz w:val="18"/>
                <w:vertAlign w:val="superscript"/>
              </w:rPr>
              <w:t>17</w:t>
            </w:r>
          </w:p>
        </w:tc>
        <w:tc>
          <w:tcPr>
            <w:tcW w:w="692" w:type="pct"/>
            <w:shd w:val="clear" w:color="auto" w:fill="auto"/>
          </w:tcPr>
          <w:p w:rsidR="005E15EF" w:rsidRPr="007F116C" w:rsidRDefault="005E15EF" w:rsidP="005E15EF">
            <w:pPr>
              <w:pStyle w:val="Tabletext"/>
              <w:jc w:val="center"/>
              <w:rPr>
                <w:bCs/>
                <w:color w:val="000000"/>
              </w:rPr>
            </w:pPr>
            <w:r w:rsidRPr="007F116C">
              <w:t>$</w:t>
            </w:r>
            <w:r w:rsidR="00070E7E">
              <w:rPr>
                <w:noProof/>
                <w:color w:val="000000"/>
                <w:highlight w:val="black"/>
              </w:rPr>
              <w:t>'''''''''''''''''''''''''</w:t>
            </w:r>
            <w:r w:rsidR="00473D1D">
              <w:rPr>
                <w:rStyle w:val="CommentReference"/>
                <w:b w:val="0"/>
                <w:sz w:val="18"/>
                <w:vertAlign w:val="superscript"/>
              </w:rPr>
              <w:t>17</w:t>
            </w:r>
          </w:p>
        </w:tc>
        <w:tc>
          <w:tcPr>
            <w:tcW w:w="620" w:type="pct"/>
            <w:shd w:val="clear" w:color="auto" w:fill="auto"/>
          </w:tcPr>
          <w:p w:rsidR="005E15EF" w:rsidRPr="007F116C" w:rsidRDefault="005E15EF" w:rsidP="005E15EF">
            <w:pPr>
              <w:pStyle w:val="Tabletext"/>
              <w:jc w:val="center"/>
              <w:rPr>
                <w:bCs/>
                <w:color w:val="000000"/>
              </w:rPr>
            </w:pPr>
            <w:r w:rsidRPr="007F116C">
              <w:t>$</w:t>
            </w:r>
            <w:r w:rsidR="00070E7E">
              <w:rPr>
                <w:noProof/>
                <w:color w:val="000000"/>
                <w:highlight w:val="black"/>
              </w:rPr>
              <w:t>'''''''''''''''''''''''</w:t>
            </w:r>
            <w:r w:rsidR="00473D1D">
              <w:rPr>
                <w:rStyle w:val="CommentReference"/>
                <w:b w:val="0"/>
                <w:sz w:val="18"/>
                <w:vertAlign w:val="superscript"/>
              </w:rPr>
              <w:t>17</w:t>
            </w:r>
          </w:p>
        </w:tc>
        <w:tc>
          <w:tcPr>
            <w:tcW w:w="688" w:type="pct"/>
            <w:shd w:val="clear" w:color="auto" w:fill="auto"/>
          </w:tcPr>
          <w:p w:rsidR="005E15EF" w:rsidRPr="007F116C" w:rsidRDefault="005E15EF" w:rsidP="005E15EF">
            <w:pPr>
              <w:pStyle w:val="Tabletext"/>
              <w:jc w:val="center"/>
              <w:rPr>
                <w:bCs/>
                <w:color w:val="000000"/>
              </w:rPr>
            </w:pPr>
            <w:r w:rsidRPr="007F116C">
              <w:t>$</w:t>
            </w:r>
            <w:r w:rsidR="00070E7E">
              <w:rPr>
                <w:noProof/>
                <w:color w:val="000000"/>
                <w:highlight w:val="black"/>
              </w:rPr>
              <w:t>'''''''''''''''''''''''</w:t>
            </w:r>
            <w:r w:rsidR="00473D1D">
              <w:rPr>
                <w:rStyle w:val="CommentReference"/>
                <w:b w:val="0"/>
                <w:sz w:val="18"/>
                <w:vertAlign w:val="superscript"/>
              </w:rPr>
              <w:t>17</w:t>
            </w:r>
          </w:p>
        </w:tc>
        <w:tc>
          <w:tcPr>
            <w:tcW w:w="693" w:type="pct"/>
          </w:tcPr>
          <w:p w:rsidR="005E15EF" w:rsidRPr="007F116C" w:rsidRDefault="005E15EF" w:rsidP="005E15EF">
            <w:pPr>
              <w:pStyle w:val="Tabletext"/>
              <w:jc w:val="center"/>
              <w:rPr>
                <w:bCs/>
                <w:color w:val="000000"/>
              </w:rPr>
            </w:pPr>
            <w:r w:rsidRPr="007F116C">
              <w:t>$</w:t>
            </w:r>
            <w:r w:rsidR="00070E7E">
              <w:rPr>
                <w:noProof/>
                <w:color w:val="000000"/>
                <w:highlight w:val="black"/>
              </w:rPr>
              <w:t>'''''''''''''''''''''''''</w:t>
            </w:r>
            <w:r w:rsidR="00473D1D">
              <w:rPr>
                <w:rStyle w:val="CommentReference"/>
                <w:b w:val="0"/>
                <w:sz w:val="18"/>
                <w:vertAlign w:val="superscript"/>
              </w:rPr>
              <w:t>17</w:t>
            </w:r>
          </w:p>
        </w:tc>
      </w:tr>
      <w:tr w:rsidR="00070E7E" w:rsidRPr="007F116C" w:rsidTr="00070E7E">
        <w:tc>
          <w:tcPr>
            <w:tcW w:w="1000" w:type="pct"/>
            <w:shd w:val="clear" w:color="auto" w:fill="auto"/>
            <w:vAlign w:val="center"/>
          </w:tcPr>
          <w:p w:rsidR="005E15EF" w:rsidRPr="007F116C" w:rsidRDefault="005E15EF" w:rsidP="005E15EF">
            <w:pPr>
              <w:pStyle w:val="Tabletext"/>
              <w:rPr>
                <w:rFonts w:ascii="Times" w:hAnsi="Times"/>
              </w:rPr>
            </w:pPr>
            <w:r w:rsidRPr="007F116C">
              <w:rPr>
                <w:sz w:val="19"/>
                <w:szCs w:val="19"/>
              </w:rPr>
              <w:t>Net cost to MBS</w:t>
            </w:r>
          </w:p>
        </w:tc>
        <w:tc>
          <w:tcPr>
            <w:tcW w:w="692"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73D1D">
              <w:rPr>
                <w:rStyle w:val="CommentReference"/>
                <w:b w:val="0"/>
                <w:sz w:val="18"/>
                <w:vertAlign w:val="superscript"/>
              </w:rPr>
              <w:t>17</w:t>
            </w:r>
          </w:p>
        </w:tc>
        <w:tc>
          <w:tcPr>
            <w:tcW w:w="615"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73D1D">
              <w:rPr>
                <w:rStyle w:val="CommentReference"/>
                <w:b w:val="0"/>
                <w:sz w:val="18"/>
                <w:vertAlign w:val="superscript"/>
              </w:rPr>
              <w:t>17</w:t>
            </w:r>
          </w:p>
        </w:tc>
        <w:tc>
          <w:tcPr>
            <w:tcW w:w="692"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73D1D">
              <w:rPr>
                <w:rStyle w:val="CommentReference"/>
                <w:b w:val="0"/>
                <w:sz w:val="18"/>
                <w:vertAlign w:val="superscript"/>
              </w:rPr>
              <w:t>17</w:t>
            </w:r>
          </w:p>
        </w:tc>
        <w:tc>
          <w:tcPr>
            <w:tcW w:w="620"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73D1D">
              <w:rPr>
                <w:rStyle w:val="CommentReference"/>
                <w:b w:val="0"/>
                <w:sz w:val="18"/>
                <w:vertAlign w:val="superscript"/>
              </w:rPr>
              <w:t>17</w:t>
            </w:r>
          </w:p>
        </w:tc>
        <w:tc>
          <w:tcPr>
            <w:tcW w:w="688" w:type="pct"/>
            <w:shd w:val="clear" w:color="auto" w:fill="auto"/>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73D1D">
              <w:rPr>
                <w:rStyle w:val="CommentReference"/>
                <w:b w:val="0"/>
                <w:sz w:val="18"/>
                <w:vertAlign w:val="superscript"/>
              </w:rPr>
              <w:t>17</w:t>
            </w:r>
          </w:p>
        </w:tc>
        <w:tc>
          <w:tcPr>
            <w:tcW w:w="693" w:type="pct"/>
          </w:tcPr>
          <w:p w:rsidR="005E15EF" w:rsidRPr="007F116C" w:rsidRDefault="005E15EF" w:rsidP="005E15EF">
            <w:pPr>
              <w:pStyle w:val="Tabletext"/>
              <w:jc w:val="center"/>
              <w:rPr>
                <w:bCs/>
                <w:color w:val="000000"/>
              </w:rPr>
            </w:pPr>
            <w:r w:rsidRPr="007F116C">
              <w:rPr>
                <w:bCs/>
              </w:rPr>
              <w:t>-$</w:t>
            </w:r>
            <w:r w:rsidR="00070E7E">
              <w:rPr>
                <w:bCs/>
                <w:noProof/>
                <w:color w:val="000000"/>
                <w:highlight w:val="black"/>
              </w:rPr>
              <w:t>'''''''''''''''''''</w:t>
            </w:r>
            <w:r w:rsidR="00473D1D">
              <w:rPr>
                <w:rStyle w:val="CommentReference"/>
                <w:b w:val="0"/>
                <w:sz w:val="18"/>
                <w:vertAlign w:val="superscript"/>
              </w:rPr>
              <w:t>17</w:t>
            </w:r>
          </w:p>
        </w:tc>
      </w:tr>
      <w:tr w:rsidR="00070E7E" w:rsidRPr="007F116C" w:rsidTr="00070E7E">
        <w:tc>
          <w:tcPr>
            <w:tcW w:w="1000" w:type="pct"/>
            <w:shd w:val="clear" w:color="auto" w:fill="auto"/>
            <w:vAlign w:val="center"/>
          </w:tcPr>
          <w:p w:rsidR="005E15EF" w:rsidRPr="007F116C" w:rsidRDefault="005E15EF" w:rsidP="005E15EF">
            <w:pPr>
              <w:pStyle w:val="Tabletext"/>
              <w:rPr>
                <w:b/>
                <w:bCs/>
                <w:sz w:val="19"/>
                <w:szCs w:val="19"/>
              </w:rPr>
            </w:pPr>
            <w:r w:rsidRPr="007F116C">
              <w:rPr>
                <w:b/>
                <w:bCs/>
                <w:sz w:val="19"/>
                <w:szCs w:val="19"/>
              </w:rPr>
              <w:t>Net cost to Government health budgets</w:t>
            </w:r>
          </w:p>
        </w:tc>
        <w:tc>
          <w:tcPr>
            <w:tcW w:w="692" w:type="pct"/>
            <w:shd w:val="clear" w:color="auto" w:fill="auto"/>
            <w:vAlign w:val="center"/>
          </w:tcPr>
          <w:p w:rsidR="005E15EF" w:rsidRPr="007F116C" w:rsidRDefault="005E15EF" w:rsidP="005E15EF">
            <w:pPr>
              <w:pStyle w:val="Tabletext"/>
              <w:jc w:val="center"/>
              <w:rPr>
                <w:b/>
                <w:bCs/>
                <w:color w:val="000000"/>
              </w:rPr>
            </w:pPr>
            <w:r w:rsidRPr="007F116C">
              <w:rPr>
                <w:b/>
                <w:bCs/>
              </w:rPr>
              <w:t>$</w:t>
            </w:r>
            <w:r w:rsidR="00070E7E">
              <w:rPr>
                <w:b/>
                <w:bCs/>
                <w:noProof/>
                <w:color w:val="000000"/>
                <w:highlight w:val="black"/>
              </w:rPr>
              <w:t>'''''''''''''''''</w:t>
            </w:r>
            <w:r w:rsidR="00473D1D">
              <w:rPr>
                <w:rStyle w:val="CommentReference"/>
                <w:b w:val="0"/>
                <w:sz w:val="18"/>
                <w:vertAlign w:val="superscript"/>
              </w:rPr>
              <w:t>17</w:t>
            </w:r>
          </w:p>
        </w:tc>
        <w:tc>
          <w:tcPr>
            <w:tcW w:w="615" w:type="pct"/>
            <w:shd w:val="clear" w:color="auto" w:fill="auto"/>
            <w:vAlign w:val="center"/>
          </w:tcPr>
          <w:p w:rsidR="005E15EF" w:rsidRPr="007F116C" w:rsidRDefault="005E15EF" w:rsidP="005E15EF">
            <w:pPr>
              <w:pStyle w:val="Tabletext"/>
              <w:jc w:val="center"/>
              <w:rPr>
                <w:b/>
                <w:bCs/>
                <w:color w:val="000000"/>
              </w:rPr>
            </w:pPr>
            <w:r w:rsidRPr="007F116C">
              <w:rPr>
                <w:b/>
                <w:bCs/>
              </w:rPr>
              <w:t>$</w:t>
            </w:r>
            <w:r w:rsidR="00070E7E">
              <w:rPr>
                <w:b/>
                <w:bCs/>
                <w:noProof/>
                <w:color w:val="000000"/>
                <w:highlight w:val="black"/>
              </w:rPr>
              <w:t>'''''''''''''''''''</w:t>
            </w:r>
            <w:r w:rsidR="00473D1D">
              <w:rPr>
                <w:rStyle w:val="CommentReference"/>
                <w:b w:val="0"/>
                <w:sz w:val="18"/>
                <w:vertAlign w:val="superscript"/>
              </w:rPr>
              <w:t>17</w:t>
            </w:r>
          </w:p>
        </w:tc>
        <w:tc>
          <w:tcPr>
            <w:tcW w:w="692" w:type="pct"/>
            <w:shd w:val="clear" w:color="auto" w:fill="auto"/>
            <w:vAlign w:val="center"/>
          </w:tcPr>
          <w:p w:rsidR="005E15EF" w:rsidRPr="007F116C" w:rsidRDefault="005E15EF" w:rsidP="005E15EF">
            <w:pPr>
              <w:pStyle w:val="Tabletext"/>
              <w:jc w:val="center"/>
              <w:rPr>
                <w:b/>
                <w:bCs/>
                <w:color w:val="000000"/>
              </w:rPr>
            </w:pPr>
            <w:r w:rsidRPr="007F116C">
              <w:rPr>
                <w:b/>
                <w:bCs/>
              </w:rPr>
              <w:t>$</w:t>
            </w:r>
            <w:r w:rsidR="00070E7E">
              <w:rPr>
                <w:b/>
                <w:bCs/>
                <w:noProof/>
                <w:color w:val="000000"/>
                <w:highlight w:val="black"/>
              </w:rPr>
              <w:t>'''''''''''''''''''''</w:t>
            </w:r>
            <w:r w:rsidR="00473D1D">
              <w:rPr>
                <w:rStyle w:val="CommentReference"/>
                <w:b w:val="0"/>
                <w:sz w:val="18"/>
                <w:vertAlign w:val="superscript"/>
              </w:rPr>
              <w:t>17</w:t>
            </w:r>
          </w:p>
        </w:tc>
        <w:tc>
          <w:tcPr>
            <w:tcW w:w="620" w:type="pct"/>
            <w:shd w:val="clear" w:color="auto" w:fill="auto"/>
            <w:vAlign w:val="center"/>
          </w:tcPr>
          <w:p w:rsidR="005E15EF" w:rsidRPr="007F116C" w:rsidRDefault="005E15EF" w:rsidP="005E15EF">
            <w:pPr>
              <w:pStyle w:val="Tabletext"/>
              <w:jc w:val="center"/>
              <w:rPr>
                <w:b/>
                <w:bCs/>
                <w:color w:val="000000"/>
              </w:rPr>
            </w:pPr>
            <w:r w:rsidRPr="007F116C">
              <w:rPr>
                <w:b/>
                <w:bCs/>
              </w:rPr>
              <w:t>$</w:t>
            </w:r>
            <w:r w:rsidR="00070E7E">
              <w:rPr>
                <w:b/>
                <w:bCs/>
                <w:noProof/>
                <w:color w:val="000000"/>
                <w:highlight w:val="black"/>
              </w:rPr>
              <w:t>'''''''''''''''''''</w:t>
            </w:r>
            <w:r w:rsidR="00473D1D">
              <w:rPr>
                <w:rStyle w:val="CommentReference"/>
                <w:b w:val="0"/>
                <w:sz w:val="18"/>
                <w:vertAlign w:val="superscript"/>
              </w:rPr>
              <w:t>17</w:t>
            </w:r>
          </w:p>
        </w:tc>
        <w:tc>
          <w:tcPr>
            <w:tcW w:w="688" w:type="pct"/>
            <w:shd w:val="clear" w:color="auto" w:fill="auto"/>
            <w:vAlign w:val="center"/>
          </w:tcPr>
          <w:p w:rsidR="005E15EF" w:rsidRPr="007F116C" w:rsidRDefault="005E15EF" w:rsidP="005E15EF">
            <w:pPr>
              <w:pStyle w:val="Tabletext"/>
              <w:jc w:val="center"/>
              <w:rPr>
                <w:b/>
                <w:bCs/>
                <w:color w:val="000000"/>
              </w:rPr>
            </w:pPr>
            <w:r w:rsidRPr="007F116C">
              <w:rPr>
                <w:b/>
                <w:bCs/>
              </w:rPr>
              <w:t>$</w:t>
            </w:r>
            <w:r w:rsidR="00070E7E">
              <w:rPr>
                <w:b/>
                <w:bCs/>
                <w:noProof/>
                <w:color w:val="000000"/>
                <w:highlight w:val="black"/>
              </w:rPr>
              <w:t>''''''''''''''''''</w:t>
            </w:r>
            <w:r w:rsidR="00473D1D">
              <w:rPr>
                <w:rStyle w:val="CommentReference"/>
                <w:b w:val="0"/>
                <w:sz w:val="18"/>
                <w:vertAlign w:val="superscript"/>
              </w:rPr>
              <w:t>17</w:t>
            </w:r>
          </w:p>
        </w:tc>
        <w:tc>
          <w:tcPr>
            <w:tcW w:w="693" w:type="pct"/>
            <w:vAlign w:val="center"/>
          </w:tcPr>
          <w:p w:rsidR="005E15EF" w:rsidRPr="007F116C" w:rsidRDefault="005E15EF" w:rsidP="005E15EF">
            <w:pPr>
              <w:pStyle w:val="Tabletext"/>
              <w:jc w:val="center"/>
              <w:rPr>
                <w:b/>
                <w:bCs/>
                <w:color w:val="000000"/>
              </w:rPr>
            </w:pPr>
            <w:r w:rsidRPr="007F116C">
              <w:rPr>
                <w:b/>
                <w:bCs/>
              </w:rPr>
              <w:t>$</w:t>
            </w:r>
            <w:r w:rsidR="00070E7E">
              <w:rPr>
                <w:b/>
                <w:bCs/>
                <w:noProof/>
                <w:color w:val="000000"/>
                <w:highlight w:val="black"/>
              </w:rPr>
              <w:t>'''''''''''''''''''</w:t>
            </w:r>
            <w:r w:rsidR="00473D1D">
              <w:rPr>
                <w:rStyle w:val="CommentReference"/>
                <w:b w:val="0"/>
                <w:sz w:val="18"/>
                <w:vertAlign w:val="superscript"/>
              </w:rPr>
              <w:t>17</w:t>
            </w:r>
          </w:p>
        </w:tc>
      </w:tr>
    </w:tbl>
    <w:p w:rsidR="005E15EF" w:rsidRDefault="005E15EF" w:rsidP="005E15EF">
      <w:pPr>
        <w:pStyle w:val="TableFooter"/>
      </w:pPr>
      <w:r w:rsidRPr="007F116C">
        <w:t>Source: Table 4.12, p289 of the submission; Tables 4.17 and 4.18, p292 of the submission; Table 4.22, p296 of the submission; Table 4.26, p299 of the submission; Table 4.33, p302 of the submission. MBS = Medicare Benefits Schedule; PBS = Pharmaceutical Benefits Scheme; RPBS = Repatriation Pharmaceutical Benefits Scheme</w:t>
      </w:r>
    </w:p>
    <w:p w:rsidR="00E71DEE" w:rsidRPr="00C155AD" w:rsidRDefault="00E71DEE" w:rsidP="005E15EF">
      <w:pPr>
        <w:pStyle w:val="TableFooter"/>
        <w:rPr>
          <w:i/>
        </w:rPr>
      </w:pPr>
      <w:r w:rsidRPr="00C155AD">
        <w:rPr>
          <w:i/>
        </w:rPr>
        <w:t>The redacted values correspond to the following ranges:</w:t>
      </w:r>
    </w:p>
    <w:p w:rsidR="00E71DEE" w:rsidRPr="00C155AD" w:rsidRDefault="00E71DEE" w:rsidP="005E15EF">
      <w:pPr>
        <w:pStyle w:val="TableFooter"/>
        <w:rPr>
          <w:i/>
        </w:rPr>
      </w:pPr>
      <w:r w:rsidRPr="00C155AD">
        <w:rPr>
          <w:i/>
          <w:vertAlign w:val="superscript"/>
        </w:rPr>
        <w:t>1</w:t>
      </w:r>
      <w:r w:rsidRPr="00C155AD">
        <w:rPr>
          <w:i/>
        </w:rPr>
        <w:t xml:space="preserve"> </w:t>
      </w:r>
      <w:r w:rsidR="00CE4496" w:rsidRPr="00C155AD">
        <w:rPr>
          <w:i/>
        </w:rPr>
        <w:t>500 to &lt; 5,000</w:t>
      </w:r>
    </w:p>
    <w:p w:rsidR="00CE4496" w:rsidRPr="00C155AD" w:rsidRDefault="00CE4496" w:rsidP="005E15EF">
      <w:pPr>
        <w:pStyle w:val="TableFooter"/>
        <w:rPr>
          <w:i/>
        </w:rPr>
      </w:pPr>
      <w:r w:rsidRPr="00C155AD">
        <w:rPr>
          <w:i/>
          <w:vertAlign w:val="superscript"/>
        </w:rPr>
        <w:t>2</w:t>
      </w:r>
      <w:r w:rsidRPr="00C155AD">
        <w:rPr>
          <w:i/>
        </w:rPr>
        <w:t xml:space="preserve"> 10,000 to &lt; 20,000</w:t>
      </w:r>
    </w:p>
    <w:p w:rsidR="00714800" w:rsidRPr="00C155AD" w:rsidRDefault="00714800" w:rsidP="005E15EF">
      <w:pPr>
        <w:pStyle w:val="TableFooter"/>
        <w:rPr>
          <w:i/>
        </w:rPr>
      </w:pPr>
      <w:r w:rsidRPr="00C155AD">
        <w:rPr>
          <w:i/>
          <w:vertAlign w:val="superscript"/>
        </w:rPr>
        <w:t>3</w:t>
      </w:r>
      <w:r w:rsidRPr="00C155AD">
        <w:rPr>
          <w:i/>
        </w:rPr>
        <w:t xml:space="preserve"> 20,000 to &lt; 30,000</w:t>
      </w:r>
    </w:p>
    <w:p w:rsidR="00714800" w:rsidRPr="00C155AD" w:rsidRDefault="00714800" w:rsidP="005E15EF">
      <w:pPr>
        <w:pStyle w:val="TableFooter"/>
        <w:rPr>
          <w:i/>
        </w:rPr>
      </w:pPr>
      <w:r w:rsidRPr="00C155AD">
        <w:rPr>
          <w:i/>
          <w:vertAlign w:val="superscript"/>
        </w:rPr>
        <w:t>4</w:t>
      </w:r>
      <w:r w:rsidRPr="00C155AD">
        <w:rPr>
          <w:i/>
        </w:rPr>
        <w:t xml:space="preserve"> 30,000 to &lt; 40,000</w:t>
      </w:r>
    </w:p>
    <w:p w:rsidR="00714800" w:rsidRPr="00C155AD" w:rsidRDefault="00714800" w:rsidP="005E15EF">
      <w:pPr>
        <w:pStyle w:val="TableFooter"/>
        <w:rPr>
          <w:i/>
        </w:rPr>
      </w:pPr>
      <w:r w:rsidRPr="00C155AD">
        <w:rPr>
          <w:i/>
          <w:vertAlign w:val="superscript"/>
        </w:rPr>
        <w:t>5</w:t>
      </w:r>
      <w:r w:rsidRPr="00C155AD">
        <w:rPr>
          <w:i/>
        </w:rPr>
        <w:t xml:space="preserve"> 40,000 to &lt; 50,000</w:t>
      </w:r>
    </w:p>
    <w:p w:rsidR="00714800" w:rsidRPr="00C155AD" w:rsidRDefault="00714800" w:rsidP="005E15EF">
      <w:pPr>
        <w:pStyle w:val="TableFooter"/>
        <w:rPr>
          <w:i/>
        </w:rPr>
      </w:pPr>
      <w:r w:rsidRPr="00C155AD">
        <w:rPr>
          <w:i/>
          <w:vertAlign w:val="superscript"/>
        </w:rPr>
        <w:t>6</w:t>
      </w:r>
      <w:r w:rsidRPr="00C155AD">
        <w:rPr>
          <w:i/>
        </w:rPr>
        <w:t xml:space="preserve"> 50,000 to &lt; 60,000</w:t>
      </w:r>
    </w:p>
    <w:p w:rsidR="00714800" w:rsidRPr="00C155AD" w:rsidRDefault="00714800" w:rsidP="005E15EF">
      <w:pPr>
        <w:pStyle w:val="TableFooter"/>
        <w:rPr>
          <w:rStyle w:val="CommentReference"/>
          <w:b w:val="0"/>
          <w:i/>
          <w:sz w:val="18"/>
        </w:rPr>
      </w:pPr>
      <w:r w:rsidRPr="00C155AD">
        <w:rPr>
          <w:rStyle w:val="CommentReference"/>
          <w:b w:val="0"/>
          <w:i/>
          <w:sz w:val="18"/>
          <w:vertAlign w:val="superscript"/>
        </w:rPr>
        <w:t>7</w:t>
      </w:r>
      <w:r w:rsidRPr="00C155AD">
        <w:rPr>
          <w:rStyle w:val="CommentReference"/>
          <w:b w:val="0"/>
          <w:i/>
          <w:sz w:val="18"/>
        </w:rPr>
        <w:t xml:space="preserve"> 60,000 to &lt; 70,000</w:t>
      </w:r>
    </w:p>
    <w:p w:rsidR="004C7C71" w:rsidRPr="00C155AD" w:rsidRDefault="004C7C71" w:rsidP="005E15EF">
      <w:pPr>
        <w:pStyle w:val="TableFooter"/>
        <w:rPr>
          <w:rStyle w:val="CommentReference"/>
          <w:b w:val="0"/>
          <w:i/>
          <w:sz w:val="18"/>
        </w:rPr>
      </w:pPr>
      <w:r w:rsidRPr="00C155AD">
        <w:rPr>
          <w:rStyle w:val="CommentReference"/>
          <w:b w:val="0"/>
          <w:i/>
          <w:sz w:val="18"/>
          <w:vertAlign w:val="superscript"/>
        </w:rPr>
        <w:t>8</w:t>
      </w:r>
      <w:r w:rsidRPr="00C155AD">
        <w:rPr>
          <w:rStyle w:val="CommentReference"/>
          <w:b w:val="0"/>
          <w:i/>
          <w:sz w:val="18"/>
        </w:rPr>
        <w:t xml:space="preserve"> $20 million to &lt; $30 million</w:t>
      </w:r>
    </w:p>
    <w:p w:rsidR="004C7C71" w:rsidRPr="00C155AD" w:rsidRDefault="004C7C71" w:rsidP="005E15EF">
      <w:pPr>
        <w:pStyle w:val="TableFooter"/>
        <w:rPr>
          <w:rStyle w:val="CommentReference"/>
          <w:b w:val="0"/>
          <w:i/>
          <w:sz w:val="18"/>
        </w:rPr>
      </w:pPr>
      <w:r w:rsidRPr="00C155AD">
        <w:rPr>
          <w:rStyle w:val="CommentReference"/>
          <w:b w:val="0"/>
          <w:i/>
          <w:sz w:val="18"/>
          <w:vertAlign w:val="superscript"/>
        </w:rPr>
        <w:t>9</w:t>
      </w:r>
      <w:r w:rsidRPr="00C155AD">
        <w:rPr>
          <w:rStyle w:val="CommentReference"/>
          <w:b w:val="0"/>
          <w:i/>
          <w:sz w:val="18"/>
        </w:rPr>
        <w:t xml:space="preserve"> $30 million to &lt; $40 million</w:t>
      </w:r>
    </w:p>
    <w:p w:rsidR="004C7C71" w:rsidRPr="00C155AD" w:rsidRDefault="004C7C71" w:rsidP="005E15EF">
      <w:pPr>
        <w:pStyle w:val="TableFooter"/>
        <w:rPr>
          <w:rStyle w:val="CommentReference"/>
          <w:b w:val="0"/>
          <w:i/>
          <w:sz w:val="18"/>
        </w:rPr>
      </w:pPr>
      <w:r w:rsidRPr="00C155AD">
        <w:rPr>
          <w:rStyle w:val="CommentReference"/>
          <w:b w:val="0"/>
          <w:i/>
          <w:sz w:val="18"/>
          <w:vertAlign w:val="superscript"/>
        </w:rPr>
        <w:t xml:space="preserve">10 </w:t>
      </w:r>
      <w:r w:rsidRPr="00C155AD">
        <w:rPr>
          <w:rStyle w:val="CommentReference"/>
          <w:b w:val="0"/>
          <w:i/>
          <w:sz w:val="18"/>
        </w:rPr>
        <w:t>$50 million to &lt;$60 million</w:t>
      </w:r>
    </w:p>
    <w:p w:rsidR="004C7C71" w:rsidRPr="00C155AD" w:rsidRDefault="004C7C71" w:rsidP="005E15EF">
      <w:pPr>
        <w:pStyle w:val="TableFooter"/>
        <w:rPr>
          <w:rStyle w:val="CommentReference"/>
          <w:b w:val="0"/>
          <w:i/>
          <w:sz w:val="18"/>
        </w:rPr>
      </w:pPr>
      <w:r w:rsidRPr="00C155AD">
        <w:rPr>
          <w:rStyle w:val="CommentReference"/>
          <w:b w:val="0"/>
          <w:i/>
          <w:sz w:val="18"/>
          <w:vertAlign w:val="superscript"/>
        </w:rPr>
        <w:t>11</w:t>
      </w:r>
      <w:r w:rsidRPr="00C155AD">
        <w:rPr>
          <w:rStyle w:val="CommentReference"/>
          <w:b w:val="0"/>
          <w:i/>
          <w:sz w:val="18"/>
        </w:rPr>
        <w:t xml:space="preserve"> $70 million to &lt; $80 million</w:t>
      </w:r>
    </w:p>
    <w:p w:rsidR="004C7C71" w:rsidRPr="00C155AD" w:rsidRDefault="004C7C71" w:rsidP="005E15EF">
      <w:pPr>
        <w:pStyle w:val="TableFooter"/>
        <w:rPr>
          <w:rStyle w:val="CommentReference"/>
          <w:b w:val="0"/>
          <w:i/>
          <w:sz w:val="18"/>
        </w:rPr>
      </w:pPr>
      <w:r w:rsidRPr="00C155AD">
        <w:rPr>
          <w:rStyle w:val="CommentReference"/>
          <w:b w:val="0"/>
          <w:i/>
          <w:sz w:val="18"/>
          <w:vertAlign w:val="superscript"/>
        </w:rPr>
        <w:t>12</w:t>
      </w:r>
      <w:r w:rsidRPr="00C155AD">
        <w:rPr>
          <w:rStyle w:val="CommentReference"/>
          <w:b w:val="0"/>
          <w:i/>
          <w:sz w:val="18"/>
        </w:rPr>
        <w:t xml:space="preserve"> $80 million to &lt; $90 million </w:t>
      </w:r>
    </w:p>
    <w:p w:rsidR="004C7C71" w:rsidRPr="00C155AD" w:rsidRDefault="004C7C71" w:rsidP="005E15EF">
      <w:pPr>
        <w:pStyle w:val="TableFooter"/>
        <w:rPr>
          <w:rStyle w:val="CommentReference"/>
          <w:b w:val="0"/>
          <w:i/>
          <w:sz w:val="18"/>
        </w:rPr>
      </w:pPr>
      <w:r w:rsidRPr="00C155AD">
        <w:rPr>
          <w:rStyle w:val="CommentReference"/>
          <w:b w:val="0"/>
          <w:i/>
          <w:sz w:val="18"/>
          <w:vertAlign w:val="superscript"/>
        </w:rPr>
        <w:t>13</w:t>
      </w:r>
      <w:r w:rsidRPr="00C155AD">
        <w:rPr>
          <w:rStyle w:val="CommentReference"/>
          <w:b w:val="0"/>
          <w:i/>
          <w:sz w:val="18"/>
        </w:rPr>
        <w:t xml:space="preserve"> $90 million to &lt; $100 million </w:t>
      </w:r>
    </w:p>
    <w:p w:rsidR="00DF2340" w:rsidRPr="00C155AD" w:rsidRDefault="00DF2340" w:rsidP="005E15EF">
      <w:pPr>
        <w:pStyle w:val="TableFooter"/>
        <w:rPr>
          <w:rStyle w:val="CommentReference"/>
          <w:b w:val="0"/>
          <w:i/>
          <w:sz w:val="18"/>
        </w:rPr>
      </w:pPr>
      <w:r w:rsidRPr="00C155AD">
        <w:rPr>
          <w:rStyle w:val="CommentReference"/>
          <w:b w:val="0"/>
          <w:i/>
          <w:sz w:val="18"/>
          <w:vertAlign w:val="superscript"/>
        </w:rPr>
        <w:t>14</w:t>
      </w:r>
      <w:r w:rsidRPr="00C155AD">
        <w:rPr>
          <w:rStyle w:val="CommentReference"/>
          <w:b w:val="0"/>
          <w:i/>
          <w:sz w:val="18"/>
        </w:rPr>
        <w:t xml:space="preserve"> $10 million to &lt; $20 million</w:t>
      </w:r>
    </w:p>
    <w:p w:rsidR="00DF2340" w:rsidRPr="00C155AD" w:rsidRDefault="00DF2340" w:rsidP="005E15EF">
      <w:pPr>
        <w:pStyle w:val="TableFooter"/>
        <w:rPr>
          <w:rStyle w:val="CommentReference"/>
          <w:b w:val="0"/>
          <w:i/>
          <w:sz w:val="18"/>
        </w:rPr>
      </w:pPr>
      <w:r w:rsidRPr="00C155AD">
        <w:rPr>
          <w:rStyle w:val="CommentReference"/>
          <w:b w:val="0"/>
          <w:i/>
          <w:sz w:val="18"/>
          <w:vertAlign w:val="superscript"/>
        </w:rPr>
        <w:t>15</w:t>
      </w:r>
      <w:r w:rsidRPr="00C155AD">
        <w:rPr>
          <w:rStyle w:val="CommentReference"/>
          <w:b w:val="0"/>
          <w:i/>
          <w:sz w:val="18"/>
        </w:rPr>
        <w:t xml:space="preserve"> $40 million to &lt; $50 million</w:t>
      </w:r>
    </w:p>
    <w:p w:rsidR="00DF2340" w:rsidRPr="00C155AD" w:rsidRDefault="00DF2340" w:rsidP="005E15EF">
      <w:pPr>
        <w:pStyle w:val="TableFooter"/>
        <w:rPr>
          <w:rStyle w:val="CommentReference"/>
          <w:b w:val="0"/>
          <w:i/>
          <w:sz w:val="18"/>
        </w:rPr>
      </w:pPr>
      <w:r w:rsidRPr="00C155AD">
        <w:rPr>
          <w:rStyle w:val="CommentReference"/>
          <w:b w:val="0"/>
          <w:i/>
          <w:sz w:val="18"/>
          <w:vertAlign w:val="superscript"/>
        </w:rPr>
        <w:t>16</w:t>
      </w:r>
      <w:r w:rsidRPr="00C155AD">
        <w:rPr>
          <w:rStyle w:val="CommentReference"/>
          <w:b w:val="0"/>
          <w:i/>
          <w:sz w:val="18"/>
        </w:rPr>
        <w:t xml:space="preserve"> $60 million to &lt; $70 million</w:t>
      </w:r>
    </w:p>
    <w:p w:rsidR="00473D1D" w:rsidRPr="00C155AD" w:rsidRDefault="00473D1D" w:rsidP="005E15EF">
      <w:pPr>
        <w:pStyle w:val="TableFooter"/>
        <w:rPr>
          <w:rStyle w:val="CommentReference"/>
          <w:b w:val="0"/>
          <w:i/>
          <w:sz w:val="18"/>
        </w:rPr>
      </w:pPr>
      <w:r w:rsidRPr="00C155AD">
        <w:rPr>
          <w:rStyle w:val="CommentReference"/>
          <w:b w:val="0"/>
          <w:i/>
          <w:sz w:val="18"/>
          <w:vertAlign w:val="superscript"/>
        </w:rPr>
        <w:t>17</w:t>
      </w:r>
      <w:r w:rsidRPr="00C155AD">
        <w:rPr>
          <w:rStyle w:val="CommentReference"/>
          <w:b w:val="0"/>
          <w:i/>
          <w:sz w:val="18"/>
        </w:rPr>
        <w:t xml:space="preserve"> $0 to &lt; $10 million </w:t>
      </w:r>
    </w:p>
    <w:p w:rsidR="005E15EF" w:rsidRPr="007F116C" w:rsidRDefault="005E15EF" w:rsidP="005E15EF">
      <w:pPr>
        <w:widowControl/>
      </w:pPr>
    </w:p>
    <w:p w:rsidR="005E15EF" w:rsidRPr="007F116C" w:rsidRDefault="005E15EF" w:rsidP="001E017D">
      <w:pPr>
        <w:pStyle w:val="ListParagraph"/>
        <w:widowControl/>
        <w:numPr>
          <w:ilvl w:val="1"/>
          <w:numId w:val="2"/>
        </w:numPr>
      </w:pPr>
      <w:r w:rsidRPr="007F116C">
        <w:t>The submission estimated a total net cost to the Government health budget of $</w:t>
      </w:r>
      <w:r w:rsidR="00445922">
        <w:t>0 to $10</w:t>
      </w:r>
      <w:r w:rsidRPr="007F116C">
        <w:t>M in Year 1, increasing to $</w:t>
      </w:r>
      <w:r w:rsidR="00445922">
        <w:t>0 to &lt; $10</w:t>
      </w:r>
      <w:r w:rsidRPr="007F116C">
        <w:t>M in year 6, for a total of $</w:t>
      </w:r>
      <w:r w:rsidR="00445922">
        <w:t>30</w:t>
      </w:r>
      <w:r w:rsidR="004A5F1C">
        <w:t>M</w:t>
      </w:r>
      <w:r w:rsidR="00445922">
        <w:t xml:space="preserve"> to &lt; $40</w:t>
      </w:r>
      <w:r w:rsidRPr="007F116C">
        <w:t>M over the first 6 years of listing.</w:t>
      </w:r>
    </w:p>
    <w:p w:rsidR="009D627C" w:rsidRPr="007F116C" w:rsidRDefault="009D627C" w:rsidP="009D627C">
      <w:pPr>
        <w:pStyle w:val="ListParagraph"/>
        <w:widowControl/>
        <w:numPr>
          <w:ilvl w:val="1"/>
          <w:numId w:val="2"/>
        </w:numPr>
      </w:pPr>
      <w:r w:rsidRPr="007F116C">
        <w:t>The submission considered that the increased net cost associated with listing ofatumumab was due to the replacing of lower cost therapies such as ABCR (Avonex [</w:t>
      </w:r>
      <w:r w:rsidR="00AB2318" w:rsidRPr="007F116C">
        <w:t xml:space="preserve">IM </w:t>
      </w:r>
      <w:r w:rsidRPr="007F116C">
        <w:t>Interferon-beta-1a], Beta</w:t>
      </w:r>
      <w:r w:rsidR="00AB2318" w:rsidRPr="007F116C">
        <w:t>f</w:t>
      </w:r>
      <w:r w:rsidRPr="007F116C">
        <w:t>eron [Interferon-beta-1b], Copaxone [glatiramer acetate] and Rebif [</w:t>
      </w:r>
      <w:r w:rsidR="00AB2318" w:rsidRPr="007F116C">
        <w:t xml:space="preserve">SC </w:t>
      </w:r>
      <w:r w:rsidRPr="007F116C">
        <w:t>Interferon-beta-1a]), teriflunomide, and dimethyl fumarate. The submission noted that in practice this incremental cost would be incurred through any patient switching from low cost drugs to PBS-listed high efficacy DMTs. Th</w:t>
      </w:r>
      <w:r w:rsidR="00A65FC1" w:rsidRPr="007F116C">
        <w:t>e ESC considered this</w:t>
      </w:r>
      <w:r w:rsidRPr="007F116C">
        <w:t xml:space="preserve"> was reasonable and consistent with the </w:t>
      </w:r>
      <w:r w:rsidR="00C77A39" w:rsidRPr="007F116C">
        <w:t xml:space="preserve">financial impacts of </w:t>
      </w:r>
      <w:r w:rsidRPr="007F116C">
        <w:t>nominated comparators of the high efficacy DMTs (ocrelizumab, fingolimod, cladribine, natalizumab)</w:t>
      </w:r>
      <w:r w:rsidR="00C77A39" w:rsidRPr="007F116C">
        <w:t xml:space="preserve"> that were previously considered by the PBAC</w:t>
      </w:r>
      <w:r w:rsidR="007F116C">
        <w:t xml:space="preserve">. </w:t>
      </w:r>
    </w:p>
    <w:p w:rsidR="00044A37" w:rsidRPr="007F116C" w:rsidRDefault="005E15EF" w:rsidP="00044A37">
      <w:pPr>
        <w:pStyle w:val="ListParagraph"/>
        <w:widowControl/>
        <w:numPr>
          <w:ilvl w:val="1"/>
          <w:numId w:val="2"/>
        </w:numPr>
      </w:pPr>
      <w:bookmarkStart w:id="39" w:name="_Ref61615795"/>
      <w:r w:rsidRPr="007F116C">
        <w:t xml:space="preserve">The </w:t>
      </w:r>
      <w:r w:rsidR="009D627C" w:rsidRPr="007F116C">
        <w:t>submission presented an analysis which removed substitution from</w:t>
      </w:r>
      <w:r w:rsidR="00C77A39" w:rsidRPr="007F116C">
        <w:t xml:space="preserve"> ABCR and other low cost therapies. This </w:t>
      </w:r>
      <w:r w:rsidRPr="007F116C">
        <w:t xml:space="preserve">analysis resulted in a </w:t>
      </w:r>
      <w:r w:rsidR="004439E5">
        <w:t>financial impact</w:t>
      </w:r>
      <w:r w:rsidRPr="007F116C">
        <w:t xml:space="preserve"> to Government that is almost cost-neutral (at effective prices). The net financial impact decreases by approximately $</w:t>
      </w:r>
      <w:r w:rsidR="00445922">
        <w:t>0 to &lt; $10</w:t>
      </w:r>
      <w:r w:rsidR="004439E5">
        <w:t>M</w:t>
      </w:r>
      <w:r w:rsidRPr="007F116C">
        <w:t xml:space="preserve"> in Year 1 up to $</w:t>
      </w:r>
      <w:r w:rsidR="00445922">
        <w:t>0 to &lt; $ 10</w:t>
      </w:r>
      <w:r w:rsidR="004439E5">
        <w:t>M</w:t>
      </w:r>
      <w:r w:rsidRPr="007F116C">
        <w:t xml:space="preserve"> in Year 6 compared to </w:t>
      </w:r>
      <w:r w:rsidR="004439E5">
        <w:t xml:space="preserve">the </w:t>
      </w:r>
      <w:r w:rsidRPr="007F116C">
        <w:t xml:space="preserve">base case. </w:t>
      </w:r>
      <w:bookmarkEnd w:id="39"/>
      <w:r w:rsidR="00044A37" w:rsidRPr="007F116C">
        <w:rPr>
          <w:iCs/>
        </w:rPr>
        <w:t>The results of this analysis is presented in the table below.</w:t>
      </w:r>
    </w:p>
    <w:p w:rsidR="00044A37" w:rsidRPr="007F116C" w:rsidRDefault="00044A37" w:rsidP="00044A37">
      <w:pPr>
        <w:pStyle w:val="PBACcaption"/>
        <w:keepNext/>
        <w:keepLines/>
        <w:rPr>
          <w:rStyle w:val="CommentReference"/>
          <w:b/>
          <w:bCs/>
        </w:rPr>
      </w:pPr>
      <w:r w:rsidRPr="007F116C">
        <w:rPr>
          <w:rStyle w:val="CommentReference"/>
          <w:b/>
          <w:bCs/>
        </w:rPr>
        <w:t>Table 16: Impact of removing uptake of ABCR and other low cost therapies (effective prices net of copayments)</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981"/>
        <w:gridCol w:w="1276"/>
        <w:gridCol w:w="1135"/>
        <w:gridCol w:w="1274"/>
        <w:gridCol w:w="1135"/>
        <w:gridCol w:w="1418"/>
        <w:gridCol w:w="1274"/>
      </w:tblGrid>
      <w:tr w:rsidR="00070E7E" w:rsidRPr="007F116C" w:rsidTr="00070E7E">
        <w:trPr>
          <w:trHeight w:val="256"/>
        </w:trPr>
        <w:tc>
          <w:tcPr>
            <w:tcW w:w="1043" w:type="pct"/>
          </w:tcPr>
          <w:p w:rsidR="00044A37" w:rsidRPr="007F116C" w:rsidRDefault="00044A37" w:rsidP="007740CB">
            <w:pPr>
              <w:pStyle w:val="Tabletext"/>
              <w:keepNext/>
              <w:keepLines/>
              <w:rPr>
                <w:b/>
              </w:rPr>
            </w:pPr>
            <w:r w:rsidRPr="007F116C">
              <w:rPr>
                <w:b/>
              </w:rPr>
              <w:t>Ofatumumab</w:t>
            </w:r>
          </w:p>
        </w:tc>
        <w:tc>
          <w:tcPr>
            <w:tcW w:w="672" w:type="pct"/>
          </w:tcPr>
          <w:p w:rsidR="00044A37" w:rsidRPr="007F116C" w:rsidRDefault="00044A37" w:rsidP="007740CB">
            <w:pPr>
              <w:pStyle w:val="Tabletext"/>
              <w:keepNext/>
              <w:keepLines/>
              <w:jc w:val="center"/>
            </w:pPr>
            <w:r w:rsidRPr="007F116C">
              <w:rPr>
                <w:b/>
              </w:rPr>
              <w:t>Year 1</w:t>
            </w:r>
          </w:p>
        </w:tc>
        <w:tc>
          <w:tcPr>
            <w:tcW w:w="598" w:type="pct"/>
          </w:tcPr>
          <w:p w:rsidR="00044A37" w:rsidRPr="007F116C" w:rsidRDefault="00044A37" w:rsidP="007740CB">
            <w:pPr>
              <w:pStyle w:val="Tabletext"/>
              <w:keepNext/>
              <w:keepLines/>
              <w:jc w:val="center"/>
            </w:pPr>
            <w:r w:rsidRPr="007F116C">
              <w:rPr>
                <w:b/>
              </w:rPr>
              <w:t>Year 2</w:t>
            </w:r>
          </w:p>
        </w:tc>
        <w:tc>
          <w:tcPr>
            <w:tcW w:w="671" w:type="pct"/>
          </w:tcPr>
          <w:p w:rsidR="00044A37" w:rsidRPr="007F116C" w:rsidRDefault="00044A37" w:rsidP="007740CB">
            <w:pPr>
              <w:pStyle w:val="Tabletext"/>
              <w:keepNext/>
              <w:keepLines/>
              <w:jc w:val="center"/>
            </w:pPr>
            <w:r w:rsidRPr="007F116C">
              <w:rPr>
                <w:b/>
              </w:rPr>
              <w:t>Year 3</w:t>
            </w:r>
          </w:p>
        </w:tc>
        <w:tc>
          <w:tcPr>
            <w:tcW w:w="598" w:type="pct"/>
          </w:tcPr>
          <w:p w:rsidR="00044A37" w:rsidRPr="007F116C" w:rsidRDefault="00044A37" w:rsidP="007740CB">
            <w:pPr>
              <w:pStyle w:val="Tabletext"/>
              <w:keepNext/>
              <w:keepLines/>
              <w:jc w:val="center"/>
            </w:pPr>
            <w:r w:rsidRPr="007F116C">
              <w:rPr>
                <w:b/>
              </w:rPr>
              <w:t>Year 4</w:t>
            </w:r>
          </w:p>
        </w:tc>
        <w:tc>
          <w:tcPr>
            <w:tcW w:w="747" w:type="pct"/>
          </w:tcPr>
          <w:p w:rsidR="00044A37" w:rsidRPr="007F116C" w:rsidRDefault="00044A37" w:rsidP="007740CB">
            <w:pPr>
              <w:pStyle w:val="Tabletext"/>
              <w:keepNext/>
              <w:keepLines/>
              <w:jc w:val="center"/>
            </w:pPr>
            <w:r w:rsidRPr="007F116C">
              <w:rPr>
                <w:b/>
              </w:rPr>
              <w:t>Year 5</w:t>
            </w:r>
          </w:p>
        </w:tc>
        <w:tc>
          <w:tcPr>
            <w:tcW w:w="672" w:type="pct"/>
          </w:tcPr>
          <w:p w:rsidR="00044A37" w:rsidRPr="007F116C" w:rsidRDefault="00044A37" w:rsidP="007740CB">
            <w:pPr>
              <w:pStyle w:val="Tabletext"/>
              <w:keepNext/>
              <w:keepLines/>
              <w:jc w:val="center"/>
            </w:pPr>
            <w:r w:rsidRPr="007F116C">
              <w:rPr>
                <w:b/>
              </w:rPr>
              <w:t>Year 6</w:t>
            </w:r>
          </w:p>
        </w:tc>
      </w:tr>
      <w:tr w:rsidR="00070E7E" w:rsidRPr="007F116C" w:rsidTr="00070E7E">
        <w:trPr>
          <w:trHeight w:val="256"/>
        </w:trPr>
        <w:tc>
          <w:tcPr>
            <w:tcW w:w="1043" w:type="pct"/>
          </w:tcPr>
          <w:p w:rsidR="00044A37" w:rsidRPr="007F116C" w:rsidRDefault="00044A37" w:rsidP="007740CB">
            <w:pPr>
              <w:pStyle w:val="Tabletext"/>
              <w:keepNext/>
              <w:keepLines/>
            </w:pPr>
            <w:r w:rsidRPr="007F116C">
              <w:t>Scripts</w:t>
            </w:r>
          </w:p>
        </w:tc>
        <w:tc>
          <w:tcPr>
            <w:tcW w:w="672" w:type="pct"/>
          </w:tcPr>
          <w:p w:rsidR="00044A37" w:rsidRPr="00070E7E" w:rsidRDefault="00070E7E" w:rsidP="007740CB">
            <w:pPr>
              <w:pStyle w:val="Tabletext"/>
              <w:keepNext/>
              <w:keepLines/>
              <w:jc w:val="center"/>
            </w:pPr>
            <w:r>
              <w:rPr>
                <w:noProof/>
                <w:color w:val="000000"/>
                <w:highlight w:val="black"/>
              </w:rPr>
              <w:t>''''''''''''''</w:t>
            </w:r>
            <w:r w:rsidR="00D325D7">
              <w:rPr>
                <w:vertAlign w:val="superscript"/>
              </w:rPr>
              <w:t>1</w:t>
            </w:r>
          </w:p>
        </w:tc>
        <w:tc>
          <w:tcPr>
            <w:tcW w:w="598" w:type="pct"/>
          </w:tcPr>
          <w:p w:rsidR="00044A37" w:rsidRPr="00070E7E" w:rsidRDefault="00070E7E" w:rsidP="007740CB">
            <w:pPr>
              <w:pStyle w:val="Tabletext"/>
              <w:keepNext/>
              <w:keepLines/>
              <w:jc w:val="center"/>
            </w:pPr>
            <w:r>
              <w:rPr>
                <w:noProof/>
                <w:color w:val="000000"/>
                <w:highlight w:val="black"/>
              </w:rPr>
              <w:t>'''''''''''''''''</w:t>
            </w:r>
            <w:r w:rsidR="00D325D7">
              <w:rPr>
                <w:vertAlign w:val="superscript"/>
              </w:rPr>
              <w:t>2</w:t>
            </w:r>
          </w:p>
        </w:tc>
        <w:tc>
          <w:tcPr>
            <w:tcW w:w="671" w:type="pct"/>
          </w:tcPr>
          <w:p w:rsidR="00044A37" w:rsidRPr="00070E7E" w:rsidRDefault="00070E7E" w:rsidP="007740CB">
            <w:pPr>
              <w:pStyle w:val="Tabletext"/>
              <w:keepNext/>
              <w:keepLines/>
              <w:jc w:val="center"/>
            </w:pPr>
            <w:r>
              <w:rPr>
                <w:noProof/>
                <w:color w:val="000000"/>
                <w:highlight w:val="black"/>
              </w:rPr>
              <w:t>'''''''''''''''</w:t>
            </w:r>
            <w:r w:rsidR="00D325D7">
              <w:rPr>
                <w:vertAlign w:val="superscript"/>
              </w:rPr>
              <w:t>3</w:t>
            </w:r>
          </w:p>
        </w:tc>
        <w:tc>
          <w:tcPr>
            <w:tcW w:w="598" w:type="pct"/>
          </w:tcPr>
          <w:p w:rsidR="00044A37" w:rsidRPr="00070E7E" w:rsidRDefault="00070E7E" w:rsidP="007740CB">
            <w:pPr>
              <w:pStyle w:val="Tabletext"/>
              <w:keepNext/>
              <w:keepLines/>
              <w:jc w:val="center"/>
            </w:pPr>
            <w:r>
              <w:rPr>
                <w:noProof/>
                <w:color w:val="000000"/>
                <w:highlight w:val="black"/>
              </w:rPr>
              <w:t>'''''''''''''''''</w:t>
            </w:r>
            <w:r w:rsidR="00D325D7">
              <w:rPr>
                <w:vertAlign w:val="superscript"/>
              </w:rPr>
              <w:t>4</w:t>
            </w:r>
          </w:p>
        </w:tc>
        <w:tc>
          <w:tcPr>
            <w:tcW w:w="747" w:type="pct"/>
          </w:tcPr>
          <w:p w:rsidR="00044A37" w:rsidRPr="00070E7E" w:rsidRDefault="00070E7E" w:rsidP="007740CB">
            <w:pPr>
              <w:pStyle w:val="Tabletext"/>
              <w:keepNext/>
              <w:keepLines/>
              <w:jc w:val="center"/>
            </w:pPr>
            <w:r>
              <w:rPr>
                <w:noProof/>
                <w:color w:val="000000"/>
                <w:highlight w:val="black"/>
              </w:rPr>
              <w:t>''''''''''''''''</w:t>
            </w:r>
            <w:r w:rsidR="00D325D7">
              <w:rPr>
                <w:vertAlign w:val="superscript"/>
              </w:rPr>
              <w:t>5</w:t>
            </w:r>
          </w:p>
        </w:tc>
        <w:tc>
          <w:tcPr>
            <w:tcW w:w="672" w:type="pct"/>
          </w:tcPr>
          <w:p w:rsidR="00044A37" w:rsidRPr="00070E7E" w:rsidRDefault="00070E7E" w:rsidP="007740CB">
            <w:pPr>
              <w:pStyle w:val="Tabletext"/>
              <w:keepNext/>
              <w:keepLines/>
              <w:jc w:val="center"/>
            </w:pPr>
            <w:r>
              <w:rPr>
                <w:noProof/>
                <w:color w:val="000000"/>
                <w:highlight w:val="black"/>
              </w:rPr>
              <w:t>''''''''''''''''''</w:t>
            </w:r>
            <w:r w:rsidR="00D325D7">
              <w:rPr>
                <w:vertAlign w:val="superscript"/>
              </w:rPr>
              <w:t>5</w:t>
            </w:r>
          </w:p>
        </w:tc>
      </w:tr>
      <w:tr w:rsidR="00070E7E" w:rsidRPr="007F116C" w:rsidTr="00070E7E">
        <w:trPr>
          <w:trHeight w:val="256"/>
        </w:trPr>
        <w:tc>
          <w:tcPr>
            <w:tcW w:w="1043" w:type="pct"/>
            <w:tcBorders>
              <w:bottom w:val="single" w:sz="4" w:space="0" w:color="auto"/>
            </w:tcBorders>
          </w:tcPr>
          <w:p w:rsidR="00044A37" w:rsidRPr="007F116C" w:rsidRDefault="00044A37" w:rsidP="007740CB">
            <w:pPr>
              <w:pStyle w:val="Tabletext"/>
              <w:keepNext/>
              <w:keepLines/>
            </w:pPr>
            <w:r w:rsidRPr="007F116C">
              <w:t>Financial impact to PBS/RPBS</w:t>
            </w:r>
          </w:p>
        </w:tc>
        <w:tc>
          <w:tcPr>
            <w:tcW w:w="672" w:type="pct"/>
            <w:tcBorders>
              <w:bottom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D325D7">
              <w:rPr>
                <w:vertAlign w:val="superscript"/>
              </w:rPr>
              <w:t>6</w:t>
            </w:r>
          </w:p>
        </w:tc>
        <w:tc>
          <w:tcPr>
            <w:tcW w:w="598" w:type="pct"/>
            <w:tcBorders>
              <w:bottom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F946C4">
              <w:rPr>
                <w:vertAlign w:val="superscript"/>
              </w:rPr>
              <w:t>7</w:t>
            </w:r>
          </w:p>
        </w:tc>
        <w:tc>
          <w:tcPr>
            <w:tcW w:w="671" w:type="pct"/>
            <w:tcBorders>
              <w:bottom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F946C4">
              <w:rPr>
                <w:vertAlign w:val="superscript"/>
              </w:rPr>
              <w:t>8</w:t>
            </w:r>
          </w:p>
        </w:tc>
        <w:tc>
          <w:tcPr>
            <w:tcW w:w="598" w:type="pct"/>
            <w:tcBorders>
              <w:bottom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F946C4">
              <w:rPr>
                <w:vertAlign w:val="superscript"/>
              </w:rPr>
              <w:t>9</w:t>
            </w:r>
          </w:p>
        </w:tc>
        <w:tc>
          <w:tcPr>
            <w:tcW w:w="747" w:type="pct"/>
            <w:tcBorders>
              <w:bottom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F946C4">
              <w:rPr>
                <w:vertAlign w:val="superscript"/>
              </w:rPr>
              <w:t>10</w:t>
            </w:r>
          </w:p>
        </w:tc>
        <w:tc>
          <w:tcPr>
            <w:tcW w:w="672" w:type="pct"/>
            <w:tcBorders>
              <w:bottom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725B19">
              <w:rPr>
                <w:vertAlign w:val="superscript"/>
              </w:rPr>
              <w:t>11</w:t>
            </w:r>
          </w:p>
        </w:tc>
      </w:tr>
      <w:tr w:rsidR="00070E7E" w:rsidRPr="007F116C" w:rsidTr="00070E7E">
        <w:trPr>
          <w:trHeight w:val="256"/>
        </w:trPr>
        <w:tc>
          <w:tcPr>
            <w:tcW w:w="1043" w:type="pct"/>
            <w:tcBorders>
              <w:top w:val="single" w:sz="4" w:space="0" w:color="auto"/>
              <w:left w:val="single" w:sz="4" w:space="0" w:color="auto"/>
              <w:bottom w:val="single" w:sz="4" w:space="0" w:color="auto"/>
              <w:right w:val="nil"/>
            </w:tcBorders>
          </w:tcPr>
          <w:p w:rsidR="00044A37" w:rsidRPr="007F116C" w:rsidRDefault="00044A37" w:rsidP="007740CB">
            <w:pPr>
              <w:pStyle w:val="Tabletext"/>
              <w:keepNext/>
              <w:keepLines/>
              <w:rPr>
                <w:b/>
              </w:rPr>
            </w:pPr>
            <w:r w:rsidRPr="007F116C">
              <w:rPr>
                <w:b/>
              </w:rPr>
              <w:t>Treatments displaced</w:t>
            </w:r>
          </w:p>
        </w:tc>
        <w:tc>
          <w:tcPr>
            <w:tcW w:w="672" w:type="pct"/>
            <w:tcBorders>
              <w:top w:val="single" w:sz="4" w:space="0" w:color="auto"/>
              <w:left w:val="nil"/>
              <w:bottom w:val="single" w:sz="4" w:space="0" w:color="auto"/>
              <w:right w:val="nil"/>
            </w:tcBorders>
          </w:tcPr>
          <w:p w:rsidR="00044A37" w:rsidRPr="007F116C" w:rsidRDefault="00044A37" w:rsidP="007740CB">
            <w:pPr>
              <w:pStyle w:val="Tabletext"/>
              <w:keepNext/>
              <w:keepLines/>
              <w:jc w:val="center"/>
            </w:pPr>
          </w:p>
        </w:tc>
        <w:tc>
          <w:tcPr>
            <w:tcW w:w="598" w:type="pct"/>
            <w:tcBorders>
              <w:top w:val="single" w:sz="4" w:space="0" w:color="auto"/>
              <w:left w:val="nil"/>
              <w:bottom w:val="single" w:sz="4" w:space="0" w:color="auto"/>
              <w:right w:val="nil"/>
            </w:tcBorders>
          </w:tcPr>
          <w:p w:rsidR="00044A37" w:rsidRPr="007F116C" w:rsidRDefault="00044A37" w:rsidP="007740CB">
            <w:pPr>
              <w:pStyle w:val="Tabletext"/>
              <w:keepNext/>
              <w:keepLines/>
              <w:jc w:val="center"/>
            </w:pPr>
          </w:p>
        </w:tc>
        <w:tc>
          <w:tcPr>
            <w:tcW w:w="671" w:type="pct"/>
            <w:tcBorders>
              <w:top w:val="single" w:sz="4" w:space="0" w:color="auto"/>
              <w:left w:val="nil"/>
              <w:bottom w:val="single" w:sz="4" w:space="0" w:color="auto"/>
              <w:right w:val="nil"/>
            </w:tcBorders>
          </w:tcPr>
          <w:p w:rsidR="00044A37" w:rsidRPr="007F116C" w:rsidRDefault="00044A37" w:rsidP="007740CB">
            <w:pPr>
              <w:pStyle w:val="Tabletext"/>
              <w:keepNext/>
              <w:keepLines/>
              <w:jc w:val="center"/>
            </w:pPr>
          </w:p>
        </w:tc>
        <w:tc>
          <w:tcPr>
            <w:tcW w:w="598" w:type="pct"/>
            <w:tcBorders>
              <w:top w:val="single" w:sz="4" w:space="0" w:color="auto"/>
              <w:left w:val="nil"/>
              <w:bottom w:val="single" w:sz="4" w:space="0" w:color="auto"/>
              <w:right w:val="nil"/>
            </w:tcBorders>
          </w:tcPr>
          <w:p w:rsidR="00044A37" w:rsidRPr="007F116C" w:rsidRDefault="00044A37" w:rsidP="007740CB">
            <w:pPr>
              <w:pStyle w:val="Tabletext"/>
              <w:keepNext/>
              <w:keepLines/>
              <w:jc w:val="center"/>
            </w:pPr>
          </w:p>
        </w:tc>
        <w:tc>
          <w:tcPr>
            <w:tcW w:w="747" w:type="pct"/>
            <w:tcBorders>
              <w:top w:val="single" w:sz="4" w:space="0" w:color="auto"/>
              <w:left w:val="nil"/>
              <w:bottom w:val="single" w:sz="4" w:space="0" w:color="auto"/>
              <w:right w:val="nil"/>
            </w:tcBorders>
          </w:tcPr>
          <w:p w:rsidR="00044A37" w:rsidRPr="007F116C" w:rsidRDefault="00044A37" w:rsidP="007740CB">
            <w:pPr>
              <w:pStyle w:val="Tabletext"/>
              <w:keepNext/>
              <w:keepLines/>
              <w:jc w:val="center"/>
            </w:pPr>
          </w:p>
        </w:tc>
        <w:tc>
          <w:tcPr>
            <w:tcW w:w="672" w:type="pct"/>
            <w:tcBorders>
              <w:top w:val="single" w:sz="4" w:space="0" w:color="auto"/>
              <w:left w:val="nil"/>
              <w:bottom w:val="single" w:sz="4" w:space="0" w:color="auto"/>
              <w:right w:val="single" w:sz="4" w:space="0" w:color="auto"/>
            </w:tcBorders>
          </w:tcPr>
          <w:p w:rsidR="00044A37" w:rsidRPr="007F116C" w:rsidRDefault="00044A37" w:rsidP="007740CB">
            <w:pPr>
              <w:pStyle w:val="Tabletext"/>
              <w:keepNext/>
              <w:keepLines/>
              <w:jc w:val="center"/>
            </w:pPr>
          </w:p>
        </w:tc>
      </w:tr>
      <w:tr w:rsidR="00070E7E" w:rsidRPr="007F116C" w:rsidTr="00070E7E">
        <w:trPr>
          <w:trHeight w:val="265"/>
        </w:trPr>
        <w:tc>
          <w:tcPr>
            <w:tcW w:w="1043" w:type="pct"/>
            <w:tcBorders>
              <w:top w:val="single" w:sz="4" w:space="0" w:color="auto"/>
            </w:tcBorders>
          </w:tcPr>
          <w:p w:rsidR="00044A37" w:rsidRPr="007F116C" w:rsidRDefault="00044A37" w:rsidP="007740CB">
            <w:pPr>
              <w:pStyle w:val="Tabletext"/>
              <w:keepNext/>
              <w:keepLines/>
            </w:pPr>
            <w:r w:rsidRPr="007F116C">
              <w:t>Scripts displaced</w:t>
            </w:r>
          </w:p>
        </w:tc>
        <w:tc>
          <w:tcPr>
            <w:tcW w:w="672" w:type="pct"/>
            <w:tcBorders>
              <w:top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B51B42">
              <w:rPr>
                <w:vertAlign w:val="superscript"/>
              </w:rPr>
              <w:t>1</w:t>
            </w:r>
          </w:p>
        </w:tc>
        <w:tc>
          <w:tcPr>
            <w:tcW w:w="598" w:type="pct"/>
            <w:tcBorders>
              <w:top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B51B42">
              <w:rPr>
                <w:vertAlign w:val="superscript"/>
              </w:rPr>
              <w:t>1</w:t>
            </w:r>
          </w:p>
        </w:tc>
        <w:tc>
          <w:tcPr>
            <w:tcW w:w="671" w:type="pct"/>
            <w:tcBorders>
              <w:top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B51B42">
              <w:rPr>
                <w:vertAlign w:val="superscript"/>
              </w:rPr>
              <w:t>2</w:t>
            </w:r>
          </w:p>
        </w:tc>
        <w:tc>
          <w:tcPr>
            <w:tcW w:w="598" w:type="pct"/>
            <w:tcBorders>
              <w:top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B51B42">
              <w:rPr>
                <w:vertAlign w:val="superscript"/>
              </w:rPr>
              <w:t>2</w:t>
            </w:r>
          </w:p>
        </w:tc>
        <w:tc>
          <w:tcPr>
            <w:tcW w:w="747" w:type="pct"/>
            <w:tcBorders>
              <w:top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B51B42">
              <w:rPr>
                <w:vertAlign w:val="superscript"/>
              </w:rPr>
              <w:t>3</w:t>
            </w:r>
          </w:p>
        </w:tc>
        <w:tc>
          <w:tcPr>
            <w:tcW w:w="672" w:type="pct"/>
            <w:tcBorders>
              <w:top w:val="single" w:sz="4" w:space="0" w:color="auto"/>
            </w:tcBorders>
          </w:tcPr>
          <w:p w:rsidR="00044A37" w:rsidRPr="007F116C" w:rsidRDefault="00044A37" w:rsidP="007740CB">
            <w:pPr>
              <w:pStyle w:val="Tabletext"/>
              <w:keepNext/>
              <w:keepLines/>
              <w:jc w:val="center"/>
            </w:pPr>
            <w:r w:rsidRPr="007F116C">
              <w:t>-</w:t>
            </w:r>
            <w:r w:rsidR="00070E7E">
              <w:rPr>
                <w:noProof/>
                <w:color w:val="000000"/>
                <w:highlight w:val="black"/>
              </w:rPr>
              <w:t>''''''''''''''''</w:t>
            </w:r>
            <w:r w:rsidR="00B51B42">
              <w:rPr>
                <w:vertAlign w:val="superscript"/>
              </w:rPr>
              <w:t>3</w:t>
            </w:r>
          </w:p>
        </w:tc>
      </w:tr>
      <w:tr w:rsidR="00070E7E" w:rsidRPr="007F116C" w:rsidTr="00070E7E">
        <w:trPr>
          <w:trHeight w:val="504"/>
        </w:trPr>
        <w:tc>
          <w:tcPr>
            <w:tcW w:w="1043" w:type="pct"/>
          </w:tcPr>
          <w:p w:rsidR="00044A37" w:rsidRPr="007F116C" w:rsidRDefault="00044A37" w:rsidP="007740CB">
            <w:pPr>
              <w:pStyle w:val="Tabletext"/>
              <w:keepNext/>
              <w:keepLines/>
            </w:pPr>
            <w:r w:rsidRPr="007F116C">
              <w:t>Financial impact to PBS/RPBS</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D325D7">
              <w:rPr>
                <w:vertAlign w:val="superscript"/>
              </w:rPr>
              <w:t>6</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F946C4">
              <w:rPr>
                <w:vertAlign w:val="superscript"/>
              </w:rPr>
              <w:t>7</w:t>
            </w:r>
          </w:p>
        </w:tc>
        <w:tc>
          <w:tcPr>
            <w:tcW w:w="671" w:type="pct"/>
          </w:tcPr>
          <w:p w:rsidR="00044A37" w:rsidRPr="007F116C" w:rsidRDefault="00044A37" w:rsidP="007740CB">
            <w:pPr>
              <w:pStyle w:val="Tabletext"/>
              <w:keepNext/>
              <w:keepLines/>
              <w:jc w:val="center"/>
            </w:pPr>
            <w:r w:rsidRPr="007F116C">
              <w:t>-$</w:t>
            </w:r>
            <w:r w:rsidR="00070E7E">
              <w:rPr>
                <w:noProof/>
                <w:color w:val="000000"/>
                <w:highlight w:val="black"/>
              </w:rPr>
              <w:t>'''''''''''''''''''''''''''''</w:t>
            </w:r>
            <w:r w:rsidR="00F946C4">
              <w:rPr>
                <w:vertAlign w:val="superscript"/>
              </w:rPr>
              <w:t>8</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F946C4">
              <w:rPr>
                <w:vertAlign w:val="superscript"/>
              </w:rPr>
              <w:t>9</w:t>
            </w:r>
          </w:p>
        </w:tc>
        <w:tc>
          <w:tcPr>
            <w:tcW w:w="747" w:type="pct"/>
          </w:tcPr>
          <w:p w:rsidR="00044A37" w:rsidRPr="007F116C" w:rsidRDefault="00044A37" w:rsidP="007740CB">
            <w:pPr>
              <w:pStyle w:val="Tabletext"/>
              <w:keepNext/>
              <w:keepLines/>
              <w:jc w:val="center"/>
            </w:pPr>
            <w:r w:rsidRPr="007F116C">
              <w:t>-$</w:t>
            </w:r>
            <w:r w:rsidR="00070E7E">
              <w:rPr>
                <w:noProof/>
                <w:color w:val="000000"/>
                <w:highlight w:val="black"/>
              </w:rPr>
              <w:t>''''''''''''''''''''''''''''</w:t>
            </w:r>
            <w:r w:rsidR="00F946C4">
              <w:rPr>
                <w:vertAlign w:val="superscript"/>
              </w:rPr>
              <w:t>10</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725B19">
              <w:rPr>
                <w:vertAlign w:val="superscript"/>
              </w:rPr>
              <w:t>11</w:t>
            </w:r>
          </w:p>
        </w:tc>
      </w:tr>
      <w:tr w:rsidR="00070E7E" w:rsidRPr="007F116C" w:rsidTr="00070E7E">
        <w:trPr>
          <w:trHeight w:val="513"/>
        </w:trPr>
        <w:tc>
          <w:tcPr>
            <w:tcW w:w="1043" w:type="pct"/>
          </w:tcPr>
          <w:p w:rsidR="00044A37" w:rsidRPr="007F116C" w:rsidRDefault="00044A37" w:rsidP="007740CB">
            <w:pPr>
              <w:pStyle w:val="Tabletext"/>
              <w:keepNext/>
              <w:keepLines/>
              <w:rPr>
                <w:b/>
              </w:rPr>
            </w:pPr>
            <w:r w:rsidRPr="007F116C">
              <w:rPr>
                <w:b/>
              </w:rPr>
              <w:t>Net financial impact to PBS/RPBS</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671"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747"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r>
      <w:tr w:rsidR="00070E7E" w:rsidRPr="007F116C" w:rsidTr="00070E7E">
        <w:trPr>
          <w:trHeight w:val="256"/>
        </w:trPr>
        <w:tc>
          <w:tcPr>
            <w:tcW w:w="1043" w:type="pct"/>
          </w:tcPr>
          <w:p w:rsidR="00044A37" w:rsidRPr="007F116C" w:rsidRDefault="00044A37" w:rsidP="007740CB">
            <w:pPr>
              <w:pStyle w:val="Tabletext"/>
              <w:keepNext/>
              <w:keepLines/>
              <w:rPr>
                <w:b/>
              </w:rPr>
            </w:pPr>
            <w:r w:rsidRPr="007F116C">
              <w:rPr>
                <w:b/>
              </w:rPr>
              <w:t>Cost to MBS</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671"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747"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r>
      <w:tr w:rsidR="00070E7E" w:rsidRPr="007F116C" w:rsidTr="00070E7E">
        <w:trPr>
          <w:trHeight w:val="265"/>
        </w:trPr>
        <w:tc>
          <w:tcPr>
            <w:tcW w:w="1043" w:type="pct"/>
          </w:tcPr>
          <w:p w:rsidR="00044A37" w:rsidRPr="007F116C" w:rsidRDefault="00044A37" w:rsidP="007740CB">
            <w:pPr>
              <w:pStyle w:val="Tabletext"/>
              <w:keepNext/>
              <w:keepLines/>
              <w:rPr>
                <w:b/>
              </w:rPr>
            </w:pPr>
            <w:r w:rsidRPr="007F116C">
              <w:rPr>
                <w:b/>
              </w:rPr>
              <w:t>Net cost to Government</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671"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747"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r>
      <w:tr w:rsidR="00070E7E" w:rsidRPr="007F116C" w:rsidTr="00070E7E">
        <w:trPr>
          <w:trHeight w:val="256"/>
        </w:trPr>
        <w:tc>
          <w:tcPr>
            <w:tcW w:w="1043" w:type="pct"/>
          </w:tcPr>
          <w:p w:rsidR="00044A37" w:rsidRPr="007F116C" w:rsidRDefault="00044A37" w:rsidP="007740CB">
            <w:pPr>
              <w:pStyle w:val="Tabletext"/>
              <w:keepNext/>
              <w:keepLines/>
              <w:rPr>
                <w:b/>
              </w:rPr>
            </w:pPr>
            <w:r w:rsidRPr="007F116C">
              <w:rPr>
                <w:b/>
              </w:rPr>
              <w:t>Difference to base case</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671"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598"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747"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c>
          <w:tcPr>
            <w:tcW w:w="672" w:type="pct"/>
          </w:tcPr>
          <w:p w:rsidR="00044A37" w:rsidRPr="007F116C" w:rsidRDefault="00044A37" w:rsidP="007740CB">
            <w:pPr>
              <w:pStyle w:val="Tabletext"/>
              <w:keepNext/>
              <w:keepLines/>
              <w:jc w:val="center"/>
            </w:pPr>
            <w:r w:rsidRPr="007F116C">
              <w:t>-$</w:t>
            </w:r>
            <w:r w:rsidR="00070E7E">
              <w:rPr>
                <w:noProof/>
                <w:color w:val="000000"/>
                <w:highlight w:val="black"/>
              </w:rPr>
              <w:t>'''''''''''''''''''''''</w:t>
            </w:r>
            <w:r w:rsidR="00951A88">
              <w:rPr>
                <w:vertAlign w:val="superscript"/>
              </w:rPr>
              <w:t>12</w:t>
            </w:r>
          </w:p>
        </w:tc>
      </w:tr>
    </w:tbl>
    <w:p w:rsidR="00044A37" w:rsidRPr="007F116C" w:rsidRDefault="00044A37" w:rsidP="00044A37">
      <w:pPr>
        <w:pStyle w:val="TableFooter"/>
        <w:keepNext/>
        <w:keepLines/>
      </w:pPr>
      <w:r w:rsidRPr="007F116C">
        <w:t>Source: Table 4.34 of the submission. ABCR = Avonex (Interferon-beta-1a), Betaseron (Interferon-beta-1b), Copaxone (glatiramer acetate) and Rebif (Interferon-beta-1a); MBS, Medical benefits Scheme; PBS, Pharmaceutical Benefits Scheme; RPBS, Repatriation Pharmaceutical Benefits Scheme</w:t>
      </w:r>
    </w:p>
    <w:p w:rsidR="00044A37" w:rsidRDefault="00044A37" w:rsidP="00044A37">
      <w:pPr>
        <w:pStyle w:val="TableFooter"/>
        <w:keepNext/>
        <w:keepLines/>
      </w:pPr>
      <w:r w:rsidRPr="007F116C">
        <w:t>Low cost therapies includes dimethyl fumarate and teriflunomide</w:t>
      </w:r>
    </w:p>
    <w:p w:rsidR="00D325D7" w:rsidRPr="00951A88" w:rsidRDefault="00D325D7" w:rsidP="00044A37">
      <w:pPr>
        <w:pStyle w:val="TableFooter"/>
        <w:keepNext/>
        <w:keepLines/>
        <w:rPr>
          <w:i/>
        </w:rPr>
      </w:pPr>
      <w:r w:rsidRPr="00951A88">
        <w:rPr>
          <w:i/>
        </w:rPr>
        <w:t>The redacted values correspond to the following ranges:</w:t>
      </w:r>
    </w:p>
    <w:p w:rsidR="00D325D7" w:rsidRPr="00951A88" w:rsidRDefault="00D325D7" w:rsidP="00044A37">
      <w:pPr>
        <w:pStyle w:val="TableFooter"/>
        <w:keepNext/>
        <w:keepLines/>
        <w:rPr>
          <w:i/>
        </w:rPr>
      </w:pPr>
      <w:r w:rsidRPr="00951A88">
        <w:rPr>
          <w:i/>
          <w:vertAlign w:val="superscript"/>
        </w:rPr>
        <w:t>1</w:t>
      </w:r>
      <w:r w:rsidRPr="00951A88">
        <w:rPr>
          <w:i/>
        </w:rPr>
        <w:t xml:space="preserve"> 5,000 to &lt; 10,000</w:t>
      </w:r>
    </w:p>
    <w:p w:rsidR="00D325D7" w:rsidRPr="00951A88" w:rsidRDefault="00D325D7" w:rsidP="00044A37">
      <w:pPr>
        <w:pStyle w:val="TableFooter"/>
        <w:keepNext/>
        <w:keepLines/>
        <w:rPr>
          <w:i/>
        </w:rPr>
      </w:pPr>
      <w:r w:rsidRPr="00951A88">
        <w:rPr>
          <w:i/>
          <w:vertAlign w:val="superscript"/>
        </w:rPr>
        <w:t>2</w:t>
      </w:r>
      <w:r w:rsidRPr="00951A88">
        <w:rPr>
          <w:i/>
        </w:rPr>
        <w:t xml:space="preserve"> 10,000 to &lt; 20,000</w:t>
      </w:r>
    </w:p>
    <w:p w:rsidR="00D325D7" w:rsidRPr="00951A88" w:rsidRDefault="00D325D7" w:rsidP="00044A37">
      <w:pPr>
        <w:pStyle w:val="TableFooter"/>
        <w:keepNext/>
        <w:keepLines/>
        <w:rPr>
          <w:i/>
        </w:rPr>
      </w:pPr>
      <w:r w:rsidRPr="00951A88">
        <w:rPr>
          <w:i/>
          <w:vertAlign w:val="superscript"/>
        </w:rPr>
        <w:t>3</w:t>
      </w:r>
      <w:r w:rsidRPr="00951A88">
        <w:rPr>
          <w:i/>
        </w:rPr>
        <w:t xml:space="preserve"> 20,000 to &lt; 30,000</w:t>
      </w:r>
    </w:p>
    <w:p w:rsidR="00D325D7" w:rsidRPr="00951A88" w:rsidRDefault="00D325D7" w:rsidP="00044A37">
      <w:pPr>
        <w:pStyle w:val="TableFooter"/>
        <w:keepNext/>
        <w:keepLines/>
        <w:rPr>
          <w:i/>
        </w:rPr>
      </w:pPr>
      <w:r w:rsidRPr="00951A88">
        <w:rPr>
          <w:i/>
          <w:vertAlign w:val="superscript"/>
        </w:rPr>
        <w:t>4</w:t>
      </w:r>
      <w:r w:rsidRPr="00951A88">
        <w:rPr>
          <w:i/>
        </w:rPr>
        <w:t xml:space="preserve"> 30,000 to &lt; 40,000</w:t>
      </w:r>
    </w:p>
    <w:p w:rsidR="00D325D7" w:rsidRPr="00951A88" w:rsidRDefault="00D325D7" w:rsidP="00044A37">
      <w:pPr>
        <w:pStyle w:val="TableFooter"/>
        <w:keepNext/>
        <w:keepLines/>
        <w:rPr>
          <w:i/>
        </w:rPr>
      </w:pPr>
      <w:r w:rsidRPr="00951A88">
        <w:rPr>
          <w:i/>
          <w:vertAlign w:val="superscript"/>
        </w:rPr>
        <w:t>5</w:t>
      </w:r>
      <w:r w:rsidRPr="00951A88">
        <w:rPr>
          <w:i/>
        </w:rPr>
        <w:t xml:space="preserve"> 40,000 to &lt; 50,000</w:t>
      </w:r>
    </w:p>
    <w:p w:rsidR="00D325D7" w:rsidRPr="00951A88" w:rsidRDefault="00D325D7" w:rsidP="00044A37">
      <w:pPr>
        <w:pStyle w:val="TableFooter"/>
        <w:keepNext/>
        <w:keepLines/>
        <w:rPr>
          <w:i/>
        </w:rPr>
      </w:pPr>
      <w:r w:rsidRPr="00951A88">
        <w:rPr>
          <w:i/>
          <w:vertAlign w:val="superscript"/>
        </w:rPr>
        <w:t>6</w:t>
      </w:r>
      <w:r w:rsidRPr="00951A88">
        <w:rPr>
          <w:i/>
        </w:rPr>
        <w:t xml:space="preserve"> $10 million to &lt; $20 million</w:t>
      </w:r>
    </w:p>
    <w:p w:rsidR="00D325D7" w:rsidRPr="00951A88" w:rsidRDefault="00D325D7" w:rsidP="00044A37">
      <w:pPr>
        <w:pStyle w:val="TableFooter"/>
        <w:keepNext/>
        <w:keepLines/>
        <w:rPr>
          <w:i/>
        </w:rPr>
      </w:pPr>
      <w:r w:rsidRPr="00951A88">
        <w:rPr>
          <w:i/>
          <w:vertAlign w:val="superscript"/>
        </w:rPr>
        <w:t>7</w:t>
      </w:r>
      <w:r w:rsidRPr="00951A88">
        <w:rPr>
          <w:i/>
        </w:rPr>
        <w:t xml:space="preserve"> $20 million to &lt; $30 million</w:t>
      </w:r>
    </w:p>
    <w:p w:rsidR="00D325D7" w:rsidRPr="00951A88" w:rsidRDefault="00D325D7" w:rsidP="00044A37">
      <w:pPr>
        <w:pStyle w:val="TableFooter"/>
        <w:keepNext/>
        <w:keepLines/>
        <w:rPr>
          <w:i/>
        </w:rPr>
      </w:pPr>
      <w:r w:rsidRPr="00951A88">
        <w:rPr>
          <w:i/>
          <w:vertAlign w:val="superscript"/>
        </w:rPr>
        <w:t>8</w:t>
      </w:r>
      <w:r w:rsidRPr="00951A88">
        <w:rPr>
          <w:i/>
        </w:rPr>
        <w:t xml:space="preserve"> $</w:t>
      </w:r>
      <w:r w:rsidR="00F946C4" w:rsidRPr="00951A88">
        <w:rPr>
          <w:i/>
        </w:rPr>
        <w:t>30 million to &lt; $40 million</w:t>
      </w:r>
    </w:p>
    <w:p w:rsidR="00F946C4" w:rsidRPr="00951A88" w:rsidRDefault="00F946C4" w:rsidP="00044A37">
      <w:pPr>
        <w:pStyle w:val="TableFooter"/>
        <w:keepNext/>
        <w:keepLines/>
        <w:rPr>
          <w:i/>
        </w:rPr>
      </w:pPr>
      <w:r w:rsidRPr="00951A88">
        <w:rPr>
          <w:i/>
          <w:vertAlign w:val="superscript"/>
        </w:rPr>
        <w:t>9</w:t>
      </w:r>
      <w:r w:rsidRPr="00951A88">
        <w:rPr>
          <w:i/>
        </w:rPr>
        <w:t xml:space="preserve"> $50 million to &lt; $60 million</w:t>
      </w:r>
    </w:p>
    <w:p w:rsidR="00F946C4" w:rsidRPr="00951A88" w:rsidRDefault="00F946C4" w:rsidP="00044A37">
      <w:pPr>
        <w:pStyle w:val="TableFooter"/>
        <w:keepNext/>
        <w:keepLines/>
        <w:rPr>
          <w:i/>
        </w:rPr>
      </w:pPr>
      <w:r w:rsidRPr="00951A88">
        <w:rPr>
          <w:i/>
          <w:vertAlign w:val="superscript"/>
        </w:rPr>
        <w:t>10</w:t>
      </w:r>
      <w:r w:rsidRPr="00951A88">
        <w:rPr>
          <w:i/>
        </w:rPr>
        <w:t xml:space="preserve"> $60 million to &lt; $70 million </w:t>
      </w:r>
    </w:p>
    <w:p w:rsidR="00725B19" w:rsidRPr="00951A88" w:rsidRDefault="00725B19" w:rsidP="00044A37">
      <w:pPr>
        <w:pStyle w:val="TableFooter"/>
        <w:keepNext/>
        <w:keepLines/>
        <w:rPr>
          <w:i/>
        </w:rPr>
      </w:pPr>
      <w:r w:rsidRPr="00951A88">
        <w:rPr>
          <w:i/>
          <w:vertAlign w:val="superscript"/>
        </w:rPr>
        <w:t>11</w:t>
      </w:r>
      <w:r w:rsidRPr="00951A88">
        <w:rPr>
          <w:i/>
        </w:rPr>
        <w:t xml:space="preserve"> $70 million to &lt; $80 million</w:t>
      </w:r>
    </w:p>
    <w:p w:rsidR="00951A88" w:rsidRPr="00951A88" w:rsidRDefault="00951A88" w:rsidP="00044A37">
      <w:pPr>
        <w:pStyle w:val="TableFooter"/>
        <w:keepNext/>
        <w:keepLines/>
        <w:rPr>
          <w:i/>
        </w:rPr>
      </w:pPr>
      <w:r w:rsidRPr="00951A88">
        <w:rPr>
          <w:i/>
          <w:vertAlign w:val="superscript"/>
        </w:rPr>
        <w:t xml:space="preserve">12 </w:t>
      </w:r>
      <w:r w:rsidRPr="00951A88">
        <w:rPr>
          <w:i/>
        </w:rPr>
        <w:t>$0 to &lt; $10 million</w:t>
      </w:r>
    </w:p>
    <w:p w:rsidR="00044A37" w:rsidRPr="007F116C" w:rsidRDefault="00044A37" w:rsidP="00044A37"/>
    <w:p w:rsidR="005E15EF" w:rsidRPr="007F116C" w:rsidRDefault="005E15EF" w:rsidP="0020302B">
      <w:pPr>
        <w:pStyle w:val="Heading2"/>
      </w:pPr>
      <w:bookmarkStart w:id="40" w:name="_Toc62048851"/>
      <w:r w:rsidRPr="007F116C">
        <w:t>Quality Use of Medicines</w:t>
      </w:r>
      <w:bookmarkEnd w:id="40"/>
    </w:p>
    <w:p w:rsidR="005E15EF" w:rsidRPr="007F116C" w:rsidRDefault="005E15EF" w:rsidP="005E15EF">
      <w:pPr>
        <w:widowControl/>
      </w:pPr>
    </w:p>
    <w:p w:rsidR="005E15EF" w:rsidRPr="007F116C" w:rsidRDefault="005E15EF" w:rsidP="005E15EF">
      <w:pPr>
        <w:pStyle w:val="ListParagraph"/>
        <w:widowControl/>
        <w:numPr>
          <w:ilvl w:val="1"/>
          <w:numId w:val="2"/>
        </w:numPr>
      </w:pPr>
      <w:r w:rsidRPr="007F116C">
        <w:t xml:space="preserve">The submission stated that injection site reaction (local) symptoms observed in clinical studies included erythema, swelling, itching and pain. Systemic injection-related reactions observed in clinical studies occurred predominantly with the first injection. Symptoms observed include fever, headache, myalgia, chills and fatigue and were predominantly (99.7%) non-serious and mild to moderate in severity. </w:t>
      </w:r>
    </w:p>
    <w:p w:rsidR="005E15EF" w:rsidRPr="007F116C" w:rsidRDefault="005E15EF" w:rsidP="005E15EF">
      <w:pPr>
        <w:pStyle w:val="ListParagraph"/>
        <w:widowControl/>
        <w:numPr>
          <w:ilvl w:val="1"/>
          <w:numId w:val="2"/>
        </w:numPr>
      </w:pPr>
      <w:r w:rsidRPr="007F116C">
        <w:t>The submission noted that the first injection of ofatumumab should be performed under the guidance of an appropriately trained healthcare professional. Only limited benefit of premedication with steroids, antihistamines, or paracetamol was seen in RMS clinical studies, therefore, use of premedication is not required.</w:t>
      </w:r>
    </w:p>
    <w:p w:rsidR="005E15EF" w:rsidRPr="007F116C" w:rsidRDefault="005E15EF" w:rsidP="005E15EF">
      <w:pPr>
        <w:pStyle w:val="ListParagraph"/>
        <w:widowControl/>
        <w:numPr>
          <w:ilvl w:val="1"/>
          <w:numId w:val="2"/>
        </w:numPr>
      </w:pPr>
      <w:r w:rsidRPr="007F116C">
        <w:t>No other quality use of medicines issues were identified in the submission.</w:t>
      </w:r>
    </w:p>
    <w:p w:rsidR="00070E7E" w:rsidRDefault="00070E7E">
      <w:pPr>
        <w:widowControl/>
        <w:jc w:val="left"/>
        <w:rPr>
          <w:b/>
          <w:i/>
          <w:sz w:val="28"/>
        </w:rPr>
      </w:pPr>
      <w:bookmarkStart w:id="41" w:name="_Toc62048852"/>
      <w:r>
        <w:br w:type="page"/>
      </w:r>
    </w:p>
    <w:p w:rsidR="005E15EF" w:rsidRPr="007F116C" w:rsidRDefault="005E15EF" w:rsidP="0020302B">
      <w:pPr>
        <w:pStyle w:val="Heading2"/>
      </w:pPr>
      <w:r w:rsidRPr="007F116C">
        <w:t>Financial Management – Risk Sharing Arrangements</w:t>
      </w:r>
      <w:bookmarkEnd w:id="41"/>
    </w:p>
    <w:p w:rsidR="005E15EF" w:rsidRPr="007F116C" w:rsidRDefault="005E15EF" w:rsidP="005E15EF">
      <w:pPr>
        <w:widowControl/>
      </w:pPr>
    </w:p>
    <w:p w:rsidR="0020302B" w:rsidRPr="005367A7" w:rsidRDefault="005E15EF" w:rsidP="00CE7E39">
      <w:pPr>
        <w:pStyle w:val="ListParagraph"/>
        <w:widowControl/>
        <w:numPr>
          <w:ilvl w:val="1"/>
          <w:numId w:val="2"/>
        </w:numPr>
      </w:pPr>
      <w:r w:rsidRPr="007F116C">
        <w:rPr>
          <w:color w:val="000000" w:themeColor="text1"/>
        </w:rPr>
        <w:t xml:space="preserve">The submission stated that </w:t>
      </w:r>
      <w:r w:rsidRPr="007F116C">
        <w:t xml:space="preserve">if the PBAC feels that the degree of uncertainty in these estimates warrants a </w:t>
      </w:r>
      <w:r w:rsidR="004439E5">
        <w:t>R</w:t>
      </w:r>
      <w:r w:rsidR="004439E5" w:rsidRPr="007F116C">
        <w:t xml:space="preserve">isk </w:t>
      </w:r>
      <w:r w:rsidR="004439E5">
        <w:t>S</w:t>
      </w:r>
      <w:r w:rsidR="004439E5" w:rsidRPr="007F116C">
        <w:t xml:space="preserve">haring </w:t>
      </w:r>
      <w:r w:rsidR="004439E5">
        <w:t>A</w:t>
      </w:r>
      <w:r w:rsidR="004439E5" w:rsidRPr="007F116C">
        <w:t>rrangement</w:t>
      </w:r>
      <w:r w:rsidRPr="007F116C">
        <w:t>, Novartis will discuss this with the Department of Health once other aspects of the submission have been agreed on.</w:t>
      </w:r>
    </w:p>
    <w:p w:rsidR="0020302B" w:rsidRPr="007F116C" w:rsidRDefault="0020302B" w:rsidP="0020302B">
      <w:pPr>
        <w:rPr>
          <w:rFonts w:asciiTheme="minorHAnsi" w:hAnsiTheme="minorHAnsi"/>
          <w:i/>
        </w:rPr>
      </w:pPr>
      <w:r w:rsidRPr="007F116C">
        <w:rPr>
          <w:rFonts w:asciiTheme="minorHAnsi" w:hAnsiTheme="minorHAnsi"/>
          <w:i/>
        </w:rPr>
        <w:t>For more detail on PBAC’s view, see section 7 PBAC outcome.</w:t>
      </w:r>
    </w:p>
    <w:p w:rsidR="0020302B" w:rsidRPr="007F116C" w:rsidRDefault="0020302B" w:rsidP="0020302B">
      <w:pPr>
        <w:rPr>
          <w:rFonts w:asciiTheme="minorHAnsi" w:hAnsiTheme="minorHAnsi"/>
          <w:i/>
        </w:rPr>
      </w:pPr>
    </w:p>
    <w:p w:rsidR="0020302B" w:rsidRPr="007F116C" w:rsidRDefault="0020302B" w:rsidP="00AF5DE1">
      <w:pPr>
        <w:keepNext/>
        <w:numPr>
          <w:ilvl w:val="0"/>
          <w:numId w:val="2"/>
        </w:numPr>
        <w:spacing w:before="240" w:after="120"/>
        <w:outlineLvl w:val="0"/>
        <w:rPr>
          <w:rFonts w:asciiTheme="minorHAnsi" w:hAnsiTheme="minorHAnsi"/>
          <w:b/>
          <w:bCs/>
          <w:sz w:val="32"/>
        </w:rPr>
      </w:pPr>
      <w:r w:rsidRPr="007F116C">
        <w:rPr>
          <w:rFonts w:asciiTheme="minorHAnsi" w:hAnsiTheme="minorHAnsi"/>
          <w:b/>
          <w:bCs/>
          <w:sz w:val="32"/>
        </w:rPr>
        <w:t>PBAC Outcome</w:t>
      </w:r>
    </w:p>
    <w:p w:rsidR="00197C86" w:rsidRPr="007F116C" w:rsidRDefault="000E6951" w:rsidP="0020302B">
      <w:pPr>
        <w:numPr>
          <w:ilvl w:val="1"/>
          <w:numId w:val="2"/>
        </w:numPr>
        <w:spacing w:after="120"/>
        <w:rPr>
          <w:rFonts w:asciiTheme="minorHAnsi" w:hAnsiTheme="minorHAnsi"/>
          <w:bCs/>
        </w:rPr>
      </w:pPr>
      <w:r w:rsidRPr="007F116C">
        <w:rPr>
          <w:rFonts w:asciiTheme="minorHAnsi" w:hAnsiTheme="minorHAnsi"/>
          <w:bCs/>
        </w:rPr>
        <w:t xml:space="preserve">The PBAC recommended the Authority Required (STREAMLINED) listing of ofatumumab for the treatment or relapsing-remitting multiple sclerosis (RRMS). The PBAC’s recommendation for listing was based on, among other matters, its assessment that the cost-effectiveness of </w:t>
      </w:r>
      <w:r w:rsidR="00A62C19" w:rsidRPr="007F116C">
        <w:rPr>
          <w:rFonts w:asciiTheme="minorHAnsi" w:hAnsiTheme="minorHAnsi"/>
          <w:bCs/>
        </w:rPr>
        <w:t xml:space="preserve">ofatumumab </w:t>
      </w:r>
      <w:r w:rsidRPr="007F116C">
        <w:rPr>
          <w:rFonts w:asciiTheme="minorHAnsi" w:hAnsiTheme="minorHAnsi"/>
          <w:bCs/>
        </w:rPr>
        <w:t>would be acceptable if it were cost minimised to the least costly</w:t>
      </w:r>
      <w:r w:rsidR="00CD7665">
        <w:rPr>
          <w:rFonts w:asciiTheme="minorHAnsi" w:hAnsiTheme="minorHAnsi"/>
          <w:bCs/>
        </w:rPr>
        <w:t xml:space="preserve"> therapy</w:t>
      </w:r>
      <w:r w:rsidRPr="007F116C">
        <w:rPr>
          <w:rFonts w:asciiTheme="minorHAnsi" w:hAnsiTheme="minorHAnsi"/>
          <w:bCs/>
        </w:rPr>
        <w:t xml:space="preserve"> of </w:t>
      </w:r>
      <w:r w:rsidR="000D4932">
        <w:rPr>
          <w:rFonts w:asciiTheme="minorHAnsi" w:hAnsiTheme="minorHAnsi"/>
          <w:bCs/>
        </w:rPr>
        <w:t xml:space="preserve">either </w:t>
      </w:r>
      <w:r w:rsidRPr="007F116C">
        <w:rPr>
          <w:rFonts w:asciiTheme="minorHAnsi" w:hAnsiTheme="minorHAnsi"/>
          <w:bCs/>
        </w:rPr>
        <w:t xml:space="preserve">fingolimod, natalizumab, alemtuzumab, ocrelizumab, cladribine </w:t>
      </w:r>
      <w:r w:rsidR="000D4932">
        <w:rPr>
          <w:rFonts w:asciiTheme="minorHAnsi" w:hAnsiTheme="minorHAnsi"/>
          <w:bCs/>
        </w:rPr>
        <w:t>or</w:t>
      </w:r>
      <w:r w:rsidR="000D4932" w:rsidRPr="007F116C">
        <w:rPr>
          <w:rFonts w:asciiTheme="minorHAnsi" w:hAnsiTheme="minorHAnsi"/>
          <w:bCs/>
        </w:rPr>
        <w:t xml:space="preserve"> </w:t>
      </w:r>
      <w:r w:rsidRPr="007F116C">
        <w:rPr>
          <w:rFonts w:asciiTheme="minorHAnsi" w:hAnsiTheme="minorHAnsi"/>
          <w:bCs/>
        </w:rPr>
        <w:t>ozanimod</w:t>
      </w:r>
      <w:r w:rsidR="007151AD">
        <w:rPr>
          <w:rFonts w:asciiTheme="minorHAnsi" w:hAnsiTheme="minorHAnsi"/>
          <w:bCs/>
        </w:rPr>
        <w:t xml:space="preserve"> (the </w:t>
      </w:r>
      <w:r w:rsidR="007151AD" w:rsidRPr="007F116C">
        <w:rPr>
          <w:rFonts w:asciiTheme="minorHAnsi" w:hAnsiTheme="minorHAnsi"/>
          <w:bCs/>
        </w:rPr>
        <w:t>higher tier agents</w:t>
      </w:r>
      <w:r w:rsidR="007151AD">
        <w:rPr>
          <w:rFonts w:asciiTheme="minorHAnsi" w:hAnsiTheme="minorHAnsi"/>
          <w:bCs/>
        </w:rPr>
        <w:t>)</w:t>
      </w:r>
      <w:r w:rsidRPr="007F116C">
        <w:rPr>
          <w:rFonts w:asciiTheme="minorHAnsi" w:hAnsiTheme="minorHAnsi"/>
          <w:bCs/>
        </w:rPr>
        <w:t xml:space="preserve">. </w:t>
      </w:r>
    </w:p>
    <w:p w:rsidR="00C362DB" w:rsidRPr="00C0315D" w:rsidRDefault="00D4594B" w:rsidP="00C0315D">
      <w:pPr>
        <w:pStyle w:val="ListParagraph"/>
        <w:numPr>
          <w:ilvl w:val="1"/>
          <w:numId w:val="2"/>
        </w:numPr>
        <w:rPr>
          <w:rFonts w:asciiTheme="minorHAnsi" w:hAnsiTheme="minorHAnsi"/>
          <w:bCs/>
        </w:rPr>
      </w:pPr>
      <w:r w:rsidRPr="00C0315D">
        <w:rPr>
          <w:rFonts w:asciiTheme="minorHAnsi" w:hAnsiTheme="minorHAnsi"/>
          <w:bCs/>
        </w:rPr>
        <w:t>The PBAC cons</w:t>
      </w:r>
      <w:r w:rsidR="00C0315D" w:rsidRPr="00C0315D">
        <w:rPr>
          <w:rFonts w:asciiTheme="minorHAnsi" w:hAnsiTheme="minorHAnsi"/>
          <w:bCs/>
        </w:rPr>
        <w:t>idered the nominated comparator</w:t>
      </w:r>
      <w:r w:rsidRPr="00C0315D">
        <w:rPr>
          <w:rFonts w:asciiTheme="minorHAnsi" w:hAnsiTheme="minorHAnsi"/>
          <w:bCs/>
        </w:rPr>
        <w:t xml:space="preserve"> of fingolimod</w:t>
      </w:r>
      <w:r w:rsidR="00C0315D" w:rsidRPr="00C0315D">
        <w:t xml:space="preserve"> </w:t>
      </w:r>
      <w:r w:rsidR="00C0315D" w:rsidRPr="00C0315D">
        <w:rPr>
          <w:rFonts w:asciiTheme="minorHAnsi" w:hAnsiTheme="minorHAnsi"/>
          <w:bCs/>
        </w:rPr>
        <w:t xml:space="preserve">was reasonable, however also considered ofatumumab may substitute for a number of other RRMS therapies currently listed on the PBS. </w:t>
      </w:r>
    </w:p>
    <w:p w:rsidR="001B041A" w:rsidRPr="00C0315D" w:rsidRDefault="00C362DB" w:rsidP="001B041A">
      <w:pPr>
        <w:numPr>
          <w:ilvl w:val="1"/>
          <w:numId w:val="2"/>
        </w:numPr>
        <w:spacing w:after="120"/>
        <w:rPr>
          <w:rFonts w:asciiTheme="minorHAnsi" w:hAnsiTheme="minorHAnsi"/>
          <w:bCs/>
        </w:rPr>
      </w:pPr>
      <w:r w:rsidRPr="007F116C">
        <w:rPr>
          <w:rFonts w:asciiTheme="minorHAnsi" w:hAnsiTheme="minorHAnsi"/>
          <w:bCs/>
        </w:rPr>
        <w:t>Based on the results of two direct, randomised head-to-head trials (</w:t>
      </w:r>
      <w:r w:rsidR="001B041A" w:rsidRPr="007F116C">
        <w:rPr>
          <w:rFonts w:asciiTheme="minorHAnsi" w:hAnsiTheme="minorHAnsi"/>
          <w:bCs/>
        </w:rPr>
        <w:t>ASCLEPIOS I and ASCLEPIOS II</w:t>
      </w:r>
      <w:r w:rsidRPr="007F116C">
        <w:rPr>
          <w:rFonts w:asciiTheme="minorHAnsi" w:hAnsiTheme="minorHAnsi"/>
          <w:bCs/>
        </w:rPr>
        <w:t xml:space="preserve">) of </w:t>
      </w:r>
      <w:r w:rsidR="00A62C19" w:rsidRPr="007F116C">
        <w:rPr>
          <w:rFonts w:asciiTheme="minorHAnsi" w:hAnsiTheme="minorHAnsi"/>
          <w:bCs/>
        </w:rPr>
        <w:t xml:space="preserve">ofatumumab </w:t>
      </w:r>
      <w:r w:rsidRPr="007F116C">
        <w:rPr>
          <w:rFonts w:asciiTheme="minorHAnsi" w:hAnsiTheme="minorHAnsi"/>
          <w:bCs/>
        </w:rPr>
        <w:t>and</w:t>
      </w:r>
      <w:r w:rsidR="001B041A" w:rsidRPr="007F116C">
        <w:rPr>
          <w:rFonts w:asciiTheme="minorHAnsi" w:hAnsiTheme="minorHAnsi"/>
          <w:bCs/>
        </w:rPr>
        <w:t xml:space="preserve"> teriflunomide</w:t>
      </w:r>
      <w:r w:rsidRPr="007F116C">
        <w:rPr>
          <w:rFonts w:asciiTheme="minorHAnsi" w:hAnsiTheme="minorHAnsi"/>
          <w:bCs/>
        </w:rPr>
        <w:t xml:space="preserve">, the PBAC was satisfied that </w:t>
      </w:r>
      <w:r w:rsidR="00A62C19" w:rsidRPr="007F116C">
        <w:rPr>
          <w:rFonts w:asciiTheme="minorHAnsi" w:hAnsiTheme="minorHAnsi"/>
          <w:bCs/>
        </w:rPr>
        <w:t xml:space="preserve">ofatumumab </w:t>
      </w:r>
      <w:r w:rsidRPr="007F116C">
        <w:rPr>
          <w:rFonts w:asciiTheme="minorHAnsi" w:hAnsiTheme="minorHAnsi"/>
          <w:bCs/>
        </w:rPr>
        <w:t xml:space="preserve">provides, for some patients, a significant improvement in effectiveness over </w:t>
      </w:r>
      <w:r w:rsidR="001B041A" w:rsidRPr="007F116C">
        <w:rPr>
          <w:rFonts w:asciiTheme="minorHAnsi" w:hAnsiTheme="minorHAnsi"/>
          <w:bCs/>
        </w:rPr>
        <w:t>teriflunomide</w:t>
      </w:r>
      <w:r w:rsidRPr="007F116C">
        <w:rPr>
          <w:rFonts w:asciiTheme="minorHAnsi" w:hAnsiTheme="minorHAnsi"/>
          <w:bCs/>
        </w:rPr>
        <w:t xml:space="preserve"> for the purposes of Section 101 (3B) of the </w:t>
      </w:r>
      <w:r w:rsidRPr="007F116C">
        <w:rPr>
          <w:rFonts w:asciiTheme="minorHAnsi" w:hAnsiTheme="minorHAnsi"/>
          <w:bCs/>
          <w:i/>
        </w:rPr>
        <w:t>National Health Act 1953</w:t>
      </w:r>
      <w:r w:rsidRPr="007F116C">
        <w:rPr>
          <w:rFonts w:asciiTheme="minorHAnsi" w:hAnsiTheme="minorHAnsi"/>
          <w:bCs/>
        </w:rPr>
        <w:t>.</w:t>
      </w:r>
      <w:r w:rsidR="001B041A" w:rsidRPr="007F116C">
        <w:rPr>
          <w:rFonts w:asciiTheme="minorHAnsi" w:hAnsiTheme="minorHAnsi"/>
          <w:bCs/>
        </w:rPr>
        <w:t xml:space="preserve"> Based on the </w:t>
      </w:r>
      <w:r w:rsidR="00A62C19" w:rsidRPr="007F116C">
        <w:rPr>
          <w:rFonts w:asciiTheme="minorHAnsi" w:hAnsiTheme="minorHAnsi"/>
          <w:bCs/>
        </w:rPr>
        <w:t>previously determined</w:t>
      </w:r>
      <w:r w:rsidR="001B041A" w:rsidRPr="007F116C">
        <w:rPr>
          <w:rFonts w:asciiTheme="minorHAnsi" w:hAnsiTheme="minorHAnsi"/>
          <w:bCs/>
        </w:rPr>
        <w:t xml:space="preserve"> relativities, the PBAC also considered </w:t>
      </w:r>
      <w:r w:rsidR="00A62C19" w:rsidRPr="007F116C">
        <w:rPr>
          <w:rFonts w:asciiTheme="minorHAnsi" w:hAnsiTheme="minorHAnsi"/>
          <w:bCs/>
        </w:rPr>
        <w:t xml:space="preserve">ofatumumab </w:t>
      </w:r>
      <w:r w:rsidR="001B041A" w:rsidRPr="007F116C">
        <w:rPr>
          <w:rFonts w:asciiTheme="minorHAnsi" w:hAnsiTheme="minorHAnsi"/>
          <w:bCs/>
        </w:rPr>
        <w:t>provides, for some patients, a significant improvement in effectiveness over the other lower tier therapies:</w:t>
      </w:r>
      <w:r w:rsidR="001B041A" w:rsidRPr="007F116C">
        <w:t xml:space="preserve"> interferon beta-1a/1b (SC and IM presentations), peginterferon beta-1a, glatiramer acetate and dimethyl fumarate. </w:t>
      </w:r>
    </w:p>
    <w:p w:rsidR="00C0315D" w:rsidRPr="00C0315D" w:rsidRDefault="00C0315D" w:rsidP="00C0315D">
      <w:pPr>
        <w:numPr>
          <w:ilvl w:val="1"/>
          <w:numId w:val="2"/>
        </w:numPr>
        <w:spacing w:after="120"/>
      </w:pPr>
      <w:r>
        <w:t>The PBAC noted f</w:t>
      </w:r>
      <w:r w:rsidRPr="007F116C">
        <w:t>ingolimod and natalizumab were recommended based on cost-effectiveness to interferon beta-1a/1bs.</w:t>
      </w:r>
      <w:r>
        <w:t xml:space="preserve"> The PBAC further noted alemtuzumab, cladribine, ocrelizumab and ozanimod were recommended for listing on a cost minimisation basis compared to fingolimod and could also be considered alternative therapies to ofatumumab.  The PBAC considered that, as no evidence was provided to demonstrate ofatumumab provided a significant improvement in efficacy and/or reduction of toxicity over these alternative therapies, it should not be more costly. </w:t>
      </w:r>
    </w:p>
    <w:p w:rsidR="000F6B32" w:rsidRDefault="00197C86" w:rsidP="00AC5C5F">
      <w:pPr>
        <w:numPr>
          <w:ilvl w:val="1"/>
          <w:numId w:val="2"/>
        </w:numPr>
        <w:spacing w:after="120"/>
        <w:rPr>
          <w:rFonts w:asciiTheme="minorHAnsi" w:hAnsiTheme="minorHAnsi"/>
          <w:bCs/>
        </w:rPr>
      </w:pPr>
      <w:r w:rsidRPr="007F116C">
        <w:rPr>
          <w:rFonts w:asciiTheme="minorHAnsi" w:hAnsiTheme="minorHAnsi"/>
          <w:bCs/>
        </w:rPr>
        <w:t xml:space="preserve">The PBAC considered that the equi-effective doses should be based </w:t>
      </w:r>
      <w:r w:rsidR="004439E5">
        <w:rPr>
          <w:rFonts w:asciiTheme="minorHAnsi" w:hAnsiTheme="minorHAnsi"/>
          <w:bCs/>
        </w:rPr>
        <w:t xml:space="preserve">on </w:t>
      </w:r>
      <w:r w:rsidRPr="007F116C">
        <w:rPr>
          <w:rFonts w:asciiTheme="minorHAnsi" w:hAnsiTheme="minorHAnsi"/>
          <w:bCs/>
        </w:rPr>
        <w:t xml:space="preserve">the dosage regimen </w:t>
      </w:r>
      <w:r w:rsidR="00205B5D" w:rsidRPr="007F116C">
        <w:rPr>
          <w:rFonts w:asciiTheme="minorHAnsi" w:hAnsiTheme="minorHAnsi"/>
          <w:bCs/>
        </w:rPr>
        <w:t xml:space="preserve">of </w:t>
      </w:r>
      <w:r w:rsidR="00F415B6" w:rsidRPr="007F116C">
        <w:rPr>
          <w:rFonts w:asciiTheme="minorHAnsi" w:hAnsiTheme="minorHAnsi"/>
          <w:bCs/>
        </w:rPr>
        <w:t xml:space="preserve">ofatumumab </w:t>
      </w:r>
      <w:r w:rsidRPr="007F116C">
        <w:rPr>
          <w:rFonts w:asciiTheme="minorHAnsi" w:hAnsiTheme="minorHAnsi"/>
          <w:bCs/>
        </w:rPr>
        <w:t>used in the</w:t>
      </w:r>
      <w:r w:rsidR="001C0170" w:rsidRPr="007F116C">
        <w:rPr>
          <w:rFonts w:asciiTheme="minorHAnsi" w:hAnsiTheme="minorHAnsi"/>
          <w:bCs/>
        </w:rPr>
        <w:t xml:space="preserve"> clinical trials </w:t>
      </w:r>
      <w:r w:rsidR="00205B5D" w:rsidRPr="007F116C">
        <w:rPr>
          <w:rFonts w:asciiTheme="minorHAnsi" w:hAnsiTheme="minorHAnsi"/>
          <w:bCs/>
        </w:rPr>
        <w:t xml:space="preserve">and </w:t>
      </w:r>
      <w:r w:rsidR="00AC5C5F">
        <w:rPr>
          <w:rFonts w:asciiTheme="minorHAnsi" w:hAnsiTheme="minorHAnsi"/>
          <w:bCs/>
        </w:rPr>
        <w:t>established equi-effective doses outlined in previous PBAC decisions</w:t>
      </w:r>
      <w:r w:rsidR="001C0170" w:rsidRPr="007F116C">
        <w:rPr>
          <w:rFonts w:asciiTheme="minorHAnsi" w:hAnsiTheme="minorHAnsi"/>
          <w:bCs/>
        </w:rPr>
        <w:t xml:space="preserve">. </w:t>
      </w:r>
      <w:r w:rsidR="00205B5D" w:rsidRPr="007F116C">
        <w:t xml:space="preserve">The cost minimisation analysis should be conducted over two years using approved ex-manufacturer prices. </w:t>
      </w:r>
    </w:p>
    <w:p w:rsidR="0020302B" w:rsidRPr="007F116C" w:rsidRDefault="000B1588" w:rsidP="0020302B">
      <w:pPr>
        <w:numPr>
          <w:ilvl w:val="1"/>
          <w:numId w:val="2"/>
        </w:numPr>
        <w:spacing w:after="120"/>
        <w:rPr>
          <w:rFonts w:asciiTheme="minorHAnsi" w:hAnsiTheme="minorHAnsi"/>
          <w:bCs/>
        </w:rPr>
      </w:pPr>
      <w:r w:rsidRPr="007F116C">
        <w:rPr>
          <w:rFonts w:asciiTheme="minorHAnsi" w:hAnsiTheme="minorHAnsi"/>
          <w:bCs/>
        </w:rPr>
        <w:t>The PBAC noted there are numerous therapies for RRMS available on the PBS, however</w:t>
      </w:r>
      <w:r w:rsidR="00681E95" w:rsidRPr="007F116C">
        <w:rPr>
          <w:rFonts w:asciiTheme="minorHAnsi" w:hAnsiTheme="minorHAnsi"/>
          <w:bCs/>
        </w:rPr>
        <w:t xml:space="preserve"> also</w:t>
      </w:r>
      <w:r w:rsidRPr="007F116C">
        <w:rPr>
          <w:rFonts w:asciiTheme="minorHAnsi" w:hAnsiTheme="minorHAnsi"/>
          <w:bCs/>
        </w:rPr>
        <w:t xml:space="preserve"> noted the advice from MS Australia</w:t>
      </w:r>
      <w:r w:rsidR="00681E95" w:rsidRPr="007F116C">
        <w:rPr>
          <w:rFonts w:asciiTheme="minorHAnsi" w:hAnsiTheme="minorHAnsi"/>
          <w:bCs/>
        </w:rPr>
        <w:t xml:space="preserve"> and the Australian and New Zealand Association of Neurologists (ANZAN) that there </w:t>
      </w:r>
      <w:r w:rsidR="001E4A09" w:rsidRPr="007F116C">
        <w:rPr>
          <w:rFonts w:asciiTheme="minorHAnsi" w:hAnsiTheme="minorHAnsi"/>
          <w:bCs/>
        </w:rPr>
        <w:t xml:space="preserve">are </w:t>
      </w:r>
      <w:r w:rsidR="00681E95" w:rsidRPr="007F116C">
        <w:rPr>
          <w:rFonts w:asciiTheme="minorHAnsi" w:hAnsiTheme="minorHAnsi"/>
          <w:bCs/>
        </w:rPr>
        <w:t>no subcutaneous injectable therapies available in the higher efficacy tier</w:t>
      </w:r>
      <w:r w:rsidR="00104D21">
        <w:rPr>
          <w:rFonts w:asciiTheme="minorHAnsi" w:hAnsiTheme="minorHAnsi"/>
          <w:bCs/>
        </w:rPr>
        <w:t xml:space="preserve">. The PBAC </w:t>
      </w:r>
      <w:r w:rsidR="00681E95" w:rsidRPr="007F116C">
        <w:rPr>
          <w:rFonts w:asciiTheme="minorHAnsi" w:hAnsiTheme="minorHAnsi"/>
          <w:bCs/>
        </w:rPr>
        <w:t>agreed a</w:t>
      </w:r>
      <w:r w:rsidR="00104D21">
        <w:rPr>
          <w:rFonts w:asciiTheme="minorHAnsi" w:hAnsiTheme="minorHAnsi"/>
          <w:bCs/>
        </w:rPr>
        <w:t xml:space="preserve"> self-administered </w:t>
      </w:r>
      <w:r w:rsidR="00681E95" w:rsidRPr="007F116C">
        <w:rPr>
          <w:rFonts w:asciiTheme="minorHAnsi" w:hAnsiTheme="minorHAnsi"/>
          <w:bCs/>
        </w:rPr>
        <w:t>injectable therapy with a similar mec</w:t>
      </w:r>
      <w:r w:rsidR="000F6B32">
        <w:rPr>
          <w:rFonts w:asciiTheme="minorHAnsi" w:hAnsiTheme="minorHAnsi"/>
          <w:bCs/>
        </w:rPr>
        <w:t>hanism of action to ocrelizumab</w:t>
      </w:r>
      <w:r w:rsidR="00681E95" w:rsidRPr="007F116C">
        <w:rPr>
          <w:rFonts w:asciiTheme="minorHAnsi" w:hAnsiTheme="minorHAnsi"/>
          <w:bCs/>
        </w:rPr>
        <w:t xml:space="preserve"> may be </w:t>
      </w:r>
      <w:r w:rsidR="00F50ECC" w:rsidRPr="007F116C">
        <w:rPr>
          <w:rFonts w:asciiTheme="minorHAnsi" w:hAnsiTheme="minorHAnsi"/>
          <w:bCs/>
        </w:rPr>
        <w:t>useful</w:t>
      </w:r>
      <w:r w:rsidR="00681E95" w:rsidRPr="007F116C">
        <w:rPr>
          <w:rFonts w:asciiTheme="minorHAnsi" w:hAnsiTheme="minorHAnsi"/>
          <w:bCs/>
        </w:rPr>
        <w:t xml:space="preserve"> for some patients, particularly those in regional and remote areas who may have difficulty attending an infusion clinic.</w:t>
      </w:r>
    </w:p>
    <w:p w:rsidR="0020302B" w:rsidRPr="007F116C" w:rsidRDefault="00A0446D" w:rsidP="008F7CE9">
      <w:pPr>
        <w:numPr>
          <w:ilvl w:val="1"/>
          <w:numId w:val="2"/>
        </w:numPr>
        <w:spacing w:after="120"/>
        <w:rPr>
          <w:rFonts w:asciiTheme="minorHAnsi" w:hAnsiTheme="minorHAnsi"/>
          <w:bCs/>
        </w:rPr>
      </w:pPr>
      <w:r w:rsidRPr="007F116C">
        <w:rPr>
          <w:rFonts w:asciiTheme="minorHAnsi" w:hAnsiTheme="minorHAnsi"/>
          <w:bCs/>
        </w:rPr>
        <w:t xml:space="preserve">The PBAC considered the requested listing should be aligned with other RRMS listings and include a grandfather restriction, which should remain in place for 12 months. </w:t>
      </w:r>
    </w:p>
    <w:p w:rsidR="0020302B" w:rsidRPr="007F116C" w:rsidRDefault="001D2C4C" w:rsidP="001D2C4C">
      <w:pPr>
        <w:numPr>
          <w:ilvl w:val="1"/>
          <w:numId w:val="2"/>
        </w:numPr>
        <w:spacing w:after="120"/>
        <w:rPr>
          <w:rFonts w:asciiTheme="minorHAnsi" w:hAnsiTheme="minorHAnsi"/>
          <w:bCs/>
        </w:rPr>
      </w:pPr>
      <w:r w:rsidRPr="007F116C">
        <w:rPr>
          <w:rFonts w:asciiTheme="minorHAnsi" w:hAnsiTheme="minorHAnsi"/>
          <w:bCs/>
        </w:rPr>
        <w:t>The PBAC</w:t>
      </w:r>
      <w:r w:rsidR="0014224F" w:rsidRPr="007F116C">
        <w:rPr>
          <w:rFonts w:asciiTheme="minorHAnsi" w:hAnsiTheme="minorHAnsi"/>
          <w:bCs/>
        </w:rPr>
        <w:t xml:space="preserve"> noted</w:t>
      </w:r>
      <w:r w:rsidRPr="007F116C">
        <w:rPr>
          <w:rFonts w:asciiTheme="minorHAnsi" w:hAnsiTheme="minorHAnsi"/>
          <w:bCs/>
        </w:rPr>
        <w:t xml:space="preserve"> the ASCLEPIOS I and II trials</w:t>
      </w:r>
      <w:r w:rsidR="00930D6D" w:rsidRPr="007F116C">
        <w:rPr>
          <w:rFonts w:asciiTheme="minorHAnsi" w:hAnsiTheme="minorHAnsi"/>
          <w:bCs/>
        </w:rPr>
        <w:t xml:space="preserve"> comparing </w:t>
      </w:r>
      <w:r w:rsidR="00F415B6" w:rsidRPr="007F116C">
        <w:rPr>
          <w:rFonts w:asciiTheme="minorHAnsi" w:hAnsiTheme="minorHAnsi"/>
          <w:bCs/>
        </w:rPr>
        <w:t xml:space="preserve">ofatumumab </w:t>
      </w:r>
      <w:r w:rsidR="00930D6D" w:rsidRPr="007F116C">
        <w:rPr>
          <w:rFonts w:asciiTheme="minorHAnsi" w:hAnsiTheme="minorHAnsi"/>
          <w:bCs/>
        </w:rPr>
        <w:t>and teriflunomide</w:t>
      </w:r>
      <w:r w:rsidRPr="007F116C">
        <w:rPr>
          <w:rFonts w:asciiTheme="minorHAnsi" w:hAnsiTheme="minorHAnsi"/>
          <w:bCs/>
        </w:rPr>
        <w:t xml:space="preserve"> </w:t>
      </w:r>
      <w:r w:rsidR="00930D6D" w:rsidRPr="007F116C">
        <w:rPr>
          <w:rFonts w:asciiTheme="minorHAnsi" w:hAnsiTheme="minorHAnsi"/>
          <w:bCs/>
        </w:rPr>
        <w:t>had a low risk of bias, however the comparisons with the nominated comparators relied on multi-step indirect comparisons</w:t>
      </w:r>
      <w:r w:rsidR="00CD5D22" w:rsidRPr="007F116C">
        <w:rPr>
          <w:rFonts w:asciiTheme="minorHAnsi" w:hAnsiTheme="minorHAnsi"/>
          <w:bCs/>
        </w:rPr>
        <w:t xml:space="preserve">. The comparisons with fingolimod, cladribine and natalizumab </w:t>
      </w:r>
      <w:r w:rsidR="00CA37FE" w:rsidRPr="007F116C">
        <w:rPr>
          <w:rFonts w:asciiTheme="minorHAnsi" w:hAnsiTheme="minorHAnsi"/>
          <w:bCs/>
        </w:rPr>
        <w:t>included</w:t>
      </w:r>
      <w:r w:rsidR="00930D6D" w:rsidRPr="007F116C">
        <w:rPr>
          <w:rFonts w:asciiTheme="minorHAnsi" w:hAnsiTheme="minorHAnsi"/>
          <w:bCs/>
        </w:rPr>
        <w:t xml:space="preserve"> the TEMSO and TOWER teriflunomide </w:t>
      </w:r>
      <w:r w:rsidR="00CD5D22" w:rsidRPr="007F116C">
        <w:rPr>
          <w:rFonts w:asciiTheme="minorHAnsi" w:hAnsiTheme="minorHAnsi"/>
          <w:bCs/>
        </w:rPr>
        <w:t>ver</w:t>
      </w:r>
      <w:r w:rsidR="006D5865" w:rsidRPr="007F116C">
        <w:rPr>
          <w:rFonts w:asciiTheme="minorHAnsi" w:hAnsiTheme="minorHAnsi"/>
          <w:bCs/>
        </w:rPr>
        <w:t>s</w:t>
      </w:r>
      <w:r w:rsidR="00CD5D22" w:rsidRPr="007F116C">
        <w:rPr>
          <w:rFonts w:asciiTheme="minorHAnsi" w:hAnsiTheme="minorHAnsi"/>
          <w:bCs/>
        </w:rPr>
        <w:t>us</w:t>
      </w:r>
      <w:r w:rsidR="00930D6D" w:rsidRPr="007F116C">
        <w:rPr>
          <w:rFonts w:asciiTheme="minorHAnsi" w:hAnsiTheme="minorHAnsi"/>
          <w:bCs/>
        </w:rPr>
        <w:t xml:space="preserve"> placebo</w:t>
      </w:r>
      <w:r w:rsidR="00CD5D22" w:rsidRPr="007F116C">
        <w:rPr>
          <w:rFonts w:asciiTheme="minorHAnsi" w:hAnsiTheme="minorHAnsi"/>
          <w:bCs/>
        </w:rPr>
        <w:t xml:space="preserve"> trials which were</w:t>
      </w:r>
      <w:r w:rsidR="00930D6D" w:rsidRPr="007F116C">
        <w:rPr>
          <w:rFonts w:asciiTheme="minorHAnsi" w:hAnsiTheme="minorHAnsi"/>
          <w:bCs/>
        </w:rPr>
        <w:t xml:space="preserve"> older and had a high risk of bias.</w:t>
      </w:r>
      <w:r w:rsidR="00CD5D22" w:rsidRPr="007F116C">
        <w:rPr>
          <w:rFonts w:asciiTheme="minorHAnsi" w:hAnsiTheme="minorHAnsi"/>
          <w:bCs/>
        </w:rPr>
        <w:t xml:space="preserve"> The comparison with ocrelizumab relied on the assumption that </w:t>
      </w:r>
      <w:r w:rsidR="00CD5D22" w:rsidRPr="007F116C">
        <w:rPr>
          <w:iCs/>
        </w:rPr>
        <w:t xml:space="preserve">that IM interferon beta-1a </w:t>
      </w:r>
      <w:r w:rsidR="006D5865" w:rsidRPr="007F116C">
        <w:rPr>
          <w:iCs/>
        </w:rPr>
        <w:t>and</w:t>
      </w:r>
      <w:r w:rsidR="00CD5D22" w:rsidRPr="007F116C">
        <w:rPr>
          <w:iCs/>
        </w:rPr>
        <w:t xml:space="preserve"> SC interferon beta-1a results </w:t>
      </w:r>
      <w:r w:rsidR="006D5865" w:rsidRPr="007F116C">
        <w:rPr>
          <w:iCs/>
        </w:rPr>
        <w:t xml:space="preserve">were exchangeable. </w:t>
      </w:r>
      <w:r w:rsidR="00A0630A" w:rsidRPr="007F116C">
        <w:rPr>
          <w:rFonts w:asciiTheme="minorHAnsi" w:hAnsiTheme="minorHAnsi"/>
          <w:bCs/>
        </w:rPr>
        <w:t xml:space="preserve">The PBAC considered that while there were uncertainties with the multi-step indirect comparison of ofatumumab to the nominated alternative therapies, that overall the plurality of analyses and included network meta-analysis supported a conclusion that ofatumumab is of non-inferior comparative efficacy </w:t>
      </w:r>
      <w:r w:rsidR="007151AD">
        <w:rPr>
          <w:rFonts w:asciiTheme="minorHAnsi" w:hAnsiTheme="minorHAnsi"/>
          <w:bCs/>
        </w:rPr>
        <w:t>compared to any of</w:t>
      </w:r>
      <w:r w:rsidR="007151AD" w:rsidRPr="007F116C">
        <w:rPr>
          <w:rFonts w:asciiTheme="minorHAnsi" w:hAnsiTheme="minorHAnsi"/>
          <w:bCs/>
        </w:rPr>
        <w:t xml:space="preserve"> the other higher tier agents</w:t>
      </w:r>
      <w:r w:rsidR="00A0630A" w:rsidRPr="007F116C">
        <w:rPr>
          <w:rFonts w:asciiTheme="minorHAnsi" w:hAnsiTheme="minorHAnsi"/>
          <w:bCs/>
        </w:rPr>
        <w:t>.</w:t>
      </w:r>
    </w:p>
    <w:p w:rsidR="0020302B" w:rsidRDefault="009C6EDB" w:rsidP="0020302B">
      <w:pPr>
        <w:numPr>
          <w:ilvl w:val="1"/>
          <w:numId w:val="2"/>
        </w:numPr>
        <w:spacing w:after="120"/>
        <w:rPr>
          <w:rFonts w:asciiTheme="minorHAnsi" w:hAnsiTheme="minorHAnsi"/>
          <w:bCs/>
        </w:rPr>
      </w:pPr>
      <w:r w:rsidRPr="007F116C">
        <w:rPr>
          <w:rFonts w:asciiTheme="minorHAnsi" w:hAnsiTheme="minorHAnsi"/>
          <w:bCs/>
        </w:rPr>
        <w:t xml:space="preserve">The PBAC noted that whilst it was difficult to evaluate the comparative safety of </w:t>
      </w:r>
      <w:r w:rsidR="006D5865" w:rsidRPr="007F116C">
        <w:rPr>
          <w:rFonts w:asciiTheme="minorHAnsi" w:hAnsiTheme="minorHAnsi"/>
          <w:bCs/>
        </w:rPr>
        <w:t xml:space="preserve">ofatumumab and the comparators </w:t>
      </w:r>
      <w:r w:rsidRPr="007F116C">
        <w:rPr>
          <w:rFonts w:asciiTheme="minorHAnsi" w:hAnsiTheme="minorHAnsi"/>
          <w:bCs/>
        </w:rPr>
        <w:t>due to the differences in</w:t>
      </w:r>
      <w:r w:rsidR="00531195" w:rsidRPr="007F116C">
        <w:rPr>
          <w:rFonts w:asciiTheme="minorHAnsi" w:hAnsiTheme="minorHAnsi"/>
          <w:bCs/>
        </w:rPr>
        <w:t xml:space="preserve"> the overall safety profiles,</w:t>
      </w:r>
      <w:r w:rsidRPr="007F116C">
        <w:rPr>
          <w:rFonts w:asciiTheme="minorHAnsi" w:hAnsiTheme="minorHAnsi"/>
          <w:bCs/>
        </w:rPr>
        <w:t xml:space="preserve"> mechanisms of action, treatment regimens, routes of administration and other factors, the Committee considered the overall adverse event profile was likely </w:t>
      </w:r>
      <w:r w:rsidR="00BE65F8" w:rsidRPr="007F116C">
        <w:rPr>
          <w:rFonts w:asciiTheme="minorHAnsi" w:hAnsiTheme="minorHAnsi"/>
          <w:bCs/>
        </w:rPr>
        <w:t xml:space="preserve">non-inferior to ocrelizumab and </w:t>
      </w:r>
      <w:r w:rsidRPr="007F116C">
        <w:rPr>
          <w:rFonts w:asciiTheme="minorHAnsi" w:hAnsiTheme="minorHAnsi"/>
          <w:bCs/>
        </w:rPr>
        <w:t xml:space="preserve">comparable to </w:t>
      </w:r>
      <w:r w:rsidR="006D5865" w:rsidRPr="007F116C">
        <w:rPr>
          <w:rFonts w:asciiTheme="minorHAnsi" w:hAnsiTheme="minorHAnsi"/>
          <w:bCs/>
        </w:rPr>
        <w:t>that of</w:t>
      </w:r>
      <w:r w:rsidR="007151AD">
        <w:rPr>
          <w:rFonts w:asciiTheme="minorHAnsi" w:hAnsiTheme="minorHAnsi"/>
          <w:bCs/>
        </w:rPr>
        <w:t xml:space="preserve"> any of</w:t>
      </w:r>
      <w:r w:rsidR="006D5865" w:rsidRPr="007F116C">
        <w:rPr>
          <w:rFonts w:asciiTheme="minorHAnsi" w:hAnsiTheme="minorHAnsi"/>
          <w:bCs/>
        </w:rPr>
        <w:t xml:space="preserve"> </w:t>
      </w:r>
      <w:r w:rsidRPr="007F116C">
        <w:rPr>
          <w:rFonts w:asciiTheme="minorHAnsi" w:hAnsiTheme="minorHAnsi"/>
          <w:bCs/>
        </w:rPr>
        <w:t>the other higher tier agents</w:t>
      </w:r>
      <w:r w:rsidR="00531195" w:rsidRPr="007F116C">
        <w:rPr>
          <w:rFonts w:asciiTheme="minorHAnsi" w:hAnsiTheme="minorHAnsi"/>
          <w:bCs/>
        </w:rPr>
        <w:t xml:space="preserve"> and </w:t>
      </w:r>
      <w:r w:rsidR="006D5865" w:rsidRPr="007F116C">
        <w:rPr>
          <w:rFonts w:asciiTheme="minorHAnsi" w:hAnsiTheme="minorHAnsi"/>
          <w:bCs/>
        </w:rPr>
        <w:t xml:space="preserve">that </w:t>
      </w:r>
      <w:r w:rsidR="00531195" w:rsidRPr="007F116C">
        <w:rPr>
          <w:rFonts w:asciiTheme="minorHAnsi" w:hAnsiTheme="minorHAnsi"/>
          <w:bCs/>
        </w:rPr>
        <w:t xml:space="preserve">there were no specific signals which would indicate </w:t>
      </w:r>
      <w:r w:rsidR="006D5865" w:rsidRPr="007F116C">
        <w:rPr>
          <w:rFonts w:asciiTheme="minorHAnsi" w:hAnsiTheme="minorHAnsi"/>
          <w:bCs/>
        </w:rPr>
        <w:t xml:space="preserve">ofatumumab </w:t>
      </w:r>
      <w:r w:rsidR="00531195" w:rsidRPr="007F116C">
        <w:rPr>
          <w:rFonts w:asciiTheme="minorHAnsi" w:hAnsiTheme="minorHAnsi"/>
          <w:bCs/>
        </w:rPr>
        <w:t>is of inferior safety to these therapies.</w:t>
      </w:r>
    </w:p>
    <w:p w:rsidR="00C0315D" w:rsidRPr="00122D28" w:rsidRDefault="00C0315D" w:rsidP="00C0315D">
      <w:pPr>
        <w:numPr>
          <w:ilvl w:val="1"/>
          <w:numId w:val="2"/>
        </w:numPr>
        <w:spacing w:after="120"/>
        <w:rPr>
          <w:rFonts w:asciiTheme="minorHAnsi" w:hAnsiTheme="minorHAnsi"/>
          <w:bCs/>
        </w:rPr>
      </w:pPr>
      <w:r w:rsidRPr="00122D28">
        <w:rPr>
          <w:rFonts w:asciiTheme="minorHAnsi" w:hAnsiTheme="minorHAnsi"/>
          <w:bCs/>
        </w:rPr>
        <w:t xml:space="preserve">The PBAC considered that the equi-effective doses should be based on the dosage regimen of ofatumumab used in the clinical trials. </w:t>
      </w:r>
      <w:r w:rsidRPr="007F116C">
        <w:t>The cost minimisation analysis should be conducted over two years using approved ex-manufacturer prices</w:t>
      </w:r>
      <w:r>
        <w:t>, applying the following dosage regimen for ofatumumab and fingolimod:</w:t>
      </w:r>
    </w:p>
    <w:p w:rsidR="00C0315D" w:rsidRDefault="00C0315D" w:rsidP="004C7AE1">
      <w:pPr>
        <w:pStyle w:val="ListParagraph"/>
        <w:numPr>
          <w:ilvl w:val="0"/>
          <w:numId w:val="32"/>
        </w:numPr>
        <w:spacing w:after="120"/>
        <w:ind w:left="1077" w:hanging="357"/>
        <w:rPr>
          <w:rFonts w:asciiTheme="minorHAnsi" w:hAnsiTheme="minorHAnsi"/>
          <w:bCs/>
        </w:rPr>
      </w:pPr>
      <w:r w:rsidRPr="00E62DAA">
        <w:rPr>
          <w:rFonts w:asciiTheme="minorHAnsi" w:hAnsiTheme="minorHAnsi"/>
          <w:bCs/>
        </w:rPr>
        <w:t xml:space="preserve">One injection of OFA 200mg at weeks 0, 1, 2 and 4 (loading period) with a maintenance dose of one injection every four weeks after; </w:t>
      </w:r>
      <w:r>
        <w:rPr>
          <w:rFonts w:asciiTheme="minorHAnsi" w:hAnsiTheme="minorHAnsi"/>
          <w:bCs/>
        </w:rPr>
        <w:t>and</w:t>
      </w:r>
    </w:p>
    <w:p w:rsidR="00C0315D" w:rsidRDefault="00C0315D" w:rsidP="004C7AE1">
      <w:pPr>
        <w:pStyle w:val="ListParagraph"/>
        <w:numPr>
          <w:ilvl w:val="0"/>
          <w:numId w:val="32"/>
        </w:numPr>
        <w:spacing w:after="120"/>
        <w:ind w:left="1077" w:hanging="357"/>
        <w:rPr>
          <w:rFonts w:asciiTheme="minorHAnsi" w:hAnsiTheme="minorHAnsi"/>
          <w:bCs/>
        </w:rPr>
      </w:pPr>
      <w:r w:rsidRPr="00DA04B7">
        <w:rPr>
          <w:rFonts w:asciiTheme="minorHAnsi" w:hAnsiTheme="minorHAnsi"/>
          <w:bCs/>
        </w:rPr>
        <w:t>Fingolimod 500 mcg once daily.</w:t>
      </w:r>
    </w:p>
    <w:p w:rsidR="00C0315D" w:rsidRPr="00C0315D" w:rsidRDefault="00C0315D" w:rsidP="00C0315D">
      <w:pPr>
        <w:numPr>
          <w:ilvl w:val="1"/>
          <w:numId w:val="2"/>
        </w:numPr>
        <w:spacing w:after="120"/>
        <w:rPr>
          <w:rFonts w:asciiTheme="minorHAnsi" w:hAnsiTheme="minorHAnsi"/>
          <w:bCs/>
        </w:rPr>
      </w:pPr>
      <w:r>
        <w:rPr>
          <w:rFonts w:asciiTheme="minorHAnsi" w:hAnsiTheme="minorHAnsi"/>
          <w:bCs/>
        </w:rPr>
        <w:t xml:space="preserve">The PBAC noted equi-effective doses for </w:t>
      </w:r>
      <w:r w:rsidRPr="00122D28">
        <w:rPr>
          <w:rFonts w:asciiTheme="minorHAnsi" w:hAnsiTheme="minorHAnsi"/>
          <w:bCs/>
        </w:rPr>
        <w:t xml:space="preserve">cladribine, ocrelizumab and ozanimod relative to </w:t>
      </w:r>
      <w:r>
        <w:rPr>
          <w:rFonts w:asciiTheme="minorHAnsi" w:hAnsiTheme="minorHAnsi"/>
          <w:bCs/>
        </w:rPr>
        <w:t>f</w:t>
      </w:r>
      <w:r w:rsidRPr="00DA04B7">
        <w:rPr>
          <w:rFonts w:asciiTheme="minorHAnsi" w:hAnsiTheme="minorHAnsi"/>
          <w:bCs/>
        </w:rPr>
        <w:t>ingolimod 500 mcg once daily</w:t>
      </w:r>
      <w:r>
        <w:rPr>
          <w:rFonts w:asciiTheme="minorHAnsi" w:hAnsiTheme="minorHAnsi"/>
          <w:bCs/>
        </w:rPr>
        <w:t xml:space="preserve"> have been previously established and could be used to determine if any of these therapies are less costly than fingolimod. Similarly, the cost minimisation basis for listing alemtuzumab versus fingolimod (and natalizumab) could be used to determine if alemtuzumab is less costly than fingolimod.</w:t>
      </w:r>
    </w:p>
    <w:p w:rsidR="0020302B" w:rsidRPr="007F116C" w:rsidRDefault="00F50ECC" w:rsidP="00361C3E">
      <w:pPr>
        <w:numPr>
          <w:ilvl w:val="1"/>
          <w:numId w:val="2"/>
        </w:numPr>
        <w:spacing w:after="120"/>
      </w:pPr>
      <w:r w:rsidRPr="007F116C">
        <w:rPr>
          <w:rFonts w:asciiTheme="minorHAnsi" w:hAnsiTheme="minorHAnsi"/>
          <w:bCs/>
        </w:rPr>
        <w:t xml:space="preserve">The PBAC </w:t>
      </w:r>
      <w:r w:rsidR="00AF5DE1" w:rsidRPr="007F116C">
        <w:rPr>
          <w:rFonts w:asciiTheme="minorHAnsi" w:hAnsiTheme="minorHAnsi"/>
          <w:bCs/>
        </w:rPr>
        <w:t xml:space="preserve">considered the market share approach used in the submission and noted that the utilisation and financial expenditure of </w:t>
      </w:r>
      <w:r w:rsidR="006D5865" w:rsidRPr="007F116C">
        <w:rPr>
          <w:rFonts w:asciiTheme="minorHAnsi" w:hAnsiTheme="minorHAnsi"/>
          <w:bCs/>
        </w:rPr>
        <w:t xml:space="preserve">ofatumumab </w:t>
      </w:r>
      <w:r w:rsidR="00AF5DE1" w:rsidRPr="007F116C">
        <w:rPr>
          <w:rFonts w:asciiTheme="minorHAnsi" w:hAnsiTheme="minorHAnsi"/>
          <w:bCs/>
        </w:rPr>
        <w:t xml:space="preserve">will be primarily determined by the alternative RRMS therapies substituted in practice. The PBAC noted that the base case resulted in a net cost due to the substitution of lower efficacy tier treatments that are less costly, however also noted the supplementary analysis that included only substitution of higher efficacy tier medicines resulted in a net save to the PBS. On balance, the PBAC considered the </w:t>
      </w:r>
      <w:r w:rsidR="003A44DA" w:rsidRPr="007F116C">
        <w:rPr>
          <w:rFonts w:asciiTheme="minorHAnsi" w:hAnsiTheme="minorHAnsi"/>
          <w:bCs/>
        </w:rPr>
        <w:t xml:space="preserve">listing of </w:t>
      </w:r>
      <w:r w:rsidR="006D5865" w:rsidRPr="007F116C">
        <w:rPr>
          <w:rFonts w:asciiTheme="minorHAnsi" w:hAnsiTheme="minorHAnsi"/>
          <w:bCs/>
        </w:rPr>
        <w:t>ofatumumab i</w:t>
      </w:r>
      <w:r w:rsidR="003A44DA" w:rsidRPr="007F116C">
        <w:rPr>
          <w:rFonts w:asciiTheme="minorHAnsi" w:hAnsiTheme="minorHAnsi"/>
          <w:bCs/>
        </w:rPr>
        <w:t xml:space="preserve">s unlikely to increase the rate of switch from lower tier to higher tier treatments and thus the </w:t>
      </w:r>
      <w:r w:rsidR="00AF5DE1" w:rsidRPr="007F116C">
        <w:rPr>
          <w:rFonts w:asciiTheme="minorHAnsi" w:hAnsiTheme="minorHAnsi"/>
          <w:bCs/>
        </w:rPr>
        <w:t xml:space="preserve">financial implications of the listing of </w:t>
      </w:r>
      <w:r w:rsidR="006D5865" w:rsidRPr="007F116C">
        <w:rPr>
          <w:rFonts w:asciiTheme="minorHAnsi" w:hAnsiTheme="minorHAnsi"/>
          <w:bCs/>
        </w:rPr>
        <w:t xml:space="preserve">ofatumumab </w:t>
      </w:r>
      <w:r w:rsidR="00AF5DE1" w:rsidRPr="007F116C">
        <w:rPr>
          <w:rFonts w:asciiTheme="minorHAnsi" w:hAnsiTheme="minorHAnsi"/>
          <w:bCs/>
        </w:rPr>
        <w:t>were likely to be minimal.</w:t>
      </w:r>
    </w:p>
    <w:p w:rsidR="0020302B" w:rsidRPr="007F116C" w:rsidRDefault="0020302B" w:rsidP="005E4FFF">
      <w:pPr>
        <w:numPr>
          <w:ilvl w:val="1"/>
          <w:numId w:val="2"/>
        </w:numPr>
        <w:spacing w:after="120"/>
        <w:rPr>
          <w:rFonts w:asciiTheme="minorHAnsi" w:hAnsiTheme="minorHAnsi"/>
          <w:bCs/>
        </w:rPr>
      </w:pPr>
      <w:r w:rsidRPr="007F116C">
        <w:rPr>
          <w:rFonts w:asciiTheme="minorHAnsi" w:hAnsiTheme="minorHAnsi"/>
          <w:bCs/>
        </w:rPr>
        <w:t xml:space="preserve">The PBAC </w:t>
      </w:r>
      <w:r w:rsidR="005E4FFF" w:rsidRPr="007F116C">
        <w:rPr>
          <w:rFonts w:asciiTheme="minorHAnsi" w:hAnsiTheme="minorHAnsi"/>
          <w:bCs/>
        </w:rPr>
        <w:t>advised that</w:t>
      </w:r>
      <w:r w:rsidR="00B562C5" w:rsidRPr="007F116C">
        <w:rPr>
          <w:rFonts w:asciiTheme="minorHAnsi" w:hAnsiTheme="minorHAnsi"/>
          <w:bCs/>
        </w:rPr>
        <w:t xml:space="preserve">, </w:t>
      </w:r>
      <w:r w:rsidR="00104D21">
        <w:rPr>
          <w:rFonts w:asciiTheme="minorHAnsi" w:hAnsiTheme="minorHAnsi"/>
          <w:bCs/>
        </w:rPr>
        <w:t xml:space="preserve">under </w:t>
      </w:r>
      <w:r w:rsidR="00B562C5" w:rsidRPr="007F116C">
        <w:rPr>
          <w:rFonts w:asciiTheme="minorHAnsi" w:hAnsiTheme="minorHAnsi"/>
          <w:bCs/>
        </w:rPr>
        <w:t xml:space="preserve">section 101(3BA) of the </w:t>
      </w:r>
      <w:r w:rsidR="00B562C5" w:rsidRPr="007F116C">
        <w:rPr>
          <w:rFonts w:asciiTheme="minorHAnsi" w:hAnsiTheme="minorHAnsi"/>
          <w:bCs/>
          <w:i/>
        </w:rPr>
        <w:t>National Health Act 1953</w:t>
      </w:r>
      <w:r w:rsidR="00B562C5" w:rsidRPr="007F116C">
        <w:rPr>
          <w:rFonts w:asciiTheme="minorHAnsi" w:hAnsiTheme="minorHAnsi"/>
          <w:bCs/>
        </w:rPr>
        <w:t xml:space="preserve"> </w:t>
      </w:r>
      <w:r w:rsidR="005E4FFF" w:rsidRPr="007F116C">
        <w:rPr>
          <w:rFonts w:asciiTheme="minorHAnsi" w:hAnsiTheme="minorHAnsi"/>
          <w:bCs/>
        </w:rPr>
        <w:t>ofatumumab should be treated as interchangeable with ocrelizumab</w:t>
      </w:r>
      <w:r w:rsidR="008073FA" w:rsidRPr="007F116C">
        <w:rPr>
          <w:rFonts w:asciiTheme="minorHAnsi" w:hAnsiTheme="minorHAnsi"/>
          <w:bCs/>
        </w:rPr>
        <w:t xml:space="preserve">, </w:t>
      </w:r>
      <w:r w:rsidR="00B562C5" w:rsidRPr="007F116C">
        <w:rPr>
          <w:rFonts w:asciiTheme="minorHAnsi" w:hAnsiTheme="minorHAnsi"/>
          <w:bCs/>
        </w:rPr>
        <w:t>fingolimod, ozanimod, cladr</w:t>
      </w:r>
      <w:r w:rsidR="008073FA" w:rsidRPr="007F116C">
        <w:rPr>
          <w:rFonts w:asciiTheme="minorHAnsi" w:hAnsiTheme="minorHAnsi"/>
          <w:bCs/>
        </w:rPr>
        <w:t>ibine and alemtuzumab.</w:t>
      </w:r>
    </w:p>
    <w:p w:rsidR="0020302B" w:rsidRPr="007F116C" w:rsidRDefault="00B562C5" w:rsidP="0020302B">
      <w:pPr>
        <w:numPr>
          <w:ilvl w:val="1"/>
          <w:numId w:val="2"/>
        </w:numPr>
        <w:spacing w:after="120"/>
        <w:rPr>
          <w:rFonts w:asciiTheme="minorHAnsi" w:hAnsiTheme="minorHAnsi"/>
          <w:bCs/>
        </w:rPr>
      </w:pPr>
      <w:r w:rsidRPr="007F116C">
        <w:rPr>
          <w:rFonts w:asciiTheme="minorHAnsi" w:hAnsiTheme="minorHAnsi"/>
          <w:bCs/>
        </w:rPr>
        <w:t xml:space="preserve">The PBAC advised that ofatumumab is </w:t>
      </w:r>
      <w:r w:rsidR="0020302B" w:rsidRPr="007F116C">
        <w:rPr>
          <w:rFonts w:asciiTheme="minorHAnsi" w:hAnsiTheme="minorHAnsi"/>
          <w:bCs/>
        </w:rPr>
        <w:t>not suitable for presc</w:t>
      </w:r>
      <w:r w:rsidRPr="007F116C">
        <w:rPr>
          <w:rFonts w:asciiTheme="minorHAnsi" w:hAnsiTheme="minorHAnsi"/>
          <w:bCs/>
        </w:rPr>
        <w:t>ribing by nurse practitioners, consistent with other RRMS DMT listings.</w:t>
      </w:r>
    </w:p>
    <w:p w:rsidR="0020302B" w:rsidRPr="007F116C" w:rsidRDefault="0020302B" w:rsidP="0020302B">
      <w:pPr>
        <w:numPr>
          <w:ilvl w:val="1"/>
          <w:numId w:val="2"/>
        </w:numPr>
        <w:spacing w:after="120"/>
        <w:rPr>
          <w:rFonts w:asciiTheme="minorHAnsi" w:hAnsiTheme="minorHAnsi"/>
          <w:bCs/>
        </w:rPr>
      </w:pPr>
      <w:r w:rsidRPr="007F116C">
        <w:rPr>
          <w:rFonts w:asciiTheme="minorHAnsi" w:hAnsiTheme="minorHAnsi"/>
          <w:bCs/>
        </w:rPr>
        <w:t xml:space="preserve">The PBAC recommended that the Early Supply Rule </w:t>
      </w:r>
      <w:r w:rsidR="00B562C5" w:rsidRPr="007F116C">
        <w:rPr>
          <w:rFonts w:asciiTheme="minorHAnsi" w:hAnsiTheme="minorHAnsi"/>
          <w:bCs/>
        </w:rPr>
        <w:t>should apply.</w:t>
      </w:r>
    </w:p>
    <w:p w:rsidR="0020302B" w:rsidRPr="007F116C" w:rsidRDefault="0020302B" w:rsidP="00A61BEF">
      <w:pPr>
        <w:numPr>
          <w:ilvl w:val="1"/>
          <w:numId w:val="2"/>
        </w:numPr>
        <w:spacing w:after="120"/>
        <w:rPr>
          <w:rFonts w:asciiTheme="minorHAnsi" w:hAnsiTheme="minorHAnsi"/>
          <w:bCs/>
          <w:szCs w:val="24"/>
        </w:rPr>
      </w:pPr>
      <w:r w:rsidRPr="007F116C">
        <w:rPr>
          <w:rFonts w:asciiTheme="minorHAnsi" w:hAnsiTheme="minorHAnsi"/>
          <w:bCs/>
          <w:szCs w:val="24"/>
        </w:rPr>
        <w:t xml:space="preserve">The PBAC noted that its recommendation was on a cost-minimisation basis and advised that, because </w:t>
      </w:r>
      <w:r w:rsidR="00B562C5" w:rsidRPr="007F116C">
        <w:rPr>
          <w:rFonts w:asciiTheme="minorHAnsi" w:hAnsiTheme="minorHAnsi"/>
          <w:bCs/>
          <w:szCs w:val="24"/>
        </w:rPr>
        <w:t>ofatumumab</w:t>
      </w:r>
      <w:r w:rsidRPr="007F116C">
        <w:rPr>
          <w:rFonts w:asciiTheme="minorHAnsi" w:hAnsiTheme="minorHAnsi"/>
          <w:bCs/>
          <w:szCs w:val="24"/>
        </w:rPr>
        <w:t xml:space="preserve"> is not expected to provide a substantial and clinically relevant improvement in efficacy, or reduction of toxicity, </w:t>
      </w:r>
      <w:r w:rsidR="00A61BEF" w:rsidRPr="007F116C">
        <w:rPr>
          <w:rFonts w:asciiTheme="minorHAnsi" w:hAnsiTheme="minorHAnsi"/>
          <w:bCs/>
          <w:szCs w:val="24"/>
        </w:rPr>
        <w:t xml:space="preserve">any of the higher efficacy tier RRMS therapies, </w:t>
      </w:r>
      <w:r w:rsidRPr="007F116C">
        <w:rPr>
          <w:rFonts w:asciiTheme="minorHAnsi" w:hAnsiTheme="minorHAnsi"/>
          <w:bCs/>
          <w:szCs w:val="24"/>
        </w:rPr>
        <w:t>or not expected to address a high and urgent unmet clinical need given the presence of an alternative therapy, the criteria prescribed by the National Health (Pharmaceuticals and Vaccines – Cost Recovery) Regulations 2009 for Pricing Pathway A were not met.</w:t>
      </w:r>
    </w:p>
    <w:p w:rsidR="0020302B" w:rsidRPr="007F116C" w:rsidRDefault="0020302B" w:rsidP="00B562C5">
      <w:pPr>
        <w:numPr>
          <w:ilvl w:val="1"/>
          <w:numId w:val="2"/>
        </w:numPr>
        <w:spacing w:after="120"/>
        <w:rPr>
          <w:rFonts w:asciiTheme="minorHAnsi" w:hAnsiTheme="minorHAnsi"/>
          <w:bCs/>
        </w:rPr>
      </w:pPr>
      <w:r w:rsidRPr="007F116C">
        <w:rPr>
          <w:rFonts w:asciiTheme="minorHAnsi" w:hAnsiTheme="minorHAnsi"/>
          <w:bCs/>
        </w:rPr>
        <w:t>The PBAC noted that this submission i</w:t>
      </w:r>
      <w:r w:rsidR="00B562C5" w:rsidRPr="007F116C">
        <w:rPr>
          <w:rFonts w:asciiTheme="minorHAnsi" w:hAnsiTheme="minorHAnsi"/>
          <w:bCs/>
        </w:rPr>
        <w:t>s not eligible for an Independent Review as it received a positive recommendation.</w:t>
      </w:r>
    </w:p>
    <w:p w:rsidR="0020302B" w:rsidRPr="007F116C" w:rsidRDefault="0020302B" w:rsidP="00AF5DE1">
      <w:pPr>
        <w:spacing w:before="240"/>
        <w:outlineLvl w:val="1"/>
        <w:rPr>
          <w:rFonts w:asciiTheme="minorHAnsi" w:hAnsiTheme="minorHAnsi"/>
          <w:b/>
          <w:bCs/>
        </w:rPr>
      </w:pPr>
      <w:r w:rsidRPr="007F116C">
        <w:rPr>
          <w:rFonts w:asciiTheme="minorHAnsi" w:hAnsiTheme="minorHAnsi"/>
          <w:b/>
          <w:bCs/>
        </w:rPr>
        <w:t>Outcome:</w:t>
      </w:r>
      <w:r w:rsidR="00AF5DE1" w:rsidRPr="007F116C">
        <w:rPr>
          <w:rFonts w:asciiTheme="minorHAnsi" w:hAnsiTheme="minorHAnsi"/>
          <w:b/>
          <w:bCs/>
        </w:rPr>
        <w:t xml:space="preserve"> </w:t>
      </w:r>
      <w:r w:rsidR="00AF5DE1" w:rsidRPr="007F116C">
        <w:rPr>
          <w:rFonts w:asciiTheme="minorHAnsi" w:hAnsiTheme="minorHAnsi"/>
          <w:b/>
          <w:bCs/>
        </w:rPr>
        <w:br/>
      </w:r>
      <w:r w:rsidR="00B562C5" w:rsidRPr="007F116C">
        <w:rPr>
          <w:rFonts w:asciiTheme="minorHAnsi" w:hAnsiTheme="minorHAnsi"/>
          <w:bCs/>
        </w:rPr>
        <w:t>Recommended</w:t>
      </w:r>
    </w:p>
    <w:p w:rsidR="00135D22" w:rsidRDefault="00135D22">
      <w:pPr>
        <w:widowControl/>
        <w:jc w:val="left"/>
        <w:rPr>
          <w:rFonts w:asciiTheme="minorHAnsi" w:hAnsiTheme="minorHAnsi"/>
          <w:b/>
          <w:bCs/>
        </w:rPr>
      </w:pPr>
      <w:r>
        <w:rPr>
          <w:rFonts w:asciiTheme="minorHAnsi" w:hAnsiTheme="minorHAnsi"/>
          <w:b/>
          <w:bCs/>
        </w:rPr>
        <w:br w:type="page"/>
      </w:r>
    </w:p>
    <w:bookmarkEnd w:id="0"/>
    <w:bookmarkEnd w:id="1"/>
    <w:bookmarkEnd w:id="2"/>
    <w:bookmarkEnd w:id="3"/>
    <w:bookmarkEnd w:id="4"/>
    <w:p w:rsidR="00820310" w:rsidRPr="003630D9" w:rsidRDefault="00820310" w:rsidP="00820310">
      <w:pPr>
        <w:numPr>
          <w:ilvl w:val="0"/>
          <w:numId w:val="2"/>
        </w:numPr>
        <w:spacing w:before="240" w:after="120"/>
        <w:outlineLvl w:val="0"/>
        <w:rPr>
          <w:rFonts w:asciiTheme="minorHAnsi" w:hAnsiTheme="minorHAnsi"/>
          <w:b/>
          <w:bCs/>
          <w:sz w:val="32"/>
        </w:rPr>
      </w:pPr>
      <w:r w:rsidRPr="007F116C">
        <w:rPr>
          <w:rFonts w:asciiTheme="minorHAnsi" w:hAnsiTheme="minorHAnsi"/>
          <w:b/>
          <w:bCs/>
          <w:sz w:val="32"/>
        </w:rPr>
        <w:t>Recommended listing</w:t>
      </w:r>
    </w:p>
    <w:p w:rsidR="00820310" w:rsidRPr="000D47BE" w:rsidRDefault="00820310" w:rsidP="00820310">
      <w:pPr>
        <w:spacing w:after="120"/>
        <w:ind w:left="720"/>
        <w:rPr>
          <w:rFonts w:eastAsia="Calibri"/>
          <w:snapToGrid/>
        </w:rPr>
      </w:pPr>
      <w:r w:rsidRPr="000D47BE">
        <w:rPr>
          <w:rFonts w:asciiTheme="minorHAnsi" w:hAnsiTheme="minorHAnsi"/>
          <w:bCs/>
        </w:rPr>
        <w:t xml:space="preserve">Add new medicinal product (ofatumumab) as follows: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495"/>
        <w:gridCol w:w="2675"/>
        <w:gridCol w:w="1024"/>
        <w:gridCol w:w="1169"/>
        <w:gridCol w:w="876"/>
        <w:gridCol w:w="876"/>
        <w:gridCol w:w="1316"/>
      </w:tblGrid>
      <w:tr w:rsidR="00820310" w:rsidRPr="007F116C" w:rsidTr="00FF42D9">
        <w:trPr>
          <w:cantSplit/>
          <w:trHeight w:val="471"/>
        </w:trPr>
        <w:tc>
          <w:tcPr>
            <w:tcW w:w="3823" w:type="dxa"/>
            <w:gridSpan w:val="3"/>
          </w:tcPr>
          <w:p w:rsidR="00820310" w:rsidRPr="007F116C" w:rsidRDefault="00820310" w:rsidP="0071404F">
            <w:pPr>
              <w:keepNext/>
              <w:widowControl/>
              <w:ind w:left="-57"/>
              <w:rPr>
                <w:rFonts w:ascii="Arial Narrow" w:eastAsia="Calibri" w:hAnsi="Arial Narrow"/>
                <w:b/>
                <w:snapToGrid/>
                <w:sz w:val="18"/>
                <w:szCs w:val="18"/>
              </w:rPr>
            </w:pPr>
            <w:r>
              <w:rPr>
                <w:rFonts w:ascii="Arial Narrow" w:eastAsia="Calibri" w:hAnsi="Arial Narrow"/>
                <w:b/>
                <w:snapToGrid/>
                <w:sz w:val="18"/>
                <w:szCs w:val="18"/>
              </w:rPr>
              <w:t>MEDICINAL PRODUCT</w:t>
            </w:r>
          </w:p>
          <w:p w:rsidR="00820310" w:rsidRPr="007F116C" w:rsidRDefault="00820310" w:rsidP="0071404F">
            <w:pPr>
              <w:keepNext/>
              <w:widowControl/>
              <w:ind w:left="-57"/>
              <w:rPr>
                <w:rFonts w:ascii="Arial Narrow" w:eastAsia="Calibri" w:hAnsi="Arial Narrow"/>
                <w:b/>
                <w:snapToGrid/>
                <w:sz w:val="18"/>
                <w:szCs w:val="18"/>
              </w:rPr>
            </w:pPr>
            <w:r>
              <w:rPr>
                <w:rFonts w:ascii="Arial Narrow" w:eastAsia="Calibri" w:hAnsi="Arial Narrow"/>
                <w:b/>
                <w:snapToGrid/>
                <w:sz w:val="18"/>
                <w:szCs w:val="18"/>
              </w:rPr>
              <w:t xml:space="preserve">medicinal product pack </w:t>
            </w:r>
          </w:p>
        </w:tc>
        <w:tc>
          <w:tcPr>
            <w:tcW w:w="992" w:type="dxa"/>
          </w:tcPr>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PBS item code</w:t>
            </w:r>
          </w:p>
        </w:tc>
        <w:tc>
          <w:tcPr>
            <w:tcW w:w="1134" w:type="dxa"/>
          </w:tcPr>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Max. qty packs</w:t>
            </w:r>
          </w:p>
        </w:tc>
        <w:tc>
          <w:tcPr>
            <w:tcW w:w="850" w:type="dxa"/>
          </w:tcPr>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Max. qty units</w:t>
            </w:r>
          </w:p>
        </w:tc>
        <w:tc>
          <w:tcPr>
            <w:tcW w:w="851" w:type="dxa"/>
          </w:tcPr>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№.of</w:t>
            </w:r>
          </w:p>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Rpts</w:t>
            </w:r>
          </w:p>
        </w:tc>
        <w:tc>
          <w:tcPr>
            <w:tcW w:w="1275" w:type="dxa"/>
          </w:tcPr>
          <w:p w:rsidR="00820310" w:rsidRPr="007F116C" w:rsidRDefault="00820310" w:rsidP="0071404F">
            <w:pPr>
              <w:keepNext/>
              <w:widowControl/>
              <w:jc w:val="left"/>
              <w:rPr>
                <w:rFonts w:ascii="Arial Narrow" w:eastAsia="Calibri" w:hAnsi="Arial Narrow"/>
                <w:b/>
                <w:snapToGrid/>
                <w:sz w:val="18"/>
                <w:szCs w:val="18"/>
              </w:rPr>
            </w:pPr>
            <w:r>
              <w:rPr>
                <w:rFonts w:ascii="Arial Narrow" w:eastAsia="Calibri" w:hAnsi="Arial Narrow"/>
                <w:b/>
                <w:snapToGrid/>
                <w:sz w:val="18"/>
                <w:szCs w:val="18"/>
              </w:rPr>
              <w:t>Available brands</w:t>
            </w:r>
          </w:p>
        </w:tc>
      </w:tr>
      <w:tr w:rsidR="00820310" w:rsidRPr="007F116C" w:rsidTr="0071404F">
        <w:trPr>
          <w:cantSplit/>
          <w:trHeight w:val="255"/>
        </w:trPr>
        <w:tc>
          <w:tcPr>
            <w:tcW w:w="8925" w:type="dxa"/>
            <w:gridSpan w:val="8"/>
          </w:tcPr>
          <w:p w:rsidR="00820310" w:rsidRPr="00B56341" w:rsidRDefault="00820310" w:rsidP="0071404F">
            <w:pPr>
              <w:keepNext/>
              <w:widowControl/>
              <w:ind w:left="-57"/>
              <w:jc w:val="left"/>
              <w:rPr>
                <w:rFonts w:ascii="Arial Narrow" w:eastAsia="Calibri" w:hAnsi="Arial Narrow"/>
                <w:snapToGrid/>
                <w:sz w:val="18"/>
                <w:szCs w:val="18"/>
              </w:rPr>
            </w:pPr>
            <w:r w:rsidRPr="007F116C">
              <w:rPr>
                <w:rFonts w:ascii="Arial Narrow" w:eastAsia="Calibri" w:hAnsi="Arial Narrow"/>
                <w:snapToGrid/>
                <w:sz w:val="18"/>
                <w:szCs w:val="18"/>
              </w:rPr>
              <w:t>OFATUMUMAB</w:t>
            </w:r>
          </w:p>
        </w:tc>
      </w:tr>
      <w:tr w:rsidR="00820310" w:rsidRPr="007F116C" w:rsidTr="002906B5">
        <w:trPr>
          <w:cantSplit/>
          <w:trHeight w:val="271"/>
        </w:trPr>
        <w:tc>
          <w:tcPr>
            <w:tcW w:w="3823" w:type="dxa"/>
            <w:gridSpan w:val="3"/>
          </w:tcPr>
          <w:p w:rsidR="00820310" w:rsidRPr="007F116C" w:rsidRDefault="00820310" w:rsidP="0071404F">
            <w:pPr>
              <w:keepNext/>
              <w:widowControl/>
              <w:ind w:left="-57"/>
              <w:rPr>
                <w:rFonts w:ascii="Arial Narrow" w:eastAsia="Calibri" w:hAnsi="Arial Narrow"/>
                <w:snapToGrid/>
                <w:sz w:val="18"/>
                <w:szCs w:val="18"/>
              </w:rPr>
            </w:pPr>
            <w:r>
              <w:rPr>
                <w:rFonts w:ascii="Arial Narrow" w:eastAsia="Calibri" w:hAnsi="Arial Narrow"/>
                <w:snapToGrid/>
                <w:sz w:val="18"/>
                <w:szCs w:val="18"/>
              </w:rPr>
              <w:t xml:space="preserve">ofatumumab </w:t>
            </w:r>
            <w:r w:rsidRPr="007F116C">
              <w:rPr>
                <w:rFonts w:ascii="Arial Narrow" w:eastAsia="Calibri" w:hAnsi="Arial Narrow"/>
                <w:snapToGrid/>
                <w:sz w:val="18"/>
                <w:szCs w:val="18"/>
              </w:rPr>
              <w:t>20</w:t>
            </w:r>
            <w:r>
              <w:rPr>
                <w:rFonts w:ascii="Arial Narrow" w:eastAsia="Calibri" w:hAnsi="Arial Narrow"/>
                <w:snapToGrid/>
                <w:sz w:val="18"/>
                <w:szCs w:val="18"/>
              </w:rPr>
              <w:t xml:space="preserve"> </w:t>
            </w:r>
            <w:r w:rsidRPr="007F116C">
              <w:rPr>
                <w:rFonts w:ascii="Arial Narrow" w:eastAsia="Calibri" w:hAnsi="Arial Narrow"/>
                <w:snapToGrid/>
                <w:sz w:val="18"/>
                <w:szCs w:val="18"/>
              </w:rPr>
              <w:t>mg/0.4mL injection</w:t>
            </w:r>
            <w:r>
              <w:rPr>
                <w:rFonts w:ascii="Arial Narrow" w:eastAsia="Calibri" w:hAnsi="Arial Narrow"/>
                <w:snapToGrid/>
                <w:sz w:val="18"/>
                <w:szCs w:val="18"/>
              </w:rPr>
              <w:t xml:space="preserve">, </w:t>
            </w:r>
            <w:r w:rsidRPr="00B56341">
              <w:rPr>
                <w:rFonts w:ascii="Arial Narrow" w:eastAsia="Calibri" w:hAnsi="Arial Narrow"/>
                <w:snapToGrid/>
                <w:sz w:val="18"/>
                <w:szCs w:val="18"/>
              </w:rPr>
              <w:t xml:space="preserve">0.4 mL </w:t>
            </w:r>
            <w:r>
              <w:rPr>
                <w:rFonts w:ascii="Arial Narrow" w:eastAsia="Calibri" w:hAnsi="Arial Narrow"/>
                <w:snapToGrid/>
                <w:sz w:val="18"/>
                <w:szCs w:val="18"/>
              </w:rPr>
              <w:t>pen device</w:t>
            </w:r>
            <w:r w:rsidRPr="00B56341" w:rsidDel="00E71D26">
              <w:rPr>
                <w:rFonts w:ascii="Arial Narrow" w:eastAsia="Calibri" w:hAnsi="Arial Narrow"/>
                <w:snapToGrid/>
                <w:sz w:val="18"/>
                <w:szCs w:val="18"/>
              </w:rPr>
              <w:t xml:space="preserve"> </w:t>
            </w:r>
          </w:p>
        </w:tc>
        <w:tc>
          <w:tcPr>
            <w:tcW w:w="992" w:type="dxa"/>
          </w:tcPr>
          <w:p w:rsidR="00820310" w:rsidRPr="007F116C" w:rsidRDefault="00820310" w:rsidP="0071404F">
            <w:pPr>
              <w:keepNext/>
              <w:widowControl/>
              <w:jc w:val="center"/>
              <w:rPr>
                <w:rFonts w:ascii="Arial Narrow" w:eastAsia="Calibri" w:hAnsi="Arial Narrow"/>
                <w:snapToGrid/>
                <w:sz w:val="18"/>
                <w:szCs w:val="18"/>
              </w:rPr>
            </w:pPr>
            <w:r w:rsidRPr="007F116C">
              <w:rPr>
                <w:rFonts w:ascii="Arial Narrow" w:eastAsia="Calibri" w:hAnsi="Arial Narrow"/>
                <w:snapToGrid/>
                <w:sz w:val="18"/>
                <w:szCs w:val="18"/>
              </w:rPr>
              <w:t>NEW</w:t>
            </w:r>
          </w:p>
        </w:tc>
        <w:tc>
          <w:tcPr>
            <w:tcW w:w="1134" w:type="dxa"/>
          </w:tcPr>
          <w:p w:rsidR="00820310" w:rsidRPr="007F116C" w:rsidRDefault="00820310" w:rsidP="0071404F">
            <w:pPr>
              <w:keepNext/>
              <w:widowControl/>
              <w:jc w:val="center"/>
              <w:rPr>
                <w:rFonts w:ascii="Arial Narrow" w:eastAsia="Calibri" w:hAnsi="Arial Narrow"/>
                <w:snapToGrid/>
                <w:sz w:val="18"/>
                <w:szCs w:val="18"/>
              </w:rPr>
            </w:pPr>
            <w:r>
              <w:rPr>
                <w:rFonts w:ascii="Arial Narrow" w:eastAsia="Calibri" w:hAnsi="Arial Narrow"/>
                <w:snapToGrid/>
                <w:sz w:val="18"/>
                <w:szCs w:val="18"/>
              </w:rPr>
              <w:t>3</w:t>
            </w:r>
          </w:p>
        </w:tc>
        <w:tc>
          <w:tcPr>
            <w:tcW w:w="850" w:type="dxa"/>
          </w:tcPr>
          <w:p w:rsidR="00820310" w:rsidRPr="007F116C" w:rsidRDefault="00820310" w:rsidP="0071404F">
            <w:pPr>
              <w:keepNext/>
              <w:widowControl/>
              <w:jc w:val="center"/>
              <w:rPr>
                <w:rFonts w:ascii="Arial Narrow" w:eastAsia="Calibri" w:hAnsi="Arial Narrow"/>
                <w:snapToGrid/>
                <w:sz w:val="18"/>
                <w:szCs w:val="18"/>
              </w:rPr>
            </w:pPr>
            <w:r>
              <w:rPr>
                <w:rFonts w:ascii="Arial Narrow" w:eastAsia="Calibri" w:hAnsi="Arial Narrow"/>
                <w:snapToGrid/>
                <w:sz w:val="18"/>
                <w:szCs w:val="18"/>
              </w:rPr>
              <w:t xml:space="preserve"> 3</w:t>
            </w:r>
          </w:p>
        </w:tc>
        <w:tc>
          <w:tcPr>
            <w:tcW w:w="851" w:type="dxa"/>
          </w:tcPr>
          <w:p w:rsidR="00820310" w:rsidRPr="007F116C" w:rsidRDefault="00820310" w:rsidP="0071404F">
            <w:pPr>
              <w:keepNext/>
              <w:widowControl/>
              <w:jc w:val="center"/>
              <w:rPr>
                <w:rFonts w:ascii="Arial Narrow" w:eastAsia="Calibri" w:hAnsi="Arial Narrow"/>
                <w:snapToGrid/>
                <w:sz w:val="18"/>
                <w:szCs w:val="18"/>
              </w:rPr>
            </w:pPr>
            <w:r w:rsidRPr="007F116C">
              <w:rPr>
                <w:rFonts w:ascii="Arial Narrow" w:eastAsia="Calibri" w:hAnsi="Arial Narrow"/>
                <w:snapToGrid/>
                <w:sz w:val="18"/>
                <w:szCs w:val="18"/>
              </w:rPr>
              <w:t>0</w:t>
            </w:r>
          </w:p>
        </w:tc>
        <w:tc>
          <w:tcPr>
            <w:tcW w:w="1275" w:type="dxa"/>
          </w:tcPr>
          <w:p w:rsidR="00820310" w:rsidRPr="007F116C" w:rsidRDefault="00820310" w:rsidP="002906B5">
            <w:pPr>
              <w:keepNext/>
              <w:widowControl/>
              <w:rPr>
                <w:rFonts w:ascii="Arial Narrow" w:eastAsia="Calibri" w:hAnsi="Arial Narrow"/>
                <w:snapToGrid/>
                <w:sz w:val="18"/>
                <w:szCs w:val="18"/>
              </w:rPr>
            </w:pPr>
            <w:r w:rsidRPr="007F116C">
              <w:rPr>
                <w:rFonts w:ascii="Arial Narrow" w:eastAsia="Calibri" w:hAnsi="Arial Narrow"/>
                <w:snapToGrid/>
                <w:sz w:val="18"/>
                <w:szCs w:val="18"/>
              </w:rPr>
              <w:t>Kesimpta</w:t>
            </w:r>
          </w:p>
        </w:tc>
      </w:tr>
      <w:tr w:rsidR="00D861D9" w:rsidRPr="007F116C" w:rsidTr="0071404F">
        <w:trPr>
          <w:cantSplit/>
          <w:trHeight w:val="271"/>
        </w:trPr>
        <w:tc>
          <w:tcPr>
            <w:tcW w:w="4815" w:type="dxa"/>
            <w:gridSpan w:val="4"/>
          </w:tcPr>
          <w:p w:rsidR="00D861D9" w:rsidRPr="007F116C" w:rsidRDefault="00D861D9" w:rsidP="0071404F">
            <w:pPr>
              <w:keepNext/>
              <w:widowControl/>
              <w:jc w:val="center"/>
              <w:rPr>
                <w:rFonts w:ascii="Arial Narrow" w:eastAsia="Calibri" w:hAnsi="Arial Narrow"/>
                <w:snapToGrid/>
                <w:sz w:val="18"/>
                <w:szCs w:val="18"/>
              </w:rPr>
            </w:pPr>
          </w:p>
        </w:tc>
        <w:tc>
          <w:tcPr>
            <w:tcW w:w="4110" w:type="dxa"/>
            <w:gridSpan w:val="4"/>
          </w:tcPr>
          <w:p w:rsidR="00D861D9" w:rsidRPr="007F116C" w:rsidRDefault="00B22F9E" w:rsidP="002906B5">
            <w:pPr>
              <w:keepNext/>
              <w:widowControl/>
              <w:rPr>
                <w:rFonts w:ascii="Arial Narrow" w:eastAsia="Calibri" w:hAnsi="Arial Narrow"/>
                <w:snapToGrid/>
                <w:sz w:val="18"/>
                <w:szCs w:val="18"/>
              </w:rPr>
            </w:pPr>
            <w:r w:rsidRPr="00B22F9E">
              <w:rPr>
                <w:rFonts w:ascii="Arial Narrow" w:eastAsia="Calibri" w:hAnsi="Arial Narrow"/>
                <w:snapToGrid/>
                <w:sz w:val="18"/>
                <w:szCs w:val="18"/>
              </w:rPr>
              <w:t>Max.Qty multiplier = 1; Repeat increases: nil</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820310" w:rsidRPr="007F116C" w:rsidRDefault="00820310" w:rsidP="0071404F">
            <w:pPr>
              <w:keepNext/>
              <w:keepLines/>
              <w:widowControl/>
              <w:rPr>
                <w:rFonts w:ascii="Arial Narrow" w:eastAsia="Calibri" w:hAnsi="Arial Narrow"/>
                <w:b/>
                <w:snapToGrid/>
                <w:sz w:val="18"/>
                <w:szCs w:val="18"/>
              </w:rPr>
            </w:pP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820310" w:rsidRPr="007F116C" w:rsidRDefault="00820310" w:rsidP="0071404F">
            <w:pPr>
              <w:keepNext/>
              <w:keepLines/>
              <w:widowControl/>
              <w:rPr>
                <w:rFonts w:ascii="Arial Narrow" w:eastAsia="Calibri" w:hAnsi="Arial Narrow"/>
                <w:b/>
                <w:snapToGrid/>
                <w:sz w:val="18"/>
                <w:szCs w:val="18"/>
              </w:rPr>
            </w:pPr>
            <w:r w:rsidRPr="00B56341">
              <w:rPr>
                <w:rFonts w:ascii="Arial Narrow" w:eastAsia="Calibri" w:hAnsi="Arial Narrow"/>
                <w:b/>
                <w:snapToGrid/>
                <w:sz w:val="18"/>
                <w:szCs w:val="18"/>
              </w:rPr>
              <w:t xml:space="preserve">Restriction Summary 10987 / Treatment of Concept: 10162 </w:t>
            </w:r>
            <w:r>
              <w:rPr>
                <w:rFonts w:ascii="Arial Narrow" w:eastAsia="Calibri" w:hAnsi="Arial Narrow"/>
                <w:i/>
                <w:snapToGrid/>
                <w:sz w:val="18"/>
                <w:szCs w:val="18"/>
              </w:rPr>
              <w:t xml:space="preserve">(as at 1 March 2021; based on </w:t>
            </w:r>
            <w:r w:rsidRPr="00AB789B">
              <w:rPr>
                <w:rFonts w:ascii="Arial Narrow" w:eastAsia="Calibri" w:hAnsi="Arial Narrow"/>
                <w:i/>
                <w:snapToGrid/>
                <w:sz w:val="18"/>
                <w:szCs w:val="18"/>
              </w:rPr>
              <w:t>fingolimod 5262Y</w:t>
            </w:r>
            <w:r>
              <w:rPr>
                <w:rFonts w:ascii="Arial Narrow" w:eastAsia="Calibri" w:hAnsi="Arial Narrow"/>
                <w:i/>
                <w:snapToGrid/>
                <w:sz w:val="18"/>
                <w:szCs w:val="18"/>
              </w:rPr>
              <w:t>)</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Merge w:val="restart"/>
            <w:tcBorders>
              <w:top w:val="single" w:sz="4" w:space="0" w:color="auto"/>
              <w:left w:val="single" w:sz="4" w:space="0" w:color="auto"/>
              <w:right w:val="single" w:sz="4" w:space="0" w:color="auto"/>
            </w:tcBorders>
          </w:tcPr>
          <w:p w:rsidR="00820310" w:rsidRPr="00FF42D9" w:rsidRDefault="00820310" w:rsidP="00FF42D9">
            <w:pPr>
              <w:keepNext/>
              <w:keepLines/>
              <w:widowControl/>
              <w:jc w:val="center"/>
              <w:rPr>
                <w:rFonts w:ascii="Arial Narrow" w:eastAsia="Calibri" w:hAnsi="Arial Narrow"/>
                <w:snapToGrid/>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rsidR="00820310" w:rsidRPr="007F116C" w:rsidRDefault="00820310" w:rsidP="0071404F">
            <w:pPr>
              <w:keepNext/>
              <w:keepLines/>
              <w:widowControl/>
              <w:rPr>
                <w:rFonts w:ascii="Arial Narrow" w:eastAsia="Calibri" w:hAnsi="Arial Narrow"/>
                <w:snapToGrid/>
                <w:sz w:val="18"/>
                <w:szCs w:val="18"/>
              </w:rPr>
            </w:pPr>
            <w:r w:rsidRPr="007F116C">
              <w:rPr>
                <w:rFonts w:ascii="Arial Narrow" w:eastAsia="Calibri" w:hAnsi="Arial Narrow"/>
                <w:b/>
                <w:snapToGrid/>
                <w:sz w:val="18"/>
                <w:szCs w:val="18"/>
              </w:rPr>
              <w:t xml:space="preserve">Category / Program:   </w:t>
            </w:r>
            <w:r w:rsidRPr="007F116C">
              <w:rPr>
                <w:rFonts w:ascii="Arial Narrow" w:eastAsia="Calibri" w:hAnsi="Arial Narrow"/>
                <w:snapToGrid/>
                <w:sz w:val="18"/>
                <w:szCs w:val="18"/>
              </w:rPr>
              <w:t xml:space="preserve">GENERAL – General Schedule (Code GE) </w:t>
            </w:r>
          </w:p>
        </w:tc>
      </w:tr>
      <w:tr w:rsidR="00820310" w:rsidRPr="007F116C" w:rsidTr="00FF42D9">
        <w:tblPrEx>
          <w:tblCellMar>
            <w:top w:w="15" w:type="dxa"/>
            <w:left w:w="15" w:type="dxa"/>
            <w:bottom w:w="15" w:type="dxa"/>
            <w:right w:w="15" w:type="dxa"/>
          </w:tblCellMar>
          <w:tblLook w:val="04A0" w:firstRow="1" w:lastRow="0" w:firstColumn="1" w:lastColumn="0" w:noHBand="0" w:noVBand="1"/>
        </w:tblPrEx>
        <w:trPr>
          <w:trHeight w:val="196"/>
        </w:trPr>
        <w:tc>
          <w:tcPr>
            <w:tcW w:w="553" w:type="pct"/>
            <w:gridSpan w:val="2"/>
            <w:vMerge/>
            <w:tcBorders>
              <w:left w:val="single" w:sz="4" w:space="0" w:color="auto"/>
              <w:right w:val="single" w:sz="4" w:space="0" w:color="auto"/>
            </w:tcBorders>
          </w:tcPr>
          <w:p w:rsidR="00820310" w:rsidRPr="007F116C" w:rsidRDefault="00820310" w:rsidP="0071404F">
            <w:pPr>
              <w:keepNext/>
              <w:keepLines/>
              <w:rPr>
                <w:rFonts w:ascii="Arial Narrow" w:eastAsia="Calibri" w:hAnsi="Arial Narrow"/>
                <w:snapToGrid/>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rsidR="00820310" w:rsidRPr="007F116C" w:rsidRDefault="00820310" w:rsidP="0071404F">
            <w:pPr>
              <w:keepNext/>
              <w:keepLines/>
              <w:widowControl/>
              <w:rPr>
                <w:rFonts w:ascii="Arial Narrow" w:eastAsia="Calibri" w:hAnsi="Arial Narrow"/>
                <w:snapToGrid/>
                <w:sz w:val="18"/>
                <w:szCs w:val="18"/>
              </w:rPr>
            </w:pPr>
            <w:r w:rsidRPr="007F116C">
              <w:rPr>
                <w:rFonts w:ascii="Arial Narrow" w:eastAsia="Calibri" w:hAnsi="Arial Narrow"/>
                <w:b/>
                <w:snapToGrid/>
                <w:sz w:val="18"/>
                <w:szCs w:val="18"/>
              </w:rPr>
              <w:t xml:space="preserve">Prescriber type:  </w:t>
            </w:r>
            <w:r w:rsidRPr="007F116C">
              <w:rPr>
                <w:rFonts w:ascii="Arial Narrow" w:eastAsia="Calibri" w:hAnsi="Arial Narrow"/>
                <w:snapToGrid/>
                <w:sz w:val="18"/>
                <w:szCs w:val="18"/>
              </w:rPr>
              <w:fldChar w:fldCharType="begin">
                <w:ffData>
                  <w:name w:val=""/>
                  <w:enabled/>
                  <w:calcOnExit w:val="0"/>
                  <w:checkBox>
                    <w:sizeAuto/>
                    <w:default w:val="1"/>
                  </w:checkBox>
                </w:ffData>
              </w:fldChar>
            </w:r>
            <w:r w:rsidRPr="007F116C">
              <w:rPr>
                <w:rFonts w:ascii="Arial Narrow" w:eastAsia="Calibri" w:hAnsi="Arial Narrow"/>
                <w:snapToGrid/>
                <w:sz w:val="18"/>
                <w:szCs w:val="18"/>
              </w:rPr>
              <w:instrText xml:space="preserve"> FORMCHECKBOX </w:instrText>
            </w:r>
            <w:r w:rsidR="00416795">
              <w:rPr>
                <w:rFonts w:ascii="Arial Narrow" w:eastAsia="Calibri" w:hAnsi="Arial Narrow"/>
                <w:snapToGrid/>
                <w:sz w:val="18"/>
                <w:szCs w:val="18"/>
              </w:rPr>
            </w:r>
            <w:r w:rsidR="00416795">
              <w:rPr>
                <w:rFonts w:ascii="Arial Narrow" w:eastAsia="Calibri" w:hAnsi="Arial Narrow"/>
                <w:snapToGrid/>
                <w:sz w:val="18"/>
                <w:szCs w:val="18"/>
              </w:rPr>
              <w:fldChar w:fldCharType="separate"/>
            </w:r>
            <w:r w:rsidRPr="007F116C">
              <w:rPr>
                <w:rFonts w:ascii="Arial Narrow" w:eastAsia="Calibri" w:hAnsi="Arial Narrow"/>
                <w:snapToGrid/>
                <w:sz w:val="18"/>
                <w:szCs w:val="18"/>
              </w:rPr>
              <w:fldChar w:fldCharType="end"/>
            </w:r>
            <w:r w:rsidRPr="007F116C">
              <w:rPr>
                <w:rFonts w:ascii="Arial Narrow" w:eastAsia="Calibri" w:hAnsi="Arial Narrow"/>
                <w:snapToGrid/>
                <w:sz w:val="18"/>
                <w:szCs w:val="18"/>
              </w:rPr>
              <w:t xml:space="preserve">Medical Practitioners  </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Merge/>
            <w:tcBorders>
              <w:left w:val="single" w:sz="4" w:space="0" w:color="auto"/>
              <w:bottom w:val="single" w:sz="4" w:space="0" w:color="auto"/>
              <w:right w:val="single" w:sz="4" w:space="0" w:color="auto"/>
            </w:tcBorders>
          </w:tcPr>
          <w:p w:rsidR="00820310" w:rsidRPr="007F116C" w:rsidRDefault="00820310" w:rsidP="0071404F">
            <w:pPr>
              <w:keepNext/>
              <w:keepLines/>
              <w:widowControl/>
              <w:rPr>
                <w:rFonts w:ascii="Arial Narrow" w:eastAsia="Calibri" w:hAnsi="Arial Narrow"/>
                <w:snapToGrid/>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rsidR="00820310" w:rsidRPr="00FF42D9" w:rsidRDefault="00820310" w:rsidP="0071404F">
            <w:pPr>
              <w:keepNext/>
              <w:keepLines/>
              <w:widowControl/>
              <w:rPr>
                <w:rFonts w:ascii="Arial Narrow" w:eastAsia="Calibri" w:hAnsi="Arial Narrow"/>
                <w:b/>
                <w:snapToGrid/>
                <w:sz w:val="18"/>
                <w:szCs w:val="18"/>
              </w:rPr>
            </w:pPr>
            <w:r w:rsidRPr="007F116C">
              <w:rPr>
                <w:rFonts w:ascii="Arial Narrow" w:eastAsia="Calibri" w:hAnsi="Arial Narrow"/>
                <w:b/>
                <w:snapToGrid/>
                <w:sz w:val="18"/>
                <w:szCs w:val="18"/>
              </w:rPr>
              <w:t xml:space="preserve">Restriction </w:t>
            </w:r>
            <w:r>
              <w:rPr>
                <w:rFonts w:ascii="Arial Narrow" w:eastAsia="Calibri" w:hAnsi="Arial Narrow"/>
                <w:b/>
                <w:snapToGrid/>
                <w:sz w:val="18"/>
                <w:szCs w:val="18"/>
              </w:rPr>
              <w:t>type</w:t>
            </w:r>
            <w:r w:rsidRPr="007F116C">
              <w:rPr>
                <w:rFonts w:ascii="Arial Narrow" w:eastAsia="Calibri" w:hAnsi="Arial Narrow"/>
                <w:b/>
                <w:snapToGrid/>
                <w:sz w:val="18"/>
                <w:szCs w:val="18"/>
              </w:rPr>
              <w:t>:</w:t>
            </w:r>
            <w:r w:rsidR="00FF42D9">
              <w:rPr>
                <w:rFonts w:ascii="Arial Narrow" w:eastAsia="Calibri" w:hAnsi="Arial Narrow"/>
                <w:b/>
                <w:snapToGrid/>
                <w:sz w:val="18"/>
                <w:szCs w:val="18"/>
              </w:rPr>
              <w:t xml:space="preserve"> </w:t>
            </w:r>
            <w:r w:rsidRPr="007F116C">
              <w:rPr>
                <w:rFonts w:ascii="Arial Narrow" w:eastAsia="Calibri" w:hAnsi="Arial Narrow"/>
                <w:snapToGrid/>
                <w:sz w:val="18"/>
                <w:szCs w:val="18"/>
              </w:rPr>
              <w:fldChar w:fldCharType="begin">
                <w:ffData>
                  <w:name w:val=""/>
                  <w:enabled/>
                  <w:calcOnExit w:val="0"/>
                  <w:checkBox>
                    <w:sizeAuto/>
                    <w:default w:val="1"/>
                  </w:checkBox>
                </w:ffData>
              </w:fldChar>
            </w:r>
            <w:r w:rsidRPr="007F116C">
              <w:rPr>
                <w:rFonts w:ascii="Arial Narrow" w:eastAsia="Calibri" w:hAnsi="Arial Narrow"/>
                <w:snapToGrid/>
                <w:sz w:val="18"/>
                <w:szCs w:val="18"/>
              </w:rPr>
              <w:instrText xml:space="preserve"> FORMCHECKBOX </w:instrText>
            </w:r>
            <w:r w:rsidR="00416795">
              <w:rPr>
                <w:rFonts w:ascii="Arial Narrow" w:eastAsia="Calibri" w:hAnsi="Arial Narrow"/>
                <w:snapToGrid/>
                <w:sz w:val="18"/>
                <w:szCs w:val="18"/>
              </w:rPr>
            </w:r>
            <w:r w:rsidR="00416795">
              <w:rPr>
                <w:rFonts w:ascii="Arial Narrow" w:eastAsia="Calibri" w:hAnsi="Arial Narrow"/>
                <w:snapToGrid/>
                <w:sz w:val="18"/>
                <w:szCs w:val="18"/>
              </w:rPr>
              <w:fldChar w:fldCharType="separate"/>
            </w:r>
            <w:r w:rsidRPr="007F116C">
              <w:rPr>
                <w:rFonts w:ascii="Arial Narrow" w:eastAsia="Calibri" w:hAnsi="Arial Narrow"/>
                <w:snapToGrid/>
                <w:sz w:val="18"/>
                <w:szCs w:val="18"/>
              </w:rPr>
              <w:fldChar w:fldCharType="end"/>
            </w:r>
            <w:r>
              <w:rPr>
                <w:rFonts w:ascii="Arial Narrow" w:eastAsia="Calibri" w:hAnsi="Arial Narrow"/>
                <w:snapToGrid/>
                <w:sz w:val="18"/>
                <w:szCs w:val="18"/>
              </w:rPr>
              <w:t>Authority Required (STREAMLINED) [10162]</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276" w:type="pct"/>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277" w:type="pct"/>
            <w:vMerge w:val="restart"/>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Administrative Advice:</w:t>
            </w:r>
            <w:r>
              <w:rPr>
                <w:rFonts w:ascii="Arial Narrow" w:hAnsi="Arial Narrow" w:cs="Times New Roman"/>
                <w:b/>
                <w:bCs/>
                <w:snapToGrid/>
                <w:color w:val="333333"/>
                <w:sz w:val="18"/>
                <w:szCs w:val="18"/>
                <w:lang w:eastAsia="en-AU"/>
              </w:rPr>
              <w:t xml:space="preserve"> </w:t>
            </w:r>
            <w:r w:rsidRPr="007F116C">
              <w:rPr>
                <w:rFonts w:ascii="Arial Narrow" w:hAnsi="Arial Narrow" w:cs="Times New Roman"/>
                <w:snapToGrid/>
                <w:color w:val="333333"/>
                <w:sz w:val="18"/>
                <w:szCs w:val="18"/>
                <w:lang w:eastAsia="en-AU"/>
              </w:rPr>
              <w:t>No increase in the maximum quantity or number of units may be authorised.</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276" w:type="pct"/>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277" w:type="pct"/>
            <w:vMerge/>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tcPr>
          <w:p w:rsidR="00820310" w:rsidRPr="00B56341"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Administrative Advice:</w:t>
            </w:r>
            <w:r>
              <w:rPr>
                <w:rFonts w:ascii="Arial Narrow" w:hAnsi="Arial Narrow" w:cs="Times New Roman"/>
                <w:snapToGrid/>
                <w:color w:val="333333"/>
                <w:sz w:val="18"/>
                <w:szCs w:val="18"/>
                <w:lang w:eastAsia="en-AU"/>
              </w:rPr>
              <w:t xml:space="preserve"> </w:t>
            </w:r>
            <w:r w:rsidRPr="007F116C">
              <w:rPr>
                <w:rFonts w:ascii="Arial Narrow" w:hAnsi="Arial Narrow" w:cs="Times New Roman"/>
                <w:snapToGrid/>
                <w:color w:val="333333"/>
                <w:sz w:val="18"/>
                <w:szCs w:val="18"/>
                <w:lang w:eastAsia="en-AU"/>
              </w:rPr>
              <w:t>No increase in the maximum number of repeats may be authorised.</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276" w:type="pct"/>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277" w:type="pct"/>
            <w:vMerge/>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tcPr>
          <w:p w:rsidR="00820310" w:rsidRPr="00B56341"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Administrative Advice:</w:t>
            </w:r>
            <w:r>
              <w:rPr>
                <w:rFonts w:ascii="Arial Narrow" w:hAnsi="Arial Narrow" w:cs="Times New Roman"/>
                <w:snapToGrid/>
                <w:color w:val="333333"/>
                <w:sz w:val="18"/>
                <w:szCs w:val="18"/>
                <w:lang w:eastAsia="en-AU"/>
              </w:rPr>
              <w:t xml:space="preserve"> </w:t>
            </w:r>
            <w:r w:rsidRPr="007F116C">
              <w:rPr>
                <w:rFonts w:ascii="Arial Narrow" w:hAnsi="Arial Narrow" w:cs="Times New Roman"/>
                <w:snapToGrid/>
                <w:color w:val="333333"/>
                <w:sz w:val="18"/>
                <w:szCs w:val="18"/>
                <w:lang w:eastAsia="en-AU"/>
              </w:rPr>
              <w:t>Special Pricing Arrangements apply.</w:t>
            </w:r>
          </w:p>
        </w:tc>
      </w:tr>
      <w:tr w:rsidR="00820310" w:rsidRPr="007F116C" w:rsidTr="00190403">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Indication:</w:t>
            </w:r>
            <w:r w:rsidRPr="007F116C">
              <w:rPr>
                <w:rFonts w:ascii="Arial Narrow" w:hAnsi="Arial Narrow" w:cs="Times New Roman"/>
                <w:snapToGrid/>
                <w:color w:val="333333"/>
                <w:sz w:val="18"/>
                <w:szCs w:val="18"/>
                <w:lang w:eastAsia="en-AU"/>
              </w:rPr>
              <w:t xml:space="preserve"> Multiple sclerosis</w:t>
            </w:r>
          </w:p>
        </w:tc>
      </w:tr>
      <w:tr w:rsidR="00820310" w:rsidRPr="007F116C" w:rsidTr="00190403">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Treatment Phase:</w:t>
            </w:r>
            <w:r w:rsidRPr="007F116C">
              <w:rPr>
                <w:rFonts w:ascii="Arial Narrow" w:hAnsi="Arial Narrow" w:cs="Times New Roman"/>
                <w:snapToGrid/>
                <w:color w:val="333333"/>
                <w:sz w:val="18"/>
                <w:szCs w:val="18"/>
                <w:lang w:eastAsia="en-AU"/>
              </w:rPr>
              <w:t xml:space="preserve"> Initial treatment</w:t>
            </w:r>
          </w:p>
        </w:tc>
      </w:tr>
      <w:tr w:rsidR="00820310" w:rsidRPr="007F116C" w:rsidTr="00190403">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820310" w:rsidRPr="007F116C" w:rsidTr="00190403">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2906B5">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The condition must be diagnosed as clinically definite relapsing-remitting multiple sclerosis by magnetic resonance imaging of the brain and/or spinal cord; OR</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tc>
      </w:tr>
      <w:tr w:rsidR="00820310" w:rsidRPr="007F116C" w:rsidTr="00190403">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 xml:space="preserve">The treatment must be the </w:t>
            </w:r>
            <w:r w:rsidRPr="007F116C">
              <w:rPr>
                <w:rFonts w:ascii="Arial Narrow" w:hAnsi="Arial Narrow" w:cs="Times New Roman"/>
                <w:strike/>
                <w:snapToGrid/>
                <w:color w:val="333333"/>
                <w:sz w:val="18"/>
                <w:szCs w:val="18"/>
                <w:lang w:eastAsia="en-AU"/>
              </w:rPr>
              <w:t>a</w:t>
            </w:r>
            <w:r w:rsidRPr="007F116C">
              <w:rPr>
                <w:rFonts w:ascii="Arial Narrow" w:hAnsi="Arial Narrow" w:cs="Times New Roman"/>
                <w:snapToGrid/>
                <w:color w:val="333333"/>
                <w:sz w:val="18"/>
                <w:szCs w:val="18"/>
                <w:lang w:eastAsia="en-AU"/>
              </w:rPr>
              <w:t xml:space="preserve"> sole PBS-subsidised disease modifying therapy for this condition,</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Patient must have experienced at least 2 documented attacks of neurological dysfunction, believed to be due to multiple sclerosis, in the preceding 2 years of commencing a PBS-subsidised disease modifying therapy for this condition,</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820310"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71404F">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tcPr>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Patient must be ambulatory (without assistance or support).</w:t>
            </w:r>
          </w:p>
        </w:tc>
      </w:tr>
      <w:tr w:rsidR="00820310" w:rsidRPr="007F116C" w:rsidTr="00190403">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820310" w:rsidRPr="007F116C" w:rsidRDefault="00820310" w:rsidP="00FF42D9">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hideMark/>
          </w:tcPr>
          <w:p w:rsidR="00820310" w:rsidRDefault="00820310" w:rsidP="0071404F">
            <w:pPr>
              <w:keepNext/>
              <w:keepLines/>
              <w:widowControl/>
              <w:jc w:val="left"/>
              <w:rPr>
                <w:rFonts w:ascii="Arial Narrow" w:hAnsi="Arial Narrow" w:cs="Times New Roman"/>
                <w:b/>
                <w:bCs/>
                <w:snapToGrid/>
                <w:color w:val="333333"/>
                <w:sz w:val="18"/>
                <w:szCs w:val="18"/>
                <w:lang w:eastAsia="en-AU"/>
              </w:rPr>
            </w:pPr>
            <w:r w:rsidRPr="007F116C">
              <w:rPr>
                <w:rFonts w:ascii="Arial Narrow" w:hAnsi="Arial Narrow" w:cs="Times New Roman"/>
                <w:b/>
                <w:bCs/>
                <w:snapToGrid/>
                <w:color w:val="333333"/>
                <w:sz w:val="18"/>
                <w:szCs w:val="18"/>
                <w:lang w:eastAsia="en-AU"/>
              </w:rPr>
              <w:t xml:space="preserve">Prescribing Instructions: </w:t>
            </w:r>
          </w:p>
          <w:p w:rsidR="00820310" w:rsidRPr="007F116C" w:rsidRDefault="00820310" w:rsidP="0071404F">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Cs/>
                <w:snapToGrid/>
                <w:color w:val="333333"/>
                <w:sz w:val="18"/>
                <w:szCs w:val="18"/>
                <w:lang w:eastAsia="en-AU"/>
              </w:rPr>
              <w:t>Where applicable, the date of the magnetic resonance imaging scan must be recorded in the patient's medical record.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553" w:type="pct"/>
            <w:gridSpan w:val="2"/>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4447" w:type="pct"/>
            <w:gridSpan w:val="6"/>
            <w:vAlign w:val="center"/>
          </w:tcPr>
          <w:p w:rsidR="00B22F9E" w:rsidRDefault="00B22F9E" w:rsidP="00B22F9E">
            <w:pPr>
              <w:keepNext/>
              <w:keepLines/>
              <w:widowControl/>
              <w:jc w:val="left"/>
              <w:rPr>
                <w:rFonts w:ascii="Arial Narrow" w:hAnsi="Arial Narrow" w:cs="Times New Roman"/>
                <w:b/>
                <w:bCs/>
                <w:snapToGrid/>
                <w:color w:val="333333"/>
                <w:sz w:val="18"/>
                <w:szCs w:val="18"/>
                <w:lang w:eastAsia="en-AU"/>
              </w:rPr>
            </w:pPr>
            <w:r>
              <w:rPr>
                <w:rFonts w:ascii="Arial Narrow" w:hAnsi="Arial Narrow" w:cs="Times New Roman"/>
                <w:b/>
                <w:bCs/>
                <w:snapToGrid/>
                <w:color w:val="333333"/>
                <w:sz w:val="18"/>
                <w:szCs w:val="18"/>
                <w:lang w:eastAsia="en-AU"/>
              </w:rPr>
              <w:t>Administrative advice:</w:t>
            </w:r>
          </w:p>
          <w:p w:rsidR="00B22F9E" w:rsidRPr="00B22F9E" w:rsidRDefault="00B22F9E" w:rsidP="00B22F9E">
            <w:pPr>
              <w:keepNext/>
              <w:keepLines/>
              <w:widowControl/>
              <w:jc w:val="left"/>
              <w:rPr>
                <w:rFonts w:ascii="Arial Narrow" w:hAnsi="Arial Narrow" w:cs="Times New Roman"/>
                <w:bCs/>
                <w:snapToGrid/>
                <w:color w:val="333333"/>
                <w:sz w:val="18"/>
                <w:szCs w:val="18"/>
                <w:lang w:eastAsia="en-AU"/>
              </w:rPr>
            </w:pPr>
            <w:r w:rsidRPr="00B22F9E">
              <w:rPr>
                <w:rFonts w:ascii="Arial Narrow" w:hAnsi="Arial Narrow" w:cs="Times New Roman"/>
                <w:bCs/>
                <w:snapToGrid/>
                <w:color w:val="333333"/>
                <w:sz w:val="18"/>
                <w:szCs w:val="18"/>
                <w:lang w:eastAsia="en-AU"/>
              </w:rPr>
              <w:t>The intent of this listing is to provide doses at weeks 0, 1 and 2. For treatment at week 4 and beyond, see the ‘Continuing treatment’ listing.</w:t>
            </w:r>
          </w:p>
        </w:tc>
      </w:tr>
    </w:tbl>
    <w:p w:rsidR="00820310" w:rsidRDefault="00820310" w:rsidP="00820310">
      <w:pPr>
        <w:rPr>
          <w:rFonts w:eastAsia="Calibri"/>
          <w:snapToGrid/>
        </w:rPr>
      </w:pPr>
    </w:p>
    <w:p w:rsidR="00820310" w:rsidRPr="007F116C" w:rsidRDefault="00820310" w:rsidP="00820310">
      <w:pPr>
        <w:rPr>
          <w:rFonts w:eastAsia="Calibri"/>
          <w:snapToGrid/>
        </w:rPr>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2836"/>
        <w:gridCol w:w="1275"/>
        <w:gridCol w:w="851"/>
        <w:gridCol w:w="992"/>
        <w:gridCol w:w="709"/>
        <w:gridCol w:w="1277"/>
      </w:tblGrid>
      <w:tr w:rsidR="00820310" w:rsidRPr="007F116C" w:rsidTr="00FF42D9">
        <w:trPr>
          <w:cantSplit/>
          <w:trHeight w:val="471"/>
        </w:trPr>
        <w:tc>
          <w:tcPr>
            <w:tcW w:w="3823" w:type="dxa"/>
            <w:gridSpan w:val="2"/>
          </w:tcPr>
          <w:p w:rsidR="00820310" w:rsidRPr="007F116C" w:rsidRDefault="00820310" w:rsidP="0071404F">
            <w:pPr>
              <w:keepNext/>
              <w:widowControl/>
              <w:ind w:left="-57"/>
              <w:rPr>
                <w:rFonts w:ascii="Arial Narrow" w:eastAsia="Calibri" w:hAnsi="Arial Narrow"/>
                <w:b/>
                <w:snapToGrid/>
                <w:sz w:val="18"/>
                <w:szCs w:val="18"/>
              </w:rPr>
            </w:pPr>
            <w:r>
              <w:rPr>
                <w:rFonts w:ascii="Arial Narrow" w:eastAsia="Calibri" w:hAnsi="Arial Narrow"/>
                <w:b/>
                <w:snapToGrid/>
                <w:sz w:val="18"/>
                <w:szCs w:val="18"/>
              </w:rPr>
              <w:t>MEDICINAL PRODUCT</w:t>
            </w:r>
          </w:p>
          <w:p w:rsidR="00820310" w:rsidRPr="007F116C" w:rsidRDefault="00820310" w:rsidP="0071404F">
            <w:pPr>
              <w:keepNext/>
              <w:widowControl/>
              <w:ind w:left="-57"/>
              <w:rPr>
                <w:rFonts w:ascii="Arial Narrow" w:eastAsia="Calibri" w:hAnsi="Arial Narrow"/>
                <w:b/>
                <w:snapToGrid/>
                <w:sz w:val="18"/>
                <w:szCs w:val="18"/>
              </w:rPr>
            </w:pPr>
            <w:r>
              <w:rPr>
                <w:rFonts w:ascii="Arial Narrow" w:eastAsia="Calibri" w:hAnsi="Arial Narrow"/>
                <w:b/>
                <w:snapToGrid/>
                <w:sz w:val="18"/>
                <w:szCs w:val="18"/>
              </w:rPr>
              <w:t xml:space="preserve">medicinal product pack </w:t>
            </w:r>
          </w:p>
        </w:tc>
        <w:tc>
          <w:tcPr>
            <w:tcW w:w="1275" w:type="dxa"/>
          </w:tcPr>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PBS item code</w:t>
            </w:r>
          </w:p>
        </w:tc>
        <w:tc>
          <w:tcPr>
            <w:tcW w:w="851" w:type="dxa"/>
          </w:tcPr>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Max. qty packs</w:t>
            </w:r>
          </w:p>
        </w:tc>
        <w:tc>
          <w:tcPr>
            <w:tcW w:w="992" w:type="dxa"/>
          </w:tcPr>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Max. qty units</w:t>
            </w:r>
          </w:p>
        </w:tc>
        <w:tc>
          <w:tcPr>
            <w:tcW w:w="709" w:type="dxa"/>
          </w:tcPr>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№.of</w:t>
            </w:r>
          </w:p>
          <w:p w:rsidR="00820310" w:rsidRPr="007F116C" w:rsidRDefault="00820310" w:rsidP="0071404F">
            <w:pPr>
              <w:keepNext/>
              <w:widowControl/>
              <w:ind w:left="-108"/>
              <w:jc w:val="center"/>
              <w:rPr>
                <w:rFonts w:ascii="Arial Narrow" w:eastAsia="Calibri" w:hAnsi="Arial Narrow"/>
                <w:b/>
                <w:snapToGrid/>
                <w:sz w:val="18"/>
                <w:szCs w:val="18"/>
              </w:rPr>
            </w:pPr>
            <w:r w:rsidRPr="007F116C">
              <w:rPr>
                <w:rFonts w:ascii="Arial Narrow" w:eastAsia="Calibri" w:hAnsi="Arial Narrow"/>
                <w:b/>
                <w:snapToGrid/>
                <w:sz w:val="18"/>
                <w:szCs w:val="18"/>
              </w:rPr>
              <w:t>Rpts</w:t>
            </w:r>
          </w:p>
        </w:tc>
        <w:tc>
          <w:tcPr>
            <w:tcW w:w="1277" w:type="dxa"/>
          </w:tcPr>
          <w:p w:rsidR="00820310" w:rsidRPr="007F116C" w:rsidRDefault="00820310" w:rsidP="0071404F">
            <w:pPr>
              <w:keepNext/>
              <w:widowControl/>
              <w:jc w:val="left"/>
              <w:rPr>
                <w:rFonts w:ascii="Arial Narrow" w:eastAsia="Calibri" w:hAnsi="Arial Narrow"/>
                <w:b/>
                <w:snapToGrid/>
                <w:sz w:val="18"/>
                <w:szCs w:val="18"/>
              </w:rPr>
            </w:pPr>
            <w:r>
              <w:rPr>
                <w:rFonts w:ascii="Arial Narrow" w:eastAsia="Calibri" w:hAnsi="Arial Narrow"/>
                <w:b/>
                <w:snapToGrid/>
                <w:sz w:val="18"/>
                <w:szCs w:val="18"/>
              </w:rPr>
              <w:t>Available brands</w:t>
            </w:r>
          </w:p>
        </w:tc>
      </w:tr>
      <w:tr w:rsidR="00820310" w:rsidRPr="007F116C" w:rsidTr="0071404F">
        <w:trPr>
          <w:cantSplit/>
          <w:trHeight w:val="255"/>
        </w:trPr>
        <w:tc>
          <w:tcPr>
            <w:tcW w:w="8927" w:type="dxa"/>
            <w:gridSpan w:val="7"/>
          </w:tcPr>
          <w:p w:rsidR="00820310" w:rsidRPr="00B56341" w:rsidRDefault="00820310" w:rsidP="0071404F">
            <w:pPr>
              <w:keepNext/>
              <w:widowControl/>
              <w:ind w:left="-57"/>
              <w:jc w:val="left"/>
              <w:rPr>
                <w:rFonts w:ascii="Arial Narrow" w:eastAsia="Calibri" w:hAnsi="Arial Narrow"/>
                <w:snapToGrid/>
                <w:sz w:val="18"/>
                <w:szCs w:val="18"/>
              </w:rPr>
            </w:pPr>
            <w:r w:rsidRPr="007F116C">
              <w:rPr>
                <w:rFonts w:ascii="Arial Narrow" w:eastAsia="Calibri" w:hAnsi="Arial Narrow"/>
                <w:snapToGrid/>
                <w:sz w:val="18"/>
                <w:szCs w:val="18"/>
              </w:rPr>
              <w:t>OFATUMUMAB</w:t>
            </w:r>
          </w:p>
        </w:tc>
      </w:tr>
      <w:tr w:rsidR="00820310" w:rsidRPr="007F116C" w:rsidTr="002906B5">
        <w:trPr>
          <w:cantSplit/>
          <w:trHeight w:val="197"/>
        </w:trPr>
        <w:tc>
          <w:tcPr>
            <w:tcW w:w="3823" w:type="dxa"/>
            <w:gridSpan w:val="2"/>
          </w:tcPr>
          <w:p w:rsidR="00820310" w:rsidRPr="007F116C" w:rsidRDefault="00820310" w:rsidP="0071404F">
            <w:pPr>
              <w:keepNext/>
              <w:widowControl/>
              <w:ind w:left="-57"/>
              <w:rPr>
                <w:rFonts w:ascii="Arial Narrow" w:eastAsia="Calibri" w:hAnsi="Arial Narrow"/>
                <w:snapToGrid/>
                <w:sz w:val="18"/>
                <w:szCs w:val="18"/>
              </w:rPr>
            </w:pPr>
            <w:r>
              <w:rPr>
                <w:rFonts w:ascii="Arial Narrow" w:eastAsia="Calibri" w:hAnsi="Arial Narrow"/>
                <w:snapToGrid/>
                <w:sz w:val="18"/>
                <w:szCs w:val="18"/>
              </w:rPr>
              <w:t xml:space="preserve">ofatumumab </w:t>
            </w:r>
            <w:r w:rsidRPr="007F116C">
              <w:rPr>
                <w:rFonts w:ascii="Arial Narrow" w:eastAsia="Calibri" w:hAnsi="Arial Narrow"/>
                <w:snapToGrid/>
                <w:sz w:val="18"/>
                <w:szCs w:val="18"/>
              </w:rPr>
              <w:t>20</w:t>
            </w:r>
            <w:r>
              <w:rPr>
                <w:rFonts w:ascii="Arial Narrow" w:eastAsia="Calibri" w:hAnsi="Arial Narrow"/>
                <w:snapToGrid/>
                <w:sz w:val="18"/>
                <w:szCs w:val="18"/>
              </w:rPr>
              <w:t xml:space="preserve"> </w:t>
            </w:r>
            <w:r w:rsidRPr="007F116C">
              <w:rPr>
                <w:rFonts w:ascii="Arial Narrow" w:eastAsia="Calibri" w:hAnsi="Arial Narrow"/>
                <w:snapToGrid/>
                <w:sz w:val="18"/>
                <w:szCs w:val="18"/>
              </w:rPr>
              <w:t>mg/0.4mL injection</w:t>
            </w:r>
            <w:r>
              <w:rPr>
                <w:rFonts w:ascii="Arial Narrow" w:eastAsia="Calibri" w:hAnsi="Arial Narrow"/>
                <w:snapToGrid/>
                <w:sz w:val="18"/>
                <w:szCs w:val="18"/>
              </w:rPr>
              <w:t xml:space="preserve">, </w:t>
            </w:r>
            <w:r w:rsidRPr="00B56341">
              <w:rPr>
                <w:rFonts w:ascii="Arial Narrow" w:eastAsia="Calibri" w:hAnsi="Arial Narrow"/>
                <w:snapToGrid/>
                <w:sz w:val="18"/>
                <w:szCs w:val="18"/>
              </w:rPr>
              <w:t xml:space="preserve">0.4 mL </w:t>
            </w:r>
            <w:r>
              <w:rPr>
                <w:rFonts w:ascii="Arial Narrow" w:eastAsia="Calibri" w:hAnsi="Arial Narrow"/>
                <w:snapToGrid/>
                <w:sz w:val="18"/>
                <w:szCs w:val="18"/>
              </w:rPr>
              <w:t>pen device</w:t>
            </w:r>
            <w:r w:rsidRPr="00B56341" w:rsidDel="00E71D26">
              <w:rPr>
                <w:rFonts w:ascii="Arial Narrow" w:eastAsia="Calibri" w:hAnsi="Arial Narrow"/>
                <w:snapToGrid/>
                <w:sz w:val="18"/>
                <w:szCs w:val="18"/>
              </w:rPr>
              <w:t xml:space="preserve"> </w:t>
            </w:r>
          </w:p>
        </w:tc>
        <w:tc>
          <w:tcPr>
            <w:tcW w:w="1275" w:type="dxa"/>
          </w:tcPr>
          <w:p w:rsidR="00820310" w:rsidRPr="007F116C" w:rsidRDefault="00820310" w:rsidP="0071404F">
            <w:pPr>
              <w:keepNext/>
              <w:widowControl/>
              <w:jc w:val="center"/>
              <w:rPr>
                <w:rFonts w:ascii="Arial Narrow" w:eastAsia="Calibri" w:hAnsi="Arial Narrow"/>
                <w:snapToGrid/>
                <w:sz w:val="18"/>
                <w:szCs w:val="18"/>
              </w:rPr>
            </w:pPr>
            <w:r w:rsidRPr="007F116C">
              <w:rPr>
                <w:rFonts w:ascii="Arial Narrow" w:eastAsia="Calibri" w:hAnsi="Arial Narrow"/>
                <w:snapToGrid/>
                <w:sz w:val="18"/>
                <w:szCs w:val="18"/>
              </w:rPr>
              <w:t>NEW</w:t>
            </w:r>
          </w:p>
        </w:tc>
        <w:tc>
          <w:tcPr>
            <w:tcW w:w="851" w:type="dxa"/>
          </w:tcPr>
          <w:p w:rsidR="00820310" w:rsidRPr="007F116C" w:rsidRDefault="00820310" w:rsidP="0071404F">
            <w:pPr>
              <w:keepNext/>
              <w:widowControl/>
              <w:jc w:val="center"/>
              <w:rPr>
                <w:rFonts w:ascii="Arial Narrow" w:eastAsia="Calibri" w:hAnsi="Arial Narrow"/>
                <w:snapToGrid/>
                <w:sz w:val="18"/>
                <w:szCs w:val="18"/>
              </w:rPr>
            </w:pPr>
            <w:r w:rsidRPr="007F116C">
              <w:rPr>
                <w:rFonts w:ascii="Arial Narrow" w:eastAsia="Calibri" w:hAnsi="Arial Narrow"/>
                <w:snapToGrid/>
                <w:sz w:val="18"/>
                <w:szCs w:val="18"/>
              </w:rPr>
              <w:t>1</w:t>
            </w:r>
          </w:p>
        </w:tc>
        <w:tc>
          <w:tcPr>
            <w:tcW w:w="992" w:type="dxa"/>
          </w:tcPr>
          <w:p w:rsidR="00820310" w:rsidRPr="007F116C" w:rsidRDefault="00820310" w:rsidP="0071404F">
            <w:pPr>
              <w:keepNext/>
              <w:widowControl/>
              <w:jc w:val="center"/>
              <w:rPr>
                <w:rFonts w:ascii="Arial Narrow" w:eastAsia="Calibri" w:hAnsi="Arial Narrow"/>
                <w:snapToGrid/>
                <w:sz w:val="18"/>
                <w:szCs w:val="18"/>
              </w:rPr>
            </w:pPr>
            <w:r>
              <w:rPr>
                <w:rFonts w:ascii="Arial Narrow" w:eastAsia="Calibri" w:hAnsi="Arial Narrow"/>
                <w:snapToGrid/>
                <w:sz w:val="18"/>
                <w:szCs w:val="18"/>
              </w:rPr>
              <w:t>1</w:t>
            </w:r>
          </w:p>
        </w:tc>
        <w:tc>
          <w:tcPr>
            <w:tcW w:w="709" w:type="dxa"/>
          </w:tcPr>
          <w:p w:rsidR="00820310" w:rsidRPr="007F116C" w:rsidRDefault="00820310" w:rsidP="0071404F">
            <w:pPr>
              <w:keepNext/>
              <w:widowControl/>
              <w:jc w:val="center"/>
              <w:rPr>
                <w:rFonts w:ascii="Arial Narrow" w:eastAsia="Calibri" w:hAnsi="Arial Narrow"/>
                <w:snapToGrid/>
                <w:sz w:val="18"/>
                <w:szCs w:val="18"/>
              </w:rPr>
            </w:pPr>
            <w:r>
              <w:rPr>
                <w:rFonts w:ascii="Arial Narrow" w:eastAsia="Calibri" w:hAnsi="Arial Narrow"/>
                <w:snapToGrid/>
                <w:sz w:val="18"/>
                <w:szCs w:val="18"/>
              </w:rPr>
              <w:t>5</w:t>
            </w:r>
          </w:p>
        </w:tc>
        <w:tc>
          <w:tcPr>
            <w:tcW w:w="1277" w:type="dxa"/>
          </w:tcPr>
          <w:p w:rsidR="00820310" w:rsidRPr="007F116C" w:rsidRDefault="00820310" w:rsidP="0071404F">
            <w:pPr>
              <w:keepNext/>
              <w:widowControl/>
              <w:rPr>
                <w:rFonts w:ascii="Arial Narrow" w:eastAsia="Calibri" w:hAnsi="Arial Narrow"/>
                <w:snapToGrid/>
                <w:sz w:val="18"/>
                <w:szCs w:val="18"/>
              </w:rPr>
            </w:pPr>
            <w:r w:rsidRPr="007F116C">
              <w:rPr>
                <w:rFonts w:ascii="Arial Narrow" w:eastAsia="Calibri" w:hAnsi="Arial Narrow"/>
                <w:snapToGrid/>
                <w:sz w:val="18"/>
                <w:szCs w:val="18"/>
              </w:rPr>
              <w:t>Kesimpta</w:t>
            </w:r>
          </w:p>
        </w:tc>
      </w:tr>
      <w:tr w:rsidR="00B22F9E" w:rsidRPr="007F116C" w:rsidTr="0071404F">
        <w:trPr>
          <w:cantSplit/>
          <w:trHeight w:val="197"/>
        </w:trPr>
        <w:tc>
          <w:tcPr>
            <w:tcW w:w="5098" w:type="dxa"/>
            <w:gridSpan w:val="3"/>
          </w:tcPr>
          <w:p w:rsidR="00B22F9E" w:rsidRPr="007F116C" w:rsidRDefault="00B22F9E" w:rsidP="00B22F9E">
            <w:pPr>
              <w:keepNext/>
              <w:widowControl/>
              <w:jc w:val="center"/>
              <w:rPr>
                <w:rFonts w:ascii="Arial Narrow" w:eastAsia="Calibri" w:hAnsi="Arial Narrow"/>
                <w:snapToGrid/>
                <w:sz w:val="18"/>
                <w:szCs w:val="18"/>
              </w:rPr>
            </w:pPr>
          </w:p>
        </w:tc>
        <w:tc>
          <w:tcPr>
            <w:tcW w:w="3829" w:type="dxa"/>
            <w:gridSpan w:val="4"/>
          </w:tcPr>
          <w:p w:rsidR="00B22F9E" w:rsidRPr="007F116C" w:rsidRDefault="00B22F9E" w:rsidP="00B22F9E">
            <w:pPr>
              <w:keepNext/>
              <w:widowControl/>
              <w:rPr>
                <w:rFonts w:ascii="Arial Narrow" w:eastAsia="Calibri" w:hAnsi="Arial Narrow"/>
                <w:snapToGrid/>
                <w:sz w:val="18"/>
                <w:szCs w:val="18"/>
              </w:rPr>
            </w:pPr>
            <w:r w:rsidRPr="00D861D9">
              <w:rPr>
                <w:rFonts w:ascii="Arial Narrow" w:eastAsia="Calibri" w:hAnsi="Arial Narrow"/>
                <w:snapToGrid/>
                <w:sz w:val="18"/>
                <w:szCs w:val="18"/>
              </w:rPr>
              <w:t>Max.Qty multiplier = 1; Repeat increases: nil</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8927" w:type="dxa"/>
            <w:gridSpan w:val="7"/>
            <w:tcBorders>
              <w:top w:val="single" w:sz="4" w:space="0" w:color="auto"/>
              <w:left w:val="single" w:sz="4" w:space="0" w:color="auto"/>
              <w:bottom w:val="single" w:sz="4" w:space="0" w:color="auto"/>
              <w:right w:val="single" w:sz="4" w:space="0" w:color="auto"/>
            </w:tcBorders>
          </w:tcPr>
          <w:p w:rsidR="00B22F9E" w:rsidRPr="007F116C" w:rsidRDefault="00B22F9E" w:rsidP="00B22F9E">
            <w:pPr>
              <w:keepNext/>
              <w:keepLines/>
              <w:widowControl/>
              <w:rPr>
                <w:rFonts w:ascii="Arial Narrow" w:eastAsia="Calibri" w:hAnsi="Arial Narrow"/>
                <w:b/>
                <w:snapToGrid/>
                <w:sz w:val="18"/>
                <w:szCs w:val="18"/>
              </w:rPr>
            </w:pP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8927" w:type="dxa"/>
            <w:gridSpan w:val="7"/>
            <w:tcBorders>
              <w:top w:val="single" w:sz="4" w:space="0" w:color="auto"/>
              <w:left w:val="single" w:sz="4" w:space="0" w:color="auto"/>
              <w:bottom w:val="single" w:sz="4" w:space="0" w:color="auto"/>
              <w:right w:val="single" w:sz="4" w:space="0" w:color="auto"/>
            </w:tcBorders>
          </w:tcPr>
          <w:p w:rsidR="00B22F9E" w:rsidRPr="007F116C" w:rsidRDefault="00B22F9E" w:rsidP="00B22F9E">
            <w:pPr>
              <w:keepNext/>
              <w:keepLines/>
              <w:widowControl/>
              <w:rPr>
                <w:rFonts w:ascii="Arial Narrow" w:eastAsia="Calibri" w:hAnsi="Arial Narrow"/>
                <w:b/>
                <w:snapToGrid/>
                <w:sz w:val="18"/>
                <w:szCs w:val="18"/>
              </w:rPr>
            </w:pPr>
            <w:r w:rsidRPr="00922AB2">
              <w:rPr>
                <w:rFonts w:ascii="Arial Narrow" w:eastAsia="Calibri" w:hAnsi="Arial Narrow"/>
                <w:b/>
                <w:snapToGrid/>
                <w:sz w:val="18"/>
                <w:szCs w:val="18"/>
              </w:rPr>
              <w:t xml:space="preserve">Restriction Summary 10172 / Treatment of Concept: 10172 </w:t>
            </w:r>
            <w:r>
              <w:rPr>
                <w:rFonts w:ascii="Arial Narrow" w:eastAsia="Calibri" w:hAnsi="Arial Narrow"/>
                <w:i/>
                <w:snapToGrid/>
                <w:sz w:val="18"/>
                <w:szCs w:val="18"/>
              </w:rPr>
              <w:t xml:space="preserve">(as at 1 March 2021; based on </w:t>
            </w:r>
            <w:r w:rsidRPr="00AB789B">
              <w:rPr>
                <w:rFonts w:ascii="Arial Narrow" w:eastAsia="Calibri" w:hAnsi="Arial Narrow"/>
                <w:i/>
                <w:snapToGrid/>
                <w:sz w:val="18"/>
                <w:szCs w:val="18"/>
              </w:rPr>
              <w:t>fingolimod 5262Y</w:t>
            </w:r>
            <w:r>
              <w:rPr>
                <w:rFonts w:ascii="Arial Narrow" w:eastAsia="Calibri" w:hAnsi="Arial Narrow"/>
                <w:i/>
                <w:snapToGrid/>
                <w:sz w:val="18"/>
                <w:szCs w:val="18"/>
              </w:rPr>
              <w:t>)</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rsidR="00B22F9E" w:rsidRPr="00FF42D9" w:rsidRDefault="00B22F9E" w:rsidP="00B22F9E">
            <w:pPr>
              <w:keepNext/>
              <w:keepLines/>
              <w:widowControl/>
              <w:jc w:val="center"/>
              <w:rPr>
                <w:rFonts w:ascii="Arial Narrow" w:eastAsia="Calibri" w:hAnsi="Arial Narrow"/>
                <w:snapToGrid/>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rsidR="00B22F9E" w:rsidRPr="007F116C" w:rsidRDefault="00B22F9E" w:rsidP="00B22F9E">
            <w:pPr>
              <w:keepNext/>
              <w:keepLines/>
              <w:widowControl/>
              <w:rPr>
                <w:rFonts w:ascii="Arial Narrow" w:eastAsia="Calibri" w:hAnsi="Arial Narrow"/>
                <w:snapToGrid/>
                <w:sz w:val="18"/>
                <w:szCs w:val="18"/>
              </w:rPr>
            </w:pPr>
            <w:r w:rsidRPr="007F116C">
              <w:rPr>
                <w:rFonts w:ascii="Arial Narrow" w:eastAsia="Calibri" w:hAnsi="Arial Narrow"/>
                <w:b/>
                <w:snapToGrid/>
                <w:sz w:val="18"/>
                <w:szCs w:val="18"/>
              </w:rPr>
              <w:t xml:space="preserve">Category / Program:   </w:t>
            </w:r>
            <w:r w:rsidRPr="007F116C">
              <w:rPr>
                <w:rFonts w:ascii="Arial Narrow" w:eastAsia="Calibri" w:hAnsi="Arial Narrow"/>
                <w:snapToGrid/>
                <w:sz w:val="18"/>
                <w:szCs w:val="18"/>
              </w:rPr>
              <w:t xml:space="preserve">GENERAL – General Schedule (Code GE) </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rPr>
          <w:trHeight w:val="170"/>
        </w:trPr>
        <w:tc>
          <w:tcPr>
            <w:tcW w:w="987" w:type="dxa"/>
            <w:vMerge/>
            <w:tcBorders>
              <w:left w:val="single" w:sz="4" w:space="0" w:color="auto"/>
              <w:right w:val="single" w:sz="4" w:space="0" w:color="auto"/>
            </w:tcBorders>
          </w:tcPr>
          <w:p w:rsidR="00B22F9E" w:rsidRPr="007F116C" w:rsidRDefault="00B22F9E" w:rsidP="00B22F9E">
            <w:pPr>
              <w:keepNext/>
              <w:keepLines/>
              <w:rPr>
                <w:rFonts w:ascii="Arial Narrow" w:eastAsia="Calibri" w:hAnsi="Arial Narrow"/>
                <w:snapToGrid/>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rsidR="00B22F9E" w:rsidRPr="007F116C" w:rsidRDefault="00B22F9E" w:rsidP="00B22F9E">
            <w:pPr>
              <w:keepNext/>
              <w:keepLines/>
              <w:widowControl/>
              <w:rPr>
                <w:rFonts w:ascii="Arial Narrow" w:eastAsia="Calibri" w:hAnsi="Arial Narrow"/>
                <w:snapToGrid/>
                <w:sz w:val="18"/>
                <w:szCs w:val="18"/>
              </w:rPr>
            </w:pPr>
            <w:r w:rsidRPr="007F116C">
              <w:rPr>
                <w:rFonts w:ascii="Arial Narrow" w:eastAsia="Calibri" w:hAnsi="Arial Narrow"/>
                <w:b/>
                <w:snapToGrid/>
                <w:sz w:val="18"/>
                <w:szCs w:val="18"/>
              </w:rPr>
              <w:t xml:space="preserve">Prescriber type:  </w:t>
            </w:r>
            <w:r w:rsidRPr="007F116C">
              <w:rPr>
                <w:rFonts w:ascii="Arial Narrow" w:eastAsia="Calibri" w:hAnsi="Arial Narrow"/>
                <w:snapToGrid/>
                <w:sz w:val="18"/>
                <w:szCs w:val="18"/>
              </w:rPr>
              <w:fldChar w:fldCharType="begin">
                <w:ffData>
                  <w:name w:val=""/>
                  <w:enabled/>
                  <w:calcOnExit w:val="0"/>
                  <w:checkBox>
                    <w:sizeAuto/>
                    <w:default w:val="1"/>
                  </w:checkBox>
                </w:ffData>
              </w:fldChar>
            </w:r>
            <w:r w:rsidRPr="007F116C">
              <w:rPr>
                <w:rFonts w:ascii="Arial Narrow" w:eastAsia="Calibri" w:hAnsi="Arial Narrow"/>
                <w:snapToGrid/>
                <w:sz w:val="18"/>
                <w:szCs w:val="18"/>
              </w:rPr>
              <w:instrText xml:space="preserve"> FORMCHECKBOX </w:instrText>
            </w:r>
            <w:r w:rsidR="00416795">
              <w:rPr>
                <w:rFonts w:ascii="Arial Narrow" w:eastAsia="Calibri" w:hAnsi="Arial Narrow"/>
                <w:snapToGrid/>
                <w:sz w:val="18"/>
                <w:szCs w:val="18"/>
              </w:rPr>
            </w:r>
            <w:r w:rsidR="00416795">
              <w:rPr>
                <w:rFonts w:ascii="Arial Narrow" w:eastAsia="Calibri" w:hAnsi="Arial Narrow"/>
                <w:snapToGrid/>
                <w:sz w:val="18"/>
                <w:szCs w:val="18"/>
              </w:rPr>
              <w:fldChar w:fldCharType="separate"/>
            </w:r>
            <w:r w:rsidRPr="007F116C">
              <w:rPr>
                <w:rFonts w:ascii="Arial Narrow" w:eastAsia="Calibri" w:hAnsi="Arial Narrow"/>
                <w:snapToGrid/>
                <w:sz w:val="18"/>
                <w:szCs w:val="18"/>
              </w:rPr>
              <w:fldChar w:fldCharType="end"/>
            </w:r>
            <w:r w:rsidRPr="007F116C">
              <w:rPr>
                <w:rFonts w:ascii="Arial Narrow" w:eastAsia="Calibri" w:hAnsi="Arial Narrow"/>
                <w:snapToGrid/>
                <w:sz w:val="18"/>
                <w:szCs w:val="18"/>
              </w:rPr>
              <w:t xml:space="preserve">Medical Practitioners  </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Merge/>
            <w:tcBorders>
              <w:left w:val="single" w:sz="4" w:space="0" w:color="auto"/>
              <w:bottom w:val="single" w:sz="4" w:space="0" w:color="auto"/>
              <w:right w:val="single" w:sz="4" w:space="0" w:color="auto"/>
            </w:tcBorders>
          </w:tcPr>
          <w:p w:rsidR="00B22F9E" w:rsidRPr="007F116C" w:rsidRDefault="00B22F9E" w:rsidP="00B22F9E">
            <w:pPr>
              <w:keepNext/>
              <w:keepLines/>
              <w:widowControl/>
              <w:rPr>
                <w:rFonts w:ascii="Arial Narrow" w:eastAsia="Calibri" w:hAnsi="Arial Narrow"/>
                <w:snapToGrid/>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rsidR="00B22F9E" w:rsidRPr="00FF42D9" w:rsidRDefault="00B22F9E" w:rsidP="00B22F9E">
            <w:pPr>
              <w:keepNext/>
              <w:keepLines/>
              <w:widowControl/>
              <w:rPr>
                <w:rFonts w:ascii="Arial Narrow" w:eastAsia="Calibri" w:hAnsi="Arial Narrow"/>
                <w:b/>
                <w:snapToGrid/>
                <w:sz w:val="18"/>
                <w:szCs w:val="18"/>
              </w:rPr>
            </w:pPr>
            <w:r w:rsidRPr="007F116C">
              <w:rPr>
                <w:rFonts w:ascii="Arial Narrow" w:eastAsia="Calibri" w:hAnsi="Arial Narrow"/>
                <w:b/>
                <w:snapToGrid/>
                <w:sz w:val="18"/>
                <w:szCs w:val="18"/>
              </w:rPr>
              <w:t>Restriction</w:t>
            </w:r>
            <w:r>
              <w:rPr>
                <w:rFonts w:ascii="Arial Narrow" w:eastAsia="Calibri" w:hAnsi="Arial Narrow"/>
                <w:b/>
                <w:snapToGrid/>
                <w:sz w:val="18"/>
                <w:szCs w:val="18"/>
              </w:rPr>
              <w:t xml:space="preserve"> type</w:t>
            </w:r>
            <w:r w:rsidRPr="007F116C">
              <w:rPr>
                <w:rFonts w:ascii="Arial Narrow" w:eastAsia="Calibri" w:hAnsi="Arial Narrow"/>
                <w:b/>
                <w:snapToGrid/>
                <w:sz w:val="18"/>
                <w:szCs w:val="18"/>
              </w:rPr>
              <w:t>:</w:t>
            </w:r>
            <w:r>
              <w:rPr>
                <w:rFonts w:ascii="Arial Narrow" w:eastAsia="Calibri" w:hAnsi="Arial Narrow"/>
                <w:b/>
                <w:snapToGrid/>
                <w:sz w:val="18"/>
                <w:szCs w:val="18"/>
              </w:rPr>
              <w:t xml:space="preserve"> </w:t>
            </w:r>
            <w:r w:rsidRPr="007F116C">
              <w:rPr>
                <w:rFonts w:ascii="Arial Narrow" w:eastAsia="Calibri" w:hAnsi="Arial Narrow"/>
                <w:snapToGrid/>
                <w:sz w:val="18"/>
                <w:szCs w:val="18"/>
              </w:rPr>
              <w:fldChar w:fldCharType="begin">
                <w:ffData>
                  <w:name w:val=""/>
                  <w:enabled/>
                  <w:calcOnExit w:val="0"/>
                  <w:checkBox>
                    <w:sizeAuto/>
                    <w:default w:val="1"/>
                  </w:checkBox>
                </w:ffData>
              </w:fldChar>
            </w:r>
            <w:r w:rsidRPr="007F116C">
              <w:rPr>
                <w:rFonts w:ascii="Arial Narrow" w:eastAsia="Calibri" w:hAnsi="Arial Narrow"/>
                <w:snapToGrid/>
                <w:sz w:val="18"/>
                <w:szCs w:val="18"/>
              </w:rPr>
              <w:instrText xml:space="preserve"> FORMCHECKBOX </w:instrText>
            </w:r>
            <w:r w:rsidR="00416795">
              <w:rPr>
                <w:rFonts w:ascii="Arial Narrow" w:eastAsia="Calibri" w:hAnsi="Arial Narrow"/>
                <w:snapToGrid/>
                <w:sz w:val="18"/>
                <w:szCs w:val="18"/>
              </w:rPr>
            </w:r>
            <w:r w:rsidR="00416795">
              <w:rPr>
                <w:rFonts w:ascii="Arial Narrow" w:eastAsia="Calibri" w:hAnsi="Arial Narrow"/>
                <w:snapToGrid/>
                <w:sz w:val="18"/>
                <w:szCs w:val="18"/>
              </w:rPr>
              <w:fldChar w:fldCharType="separate"/>
            </w:r>
            <w:r w:rsidRPr="007F116C">
              <w:rPr>
                <w:rFonts w:ascii="Arial Narrow" w:eastAsia="Calibri" w:hAnsi="Arial Narrow"/>
                <w:snapToGrid/>
                <w:sz w:val="18"/>
                <w:szCs w:val="18"/>
              </w:rPr>
              <w:fldChar w:fldCharType="end"/>
            </w:r>
            <w:r>
              <w:rPr>
                <w:rFonts w:ascii="Arial Narrow" w:eastAsia="Calibri" w:hAnsi="Arial Narrow"/>
                <w:snapToGrid/>
                <w:sz w:val="18"/>
                <w:szCs w:val="18"/>
              </w:rPr>
              <w:t xml:space="preserve"> </w:t>
            </w:r>
            <w:r w:rsidRPr="007F116C">
              <w:rPr>
                <w:rFonts w:ascii="Arial Narrow" w:eastAsia="Calibri" w:hAnsi="Arial Narrow"/>
                <w:snapToGrid/>
                <w:sz w:val="18"/>
                <w:szCs w:val="18"/>
              </w:rPr>
              <w:t xml:space="preserve">Authority Required </w:t>
            </w:r>
            <w:r>
              <w:rPr>
                <w:rFonts w:ascii="Arial Narrow" w:eastAsia="Calibri" w:hAnsi="Arial Narrow"/>
                <w:snapToGrid/>
                <w:sz w:val="18"/>
                <w:szCs w:val="18"/>
              </w:rPr>
              <w:t>(STREAMLINED)</w:t>
            </w:r>
            <w:r w:rsidRPr="00AB789B">
              <w:rPr>
                <w:rFonts w:ascii="Arial Narrow" w:eastAsia="Calibri" w:hAnsi="Arial Narrow"/>
                <w:snapToGrid/>
                <w:sz w:val="18"/>
                <w:szCs w:val="18"/>
              </w:rPr>
              <w:t xml:space="preserve"> [10172]</w:t>
            </w:r>
            <w:r>
              <w:rPr>
                <w:rFonts w:ascii="Arial Narrow" w:eastAsia="Calibri" w:hAnsi="Arial Narrow"/>
                <w:snapToGrid/>
                <w:sz w:val="18"/>
                <w:szCs w:val="18"/>
              </w:rPr>
              <w:t xml:space="preserve"> </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Indication:</w:t>
            </w:r>
            <w:r w:rsidRPr="007F116C">
              <w:rPr>
                <w:rFonts w:ascii="Arial Narrow" w:hAnsi="Arial Narrow" w:cs="Times New Roman"/>
                <w:snapToGrid/>
                <w:color w:val="333333"/>
                <w:sz w:val="18"/>
                <w:szCs w:val="18"/>
                <w:lang w:eastAsia="en-AU"/>
              </w:rPr>
              <w:t xml:space="preserve"> Multiple sclerosis</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Treatment Phase:</w:t>
            </w:r>
            <w:r w:rsidRPr="007F116C">
              <w:rPr>
                <w:rFonts w:ascii="Arial Narrow" w:hAnsi="Arial Narrow" w:cs="Times New Roman"/>
                <w:snapToGrid/>
                <w:color w:val="333333"/>
                <w:sz w:val="18"/>
                <w:szCs w:val="18"/>
                <w:lang w:eastAsia="en-AU"/>
              </w:rPr>
              <w:t xml:space="preserve"> Continuing treatment</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The condition must be diagnosed as clinically definite relapsing-remitting multiple sclerosis,</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 xml:space="preserve">The treatment must be the </w:t>
            </w:r>
            <w:r w:rsidRPr="007F116C">
              <w:rPr>
                <w:rFonts w:ascii="Arial Narrow" w:hAnsi="Arial Narrow" w:cs="Times New Roman"/>
                <w:strike/>
                <w:snapToGrid/>
                <w:color w:val="333333"/>
                <w:sz w:val="18"/>
                <w:szCs w:val="18"/>
                <w:lang w:eastAsia="en-AU"/>
              </w:rPr>
              <w:t>a</w:t>
            </w:r>
            <w:r w:rsidRPr="007F116C">
              <w:rPr>
                <w:rFonts w:ascii="Arial Narrow" w:hAnsi="Arial Narrow" w:cs="Times New Roman"/>
                <w:snapToGrid/>
                <w:color w:val="333333"/>
                <w:sz w:val="18"/>
                <w:szCs w:val="18"/>
                <w:lang w:eastAsia="en-AU"/>
              </w:rPr>
              <w:t xml:space="preserve"> sole PBS-subsidised disease modifying therapy for this condition,</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Patient must have previously received PBS-subsidised treatment with this drug for this condition,</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Patient must not show continuing progression of disability while on treatment with this drug.</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keepNext/>
              <w:keepLines/>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keepNext/>
              <w:keepLines/>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Patient must have demonstrated compliance with, and an ability to tolerate this therapy.</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rPr>
          <w:trHeight w:val="472"/>
        </w:trPr>
        <w:tc>
          <w:tcPr>
            <w:tcW w:w="8927" w:type="dxa"/>
            <w:gridSpan w:val="7"/>
            <w:tcBorders>
              <w:top w:val="single" w:sz="4" w:space="0" w:color="auto"/>
              <w:left w:val="single" w:sz="4" w:space="0" w:color="auto"/>
              <w:right w:val="single" w:sz="4" w:space="0" w:color="auto"/>
            </w:tcBorders>
          </w:tcPr>
          <w:p w:rsidR="00B22F9E" w:rsidRPr="007F116C" w:rsidRDefault="00B22F9E" w:rsidP="00B22F9E">
            <w:pPr>
              <w:widowControl/>
              <w:rPr>
                <w:rFonts w:ascii="Arial Narrow" w:eastAsia="Calibri" w:hAnsi="Arial Narrow"/>
                <w:b/>
                <w:snapToGrid/>
                <w:sz w:val="18"/>
                <w:szCs w:val="18"/>
              </w:rPr>
            </w:pP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8927" w:type="dxa"/>
            <w:gridSpan w:val="7"/>
            <w:tcBorders>
              <w:top w:val="single" w:sz="4" w:space="0" w:color="auto"/>
              <w:left w:val="single" w:sz="4" w:space="0" w:color="auto"/>
              <w:right w:val="single" w:sz="4" w:space="0" w:color="auto"/>
            </w:tcBorders>
          </w:tcPr>
          <w:p w:rsidR="00B22F9E" w:rsidRPr="007F116C" w:rsidRDefault="00B22F9E" w:rsidP="00B22F9E">
            <w:pPr>
              <w:widowControl/>
              <w:rPr>
                <w:rFonts w:ascii="Arial Narrow" w:eastAsia="Calibri" w:hAnsi="Arial Narrow"/>
                <w:b/>
                <w:snapToGrid/>
                <w:sz w:val="18"/>
                <w:szCs w:val="18"/>
              </w:rPr>
            </w:pPr>
            <w:r w:rsidRPr="00922AB2">
              <w:rPr>
                <w:rFonts w:ascii="Arial Narrow" w:eastAsia="Calibri" w:hAnsi="Arial Narrow"/>
                <w:b/>
                <w:snapToGrid/>
                <w:sz w:val="18"/>
                <w:szCs w:val="18"/>
              </w:rPr>
              <w:t xml:space="preserve">Restriction Summary </w:t>
            </w:r>
            <w:r>
              <w:rPr>
                <w:rFonts w:ascii="Arial Narrow" w:eastAsia="Calibri" w:hAnsi="Arial Narrow"/>
                <w:b/>
                <w:snapToGrid/>
                <w:sz w:val="18"/>
                <w:szCs w:val="18"/>
              </w:rPr>
              <w:t>[</w:t>
            </w:r>
            <w:r w:rsidRPr="00922AB2">
              <w:rPr>
                <w:rFonts w:ascii="Arial Narrow" w:eastAsia="Calibri" w:hAnsi="Arial Narrow"/>
                <w:b/>
                <w:snapToGrid/>
                <w:sz w:val="18"/>
                <w:szCs w:val="18"/>
              </w:rPr>
              <w:t xml:space="preserve">new </w:t>
            </w:r>
            <w:r>
              <w:rPr>
                <w:rFonts w:ascii="Arial Narrow" w:eastAsia="Calibri" w:hAnsi="Arial Narrow"/>
                <w:b/>
                <w:snapToGrid/>
                <w:sz w:val="18"/>
                <w:szCs w:val="18"/>
              </w:rPr>
              <w:t>1]</w:t>
            </w:r>
            <w:r w:rsidRPr="00922AB2">
              <w:rPr>
                <w:rFonts w:ascii="Arial Narrow" w:eastAsia="Calibri" w:hAnsi="Arial Narrow"/>
                <w:b/>
                <w:snapToGrid/>
                <w:sz w:val="18"/>
                <w:szCs w:val="18"/>
              </w:rPr>
              <w:t xml:space="preserve">/ Treatment of Concept: </w:t>
            </w:r>
            <w:r>
              <w:rPr>
                <w:rFonts w:ascii="Arial Narrow" w:eastAsia="Calibri" w:hAnsi="Arial Narrow"/>
                <w:b/>
                <w:snapToGrid/>
                <w:sz w:val="18"/>
                <w:szCs w:val="18"/>
              </w:rPr>
              <w:t>[</w:t>
            </w:r>
            <w:r w:rsidRPr="00922AB2">
              <w:rPr>
                <w:rFonts w:ascii="Arial Narrow" w:eastAsia="Calibri" w:hAnsi="Arial Narrow"/>
                <w:b/>
                <w:snapToGrid/>
                <w:sz w:val="18"/>
                <w:szCs w:val="18"/>
              </w:rPr>
              <w:t>new</w:t>
            </w:r>
            <w:r>
              <w:rPr>
                <w:rFonts w:ascii="Arial Narrow" w:eastAsia="Calibri" w:hAnsi="Arial Narrow"/>
                <w:b/>
                <w:snapToGrid/>
                <w:sz w:val="18"/>
                <w:szCs w:val="18"/>
              </w:rPr>
              <w:t xml:space="preserve"> 2]</w:t>
            </w:r>
            <w:r w:rsidRPr="00922AB2">
              <w:rPr>
                <w:rFonts w:ascii="Arial Narrow" w:eastAsia="Calibri" w:hAnsi="Arial Narrow"/>
                <w:b/>
                <w:snapToGrid/>
                <w:sz w:val="18"/>
                <w:szCs w:val="18"/>
              </w:rPr>
              <w:t xml:space="preserve"> </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rsidR="00B22F9E" w:rsidRPr="00FF42D9" w:rsidRDefault="00B22F9E" w:rsidP="00B22F9E">
            <w:pPr>
              <w:widowControl/>
              <w:jc w:val="center"/>
              <w:rPr>
                <w:rFonts w:ascii="Arial Narrow" w:eastAsia="Calibri" w:hAnsi="Arial Narrow"/>
                <w:snapToGrid/>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rsidR="00B22F9E" w:rsidRPr="007F116C" w:rsidRDefault="00B22F9E" w:rsidP="00B22F9E">
            <w:pPr>
              <w:widowControl/>
              <w:rPr>
                <w:rFonts w:ascii="Arial Narrow" w:eastAsia="Calibri" w:hAnsi="Arial Narrow"/>
                <w:snapToGrid/>
                <w:sz w:val="18"/>
                <w:szCs w:val="18"/>
              </w:rPr>
            </w:pPr>
            <w:r w:rsidRPr="007F116C">
              <w:rPr>
                <w:rFonts w:ascii="Arial Narrow" w:eastAsia="Calibri" w:hAnsi="Arial Narrow"/>
                <w:b/>
                <w:snapToGrid/>
                <w:sz w:val="18"/>
                <w:szCs w:val="18"/>
              </w:rPr>
              <w:t xml:space="preserve">Category / Program:   </w:t>
            </w:r>
            <w:r w:rsidRPr="007F116C">
              <w:rPr>
                <w:rFonts w:ascii="Arial Narrow" w:eastAsia="Calibri" w:hAnsi="Arial Narrow"/>
                <w:snapToGrid/>
                <w:sz w:val="18"/>
                <w:szCs w:val="18"/>
              </w:rPr>
              <w:t xml:space="preserve">GENERAL – General Schedule (Code GE) </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rPr>
          <w:trHeight w:val="200"/>
        </w:trPr>
        <w:tc>
          <w:tcPr>
            <w:tcW w:w="987" w:type="dxa"/>
            <w:vMerge/>
            <w:tcBorders>
              <w:left w:val="single" w:sz="4" w:space="0" w:color="auto"/>
              <w:right w:val="single" w:sz="4" w:space="0" w:color="auto"/>
            </w:tcBorders>
          </w:tcPr>
          <w:p w:rsidR="00B22F9E" w:rsidRPr="007F116C" w:rsidRDefault="00B22F9E" w:rsidP="00B22F9E">
            <w:pPr>
              <w:rPr>
                <w:rFonts w:ascii="Arial Narrow" w:eastAsia="Calibri" w:hAnsi="Arial Narrow"/>
                <w:snapToGrid/>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rsidR="00B22F9E" w:rsidRPr="007F116C" w:rsidRDefault="00B22F9E" w:rsidP="00B22F9E">
            <w:pPr>
              <w:widowControl/>
              <w:rPr>
                <w:rFonts w:ascii="Arial Narrow" w:eastAsia="Calibri" w:hAnsi="Arial Narrow"/>
                <w:snapToGrid/>
                <w:sz w:val="18"/>
                <w:szCs w:val="18"/>
              </w:rPr>
            </w:pPr>
            <w:r w:rsidRPr="007F116C">
              <w:rPr>
                <w:rFonts w:ascii="Arial Narrow" w:eastAsia="Calibri" w:hAnsi="Arial Narrow"/>
                <w:b/>
                <w:snapToGrid/>
                <w:sz w:val="18"/>
                <w:szCs w:val="18"/>
              </w:rPr>
              <w:t xml:space="preserve">Prescriber type:  </w:t>
            </w:r>
            <w:r w:rsidRPr="007F116C">
              <w:rPr>
                <w:rFonts w:ascii="Arial Narrow" w:eastAsia="Calibri" w:hAnsi="Arial Narrow"/>
                <w:snapToGrid/>
                <w:sz w:val="18"/>
                <w:szCs w:val="18"/>
              </w:rPr>
              <w:fldChar w:fldCharType="begin">
                <w:ffData>
                  <w:name w:val=""/>
                  <w:enabled/>
                  <w:calcOnExit w:val="0"/>
                  <w:checkBox>
                    <w:sizeAuto/>
                    <w:default w:val="1"/>
                  </w:checkBox>
                </w:ffData>
              </w:fldChar>
            </w:r>
            <w:r w:rsidRPr="007F116C">
              <w:rPr>
                <w:rFonts w:ascii="Arial Narrow" w:eastAsia="Calibri" w:hAnsi="Arial Narrow"/>
                <w:snapToGrid/>
                <w:sz w:val="18"/>
                <w:szCs w:val="18"/>
              </w:rPr>
              <w:instrText xml:space="preserve"> FORMCHECKBOX </w:instrText>
            </w:r>
            <w:r w:rsidR="00416795">
              <w:rPr>
                <w:rFonts w:ascii="Arial Narrow" w:eastAsia="Calibri" w:hAnsi="Arial Narrow"/>
                <w:snapToGrid/>
                <w:sz w:val="18"/>
                <w:szCs w:val="18"/>
              </w:rPr>
            </w:r>
            <w:r w:rsidR="00416795">
              <w:rPr>
                <w:rFonts w:ascii="Arial Narrow" w:eastAsia="Calibri" w:hAnsi="Arial Narrow"/>
                <w:snapToGrid/>
                <w:sz w:val="18"/>
                <w:szCs w:val="18"/>
              </w:rPr>
              <w:fldChar w:fldCharType="separate"/>
            </w:r>
            <w:r w:rsidRPr="007F116C">
              <w:rPr>
                <w:rFonts w:ascii="Arial Narrow" w:eastAsia="Calibri" w:hAnsi="Arial Narrow"/>
                <w:snapToGrid/>
                <w:sz w:val="18"/>
                <w:szCs w:val="18"/>
              </w:rPr>
              <w:fldChar w:fldCharType="end"/>
            </w:r>
            <w:r>
              <w:rPr>
                <w:rFonts w:ascii="Arial Narrow" w:eastAsia="Calibri" w:hAnsi="Arial Narrow"/>
                <w:snapToGrid/>
                <w:sz w:val="18"/>
                <w:szCs w:val="18"/>
              </w:rPr>
              <w:t xml:space="preserve"> </w:t>
            </w:r>
            <w:r w:rsidRPr="007F116C">
              <w:rPr>
                <w:rFonts w:ascii="Arial Narrow" w:eastAsia="Calibri" w:hAnsi="Arial Narrow"/>
                <w:snapToGrid/>
                <w:sz w:val="18"/>
                <w:szCs w:val="18"/>
              </w:rPr>
              <w:t xml:space="preserve">Medical Practitioners  </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Merge/>
            <w:tcBorders>
              <w:left w:val="single" w:sz="4" w:space="0" w:color="auto"/>
              <w:bottom w:val="single" w:sz="4" w:space="0" w:color="auto"/>
              <w:right w:val="single" w:sz="4" w:space="0" w:color="auto"/>
            </w:tcBorders>
          </w:tcPr>
          <w:p w:rsidR="00B22F9E" w:rsidRPr="007F116C" w:rsidRDefault="00B22F9E" w:rsidP="00B22F9E">
            <w:pPr>
              <w:widowControl/>
              <w:rPr>
                <w:rFonts w:ascii="Arial Narrow" w:eastAsia="Calibri" w:hAnsi="Arial Narrow"/>
                <w:snapToGrid/>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rsidR="00B22F9E" w:rsidRPr="00FF42D9" w:rsidRDefault="00B22F9E" w:rsidP="00B22F9E">
            <w:pPr>
              <w:widowControl/>
              <w:rPr>
                <w:rFonts w:ascii="Arial Narrow" w:eastAsia="Calibri" w:hAnsi="Arial Narrow"/>
                <w:b/>
                <w:snapToGrid/>
                <w:sz w:val="18"/>
                <w:szCs w:val="18"/>
              </w:rPr>
            </w:pPr>
            <w:r w:rsidRPr="007F116C">
              <w:rPr>
                <w:rFonts w:ascii="Arial Narrow" w:eastAsia="Calibri" w:hAnsi="Arial Narrow"/>
                <w:b/>
                <w:snapToGrid/>
                <w:sz w:val="18"/>
                <w:szCs w:val="18"/>
              </w:rPr>
              <w:t>Restriction</w:t>
            </w:r>
            <w:r>
              <w:rPr>
                <w:rFonts w:ascii="Arial Narrow" w:eastAsia="Calibri" w:hAnsi="Arial Narrow"/>
                <w:b/>
                <w:snapToGrid/>
                <w:sz w:val="18"/>
                <w:szCs w:val="18"/>
              </w:rPr>
              <w:t xml:space="preserve"> type</w:t>
            </w:r>
            <w:r w:rsidRPr="007F116C">
              <w:rPr>
                <w:rFonts w:ascii="Arial Narrow" w:eastAsia="Calibri" w:hAnsi="Arial Narrow"/>
                <w:b/>
                <w:snapToGrid/>
                <w:sz w:val="18"/>
                <w:szCs w:val="18"/>
              </w:rPr>
              <w:t>:</w:t>
            </w:r>
            <w:r>
              <w:rPr>
                <w:rFonts w:ascii="Arial Narrow" w:eastAsia="Calibri" w:hAnsi="Arial Narrow"/>
                <w:b/>
                <w:snapToGrid/>
                <w:sz w:val="18"/>
                <w:szCs w:val="18"/>
              </w:rPr>
              <w:t xml:space="preserve"> </w:t>
            </w:r>
            <w:r w:rsidRPr="007F116C">
              <w:rPr>
                <w:rFonts w:ascii="Arial Narrow" w:eastAsia="Calibri" w:hAnsi="Arial Narrow"/>
                <w:snapToGrid/>
                <w:sz w:val="18"/>
                <w:szCs w:val="18"/>
              </w:rPr>
              <w:fldChar w:fldCharType="begin">
                <w:ffData>
                  <w:name w:val=""/>
                  <w:enabled/>
                  <w:calcOnExit w:val="0"/>
                  <w:checkBox>
                    <w:sizeAuto/>
                    <w:default w:val="1"/>
                  </w:checkBox>
                </w:ffData>
              </w:fldChar>
            </w:r>
            <w:r w:rsidRPr="007F116C">
              <w:rPr>
                <w:rFonts w:ascii="Arial Narrow" w:eastAsia="Calibri" w:hAnsi="Arial Narrow"/>
                <w:snapToGrid/>
                <w:sz w:val="18"/>
                <w:szCs w:val="18"/>
              </w:rPr>
              <w:instrText xml:space="preserve"> FORMCHECKBOX </w:instrText>
            </w:r>
            <w:r w:rsidR="00416795">
              <w:rPr>
                <w:rFonts w:ascii="Arial Narrow" w:eastAsia="Calibri" w:hAnsi="Arial Narrow"/>
                <w:snapToGrid/>
                <w:sz w:val="18"/>
                <w:szCs w:val="18"/>
              </w:rPr>
            </w:r>
            <w:r w:rsidR="00416795">
              <w:rPr>
                <w:rFonts w:ascii="Arial Narrow" w:eastAsia="Calibri" w:hAnsi="Arial Narrow"/>
                <w:snapToGrid/>
                <w:sz w:val="18"/>
                <w:szCs w:val="18"/>
              </w:rPr>
              <w:fldChar w:fldCharType="separate"/>
            </w:r>
            <w:r w:rsidRPr="007F116C">
              <w:rPr>
                <w:rFonts w:ascii="Arial Narrow" w:eastAsia="Calibri" w:hAnsi="Arial Narrow"/>
                <w:snapToGrid/>
                <w:sz w:val="18"/>
                <w:szCs w:val="18"/>
              </w:rPr>
              <w:fldChar w:fldCharType="end"/>
            </w:r>
            <w:r>
              <w:rPr>
                <w:rFonts w:ascii="Arial Narrow" w:eastAsia="Calibri" w:hAnsi="Arial Narrow"/>
                <w:snapToGrid/>
                <w:sz w:val="18"/>
                <w:szCs w:val="18"/>
              </w:rPr>
              <w:t xml:space="preserve"> Authority Required (STREAMLINED) [New 2]</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Indication:</w:t>
            </w:r>
            <w:r w:rsidRPr="007F116C">
              <w:rPr>
                <w:rFonts w:ascii="Arial Narrow" w:hAnsi="Arial Narrow" w:cs="Times New Roman"/>
                <w:snapToGrid/>
                <w:color w:val="333333"/>
                <w:sz w:val="18"/>
                <w:szCs w:val="18"/>
                <w:lang w:eastAsia="en-AU"/>
              </w:rPr>
              <w:t xml:space="preserve"> Multiple sclerosis</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Treatment Phase:</w:t>
            </w:r>
            <w:r w:rsidRPr="007F116C">
              <w:rPr>
                <w:rFonts w:ascii="Arial Narrow" w:hAnsi="Arial Narrow" w:cs="Times New Roman"/>
                <w:snapToGrid/>
                <w:color w:val="333333"/>
                <w:sz w:val="18"/>
                <w:szCs w:val="18"/>
                <w:lang w:eastAsia="en-AU"/>
              </w:rPr>
              <w:t xml:space="preserve"> </w:t>
            </w:r>
            <w:r>
              <w:rPr>
                <w:rFonts w:ascii="Arial Narrow" w:hAnsi="Arial Narrow" w:cs="Times New Roman"/>
                <w:snapToGrid/>
                <w:color w:val="333333"/>
                <w:sz w:val="18"/>
                <w:szCs w:val="18"/>
                <w:lang w:eastAsia="en-AU"/>
              </w:rPr>
              <w:t>Transitioning from non-PBS to PBS-subsidised supply – ‘</w:t>
            </w:r>
            <w:r w:rsidRPr="007F116C">
              <w:rPr>
                <w:rFonts w:ascii="Arial Narrow" w:hAnsi="Arial Narrow" w:cs="Times New Roman"/>
                <w:snapToGrid/>
                <w:color w:val="333333"/>
                <w:sz w:val="18"/>
                <w:szCs w:val="18"/>
                <w:lang w:eastAsia="en-AU"/>
              </w:rPr>
              <w:t>Grandfather</w:t>
            </w:r>
            <w:r>
              <w:rPr>
                <w:rFonts w:ascii="Arial Narrow" w:hAnsi="Arial Narrow" w:cs="Times New Roman"/>
                <w:snapToGrid/>
                <w:color w:val="333333"/>
                <w:sz w:val="18"/>
                <w:szCs w:val="18"/>
                <w:lang w:eastAsia="en-AU"/>
              </w:rPr>
              <w:t>’</w:t>
            </w:r>
            <w:r w:rsidRPr="007F116C">
              <w:rPr>
                <w:rFonts w:ascii="Arial Narrow" w:hAnsi="Arial Narrow" w:cs="Times New Roman"/>
                <w:snapToGrid/>
                <w:color w:val="333333"/>
                <w:sz w:val="18"/>
                <w:szCs w:val="18"/>
                <w:lang w:eastAsia="en-AU"/>
              </w:rPr>
              <w:t xml:space="preserve"> </w:t>
            </w:r>
            <w:r>
              <w:rPr>
                <w:rFonts w:ascii="Arial Narrow" w:hAnsi="Arial Narrow" w:cs="Times New Roman"/>
                <w:snapToGrid/>
                <w:color w:val="333333"/>
                <w:sz w:val="18"/>
                <w:szCs w:val="18"/>
                <w:lang w:eastAsia="en-AU"/>
              </w:rPr>
              <w:t xml:space="preserve">arrangements </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 xml:space="preserve">Clinical criteria: </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The condition must</w:t>
            </w:r>
            <w:r w:rsidRPr="007F116C">
              <w:rPr>
                <w:rFonts w:ascii="Arial Narrow" w:hAnsi="Arial Narrow" w:cs="Times New Roman"/>
                <w:strike/>
                <w:snapToGrid/>
                <w:color w:val="333333"/>
                <w:sz w:val="18"/>
                <w:szCs w:val="18"/>
                <w:lang w:eastAsia="en-AU"/>
              </w:rPr>
              <w:t xml:space="preserve"> </w:t>
            </w:r>
            <w:r w:rsidRPr="007F116C">
              <w:rPr>
                <w:rFonts w:ascii="Arial Narrow" w:hAnsi="Arial Narrow" w:cs="Times New Roman"/>
                <w:snapToGrid/>
                <w:color w:val="333333"/>
                <w:sz w:val="18"/>
                <w:szCs w:val="18"/>
                <w:lang w:eastAsia="en-AU"/>
              </w:rPr>
              <w:t xml:space="preserve">have previously been diagnosed as clinically definite relapsing-remitting multiple sclerosis by magnetic resonance imaging of at least one of the brain/spinal cord prior to initiating non-PBS-subsidised treatment with </w:t>
            </w:r>
            <w:r>
              <w:rPr>
                <w:rFonts w:ascii="Arial Narrow" w:hAnsi="Arial Narrow" w:cs="Times New Roman"/>
                <w:snapToGrid/>
                <w:color w:val="333333"/>
                <w:sz w:val="18"/>
                <w:szCs w:val="18"/>
                <w:lang w:eastAsia="en-AU"/>
              </w:rPr>
              <w:t>this drug for this condition; OR</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922AB2">
              <w:rPr>
                <w:rFonts w:ascii="Arial Narrow" w:hAnsi="Arial Narrow" w:cs="Times New Roman"/>
                <w:snapToGrid/>
                <w:color w:val="333333"/>
                <w:sz w:val="18"/>
                <w:szCs w:val="18"/>
                <w:lang w:eastAsia="en-AU"/>
              </w:rPr>
              <w:t>The condition must have previously been diagnosed as clinically definite relapsing-remitting multiple sclerosis supported by written certification, which is documented in the patient's medical records, from a radiologist that a magnetic resonance imaging scan is contraindicated because of the risk of physical (not psychological) injury to the patient prior to initiating non-PBS-subsidised treatment with this drug for this condition.</w:t>
            </w:r>
          </w:p>
        </w:tc>
      </w:tr>
      <w:tr w:rsidR="00B22F9E" w:rsidRPr="007F116C" w:rsidTr="00190403">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rPr>
          <w:trHeight w:val="253"/>
        </w:trPr>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Patient must have experienced at least 2 documented attacks of neurological dysfunction, believed to be due to multiple sclerosis, in the preceding 2 years</w:t>
            </w:r>
            <w:r>
              <w:rPr>
                <w:rFonts w:ascii="Arial Narrow" w:hAnsi="Arial Narrow" w:cs="Times New Roman"/>
                <w:snapToGrid/>
                <w:color w:val="333333"/>
                <w:sz w:val="18"/>
                <w:szCs w:val="18"/>
                <w:lang w:eastAsia="en-AU"/>
              </w:rPr>
              <w:t xml:space="preserve"> prior to initiation of this drug</w:t>
            </w:r>
            <w:r w:rsidRPr="007F116C">
              <w:rPr>
                <w:rFonts w:ascii="Arial Narrow" w:hAnsi="Arial Narrow" w:cs="Times New Roman"/>
                <w:snapToGrid/>
                <w:color w:val="333333"/>
                <w:sz w:val="18"/>
                <w:szCs w:val="18"/>
                <w:lang w:eastAsia="en-AU"/>
              </w:rPr>
              <w:t>,</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 xml:space="preserve">Patient must have been ambulatory (without assistance or support) prior to </w:t>
            </w:r>
            <w:r>
              <w:rPr>
                <w:rFonts w:ascii="Arial Narrow" w:hAnsi="Arial Narrow" w:cs="Times New Roman"/>
                <w:snapToGrid/>
                <w:color w:val="333333"/>
                <w:sz w:val="18"/>
                <w:szCs w:val="18"/>
                <w:lang w:eastAsia="en-AU"/>
              </w:rPr>
              <w:t xml:space="preserve">having </w:t>
            </w:r>
            <w:r w:rsidRPr="007F116C">
              <w:rPr>
                <w:rFonts w:ascii="Arial Narrow" w:hAnsi="Arial Narrow" w:cs="Times New Roman"/>
                <w:snapToGrid/>
                <w:color w:val="333333"/>
                <w:sz w:val="18"/>
                <w:szCs w:val="18"/>
                <w:lang w:eastAsia="en-AU"/>
              </w:rPr>
              <w:t>initiat</w:t>
            </w:r>
            <w:r>
              <w:rPr>
                <w:rFonts w:ascii="Arial Narrow" w:hAnsi="Arial Narrow" w:cs="Times New Roman"/>
                <w:snapToGrid/>
                <w:color w:val="333333"/>
                <w:sz w:val="18"/>
                <w:szCs w:val="18"/>
                <w:lang w:eastAsia="en-AU"/>
              </w:rPr>
              <w:t>ed</w:t>
            </w:r>
            <w:r w:rsidRPr="007F116C">
              <w:rPr>
                <w:rFonts w:ascii="Arial Narrow" w:hAnsi="Arial Narrow" w:cs="Times New Roman"/>
                <w:snapToGrid/>
                <w:color w:val="333333"/>
                <w:sz w:val="18"/>
                <w:szCs w:val="18"/>
                <w:lang w:eastAsia="en-AU"/>
              </w:rPr>
              <w:t xml:space="preserve"> treatment with this drug for this condition,</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hideMark/>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Patient must have been receiving treatment with this drug for this condition prior to [PBS listing date],</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The treatment must be the sole PBS-subsidised disease modifying therapy for this condition,</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Patient must not show continuing progression of disability while on treatment with this drug.</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AND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
                <w:bCs/>
                <w:snapToGrid/>
                <w:color w:val="333333"/>
                <w:sz w:val="18"/>
                <w:szCs w:val="18"/>
                <w:lang w:eastAsia="en-AU"/>
              </w:rPr>
              <w:t>Clinical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snapToGrid/>
                <w:color w:val="333333"/>
                <w:sz w:val="18"/>
                <w:szCs w:val="18"/>
                <w:lang w:eastAsia="en-AU"/>
              </w:rPr>
              <w:t>Patient must have demonstrated compliance with, and an ability to tolerate this therapy.</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Default="00B22F9E" w:rsidP="00B22F9E">
            <w:pPr>
              <w:widowControl/>
              <w:jc w:val="left"/>
              <w:rPr>
                <w:rFonts w:ascii="Arial Narrow" w:hAnsi="Arial Narrow" w:cs="Times New Roman"/>
                <w:b/>
                <w:bCs/>
                <w:snapToGrid/>
                <w:color w:val="333333"/>
                <w:sz w:val="18"/>
                <w:szCs w:val="18"/>
                <w:lang w:eastAsia="en-AU"/>
              </w:rPr>
            </w:pPr>
            <w:r w:rsidRPr="007F116C">
              <w:rPr>
                <w:rFonts w:ascii="Arial Narrow" w:hAnsi="Arial Narrow" w:cs="Times New Roman"/>
                <w:b/>
                <w:bCs/>
                <w:snapToGrid/>
                <w:color w:val="333333"/>
                <w:sz w:val="18"/>
                <w:szCs w:val="18"/>
                <w:lang w:eastAsia="en-AU"/>
              </w:rPr>
              <w:t xml:space="preserve">Prescribing Instructions: </w:t>
            </w:r>
          </w:p>
          <w:p w:rsidR="00B22F9E" w:rsidRPr="007F116C" w:rsidRDefault="00B22F9E" w:rsidP="00B22F9E">
            <w:pPr>
              <w:widowControl/>
              <w:jc w:val="left"/>
              <w:rPr>
                <w:rFonts w:ascii="Arial Narrow" w:hAnsi="Arial Narrow" w:cs="Times New Roman"/>
                <w:snapToGrid/>
                <w:color w:val="333333"/>
                <w:sz w:val="18"/>
                <w:szCs w:val="18"/>
                <w:lang w:eastAsia="en-AU"/>
              </w:rPr>
            </w:pPr>
            <w:r w:rsidRPr="007F116C">
              <w:rPr>
                <w:rFonts w:ascii="Arial Narrow" w:hAnsi="Arial Narrow" w:cs="Times New Roman"/>
                <w:bCs/>
                <w:snapToGrid/>
                <w:color w:val="333333"/>
                <w:sz w:val="18"/>
                <w:szCs w:val="18"/>
                <w:lang w:eastAsia="en-AU"/>
              </w:rPr>
              <w:t>Where applicable, the date of the magnetic resonance imaging scan must be recorded in the patient's medical record.</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Default="00B22F9E" w:rsidP="00B22F9E">
            <w:pPr>
              <w:widowControl/>
              <w:jc w:val="left"/>
              <w:rPr>
                <w:rFonts w:ascii="Arial Narrow" w:eastAsia="Calibri" w:hAnsi="Arial Narrow" w:cs="Times New Roman"/>
                <w:snapToGrid/>
                <w:sz w:val="18"/>
                <w:szCs w:val="18"/>
              </w:rPr>
            </w:pPr>
            <w:r w:rsidRPr="002E3F19">
              <w:rPr>
                <w:rFonts w:ascii="Arial Narrow" w:eastAsia="Calibri" w:hAnsi="Arial Narrow" w:cs="Times New Roman"/>
                <w:b/>
                <w:snapToGrid/>
                <w:sz w:val="18"/>
                <w:szCs w:val="18"/>
              </w:rPr>
              <w:t>Administrative advice</w:t>
            </w:r>
            <w:r w:rsidRPr="007F116C">
              <w:rPr>
                <w:rFonts w:ascii="Arial Narrow" w:eastAsia="Calibri" w:hAnsi="Arial Narrow" w:cs="Times New Roman"/>
                <w:snapToGrid/>
                <w:sz w:val="18"/>
                <w:szCs w:val="18"/>
              </w:rPr>
              <w:t xml:space="preserve">: </w:t>
            </w:r>
          </w:p>
          <w:p w:rsidR="00B22F9E" w:rsidRPr="007F116C" w:rsidRDefault="00B22F9E" w:rsidP="00B22F9E">
            <w:pPr>
              <w:widowControl/>
              <w:jc w:val="left"/>
              <w:rPr>
                <w:rFonts w:ascii="Arial Narrow" w:hAnsi="Arial Narrow" w:cs="Times New Roman"/>
                <w:b/>
                <w:bCs/>
                <w:snapToGrid/>
                <w:color w:val="333333"/>
                <w:sz w:val="18"/>
                <w:szCs w:val="18"/>
                <w:lang w:eastAsia="en-AU"/>
              </w:rPr>
            </w:pPr>
            <w:r w:rsidRPr="002E3F19">
              <w:rPr>
                <w:rFonts w:ascii="Arial Narrow" w:eastAsia="Calibri" w:hAnsi="Arial Narrow" w:cs="Times New Roman"/>
                <w:snapToGrid/>
                <w:sz w:val="18"/>
                <w:szCs w:val="18"/>
              </w:rPr>
              <w:t>Patients may qualify for PBS-subsidised treatment under this restriction once only. For continuing PBS-subsidised treatment, a 'Grandfathered' patient must qualify under the 'Continuing treatment' criteria.</w:t>
            </w:r>
          </w:p>
        </w:tc>
      </w:tr>
      <w:tr w:rsidR="00B22F9E" w:rsidRPr="007F116C" w:rsidTr="0071404F">
        <w:tblPrEx>
          <w:tblCellMar>
            <w:top w:w="15" w:type="dxa"/>
            <w:left w:w="15" w:type="dxa"/>
            <w:bottom w:w="15" w:type="dxa"/>
            <w:right w:w="15" w:type="dxa"/>
          </w:tblCellMar>
          <w:tblLook w:val="04A0" w:firstRow="1" w:lastRow="0" w:firstColumn="1" w:lastColumn="0" w:noHBand="0" w:noVBand="1"/>
        </w:tblPrEx>
        <w:tc>
          <w:tcPr>
            <w:tcW w:w="987" w:type="dxa"/>
            <w:vAlign w:val="center"/>
          </w:tcPr>
          <w:p w:rsidR="00B22F9E" w:rsidRPr="007F116C" w:rsidRDefault="00B22F9E" w:rsidP="00B22F9E">
            <w:pPr>
              <w:widowControl/>
              <w:jc w:val="center"/>
              <w:rPr>
                <w:rFonts w:ascii="Arial Narrow" w:hAnsi="Arial Narrow" w:cs="Times New Roman"/>
                <w:snapToGrid/>
                <w:color w:val="333333"/>
                <w:sz w:val="18"/>
                <w:szCs w:val="18"/>
                <w:lang w:eastAsia="en-AU"/>
              </w:rPr>
            </w:pPr>
          </w:p>
        </w:tc>
        <w:tc>
          <w:tcPr>
            <w:tcW w:w="7940" w:type="dxa"/>
            <w:gridSpan w:val="6"/>
            <w:vAlign w:val="center"/>
          </w:tcPr>
          <w:p w:rsidR="00B22F9E" w:rsidRDefault="00B22F9E" w:rsidP="00B22F9E">
            <w:pPr>
              <w:widowControl/>
              <w:jc w:val="left"/>
              <w:rPr>
                <w:rFonts w:ascii="Arial Narrow" w:hAnsi="Arial Narrow" w:cs="Times New Roman"/>
                <w:b/>
                <w:bCs/>
                <w:snapToGrid/>
                <w:color w:val="333333"/>
                <w:sz w:val="18"/>
                <w:szCs w:val="18"/>
                <w:lang w:eastAsia="en-AU"/>
              </w:rPr>
            </w:pPr>
            <w:r>
              <w:rPr>
                <w:rFonts w:ascii="Arial Narrow" w:hAnsi="Arial Narrow" w:cs="Times New Roman"/>
                <w:b/>
                <w:bCs/>
                <w:snapToGrid/>
                <w:color w:val="333333"/>
                <w:sz w:val="18"/>
                <w:szCs w:val="18"/>
                <w:lang w:eastAsia="en-AU"/>
              </w:rPr>
              <w:t>Administrative advice:</w:t>
            </w:r>
          </w:p>
          <w:p w:rsidR="00B22F9E" w:rsidRPr="007F116C" w:rsidRDefault="00B22F9E" w:rsidP="00B22F9E">
            <w:pPr>
              <w:widowControl/>
              <w:jc w:val="left"/>
              <w:rPr>
                <w:rFonts w:ascii="Arial Narrow" w:hAnsi="Arial Narrow" w:cs="Times New Roman"/>
                <w:bCs/>
                <w:snapToGrid/>
                <w:color w:val="333333"/>
                <w:sz w:val="18"/>
                <w:szCs w:val="18"/>
                <w:lang w:eastAsia="en-AU"/>
              </w:rPr>
            </w:pPr>
            <w:r w:rsidRPr="007F116C">
              <w:rPr>
                <w:rFonts w:ascii="Arial Narrow" w:hAnsi="Arial Narrow" w:cs="Times New Roman"/>
                <w:bCs/>
                <w:snapToGrid/>
                <w:color w:val="333333"/>
                <w:sz w:val="18"/>
                <w:szCs w:val="18"/>
                <w:lang w:eastAsia="en-AU"/>
              </w:rPr>
              <w:t xml:space="preserve">This </w:t>
            </w:r>
            <w:r>
              <w:rPr>
                <w:rFonts w:ascii="Arial Narrow" w:hAnsi="Arial Narrow" w:cs="Times New Roman"/>
                <w:bCs/>
                <w:snapToGrid/>
                <w:color w:val="333333"/>
                <w:sz w:val="18"/>
                <w:szCs w:val="18"/>
                <w:lang w:eastAsia="en-AU"/>
              </w:rPr>
              <w:t>g</w:t>
            </w:r>
            <w:r w:rsidRPr="007F116C">
              <w:rPr>
                <w:rFonts w:ascii="Arial Narrow" w:hAnsi="Arial Narrow" w:cs="Times New Roman"/>
                <w:bCs/>
                <w:snapToGrid/>
                <w:color w:val="333333"/>
                <w:sz w:val="18"/>
                <w:szCs w:val="18"/>
                <w:lang w:eastAsia="en-AU"/>
              </w:rPr>
              <w:t>randfather restriction will cease to operate 12 months after the date specified in the clinical criteria</w:t>
            </w:r>
            <w:r>
              <w:rPr>
                <w:rFonts w:ascii="Arial Narrow" w:hAnsi="Arial Narrow" w:cs="Times New Roman"/>
                <w:bCs/>
                <w:snapToGrid/>
                <w:color w:val="333333"/>
                <w:sz w:val="18"/>
                <w:szCs w:val="18"/>
                <w:lang w:eastAsia="en-AU"/>
              </w:rPr>
              <w:t xml:space="preserve">. </w:t>
            </w:r>
          </w:p>
        </w:tc>
      </w:tr>
    </w:tbl>
    <w:p w:rsidR="00820310" w:rsidRDefault="00820310" w:rsidP="00820310"/>
    <w:p w:rsidR="00820310" w:rsidRPr="00D40D1C" w:rsidRDefault="00820310" w:rsidP="00820310">
      <w:pPr>
        <w:rPr>
          <w:b/>
          <w:bCs/>
          <w:i/>
        </w:rPr>
      </w:pPr>
      <w:r w:rsidRPr="00D40D1C">
        <w:rPr>
          <w:b/>
          <w:bCs/>
          <w:i/>
        </w:rPr>
        <w:t>This restriction may be subject to further review. Should there be any changes made to the restriction the Sponsor will be informed.</w:t>
      </w:r>
    </w:p>
    <w:p w:rsidR="003630D9" w:rsidRPr="003630D9" w:rsidRDefault="003630D9" w:rsidP="003630D9">
      <w:pPr>
        <w:numPr>
          <w:ilvl w:val="0"/>
          <w:numId w:val="2"/>
        </w:numPr>
        <w:spacing w:before="240" w:after="120"/>
        <w:outlineLvl w:val="0"/>
        <w:rPr>
          <w:rFonts w:asciiTheme="minorHAnsi" w:hAnsiTheme="minorHAnsi"/>
          <w:b/>
          <w:bCs/>
          <w:sz w:val="32"/>
        </w:rPr>
      </w:pPr>
      <w:r w:rsidRPr="003630D9">
        <w:rPr>
          <w:rFonts w:asciiTheme="minorHAnsi" w:hAnsiTheme="minorHAnsi"/>
          <w:b/>
          <w:bCs/>
          <w:sz w:val="32"/>
        </w:rPr>
        <w:t>Context for Decision</w:t>
      </w:r>
    </w:p>
    <w:p w:rsidR="003630D9" w:rsidRPr="007129F2" w:rsidRDefault="003630D9" w:rsidP="003630D9">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630D9" w:rsidRPr="003630D9" w:rsidRDefault="003630D9" w:rsidP="003630D9">
      <w:pPr>
        <w:numPr>
          <w:ilvl w:val="0"/>
          <w:numId w:val="2"/>
        </w:numPr>
        <w:spacing w:before="240" w:after="120"/>
        <w:outlineLvl w:val="0"/>
        <w:rPr>
          <w:rFonts w:asciiTheme="minorHAnsi" w:hAnsiTheme="minorHAnsi"/>
          <w:b/>
          <w:bCs/>
          <w:sz w:val="32"/>
        </w:rPr>
      </w:pPr>
      <w:r w:rsidRPr="003630D9">
        <w:rPr>
          <w:rFonts w:asciiTheme="minorHAnsi" w:hAnsiTheme="minorHAnsi"/>
          <w:b/>
          <w:bCs/>
          <w:sz w:val="32"/>
        </w:rPr>
        <w:t>Sponsor’s Comment</w:t>
      </w:r>
    </w:p>
    <w:p w:rsidR="00845689" w:rsidRPr="00845689" w:rsidRDefault="00845689" w:rsidP="00845689">
      <w:pPr>
        <w:pStyle w:val="PBACHeading1"/>
        <w:numPr>
          <w:ilvl w:val="0"/>
          <w:numId w:val="0"/>
        </w:numPr>
        <w:ind w:left="720"/>
        <w:rPr>
          <w:b w:val="0"/>
          <w:sz w:val="24"/>
          <w:szCs w:val="24"/>
        </w:rPr>
      </w:pPr>
      <w:r w:rsidRPr="007A534A">
        <w:rPr>
          <w:b w:val="0"/>
          <w:sz w:val="24"/>
          <w:szCs w:val="24"/>
          <w:lang w:val="en-GB"/>
        </w:rPr>
        <w:t>Novartis welcomes the decision by the PBAC to recommend the PBS listing of ofatumumab (Kesimpta) and are committed to make this treatment available to Australian patients with multiple sclerosis</w:t>
      </w:r>
      <w:r w:rsidRPr="007A534A">
        <w:rPr>
          <w:b w:val="0"/>
          <w:sz w:val="24"/>
          <w:szCs w:val="24"/>
        </w:rPr>
        <w:t>.</w:t>
      </w:r>
    </w:p>
    <w:p w:rsidR="00DE3ECC" w:rsidRPr="007F116C" w:rsidRDefault="00DE3ECC" w:rsidP="00DE3ECC">
      <w:bookmarkStart w:id="42" w:name="_GoBack"/>
      <w:bookmarkEnd w:id="42"/>
    </w:p>
    <w:sectPr w:rsidR="00DE3ECC" w:rsidRPr="007F116C" w:rsidSect="00DE3ECC">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DA8427" w16cid:durableId="23E08AC9"/>
  <w16cid:commentId w16cid:paraId="0E08F19F" w16cid:durableId="23E08FCA"/>
  <w16cid:commentId w16cid:paraId="307811DE" w16cid:durableId="23E08ACA"/>
  <w16cid:commentId w16cid:paraId="7AD9BE18" w16cid:durableId="23E09B9A"/>
  <w16cid:commentId w16cid:paraId="1E9505D4" w16cid:durableId="23E08ACB"/>
  <w16cid:commentId w16cid:paraId="1EE5C31D" w16cid:durableId="23E09B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7E" w:rsidRDefault="00070E7E" w:rsidP="00124A51">
      <w:r>
        <w:separator/>
      </w:r>
    </w:p>
    <w:p w:rsidR="00070E7E" w:rsidRDefault="00070E7E"/>
  </w:endnote>
  <w:endnote w:type="continuationSeparator" w:id="0">
    <w:p w:rsidR="00070E7E" w:rsidRDefault="00070E7E" w:rsidP="00124A51">
      <w:r>
        <w:continuationSeparator/>
      </w:r>
    </w:p>
    <w:p w:rsidR="00070E7E" w:rsidRDefault="00070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7E" w:rsidRDefault="00070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0D" w:rsidRDefault="004E790D" w:rsidP="001E096E">
    <w:pPr>
      <w:ind w:right="360"/>
      <w:jc w:val="center"/>
      <w:rPr>
        <w:szCs w:val="24"/>
      </w:rPr>
    </w:pPr>
  </w:p>
  <w:p w:rsidR="004E790D" w:rsidRPr="001E096E" w:rsidRDefault="004E790D" w:rsidP="0020302B">
    <w:pPr>
      <w:ind w:right="360"/>
      <w:jc w:val="center"/>
      <w:rPr>
        <w:szCs w:val="24"/>
      </w:rPr>
    </w:pPr>
    <w:r w:rsidRPr="00836F75">
      <w:rPr>
        <w:b/>
      </w:rPr>
      <w:fldChar w:fldCharType="begin"/>
    </w:r>
    <w:r w:rsidRPr="00836F75">
      <w:rPr>
        <w:b/>
      </w:rPr>
      <w:instrText xml:space="preserve"> PAGE   \* MERGEFORMAT </w:instrText>
    </w:r>
    <w:r w:rsidRPr="00836F75">
      <w:rPr>
        <w:b/>
      </w:rPr>
      <w:fldChar w:fldCharType="separate"/>
    </w:r>
    <w:r w:rsidR="00416795">
      <w:rPr>
        <w:b/>
        <w:noProof/>
      </w:rPr>
      <w:t>36</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7E" w:rsidRDefault="0007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7E" w:rsidRDefault="00070E7E" w:rsidP="00124A51">
      <w:r>
        <w:separator/>
      </w:r>
    </w:p>
    <w:p w:rsidR="00070E7E" w:rsidRDefault="00070E7E"/>
  </w:footnote>
  <w:footnote w:type="continuationSeparator" w:id="0">
    <w:p w:rsidR="00070E7E" w:rsidRDefault="00070E7E" w:rsidP="00124A51">
      <w:r>
        <w:continuationSeparator/>
      </w:r>
    </w:p>
    <w:p w:rsidR="00070E7E" w:rsidRDefault="00070E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7E" w:rsidRDefault="00070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0D" w:rsidRPr="00056684" w:rsidRDefault="004E790D" w:rsidP="0020302B">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rsidR="004E790D" w:rsidRDefault="004E7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7E" w:rsidRDefault="00070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6CA1482"/>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AA2B58"/>
    <w:multiLevelType w:val="hybridMultilevel"/>
    <w:tmpl w:val="0E74C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4DB6EC1"/>
    <w:multiLevelType w:val="hybridMultilevel"/>
    <w:tmpl w:val="3FA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20FA0"/>
    <w:multiLevelType w:val="hybridMultilevel"/>
    <w:tmpl w:val="1B6E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EC1EC6"/>
    <w:multiLevelType w:val="hybridMultilevel"/>
    <w:tmpl w:val="A8C880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1C0A5FDF"/>
    <w:multiLevelType w:val="hybridMultilevel"/>
    <w:tmpl w:val="83F824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E2E098A"/>
    <w:multiLevelType w:val="hybridMultilevel"/>
    <w:tmpl w:val="39A0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21CE4812"/>
    <w:lvl w:ilvl="0" w:tplc="349CA1AC">
      <w:start w:val="1"/>
      <w:numFmt w:val="decimal"/>
      <w:lvlText w:val="%1."/>
      <w:lvlJc w:val="left"/>
      <w:pPr>
        <w:ind w:left="1778"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D7DB1"/>
    <w:multiLevelType w:val="hybridMultilevel"/>
    <w:tmpl w:val="98DCD0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A876A3"/>
    <w:multiLevelType w:val="hybridMultilevel"/>
    <w:tmpl w:val="CA9C4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F7461"/>
    <w:multiLevelType w:val="hybridMultilevel"/>
    <w:tmpl w:val="22BE584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26D6"/>
    <w:multiLevelType w:val="hybridMultilevel"/>
    <w:tmpl w:val="43267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3341A0"/>
    <w:multiLevelType w:val="hybridMultilevel"/>
    <w:tmpl w:val="C6D09F9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37E47626"/>
    <w:multiLevelType w:val="hybridMultilevel"/>
    <w:tmpl w:val="D9287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03757"/>
    <w:multiLevelType w:val="hybridMultilevel"/>
    <w:tmpl w:val="3648B318"/>
    <w:lvl w:ilvl="0" w:tplc="04090001">
      <w:start w:val="1"/>
      <w:numFmt w:val="bullet"/>
      <w:lvlText w:val=""/>
      <w:lvlJc w:val="left"/>
      <w:pPr>
        <w:ind w:left="720" w:hanging="360"/>
      </w:pPr>
      <w:rPr>
        <w:rFonts w:ascii="Symbol" w:hAnsi="Symbol" w:hint="default"/>
      </w:rPr>
    </w:lvl>
    <w:lvl w:ilvl="1" w:tplc="35CACDB2">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E4F08"/>
    <w:multiLevelType w:val="hybridMultilevel"/>
    <w:tmpl w:val="50009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276ED8"/>
    <w:multiLevelType w:val="hybridMultilevel"/>
    <w:tmpl w:val="0D8CFD28"/>
    <w:lvl w:ilvl="0" w:tplc="04090001">
      <w:start w:val="1"/>
      <w:numFmt w:val="bullet"/>
      <w:lvlText w:val=""/>
      <w:lvlJc w:val="left"/>
      <w:pPr>
        <w:ind w:left="720" w:hanging="360"/>
      </w:pPr>
      <w:rPr>
        <w:rFonts w:ascii="Symbol" w:hAnsi="Symbol" w:hint="default"/>
      </w:rPr>
    </w:lvl>
    <w:lvl w:ilvl="1" w:tplc="7C2E8DA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43460"/>
    <w:multiLevelType w:val="hybridMultilevel"/>
    <w:tmpl w:val="F9AA8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63198B"/>
    <w:multiLevelType w:val="hybridMultilevel"/>
    <w:tmpl w:val="52C2636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15:restartNumberingAfterBreak="0">
    <w:nsid w:val="69604473"/>
    <w:multiLevelType w:val="hybridMultilevel"/>
    <w:tmpl w:val="71D8FB7E"/>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9" w15:restartNumberingAfterBreak="0">
    <w:nsid w:val="74605387"/>
    <w:multiLevelType w:val="hybridMultilevel"/>
    <w:tmpl w:val="3FBEC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4D033C"/>
    <w:multiLevelType w:val="multilevel"/>
    <w:tmpl w:val="335EF7B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
  </w:num>
  <w:num w:numId="2">
    <w:abstractNumId w:val="30"/>
  </w:num>
  <w:num w:numId="3">
    <w:abstractNumId w:val="21"/>
  </w:num>
  <w:num w:numId="4">
    <w:abstractNumId w:val="20"/>
  </w:num>
  <w:num w:numId="5">
    <w:abstractNumId w:val="11"/>
  </w:num>
  <w:num w:numId="6">
    <w:abstractNumId w:val="4"/>
  </w:num>
  <w:num w:numId="7">
    <w:abstractNumId w:val="16"/>
  </w:num>
  <w:num w:numId="8">
    <w:abstractNumId w:val="17"/>
  </w:num>
  <w:num w:numId="9">
    <w:abstractNumId w:val="29"/>
  </w:num>
  <w:num w:numId="10">
    <w:abstractNumId w:val="25"/>
  </w:num>
  <w:num w:numId="11">
    <w:abstractNumId w:val="8"/>
  </w:num>
  <w:num w:numId="12">
    <w:abstractNumId w:val="19"/>
  </w:num>
  <w:num w:numId="13">
    <w:abstractNumId w:val="27"/>
  </w:num>
  <w:num w:numId="14">
    <w:abstractNumId w:val="28"/>
  </w:num>
  <w:num w:numId="15">
    <w:abstractNumId w:val="18"/>
  </w:num>
  <w:num w:numId="16">
    <w:abstractNumId w:val="6"/>
  </w:num>
  <w:num w:numId="17">
    <w:abstractNumId w:val="14"/>
  </w:num>
  <w:num w:numId="18">
    <w:abstractNumId w:val="13"/>
  </w:num>
  <w:num w:numId="19">
    <w:abstractNumId w:val="0"/>
  </w:num>
  <w:num w:numId="20">
    <w:abstractNumId w:val="22"/>
  </w:num>
  <w:num w:numId="21">
    <w:abstractNumId w:val="26"/>
  </w:num>
  <w:num w:numId="22">
    <w:abstractNumId w:val="10"/>
  </w:num>
  <w:num w:numId="23">
    <w:abstractNumId w:val="31"/>
  </w:num>
  <w:num w:numId="24">
    <w:abstractNumId w:val="23"/>
  </w:num>
  <w:num w:numId="25">
    <w:abstractNumId w:val="24"/>
  </w:num>
  <w:num w:numId="26">
    <w:abstractNumId w:val="5"/>
  </w:num>
  <w:num w:numId="27">
    <w:abstractNumId w:val="1"/>
  </w:num>
  <w:num w:numId="28">
    <w:abstractNumId w:val="12"/>
  </w:num>
  <w:num w:numId="29">
    <w:abstractNumId w:val="15"/>
  </w:num>
  <w:num w:numId="30">
    <w:abstractNumId w:val="9"/>
  </w:num>
  <w:num w:numId="31">
    <w:abstractNumId w:val="7"/>
  </w:num>
  <w:num w:numId="3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removePersonalInformation/>
  <w:removeDateAndTime/>
  <w:proofState w:spelling="clean" w:grammar="clean"/>
  <w:doNotTrackFormattin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6AA2"/>
    <w:rsid w:val="000107E1"/>
    <w:rsid w:val="00013247"/>
    <w:rsid w:val="00015886"/>
    <w:rsid w:val="000162EF"/>
    <w:rsid w:val="0002225F"/>
    <w:rsid w:val="00023763"/>
    <w:rsid w:val="000239F7"/>
    <w:rsid w:val="00026094"/>
    <w:rsid w:val="00030183"/>
    <w:rsid w:val="00031B20"/>
    <w:rsid w:val="00033863"/>
    <w:rsid w:val="000352FC"/>
    <w:rsid w:val="00035DC0"/>
    <w:rsid w:val="00036829"/>
    <w:rsid w:val="00040895"/>
    <w:rsid w:val="00041275"/>
    <w:rsid w:val="0004158E"/>
    <w:rsid w:val="00041D9B"/>
    <w:rsid w:val="00043C37"/>
    <w:rsid w:val="00044A37"/>
    <w:rsid w:val="00045017"/>
    <w:rsid w:val="00045A2B"/>
    <w:rsid w:val="0004698F"/>
    <w:rsid w:val="0004799C"/>
    <w:rsid w:val="00051BDB"/>
    <w:rsid w:val="0005368A"/>
    <w:rsid w:val="000539D0"/>
    <w:rsid w:val="00054621"/>
    <w:rsid w:val="000546D7"/>
    <w:rsid w:val="000556D0"/>
    <w:rsid w:val="00055BDF"/>
    <w:rsid w:val="000615E7"/>
    <w:rsid w:val="00063F35"/>
    <w:rsid w:val="00064C08"/>
    <w:rsid w:val="00066360"/>
    <w:rsid w:val="00067EE1"/>
    <w:rsid w:val="00070380"/>
    <w:rsid w:val="00070E7E"/>
    <w:rsid w:val="00071248"/>
    <w:rsid w:val="000720B9"/>
    <w:rsid w:val="000737F7"/>
    <w:rsid w:val="0007672F"/>
    <w:rsid w:val="000774F0"/>
    <w:rsid w:val="00080909"/>
    <w:rsid w:val="00080E32"/>
    <w:rsid w:val="000812CA"/>
    <w:rsid w:val="0008258D"/>
    <w:rsid w:val="00083E99"/>
    <w:rsid w:val="0008423E"/>
    <w:rsid w:val="000856C5"/>
    <w:rsid w:val="00090C7E"/>
    <w:rsid w:val="00092600"/>
    <w:rsid w:val="0009262B"/>
    <w:rsid w:val="0009298B"/>
    <w:rsid w:val="00093310"/>
    <w:rsid w:val="000942E9"/>
    <w:rsid w:val="0009445C"/>
    <w:rsid w:val="00095FE5"/>
    <w:rsid w:val="0009611F"/>
    <w:rsid w:val="00096284"/>
    <w:rsid w:val="00096C06"/>
    <w:rsid w:val="000A2A44"/>
    <w:rsid w:val="000A41EE"/>
    <w:rsid w:val="000A5E2C"/>
    <w:rsid w:val="000A5E74"/>
    <w:rsid w:val="000A7D08"/>
    <w:rsid w:val="000B0670"/>
    <w:rsid w:val="000B0E75"/>
    <w:rsid w:val="000B1588"/>
    <w:rsid w:val="000B4AB6"/>
    <w:rsid w:val="000B5DED"/>
    <w:rsid w:val="000B69AD"/>
    <w:rsid w:val="000B6CAC"/>
    <w:rsid w:val="000B7612"/>
    <w:rsid w:val="000C101B"/>
    <w:rsid w:val="000C1D13"/>
    <w:rsid w:val="000C3DF9"/>
    <w:rsid w:val="000C6713"/>
    <w:rsid w:val="000D1BFC"/>
    <w:rsid w:val="000D281A"/>
    <w:rsid w:val="000D326A"/>
    <w:rsid w:val="000D41A9"/>
    <w:rsid w:val="000D4932"/>
    <w:rsid w:val="000D51FB"/>
    <w:rsid w:val="000D6201"/>
    <w:rsid w:val="000D7DE9"/>
    <w:rsid w:val="000E0456"/>
    <w:rsid w:val="000E0E5D"/>
    <w:rsid w:val="000E135D"/>
    <w:rsid w:val="000E5A38"/>
    <w:rsid w:val="000E60C9"/>
    <w:rsid w:val="000E63B5"/>
    <w:rsid w:val="000E682B"/>
    <w:rsid w:val="000E6951"/>
    <w:rsid w:val="000E6FCF"/>
    <w:rsid w:val="000F00BA"/>
    <w:rsid w:val="000F316A"/>
    <w:rsid w:val="000F39CC"/>
    <w:rsid w:val="000F3C74"/>
    <w:rsid w:val="000F4BB8"/>
    <w:rsid w:val="000F6B32"/>
    <w:rsid w:val="000F7127"/>
    <w:rsid w:val="000F7D89"/>
    <w:rsid w:val="001001A5"/>
    <w:rsid w:val="00100D94"/>
    <w:rsid w:val="00100F8A"/>
    <w:rsid w:val="00104D21"/>
    <w:rsid w:val="00105AE2"/>
    <w:rsid w:val="00106B80"/>
    <w:rsid w:val="0011032E"/>
    <w:rsid w:val="001107D7"/>
    <w:rsid w:val="00110940"/>
    <w:rsid w:val="0011348B"/>
    <w:rsid w:val="001137F9"/>
    <w:rsid w:val="00115982"/>
    <w:rsid w:val="001167CA"/>
    <w:rsid w:val="00116C53"/>
    <w:rsid w:val="00121799"/>
    <w:rsid w:val="00122163"/>
    <w:rsid w:val="001222FC"/>
    <w:rsid w:val="00122877"/>
    <w:rsid w:val="00124A51"/>
    <w:rsid w:val="00124C69"/>
    <w:rsid w:val="00126621"/>
    <w:rsid w:val="00126B47"/>
    <w:rsid w:val="00127D75"/>
    <w:rsid w:val="00127E26"/>
    <w:rsid w:val="001301E9"/>
    <w:rsid w:val="00130E56"/>
    <w:rsid w:val="00131D82"/>
    <w:rsid w:val="00133D36"/>
    <w:rsid w:val="00135D22"/>
    <w:rsid w:val="001364DB"/>
    <w:rsid w:val="00137645"/>
    <w:rsid w:val="0014015A"/>
    <w:rsid w:val="00140667"/>
    <w:rsid w:val="00140E79"/>
    <w:rsid w:val="00140E99"/>
    <w:rsid w:val="00141632"/>
    <w:rsid w:val="0014224F"/>
    <w:rsid w:val="0014263C"/>
    <w:rsid w:val="00144F06"/>
    <w:rsid w:val="00145540"/>
    <w:rsid w:val="001456B0"/>
    <w:rsid w:val="0014657E"/>
    <w:rsid w:val="0015557B"/>
    <w:rsid w:val="00157130"/>
    <w:rsid w:val="001576B1"/>
    <w:rsid w:val="00160A4C"/>
    <w:rsid w:val="001613D1"/>
    <w:rsid w:val="00162913"/>
    <w:rsid w:val="00163EFF"/>
    <w:rsid w:val="001661FB"/>
    <w:rsid w:val="00171788"/>
    <w:rsid w:val="00172133"/>
    <w:rsid w:val="00173565"/>
    <w:rsid w:val="00173B07"/>
    <w:rsid w:val="00174EA7"/>
    <w:rsid w:val="00177FB4"/>
    <w:rsid w:val="00177FE7"/>
    <w:rsid w:val="00181D9C"/>
    <w:rsid w:val="00182863"/>
    <w:rsid w:val="0018752F"/>
    <w:rsid w:val="00190403"/>
    <w:rsid w:val="00192AED"/>
    <w:rsid w:val="00195222"/>
    <w:rsid w:val="00196D87"/>
    <w:rsid w:val="001975D8"/>
    <w:rsid w:val="00197C86"/>
    <w:rsid w:val="001A1617"/>
    <w:rsid w:val="001A1896"/>
    <w:rsid w:val="001A43FA"/>
    <w:rsid w:val="001A4CE3"/>
    <w:rsid w:val="001A59FB"/>
    <w:rsid w:val="001A6354"/>
    <w:rsid w:val="001A7AE8"/>
    <w:rsid w:val="001B041A"/>
    <w:rsid w:val="001B0F88"/>
    <w:rsid w:val="001B204E"/>
    <w:rsid w:val="001B3443"/>
    <w:rsid w:val="001B4D20"/>
    <w:rsid w:val="001C0170"/>
    <w:rsid w:val="001C16A0"/>
    <w:rsid w:val="001C2A9B"/>
    <w:rsid w:val="001C4299"/>
    <w:rsid w:val="001C5F94"/>
    <w:rsid w:val="001C6E66"/>
    <w:rsid w:val="001D1221"/>
    <w:rsid w:val="001D26BA"/>
    <w:rsid w:val="001D2C4C"/>
    <w:rsid w:val="001E017D"/>
    <w:rsid w:val="001E096E"/>
    <w:rsid w:val="001E238E"/>
    <w:rsid w:val="001E2483"/>
    <w:rsid w:val="001E2B1E"/>
    <w:rsid w:val="001E30D4"/>
    <w:rsid w:val="001E44A3"/>
    <w:rsid w:val="001E4A09"/>
    <w:rsid w:val="001E52EB"/>
    <w:rsid w:val="001E61D2"/>
    <w:rsid w:val="001E740C"/>
    <w:rsid w:val="001F1235"/>
    <w:rsid w:val="001F1B35"/>
    <w:rsid w:val="001F1CB3"/>
    <w:rsid w:val="001F25AA"/>
    <w:rsid w:val="001F31DA"/>
    <w:rsid w:val="001F38B5"/>
    <w:rsid w:val="001F7361"/>
    <w:rsid w:val="002011B0"/>
    <w:rsid w:val="00202EF6"/>
    <w:rsid w:val="0020302B"/>
    <w:rsid w:val="00203181"/>
    <w:rsid w:val="00203783"/>
    <w:rsid w:val="0020385F"/>
    <w:rsid w:val="0020547C"/>
    <w:rsid w:val="002054B1"/>
    <w:rsid w:val="00205B5D"/>
    <w:rsid w:val="0020688C"/>
    <w:rsid w:val="00207021"/>
    <w:rsid w:val="0020732F"/>
    <w:rsid w:val="00207D00"/>
    <w:rsid w:val="002105C1"/>
    <w:rsid w:val="002202A4"/>
    <w:rsid w:val="0022134C"/>
    <w:rsid w:val="00221DEF"/>
    <w:rsid w:val="002224A4"/>
    <w:rsid w:val="00223B49"/>
    <w:rsid w:val="002243C8"/>
    <w:rsid w:val="00224DD4"/>
    <w:rsid w:val="002309CC"/>
    <w:rsid w:val="00230D74"/>
    <w:rsid w:val="0023209F"/>
    <w:rsid w:val="00232E08"/>
    <w:rsid w:val="0023629D"/>
    <w:rsid w:val="00237255"/>
    <w:rsid w:val="00240084"/>
    <w:rsid w:val="00241584"/>
    <w:rsid w:val="002424AF"/>
    <w:rsid w:val="002439DC"/>
    <w:rsid w:val="00244DC8"/>
    <w:rsid w:val="002458BA"/>
    <w:rsid w:val="0024636C"/>
    <w:rsid w:val="002467F0"/>
    <w:rsid w:val="00247925"/>
    <w:rsid w:val="002532E8"/>
    <w:rsid w:val="00254DCF"/>
    <w:rsid w:val="0025534B"/>
    <w:rsid w:val="00255BB7"/>
    <w:rsid w:val="0025737E"/>
    <w:rsid w:val="00257541"/>
    <w:rsid w:val="00257FFA"/>
    <w:rsid w:val="00261489"/>
    <w:rsid w:val="002615E8"/>
    <w:rsid w:val="0026196D"/>
    <w:rsid w:val="00262A1A"/>
    <w:rsid w:val="00262A87"/>
    <w:rsid w:val="00264D26"/>
    <w:rsid w:val="00267642"/>
    <w:rsid w:val="00267AEA"/>
    <w:rsid w:val="00267F77"/>
    <w:rsid w:val="002700E6"/>
    <w:rsid w:val="00270710"/>
    <w:rsid w:val="00270A3B"/>
    <w:rsid w:val="0027294B"/>
    <w:rsid w:val="00273B0D"/>
    <w:rsid w:val="00274D12"/>
    <w:rsid w:val="0027533F"/>
    <w:rsid w:val="00275677"/>
    <w:rsid w:val="00275C5A"/>
    <w:rsid w:val="002760B8"/>
    <w:rsid w:val="00280C2D"/>
    <w:rsid w:val="00281014"/>
    <w:rsid w:val="00281C1E"/>
    <w:rsid w:val="002839BA"/>
    <w:rsid w:val="00286F5B"/>
    <w:rsid w:val="002906B5"/>
    <w:rsid w:val="002922A7"/>
    <w:rsid w:val="00296911"/>
    <w:rsid w:val="002A14AB"/>
    <w:rsid w:val="002A1C2F"/>
    <w:rsid w:val="002A2F50"/>
    <w:rsid w:val="002A4B4F"/>
    <w:rsid w:val="002A7CB4"/>
    <w:rsid w:val="002A7D1E"/>
    <w:rsid w:val="002B0159"/>
    <w:rsid w:val="002B09A4"/>
    <w:rsid w:val="002B19BE"/>
    <w:rsid w:val="002B1C1F"/>
    <w:rsid w:val="002B432F"/>
    <w:rsid w:val="002B62B3"/>
    <w:rsid w:val="002B6754"/>
    <w:rsid w:val="002B6CCE"/>
    <w:rsid w:val="002B7ECB"/>
    <w:rsid w:val="002C243F"/>
    <w:rsid w:val="002C2510"/>
    <w:rsid w:val="002C2775"/>
    <w:rsid w:val="002C27C1"/>
    <w:rsid w:val="002C29C8"/>
    <w:rsid w:val="002C30F8"/>
    <w:rsid w:val="002C346B"/>
    <w:rsid w:val="002C3A34"/>
    <w:rsid w:val="002C5099"/>
    <w:rsid w:val="002C5889"/>
    <w:rsid w:val="002C71CE"/>
    <w:rsid w:val="002D56D4"/>
    <w:rsid w:val="002D577C"/>
    <w:rsid w:val="002D646C"/>
    <w:rsid w:val="002D684D"/>
    <w:rsid w:val="002E15B9"/>
    <w:rsid w:val="002E2158"/>
    <w:rsid w:val="002E48F0"/>
    <w:rsid w:val="002E5478"/>
    <w:rsid w:val="002E7722"/>
    <w:rsid w:val="002F07BA"/>
    <w:rsid w:val="002F0DA9"/>
    <w:rsid w:val="002F3944"/>
    <w:rsid w:val="002F3E9A"/>
    <w:rsid w:val="002F643C"/>
    <w:rsid w:val="002F6F33"/>
    <w:rsid w:val="002F71C0"/>
    <w:rsid w:val="00301017"/>
    <w:rsid w:val="00301384"/>
    <w:rsid w:val="0030155F"/>
    <w:rsid w:val="003053CD"/>
    <w:rsid w:val="0030587B"/>
    <w:rsid w:val="00305F62"/>
    <w:rsid w:val="00306D98"/>
    <w:rsid w:val="00306F07"/>
    <w:rsid w:val="0030786C"/>
    <w:rsid w:val="0031031A"/>
    <w:rsid w:val="00310981"/>
    <w:rsid w:val="00315498"/>
    <w:rsid w:val="00317B7D"/>
    <w:rsid w:val="0032004C"/>
    <w:rsid w:val="00322107"/>
    <w:rsid w:val="00322846"/>
    <w:rsid w:val="003228D8"/>
    <w:rsid w:val="00322C6B"/>
    <w:rsid w:val="00325DD7"/>
    <w:rsid w:val="00326DA7"/>
    <w:rsid w:val="003270E4"/>
    <w:rsid w:val="00327C25"/>
    <w:rsid w:val="00330F5C"/>
    <w:rsid w:val="003366C9"/>
    <w:rsid w:val="003371B0"/>
    <w:rsid w:val="00340DF1"/>
    <w:rsid w:val="00341DE8"/>
    <w:rsid w:val="00345CCC"/>
    <w:rsid w:val="0034728E"/>
    <w:rsid w:val="003517F9"/>
    <w:rsid w:val="0035620E"/>
    <w:rsid w:val="00357DC0"/>
    <w:rsid w:val="00361C3E"/>
    <w:rsid w:val="003624C4"/>
    <w:rsid w:val="00362BB8"/>
    <w:rsid w:val="003630D9"/>
    <w:rsid w:val="003640A5"/>
    <w:rsid w:val="003654AC"/>
    <w:rsid w:val="00367F3C"/>
    <w:rsid w:val="003710CF"/>
    <w:rsid w:val="003723DD"/>
    <w:rsid w:val="0037358A"/>
    <w:rsid w:val="003750F6"/>
    <w:rsid w:val="003760FC"/>
    <w:rsid w:val="00382ABA"/>
    <w:rsid w:val="0038365C"/>
    <w:rsid w:val="0038369B"/>
    <w:rsid w:val="00383B78"/>
    <w:rsid w:val="00385A9D"/>
    <w:rsid w:val="0038608A"/>
    <w:rsid w:val="00386B5F"/>
    <w:rsid w:val="003902B1"/>
    <w:rsid w:val="00390DAE"/>
    <w:rsid w:val="003925EB"/>
    <w:rsid w:val="003956C3"/>
    <w:rsid w:val="00396896"/>
    <w:rsid w:val="00396FD0"/>
    <w:rsid w:val="003A1A7A"/>
    <w:rsid w:val="003A2392"/>
    <w:rsid w:val="003A2831"/>
    <w:rsid w:val="003A3038"/>
    <w:rsid w:val="003A3903"/>
    <w:rsid w:val="003A3ED1"/>
    <w:rsid w:val="003A44DA"/>
    <w:rsid w:val="003B5B61"/>
    <w:rsid w:val="003B6DE5"/>
    <w:rsid w:val="003C02E1"/>
    <w:rsid w:val="003C10E4"/>
    <w:rsid w:val="003C1654"/>
    <w:rsid w:val="003C5237"/>
    <w:rsid w:val="003C7D19"/>
    <w:rsid w:val="003D1248"/>
    <w:rsid w:val="003D1828"/>
    <w:rsid w:val="003D1DE4"/>
    <w:rsid w:val="003D2422"/>
    <w:rsid w:val="003D39A1"/>
    <w:rsid w:val="003D3FBF"/>
    <w:rsid w:val="003D4A30"/>
    <w:rsid w:val="003D6D16"/>
    <w:rsid w:val="003D79BB"/>
    <w:rsid w:val="003D7C98"/>
    <w:rsid w:val="003E0543"/>
    <w:rsid w:val="003E723F"/>
    <w:rsid w:val="003F11BF"/>
    <w:rsid w:val="003F4156"/>
    <w:rsid w:val="003F4BFA"/>
    <w:rsid w:val="003F5F11"/>
    <w:rsid w:val="00400B29"/>
    <w:rsid w:val="004012F0"/>
    <w:rsid w:val="0040369B"/>
    <w:rsid w:val="00403A16"/>
    <w:rsid w:val="0040504B"/>
    <w:rsid w:val="00410708"/>
    <w:rsid w:val="00410EC7"/>
    <w:rsid w:val="00411B39"/>
    <w:rsid w:val="00411E9B"/>
    <w:rsid w:val="00413453"/>
    <w:rsid w:val="00413A1E"/>
    <w:rsid w:val="00414476"/>
    <w:rsid w:val="00414C2E"/>
    <w:rsid w:val="004151CF"/>
    <w:rsid w:val="00416364"/>
    <w:rsid w:val="00416795"/>
    <w:rsid w:val="0042004C"/>
    <w:rsid w:val="00420AA6"/>
    <w:rsid w:val="00420B9F"/>
    <w:rsid w:val="00422260"/>
    <w:rsid w:val="00422C16"/>
    <w:rsid w:val="0042413F"/>
    <w:rsid w:val="004259BC"/>
    <w:rsid w:val="004319F8"/>
    <w:rsid w:val="00431E55"/>
    <w:rsid w:val="004321F6"/>
    <w:rsid w:val="00433044"/>
    <w:rsid w:val="00435DB9"/>
    <w:rsid w:val="00436522"/>
    <w:rsid w:val="004375B9"/>
    <w:rsid w:val="004428D0"/>
    <w:rsid w:val="004439E5"/>
    <w:rsid w:val="004443A7"/>
    <w:rsid w:val="0044442C"/>
    <w:rsid w:val="00445922"/>
    <w:rsid w:val="00445941"/>
    <w:rsid w:val="004464EB"/>
    <w:rsid w:val="00447D26"/>
    <w:rsid w:val="00452095"/>
    <w:rsid w:val="00455D45"/>
    <w:rsid w:val="00460D35"/>
    <w:rsid w:val="00464595"/>
    <w:rsid w:val="00465EA5"/>
    <w:rsid w:val="004723D7"/>
    <w:rsid w:val="00472A79"/>
    <w:rsid w:val="0047303B"/>
    <w:rsid w:val="00473D1D"/>
    <w:rsid w:val="00473F19"/>
    <w:rsid w:val="00475B36"/>
    <w:rsid w:val="00475E22"/>
    <w:rsid w:val="0048088E"/>
    <w:rsid w:val="00482720"/>
    <w:rsid w:val="004835E7"/>
    <w:rsid w:val="004867E2"/>
    <w:rsid w:val="00491B3A"/>
    <w:rsid w:val="00492CD3"/>
    <w:rsid w:val="00492CFD"/>
    <w:rsid w:val="00494DD5"/>
    <w:rsid w:val="00495AB2"/>
    <w:rsid w:val="00495C0A"/>
    <w:rsid w:val="004960D8"/>
    <w:rsid w:val="004962D2"/>
    <w:rsid w:val="004966CD"/>
    <w:rsid w:val="004A0BF2"/>
    <w:rsid w:val="004A0DA1"/>
    <w:rsid w:val="004A52E9"/>
    <w:rsid w:val="004A5F1C"/>
    <w:rsid w:val="004A6597"/>
    <w:rsid w:val="004A7848"/>
    <w:rsid w:val="004B1CB4"/>
    <w:rsid w:val="004B2F18"/>
    <w:rsid w:val="004B3DDB"/>
    <w:rsid w:val="004B44FD"/>
    <w:rsid w:val="004B5CFC"/>
    <w:rsid w:val="004B774D"/>
    <w:rsid w:val="004C2C54"/>
    <w:rsid w:val="004C4AED"/>
    <w:rsid w:val="004C532E"/>
    <w:rsid w:val="004C5F5F"/>
    <w:rsid w:val="004C7AE1"/>
    <w:rsid w:val="004C7C71"/>
    <w:rsid w:val="004D0521"/>
    <w:rsid w:val="004D264C"/>
    <w:rsid w:val="004D2971"/>
    <w:rsid w:val="004D2C2D"/>
    <w:rsid w:val="004D3E01"/>
    <w:rsid w:val="004D7227"/>
    <w:rsid w:val="004E0D12"/>
    <w:rsid w:val="004E0E7F"/>
    <w:rsid w:val="004E0EB8"/>
    <w:rsid w:val="004E2ADC"/>
    <w:rsid w:val="004E30EF"/>
    <w:rsid w:val="004E37E1"/>
    <w:rsid w:val="004E3B18"/>
    <w:rsid w:val="004E43B2"/>
    <w:rsid w:val="004E51C8"/>
    <w:rsid w:val="004E6A6B"/>
    <w:rsid w:val="004E790D"/>
    <w:rsid w:val="004F16EC"/>
    <w:rsid w:val="004F1D02"/>
    <w:rsid w:val="004F1EF0"/>
    <w:rsid w:val="004F2679"/>
    <w:rsid w:val="004F2F21"/>
    <w:rsid w:val="004F6913"/>
    <w:rsid w:val="004F7865"/>
    <w:rsid w:val="0050219B"/>
    <w:rsid w:val="00503F17"/>
    <w:rsid w:val="00506928"/>
    <w:rsid w:val="00512BCB"/>
    <w:rsid w:val="005152B5"/>
    <w:rsid w:val="00516E81"/>
    <w:rsid w:val="00521319"/>
    <w:rsid w:val="00522713"/>
    <w:rsid w:val="00522BC8"/>
    <w:rsid w:val="00523C28"/>
    <w:rsid w:val="00524019"/>
    <w:rsid w:val="00524BC1"/>
    <w:rsid w:val="00531195"/>
    <w:rsid w:val="00533666"/>
    <w:rsid w:val="00535359"/>
    <w:rsid w:val="00535FDA"/>
    <w:rsid w:val="005367A7"/>
    <w:rsid w:val="00536F42"/>
    <w:rsid w:val="00537182"/>
    <w:rsid w:val="00540489"/>
    <w:rsid w:val="00540CBF"/>
    <w:rsid w:val="00542743"/>
    <w:rsid w:val="00542892"/>
    <w:rsid w:val="00542C2D"/>
    <w:rsid w:val="00543A57"/>
    <w:rsid w:val="005447B6"/>
    <w:rsid w:val="00551985"/>
    <w:rsid w:val="00552BD3"/>
    <w:rsid w:val="00554CEB"/>
    <w:rsid w:val="00555109"/>
    <w:rsid w:val="00555BCE"/>
    <w:rsid w:val="00561C28"/>
    <w:rsid w:val="00563850"/>
    <w:rsid w:val="0056696F"/>
    <w:rsid w:val="0056715A"/>
    <w:rsid w:val="00570C75"/>
    <w:rsid w:val="00571969"/>
    <w:rsid w:val="00572269"/>
    <w:rsid w:val="0057244A"/>
    <w:rsid w:val="00575D8D"/>
    <w:rsid w:val="00576972"/>
    <w:rsid w:val="00577374"/>
    <w:rsid w:val="00577F43"/>
    <w:rsid w:val="00583699"/>
    <w:rsid w:val="00585CDD"/>
    <w:rsid w:val="00586EAE"/>
    <w:rsid w:val="00587058"/>
    <w:rsid w:val="00591957"/>
    <w:rsid w:val="00592AC5"/>
    <w:rsid w:val="005942B9"/>
    <w:rsid w:val="0059504A"/>
    <w:rsid w:val="00597BF9"/>
    <w:rsid w:val="005A373D"/>
    <w:rsid w:val="005A64DC"/>
    <w:rsid w:val="005B0979"/>
    <w:rsid w:val="005B36CB"/>
    <w:rsid w:val="005B461B"/>
    <w:rsid w:val="005B5857"/>
    <w:rsid w:val="005B5FE8"/>
    <w:rsid w:val="005C1107"/>
    <w:rsid w:val="005C17EF"/>
    <w:rsid w:val="005C1B83"/>
    <w:rsid w:val="005C2D55"/>
    <w:rsid w:val="005C346B"/>
    <w:rsid w:val="005C5BA9"/>
    <w:rsid w:val="005C60A7"/>
    <w:rsid w:val="005D044D"/>
    <w:rsid w:val="005D0ABD"/>
    <w:rsid w:val="005D18AD"/>
    <w:rsid w:val="005D26B4"/>
    <w:rsid w:val="005D2B27"/>
    <w:rsid w:val="005D2DDA"/>
    <w:rsid w:val="005D3626"/>
    <w:rsid w:val="005D63E2"/>
    <w:rsid w:val="005E0D08"/>
    <w:rsid w:val="005E15EF"/>
    <w:rsid w:val="005E3512"/>
    <w:rsid w:val="005E4FFF"/>
    <w:rsid w:val="005E6CBC"/>
    <w:rsid w:val="005E73C0"/>
    <w:rsid w:val="005F1AD4"/>
    <w:rsid w:val="005F1BDF"/>
    <w:rsid w:val="005F2129"/>
    <w:rsid w:val="005F2706"/>
    <w:rsid w:val="005F3CB6"/>
    <w:rsid w:val="005F4979"/>
    <w:rsid w:val="005F6A8F"/>
    <w:rsid w:val="005F7BE8"/>
    <w:rsid w:val="00601125"/>
    <w:rsid w:val="0060194C"/>
    <w:rsid w:val="00602388"/>
    <w:rsid w:val="00603DB9"/>
    <w:rsid w:val="00604789"/>
    <w:rsid w:val="00605AF4"/>
    <w:rsid w:val="006070BA"/>
    <w:rsid w:val="006072E4"/>
    <w:rsid w:val="00607669"/>
    <w:rsid w:val="00607AFD"/>
    <w:rsid w:val="00610B4B"/>
    <w:rsid w:val="006116C5"/>
    <w:rsid w:val="00612F97"/>
    <w:rsid w:val="0061345D"/>
    <w:rsid w:val="00615F41"/>
    <w:rsid w:val="00616802"/>
    <w:rsid w:val="00617E12"/>
    <w:rsid w:val="00620B6D"/>
    <w:rsid w:val="006212FF"/>
    <w:rsid w:val="00621477"/>
    <w:rsid w:val="006302BA"/>
    <w:rsid w:val="00630857"/>
    <w:rsid w:val="0063158F"/>
    <w:rsid w:val="00631D6B"/>
    <w:rsid w:val="006330A1"/>
    <w:rsid w:val="00633BE0"/>
    <w:rsid w:val="0063479F"/>
    <w:rsid w:val="006353F0"/>
    <w:rsid w:val="006357BA"/>
    <w:rsid w:val="0063644F"/>
    <w:rsid w:val="006364A1"/>
    <w:rsid w:val="00637BFD"/>
    <w:rsid w:val="00641C4E"/>
    <w:rsid w:val="00644519"/>
    <w:rsid w:val="00645EF7"/>
    <w:rsid w:val="006471CC"/>
    <w:rsid w:val="00650046"/>
    <w:rsid w:val="0065079F"/>
    <w:rsid w:val="0065090F"/>
    <w:rsid w:val="00650E56"/>
    <w:rsid w:val="00651639"/>
    <w:rsid w:val="0065379F"/>
    <w:rsid w:val="006549D4"/>
    <w:rsid w:val="00655FF1"/>
    <w:rsid w:val="00661578"/>
    <w:rsid w:val="00661907"/>
    <w:rsid w:val="00661C6B"/>
    <w:rsid w:val="0066282F"/>
    <w:rsid w:val="006633A7"/>
    <w:rsid w:val="00664AC1"/>
    <w:rsid w:val="00664B78"/>
    <w:rsid w:val="00665277"/>
    <w:rsid w:val="00665412"/>
    <w:rsid w:val="0067032E"/>
    <w:rsid w:val="00670550"/>
    <w:rsid w:val="00673AC9"/>
    <w:rsid w:val="00674E42"/>
    <w:rsid w:val="00675728"/>
    <w:rsid w:val="00680716"/>
    <w:rsid w:val="00681E95"/>
    <w:rsid w:val="00682112"/>
    <w:rsid w:val="00686957"/>
    <w:rsid w:val="006872BA"/>
    <w:rsid w:val="00691648"/>
    <w:rsid w:val="006917D7"/>
    <w:rsid w:val="0069499C"/>
    <w:rsid w:val="00694F44"/>
    <w:rsid w:val="006963BB"/>
    <w:rsid w:val="006A2CFF"/>
    <w:rsid w:val="006A7E5F"/>
    <w:rsid w:val="006B261B"/>
    <w:rsid w:val="006B2C90"/>
    <w:rsid w:val="006B55A9"/>
    <w:rsid w:val="006B58CC"/>
    <w:rsid w:val="006B6DD0"/>
    <w:rsid w:val="006B6DD5"/>
    <w:rsid w:val="006C2A8E"/>
    <w:rsid w:val="006C6359"/>
    <w:rsid w:val="006C6983"/>
    <w:rsid w:val="006C7E35"/>
    <w:rsid w:val="006D1C07"/>
    <w:rsid w:val="006D23FF"/>
    <w:rsid w:val="006D3C7D"/>
    <w:rsid w:val="006D5865"/>
    <w:rsid w:val="006D5D5F"/>
    <w:rsid w:val="006D779C"/>
    <w:rsid w:val="006D7919"/>
    <w:rsid w:val="006E5FCE"/>
    <w:rsid w:val="006F040A"/>
    <w:rsid w:val="006F2C97"/>
    <w:rsid w:val="006F306C"/>
    <w:rsid w:val="006F63A5"/>
    <w:rsid w:val="006F688C"/>
    <w:rsid w:val="0070142B"/>
    <w:rsid w:val="007015DC"/>
    <w:rsid w:val="0070276E"/>
    <w:rsid w:val="00702F8F"/>
    <w:rsid w:val="00706CB0"/>
    <w:rsid w:val="0071004E"/>
    <w:rsid w:val="00711A36"/>
    <w:rsid w:val="00713738"/>
    <w:rsid w:val="0071404F"/>
    <w:rsid w:val="00714159"/>
    <w:rsid w:val="00714800"/>
    <w:rsid w:val="007151AD"/>
    <w:rsid w:val="0071529C"/>
    <w:rsid w:val="0071616D"/>
    <w:rsid w:val="007172AD"/>
    <w:rsid w:val="007177DE"/>
    <w:rsid w:val="00721898"/>
    <w:rsid w:val="00722B1B"/>
    <w:rsid w:val="00722C25"/>
    <w:rsid w:val="0072327E"/>
    <w:rsid w:val="00723CC7"/>
    <w:rsid w:val="0072416F"/>
    <w:rsid w:val="00725B19"/>
    <w:rsid w:val="00726E8A"/>
    <w:rsid w:val="00727C94"/>
    <w:rsid w:val="00730107"/>
    <w:rsid w:val="007315B5"/>
    <w:rsid w:val="00731EAE"/>
    <w:rsid w:val="00735033"/>
    <w:rsid w:val="00735328"/>
    <w:rsid w:val="0073685B"/>
    <w:rsid w:val="0074177F"/>
    <w:rsid w:val="0074546B"/>
    <w:rsid w:val="00747B7E"/>
    <w:rsid w:val="00747E00"/>
    <w:rsid w:val="007516B0"/>
    <w:rsid w:val="00752142"/>
    <w:rsid w:val="007523F9"/>
    <w:rsid w:val="007573E8"/>
    <w:rsid w:val="00760059"/>
    <w:rsid w:val="00760B0B"/>
    <w:rsid w:val="00760C4E"/>
    <w:rsid w:val="00764C6C"/>
    <w:rsid w:val="00765B1A"/>
    <w:rsid w:val="00765C93"/>
    <w:rsid w:val="00767A0A"/>
    <w:rsid w:val="00771096"/>
    <w:rsid w:val="00771EF2"/>
    <w:rsid w:val="007740CB"/>
    <w:rsid w:val="0077764F"/>
    <w:rsid w:val="00777A43"/>
    <w:rsid w:val="00780906"/>
    <w:rsid w:val="00783179"/>
    <w:rsid w:val="007843F2"/>
    <w:rsid w:val="00797A26"/>
    <w:rsid w:val="007A0A12"/>
    <w:rsid w:val="007A132D"/>
    <w:rsid w:val="007A534A"/>
    <w:rsid w:val="007B0D68"/>
    <w:rsid w:val="007B133B"/>
    <w:rsid w:val="007B251D"/>
    <w:rsid w:val="007B330E"/>
    <w:rsid w:val="007B4F58"/>
    <w:rsid w:val="007B528D"/>
    <w:rsid w:val="007B5516"/>
    <w:rsid w:val="007B6961"/>
    <w:rsid w:val="007B77D1"/>
    <w:rsid w:val="007C157B"/>
    <w:rsid w:val="007C1CD9"/>
    <w:rsid w:val="007C232C"/>
    <w:rsid w:val="007C361D"/>
    <w:rsid w:val="007C45BA"/>
    <w:rsid w:val="007C4B84"/>
    <w:rsid w:val="007D004F"/>
    <w:rsid w:val="007D040C"/>
    <w:rsid w:val="007D0B38"/>
    <w:rsid w:val="007D5440"/>
    <w:rsid w:val="007E4534"/>
    <w:rsid w:val="007E77F9"/>
    <w:rsid w:val="007F09EA"/>
    <w:rsid w:val="007F1017"/>
    <w:rsid w:val="007F116C"/>
    <w:rsid w:val="007F4285"/>
    <w:rsid w:val="007F4A3F"/>
    <w:rsid w:val="007F4A61"/>
    <w:rsid w:val="007F61C2"/>
    <w:rsid w:val="007F70F7"/>
    <w:rsid w:val="007F7441"/>
    <w:rsid w:val="00801ECB"/>
    <w:rsid w:val="008027E3"/>
    <w:rsid w:val="00805142"/>
    <w:rsid w:val="008073FA"/>
    <w:rsid w:val="00807628"/>
    <w:rsid w:val="00807A8B"/>
    <w:rsid w:val="00811383"/>
    <w:rsid w:val="00812149"/>
    <w:rsid w:val="00812CAC"/>
    <w:rsid w:val="0081490C"/>
    <w:rsid w:val="008166EF"/>
    <w:rsid w:val="00816D87"/>
    <w:rsid w:val="008178DC"/>
    <w:rsid w:val="00820310"/>
    <w:rsid w:val="00824F2A"/>
    <w:rsid w:val="0082535D"/>
    <w:rsid w:val="00825751"/>
    <w:rsid w:val="008264EB"/>
    <w:rsid w:val="008330AA"/>
    <w:rsid w:val="00833B05"/>
    <w:rsid w:val="008362B4"/>
    <w:rsid w:val="00840472"/>
    <w:rsid w:val="00840CA2"/>
    <w:rsid w:val="00841915"/>
    <w:rsid w:val="0084374F"/>
    <w:rsid w:val="00845689"/>
    <w:rsid w:val="0084629E"/>
    <w:rsid w:val="00847D2D"/>
    <w:rsid w:val="00847DF5"/>
    <w:rsid w:val="00851451"/>
    <w:rsid w:val="0085224D"/>
    <w:rsid w:val="0085309D"/>
    <w:rsid w:val="00854CBF"/>
    <w:rsid w:val="00856897"/>
    <w:rsid w:val="00856E9A"/>
    <w:rsid w:val="00857A2E"/>
    <w:rsid w:val="0086075D"/>
    <w:rsid w:val="00862502"/>
    <w:rsid w:val="008660D4"/>
    <w:rsid w:val="008718AC"/>
    <w:rsid w:val="00871FA9"/>
    <w:rsid w:val="008728E9"/>
    <w:rsid w:val="00877871"/>
    <w:rsid w:val="008808A4"/>
    <w:rsid w:val="00882874"/>
    <w:rsid w:val="00883787"/>
    <w:rsid w:val="0088451C"/>
    <w:rsid w:val="00886CD2"/>
    <w:rsid w:val="00887AFE"/>
    <w:rsid w:val="00892A36"/>
    <w:rsid w:val="00893239"/>
    <w:rsid w:val="00894489"/>
    <w:rsid w:val="008963A5"/>
    <w:rsid w:val="008979EB"/>
    <w:rsid w:val="008A3363"/>
    <w:rsid w:val="008A3371"/>
    <w:rsid w:val="008A3C3E"/>
    <w:rsid w:val="008A44E8"/>
    <w:rsid w:val="008A728B"/>
    <w:rsid w:val="008A79DE"/>
    <w:rsid w:val="008B1757"/>
    <w:rsid w:val="008B2342"/>
    <w:rsid w:val="008B756B"/>
    <w:rsid w:val="008B7D7E"/>
    <w:rsid w:val="008C0389"/>
    <w:rsid w:val="008C4738"/>
    <w:rsid w:val="008C7ECB"/>
    <w:rsid w:val="008D1683"/>
    <w:rsid w:val="008D3528"/>
    <w:rsid w:val="008D4755"/>
    <w:rsid w:val="008D4C3D"/>
    <w:rsid w:val="008E0D3C"/>
    <w:rsid w:val="008E181A"/>
    <w:rsid w:val="008E1B9E"/>
    <w:rsid w:val="008E55AB"/>
    <w:rsid w:val="008E7E03"/>
    <w:rsid w:val="008F120A"/>
    <w:rsid w:val="008F27E0"/>
    <w:rsid w:val="008F3DA4"/>
    <w:rsid w:val="008F433A"/>
    <w:rsid w:val="008F48EB"/>
    <w:rsid w:val="008F4924"/>
    <w:rsid w:val="008F4F0B"/>
    <w:rsid w:val="008F55BB"/>
    <w:rsid w:val="008F6701"/>
    <w:rsid w:val="008F6DA9"/>
    <w:rsid w:val="008F7CE9"/>
    <w:rsid w:val="009011B4"/>
    <w:rsid w:val="00901EEB"/>
    <w:rsid w:val="00901F6F"/>
    <w:rsid w:val="00904627"/>
    <w:rsid w:val="009046C4"/>
    <w:rsid w:val="009055FC"/>
    <w:rsid w:val="00905948"/>
    <w:rsid w:val="00905991"/>
    <w:rsid w:val="009062A5"/>
    <w:rsid w:val="00910294"/>
    <w:rsid w:val="009109E5"/>
    <w:rsid w:val="00911272"/>
    <w:rsid w:val="00911A61"/>
    <w:rsid w:val="009135D6"/>
    <w:rsid w:val="00914C77"/>
    <w:rsid w:val="0092189F"/>
    <w:rsid w:val="0092326F"/>
    <w:rsid w:val="0092369B"/>
    <w:rsid w:val="009270CE"/>
    <w:rsid w:val="00930568"/>
    <w:rsid w:val="00930D6D"/>
    <w:rsid w:val="0093231B"/>
    <w:rsid w:val="00932A99"/>
    <w:rsid w:val="009332DB"/>
    <w:rsid w:val="00933A3B"/>
    <w:rsid w:val="009340F6"/>
    <w:rsid w:val="009357BE"/>
    <w:rsid w:val="00941053"/>
    <w:rsid w:val="00942AC3"/>
    <w:rsid w:val="009510A2"/>
    <w:rsid w:val="00951A88"/>
    <w:rsid w:val="00953257"/>
    <w:rsid w:val="009547E7"/>
    <w:rsid w:val="00954F32"/>
    <w:rsid w:val="00956216"/>
    <w:rsid w:val="0096120E"/>
    <w:rsid w:val="00962CB9"/>
    <w:rsid w:val="00964312"/>
    <w:rsid w:val="00965B8A"/>
    <w:rsid w:val="00967BF3"/>
    <w:rsid w:val="009717AC"/>
    <w:rsid w:val="009737A3"/>
    <w:rsid w:val="00976660"/>
    <w:rsid w:val="00980C19"/>
    <w:rsid w:val="009819BE"/>
    <w:rsid w:val="00983E57"/>
    <w:rsid w:val="009841AE"/>
    <w:rsid w:val="0098675D"/>
    <w:rsid w:val="00986C60"/>
    <w:rsid w:val="009872A1"/>
    <w:rsid w:val="0098756D"/>
    <w:rsid w:val="0098798E"/>
    <w:rsid w:val="00991A29"/>
    <w:rsid w:val="00996B1A"/>
    <w:rsid w:val="00996C70"/>
    <w:rsid w:val="00997403"/>
    <w:rsid w:val="00997987"/>
    <w:rsid w:val="009A1976"/>
    <w:rsid w:val="009A2D40"/>
    <w:rsid w:val="009A2E16"/>
    <w:rsid w:val="009A3197"/>
    <w:rsid w:val="009A57D7"/>
    <w:rsid w:val="009A7F10"/>
    <w:rsid w:val="009B3E26"/>
    <w:rsid w:val="009B4997"/>
    <w:rsid w:val="009B4A9C"/>
    <w:rsid w:val="009C5D56"/>
    <w:rsid w:val="009C6CEA"/>
    <w:rsid w:val="009C6EDB"/>
    <w:rsid w:val="009C7B85"/>
    <w:rsid w:val="009D09FD"/>
    <w:rsid w:val="009D5B91"/>
    <w:rsid w:val="009D627C"/>
    <w:rsid w:val="009D792E"/>
    <w:rsid w:val="009E0DFE"/>
    <w:rsid w:val="009E1861"/>
    <w:rsid w:val="009E31AA"/>
    <w:rsid w:val="009E4C07"/>
    <w:rsid w:val="009E5192"/>
    <w:rsid w:val="009E5C39"/>
    <w:rsid w:val="009E6881"/>
    <w:rsid w:val="009F65E7"/>
    <w:rsid w:val="00A01184"/>
    <w:rsid w:val="00A02573"/>
    <w:rsid w:val="00A03D43"/>
    <w:rsid w:val="00A04380"/>
    <w:rsid w:val="00A0446D"/>
    <w:rsid w:val="00A0630A"/>
    <w:rsid w:val="00A11CD0"/>
    <w:rsid w:val="00A13948"/>
    <w:rsid w:val="00A1555B"/>
    <w:rsid w:val="00A155C5"/>
    <w:rsid w:val="00A15C74"/>
    <w:rsid w:val="00A16069"/>
    <w:rsid w:val="00A16AD8"/>
    <w:rsid w:val="00A21CF3"/>
    <w:rsid w:val="00A27AEC"/>
    <w:rsid w:val="00A320DB"/>
    <w:rsid w:val="00A3450B"/>
    <w:rsid w:val="00A35A90"/>
    <w:rsid w:val="00A35D16"/>
    <w:rsid w:val="00A37BCD"/>
    <w:rsid w:val="00A43C59"/>
    <w:rsid w:val="00A508B3"/>
    <w:rsid w:val="00A50ECD"/>
    <w:rsid w:val="00A518F3"/>
    <w:rsid w:val="00A52729"/>
    <w:rsid w:val="00A53675"/>
    <w:rsid w:val="00A53B28"/>
    <w:rsid w:val="00A544AC"/>
    <w:rsid w:val="00A564D7"/>
    <w:rsid w:val="00A56B6A"/>
    <w:rsid w:val="00A578DC"/>
    <w:rsid w:val="00A61BEF"/>
    <w:rsid w:val="00A62C19"/>
    <w:rsid w:val="00A63C5B"/>
    <w:rsid w:val="00A65FC1"/>
    <w:rsid w:val="00A6725B"/>
    <w:rsid w:val="00A70605"/>
    <w:rsid w:val="00A71B53"/>
    <w:rsid w:val="00A71E67"/>
    <w:rsid w:val="00A73134"/>
    <w:rsid w:val="00A749E3"/>
    <w:rsid w:val="00A76B33"/>
    <w:rsid w:val="00A777B2"/>
    <w:rsid w:val="00A8236C"/>
    <w:rsid w:val="00A8485C"/>
    <w:rsid w:val="00A86E8B"/>
    <w:rsid w:val="00A87164"/>
    <w:rsid w:val="00A90ED8"/>
    <w:rsid w:val="00A93072"/>
    <w:rsid w:val="00A93953"/>
    <w:rsid w:val="00A94207"/>
    <w:rsid w:val="00A95696"/>
    <w:rsid w:val="00A959D8"/>
    <w:rsid w:val="00AA113D"/>
    <w:rsid w:val="00AA2EC3"/>
    <w:rsid w:val="00AA41A8"/>
    <w:rsid w:val="00AA6C7D"/>
    <w:rsid w:val="00AA7FD6"/>
    <w:rsid w:val="00AB042A"/>
    <w:rsid w:val="00AB2318"/>
    <w:rsid w:val="00AB2729"/>
    <w:rsid w:val="00AB2D34"/>
    <w:rsid w:val="00AB3430"/>
    <w:rsid w:val="00AB4AD1"/>
    <w:rsid w:val="00AB7CFA"/>
    <w:rsid w:val="00AC5B48"/>
    <w:rsid w:val="00AC5C5F"/>
    <w:rsid w:val="00AC642D"/>
    <w:rsid w:val="00AD0428"/>
    <w:rsid w:val="00AD2DA1"/>
    <w:rsid w:val="00AD5D9E"/>
    <w:rsid w:val="00AD6502"/>
    <w:rsid w:val="00AE1C63"/>
    <w:rsid w:val="00AF0478"/>
    <w:rsid w:val="00AF1315"/>
    <w:rsid w:val="00AF19BF"/>
    <w:rsid w:val="00AF2DC3"/>
    <w:rsid w:val="00AF5DE1"/>
    <w:rsid w:val="00B00DB6"/>
    <w:rsid w:val="00B0322E"/>
    <w:rsid w:val="00B033E5"/>
    <w:rsid w:val="00B03A63"/>
    <w:rsid w:val="00B06452"/>
    <w:rsid w:val="00B12256"/>
    <w:rsid w:val="00B15BAC"/>
    <w:rsid w:val="00B201A4"/>
    <w:rsid w:val="00B213A6"/>
    <w:rsid w:val="00B22F9E"/>
    <w:rsid w:val="00B23E9E"/>
    <w:rsid w:val="00B24DF6"/>
    <w:rsid w:val="00B274F2"/>
    <w:rsid w:val="00B27B33"/>
    <w:rsid w:val="00B329BC"/>
    <w:rsid w:val="00B34BB7"/>
    <w:rsid w:val="00B34FE2"/>
    <w:rsid w:val="00B357D8"/>
    <w:rsid w:val="00B36D14"/>
    <w:rsid w:val="00B36E49"/>
    <w:rsid w:val="00B370D6"/>
    <w:rsid w:val="00B37B92"/>
    <w:rsid w:val="00B37BFC"/>
    <w:rsid w:val="00B40358"/>
    <w:rsid w:val="00B41614"/>
    <w:rsid w:val="00B41C37"/>
    <w:rsid w:val="00B42851"/>
    <w:rsid w:val="00B42F80"/>
    <w:rsid w:val="00B435CB"/>
    <w:rsid w:val="00B45D81"/>
    <w:rsid w:val="00B50DB8"/>
    <w:rsid w:val="00B51B42"/>
    <w:rsid w:val="00B53654"/>
    <w:rsid w:val="00B53905"/>
    <w:rsid w:val="00B5471A"/>
    <w:rsid w:val="00B54B5B"/>
    <w:rsid w:val="00B5562E"/>
    <w:rsid w:val="00B55971"/>
    <w:rsid w:val="00B562C5"/>
    <w:rsid w:val="00B57000"/>
    <w:rsid w:val="00B57CCB"/>
    <w:rsid w:val="00B60939"/>
    <w:rsid w:val="00B60AFD"/>
    <w:rsid w:val="00B6139A"/>
    <w:rsid w:val="00B61933"/>
    <w:rsid w:val="00B62715"/>
    <w:rsid w:val="00B72DF0"/>
    <w:rsid w:val="00B77AD3"/>
    <w:rsid w:val="00B805E1"/>
    <w:rsid w:val="00B818A4"/>
    <w:rsid w:val="00B83791"/>
    <w:rsid w:val="00B84117"/>
    <w:rsid w:val="00B853B1"/>
    <w:rsid w:val="00B85AA2"/>
    <w:rsid w:val="00B85D77"/>
    <w:rsid w:val="00B8649C"/>
    <w:rsid w:val="00B87E37"/>
    <w:rsid w:val="00B87F0A"/>
    <w:rsid w:val="00B907CF"/>
    <w:rsid w:val="00B92D0B"/>
    <w:rsid w:val="00B94812"/>
    <w:rsid w:val="00B94945"/>
    <w:rsid w:val="00B976C4"/>
    <w:rsid w:val="00BA1E38"/>
    <w:rsid w:val="00BA322D"/>
    <w:rsid w:val="00BB00A7"/>
    <w:rsid w:val="00BB0BDD"/>
    <w:rsid w:val="00BB0E0F"/>
    <w:rsid w:val="00BB20BA"/>
    <w:rsid w:val="00BB2A73"/>
    <w:rsid w:val="00BB3A46"/>
    <w:rsid w:val="00BB3F34"/>
    <w:rsid w:val="00BB4A18"/>
    <w:rsid w:val="00BB4ACC"/>
    <w:rsid w:val="00BB703E"/>
    <w:rsid w:val="00BB735A"/>
    <w:rsid w:val="00BB7405"/>
    <w:rsid w:val="00BC1302"/>
    <w:rsid w:val="00BC2FA1"/>
    <w:rsid w:val="00BC3631"/>
    <w:rsid w:val="00BC68C4"/>
    <w:rsid w:val="00BD2CB5"/>
    <w:rsid w:val="00BD5D46"/>
    <w:rsid w:val="00BD5E65"/>
    <w:rsid w:val="00BD68A3"/>
    <w:rsid w:val="00BD6938"/>
    <w:rsid w:val="00BD6CF3"/>
    <w:rsid w:val="00BD7D4C"/>
    <w:rsid w:val="00BE177A"/>
    <w:rsid w:val="00BE1793"/>
    <w:rsid w:val="00BE1E6B"/>
    <w:rsid w:val="00BE2180"/>
    <w:rsid w:val="00BE21D6"/>
    <w:rsid w:val="00BE21F2"/>
    <w:rsid w:val="00BE4275"/>
    <w:rsid w:val="00BE65F8"/>
    <w:rsid w:val="00BE683E"/>
    <w:rsid w:val="00BF0F95"/>
    <w:rsid w:val="00BF2433"/>
    <w:rsid w:val="00BF2F0F"/>
    <w:rsid w:val="00BF3CB3"/>
    <w:rsid w:val="00BF430D"/>
    <w:rsid w:val="00BF49D3"/>
    <w:rsid w:val="00BF5071"/>
    <w:rsid w:val="00BF61C9"/>
    <w:rsid w:val="00BF6AC8"/>
    <w:rsid w:val="00BF6C94"/>
    <w:rsid w:val="00C00424"/>
    <w:rsid w:val="00C0315D"/>
    <w:rsid w:val="00C04244"/>
    <w:rsid w:val="00C07A4D"/>
    <w:rsid w:val="00C12C14"/>
    <w:rsid w:val="00C13A04"/>
    <w:rsid w:val="00C155AD"/>
    <w:rsid w:val="00C200AA"/>
    <w:rsid w:val="00C237ED"/>
    <w:rsid w:val="00C24632"/>
    <w:rsid w:val="00C25418"/>
    <w:rsid w:val="00C25D9C"/>
    <w:rsid w:val="00C2778B"/>
    <w:rsid w:val="00C27B69"/>
    <w:rsid w:val="00C3035A"/>
    <w:rsid w:val="00C31649"/>
    <w:rsid w:val="00C31798"/>
    <w:rsid w:val="00C32176"/>
    <w:rsid w:val="00C321B4"/>
    <w:rsid w:val="00C362DB"/>
    <w:rsid w:val="00C40114"/>
    <w:rsid w:val="00C40385"/>
    <w:rsid w:val="00C40DBA"/>
    <w:rsid w:val="00C44197"/>
    <w:rsid w:val="00C475AA"/>
    <w:rsid w:val="00C50079"/>
    <w:rsid w:val="00C5204A"/>
    <w:rsid w:val="00C547D5"/>
    <w:rsid w:val="00C554ED"/>
    <w:rsid w:val="00C57F6B"/>
    <w:rsid w:val="00C61390"/>
    <w:rsid w:val="00C65576"/>
    <w:rsid w:val="00C66065"/>
    <w:rsid w:val="00C66165"/>
    <w:rsid w:val="00C7151A"/>
    <w:rsid w:val="00C71F60"/>
    <w:rsid w:val="00C72241"/>
    <w:rsid w:val="00C749F7"/>
    <w:rsid w:val="00C750C8"/>
    <w:rsid w:val="00C7560F"/>
    <w:rsid w:val="00C77A39"/>
    <w:rsid w:val="00C80757"/>
    <w:rsid w:val="00C80A0E"/>
    <w:rsid w:val="00C8213F"/>
    <w:rsid w:val="00C8716B"/>
    <w:rsid w:val="00C8797A"/>
    <w:rsid w:val="00C900B8"/>
    <w:rsid w:val="00C90C71"/>
    <w:rsid w:val="00C931CF"/>
    <w:rsid w:val="00C93597"/>
    <w:rsid w:val="00C938CF"/>
    <w:rsid w:val="00C9488D"/>
    <w:rsid w:val="00C9624D"/>
    <w:rsid w:val="00C964CC"/>
    <w:rsid w:val="00C969DA"/>
    <w:rsid w:val="00CA141B"/>
    <w:rsid w:val="00CA2301"/>
    <w:rsid w:val="00CA2C77"/>
    <w:rsid w:val="00CA37FE"/>
    <w:rsid w:val="00CA444F"/>
    <w:rsid w:val="00CA49C7"/>
    <w:rsid w:val="00CA4F91"/>
    <w:rsid w:val="00CA5245"/>
    <w:rsid w:val="00CA5E73"/>
    <w:rsid w:val="00CA71F4"/>
    <w:rsid w:val="00CA7B09"/>
    <w:rsid w:val="00CB2F2A"/>
    <w:rsid w:val="00CB5B1A"/>
    <w:rsid w:val="00CB6B22"/>
    <w:rsid w:val="00CB7F5F"/>
    <w:rsid w:val="00CC1B39"/>
    <w:rsid w:val="00CC47F0"/>
    <w:rsid w:val="00CC53D3"/>
    <w:rsid w:val="00CD5D22"/>
    <w:rsid w:val="00CD6ADC"/>
    <w:rsid w:val="00CD7665"/>
    <w:rsid w:val="00CD7F0C"/>
    <w:rsid w:val="00CE176E"/>
    <w:rsid w:val="00CE3E1B"/>
    <w:rsid w:val="00CE4496"/>
    <w:rsid w:val="00CE6274"/>
    <w:rsid w:val="00CE7E39"/>
    <w:rsid w:val="00CF01DC"/>
    <w:rsid w:val="00CF2B8D"/>
    <w:rsid w:val="00CF456B"/>
    <w:rsid w:val="00CF48AE"/>
    <w:rsid w:val="00CF57D2"/>
    <w:rsid w:val="00CF5A22"/>
    <w:rsid w:val="00D01267"/>
    <w:rsid w:val="00D0262E"/>
    <w:rsid w:val="00D05AA9"/>
    <w:rsid w:val="00D05B32"/>
    <w:rsid w:val="00D0663B"/>
    <w:rsid w:val="00D110BD"/>
    <w:rsid w:val="00D13675"/>
    <w:rsid w:val="00D141E1"/>
    <w:rsid w:val="00D17D6C"/>
    <w:rsid w:val="00D243A1"/>
    <w:rsid w:val="00D2754D"/>
    <w:rsid w:val="00D27B27"/>
    <w:rsid w:val="00D27BCB"/>
    <w:rsid w:val="00D325D7"/>
    <w:rsid w:val="00D3295B"/>
    <w:rsid w:val="00D33BE9"/>
    <w:rsid w:val="00D355C3"/>
    <w:rsid w:val="00D35679"/>
    <w:rsid w:val="00D357FF"/>
    <w:rsid w:val="00D409A8"/>
    <w:rsid w:val="00D40D1C"/>
    <w:rsid w:val="00D41A8B"/>
    <w:rsid w:val="00D424C7"/>
    <w:rsid w:val="00D43B2A"/>
    <w:rsid w:val="00D4594B"/>
    <w:rsid w:val="00D47575"/>
    <w:rsid w:val="00D51AB5"/>
    <w:rsid w:val="00D57114"/>
    <w:rsid w:val="00D636CD"/>
    <w:rsid w:val="00D6429B"/>
    <w:rsid w:val="00D70F16"/>
    <w:rsid w:val="00D736D4"/>
    <w:rsid w:val="00D76A44"/>
    <w:rsid w:val="00D815EF"/>
    <w:rsid w:val="00D861D9"/>
    <w:rsid w:val="00D9001B"/>
    <w:rsid w:val="00D91923"/>
    <w:rsid w:val="00D93753"/>
    <w:rsid w:val="00DA0C28"/>
    <w:rsid w:val="00DA3167"/>
    <w:rsid w:val="00DA4DC3"/>
    <w:rsid w:val="00DA77A5"/>
    <w:rsid w:val="00DB35A3"/>
    <w:rsid w:val="00DB484F"/>
    <w:rsid w:val="00DB54FF"/>
    <w:rsid w:val="00DB5CFE"/>
    <w:rsid w:val="00DC04F6"/>
    <w:rsid w:val="00DC3C57"/>
    <w:rsid w:val="00DC5501"/>
    <w:rsid w:val="00DC5931"/>
    <w:rsid w:val="00DC70EC"/>
    <w:rsid w:val="00DD20B3"/>
    <w:rsid w:val="00DD273C"/>
    <w:rsid w:val="00DD307D"/>
    <w:rsid w:val="00DD38F1"/>
    <w:rsid w:val="00DD3F28"/>
    <w:rsid w:val="00DD4537"/>
    <w:rsid w:val="00DD4E15"/>
    <w:rsid w:val="00DD6B7A"/>
    <w:rsid w:val="00DE3138"/>
    <w:rsid w:val="00DE37F8"/>
    <w:rsid w:val="00DE3ECC"/>
    <w:rsid w:val="00DE40C3"/>
    <w:rsid w:val="00DE4FCB"/>
    <w:rsid w:val="00DE7832"/>
    <w:rsid w:val="00DE7BD9"/>
    <w:rsid w:val="00DF18FC"/>
    <w:rsid w:val="00DF2340"/>
    <w:rsid w:val="00DF5D2B"/>
    <w:rsid w:val="00E00E8E"/>
    <w:rsid w:val="00E05630"/>
    <w:rsid w:val="00E06DBB"/>
    <w:rsid w:val="00E10149"/>
    <w:rsid w:val="00E151B5"/>
    <w:rsid w:val="00E16372"/>
    <w:rsid w:val="00E2077A"/>
    <w:rsid w:val="00E20E4D"/>
    <w:rsid w:val="00E20ED6"/>
    <w:rsid w:val="00E21358"/>
    <w:rsid w:val="00E2249B"/>
    <w:rsid w:val="00E22A0D"/>
    <w:rsid w:val="00E275A0"/>
    <w:rsid w:val="00E2771E"/>
    <w:rsid w:val="00E34948"/>
    <w:rsid w:val="00E367E5"/>
    <w:rsid w:val="00E37569"/>
    <w:rsid w:val="00E37620"/>
    <w:rsid w:val="00E41E30"/>
    <w:rsid w:val="00E4340D"/>
    <w:rsid w:val="00E43D70"/>
    <w:rsid w:val="00E447CD"/>
    <w:rsid w:val="00E466F3"/>
    <w:rsid w:val="00E47B2C"/>
    <w:rsid w:val="00E51560"/>
    <w:rsid w:val="00E520FF"/>
    <w:rsid w:val="00E541B8"/>
    <w:rsid w:val="00E54347"/>
    <w:rsid w:val="00E55424"/>
    <w:rsid w:val="00E55BB5"/>
    <w:rsid w:val="00E57E0F"/>
    <w:rsid w:val="00E63551"/>
    <w:rsid w:val="00E65E79"/>
    <w:rsid w:val="00E663C2"/>
    <w:rsid w:val="00E66BA2"/>
    <w:rsid w:val="00E66D1A"/>
    <w:rsid w:val="00E67416"/>
    <w:rsid w:val="00E67899"/>
    <w:rsid w:val="00E70139"/>
    <w:rsid w:val="00E718B6"/>
    <w:rsid w:val="00E71DEE"/>
    <w:rsid w:val="00E723BA"/>
    <w:rsid w:val="00E72AF6"/>
    <w:rsid w:val="00E73581"/>
    <w:rsid w:val="00E73A31"/>
    <w:rsid w:val="00E7770D"/>
    <w:rsid w:val="00E833F7"/>
    <w:rsid w:val="00E83BDF"/>
    <w:rsid w:val="00E86B22"/>
    <w:rsid w:val="00E87A1D"/>
    <w:rsid w:val="00E87B65"/>
    <w:rsid w:val="00E926A5"/>
    <w:rsid w:val="00E930A4"/>
    <w:rsid w:val="00E979B5"/>
    <w:rsid w:val="00EA0369"/>
    <w:rsid w:val="00EA17C3"/>
    <w:rsid w:val="00EA2CAA"/>
    <w:rsid w:val="00EA3864"/>
    <w:rsid w:val="00EA6418"/>
    <w:rsid w:val="00EB15B6"/>
    <w:rsid w:val="00EB1B71"/>
    <w:rsid w:val="00EB3797"/>
    <w:rsid w:val="00EB4916"/>
    <w:rsid w:val="00EB5B4B"/>
    <w:rsid w:val="00EB5DA9"/>
    <w:rsid w:val="00EB72A8"/>
    <w:rsid w:val="00EC00C9"/>
    <w:rsid w:val="00EC19DA"/>
    <w:rsid w:val="00EC1CDD"/>
    <w:rsid w:val="00EC1DEC"/>
    <w:rsid w:val="00EC2649"/>
    <w:rsid w:val="00EC3D95"/>
    <w:rsid w:val="00EC6565"/>
    <w:rsid w:val="00EC673C"/>
    <w:rsid w:val="00EC72B0"/>
    <w:rsid w:val="00EC7EE6"/>
    <w:rsid w:val="00ED1B7E"/>
    <w:rsid w:val="00ED57EA"/>
    <w:rsid w:val="00EE07D3"/>
    <w:rsid w:val="00EE0A22"/>
    <w:rsid w:val="00EE0D2F"/>
    <w:rsid w:val="00EE22AF"/>
    <w:rsid w:val="00EE2A2A"/>
    <w:rsid w:val="00EE2D87"/>
    <w:rsid w:val="00EE5D61"/>
    <w:rsid w:val="00EF0171"/>
    <w:rsid w:val="00EF17EF"/>
    <w:rsid w:val="00EF1B25"/>
    <w:rsid w:val="00EF1FB8"/>
    <w:rsid w:val="00EF33D5"/>
    <w:rsid w:val="00EF4747"/>
    <w:rsid w:val="00EF4BF8"/>
    <w:rsid w:val="00EF563B"/>
    <w:rsid w:val="00F00002"/>
    <w:rsid w:val="00F02253"/>
    <w:rsid w:val="00F02B22"/>
    <w:rsid w:val="00F02FBA"/>
    <w:rsid w:val="00F030C4"/>
    <w:rsid w:val="00F03C2E"/>
    <w:rsid w:val="00F03EA8"/>
    <w:rsid w:val="00F04231"/>
    <w:rsid w:val="00F04A66"/>
    <w:rsid w:val="00F0516C"/>
    <w:rsid w:val="00F067A2"/>
    <w:rsid w:val="00F06E12"/>
    <w:rsid w:val="00F07110"/>
    <w:rsid w:val="00F071BA"/>
    <w:rsid w:val="00F07B7E"/>
    <w:rsid w:val="00F11716"/>
    <w:rsid w:val="00F1263A"/>
    <w:rsid w:val="00F2049B"/>
    <w:rsid w:val="00F20E60"/>
    <w:rsid w:val="00F20FB3"/>
    <w:rsid w:val="00F24837"/>
    <w:rsid w:val="00F2575F"/>
    <w:rsid w:val="00F27565"/>
    <w:rsid w:val="00F30141"/>
    <w:rsid w:val="00F310D4"/>
    <w:rsid w:val="00F31C2E"/>
    <w:rsid w:val="00F31D5A"/>
    <w:rsid w:val="00F33DE9"/>
    <w:rsid w:val="00F3619A"/>
    <w:rsid w:val="00F36E83"/>
    <w:rsid w:val="00F37FBE"/>
    <w:rsid w:val="00F40AAA"/>
    <w:rsid w:val="00F40BA7"/>
    <w:rsid w:val="00F4152B"/>
    <w:rsid w:val="00F415B6"/>
    <w:rsid w:val="00F448CB"/>
    <w:rsid w:val="00F44DB1"/>
    <w:rsid w:val="00F46CB6"/>
    <w:rsid w:val="00F47DE8"/>
    <w:rsid w:val="00F50A6F"/>
    <w:rsid w:val="00F50ECC"/>
    <w:rsid w:val="00F542C1"/>
    <w:rsid w:val="00F5589F"/>
    <w:rsid w:val="00F55E73"/>
    <w:rsid w:val="00F55EDA"/>
    <w:rsid w:val="00F576D1"/>
    <w:rsid w:val="00F60092"/>
    <w:rsid w:val="00F63C9C"/>
    <w:rsid w:val="00F65F4B"/>
    <w:rsid w:val="00F70C9D"/>
    <w:rsid w:val="00F74CD9"/>
    <w:rsid w:val="00F75867"/>
    <w:rsid w:val="00F774C7"/>
    <w:rsid w:val="00F80A7B"/>
    <w:rsid w:val="00F80E5D"/>
    <w:rsid w:val="00F81FB3"/>
    <w:rsid w:val="00F851CE"/>
    <w:rsid w:val="00F85214"/>
    <w:rsid w:val="00F862DE"/>
    <w:rsid w:val="00F90E0C"/>
    <w:rsid w:val="00F91219"/>
    <w:rsid w:val="00F92BAF"/>
    <w:rsid w:val="00F93A88"/>
    <w:rsid w:val="00F946C4"/>
    <w:rsid w:val="00F957E8"/>
    <w:rsid w:val="00F97A78"/>
    <w:rsid w:val="00FA0B20"/>
    <w:rsid w:val="00FA24E7"/>
    <w:rsid w:val="00FA5A7F"/>
    <w:rsid w:val="00FB2FCB"/>
    <w:rsid w:val="00FB355A"/>
    <w:rsid w:val="00FB653A"/>
    <w:rsid w:val="00FB74B7"/>
    <w:rsid w:val="00FC1074"/>
    <w:rsid w:val="00FC1884"/>
    <w:rsid w:val="00FC371D"/>
    <w:rsid w:val="00FC5CDB"/>
    <w:rsid w:val="00FC5F0B"/>
    <w:rsid w:val="00FD2100"/>
    <w:rsid w:val="00FD359F"/>
    <w:rsid w:val="00FD436C"/>
    <w:rsid w:val="00FD446D"/>
    <w:rsid w:val="00FD6394"/>
    <w:rsid w:val="00FD6D01"/>
    <w:rsid w:val="00FE0E6C"/>
    <w:rsid w:val="00FE430C"/>
    <w:rsid w:val="00FE70C3"/>
    <w:rsid w:val="00FF3DCF"/>
    <w:rsid w:val="00FF42D9"/>
    <w:rsid w:val="00FF492C"/>
    <w:rsid w:val="00FF4A21"/>
    <w:rsid w:val="00FF5AA3"/>
    <w:rsid w:val="00FF5AD8"/>
    <w:rsid w:val="00FF6570"/>
    <w:rsid w:val="00FF73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character" w:customStyle="1" w:styleId="NoSpacingChar">
    <w:name w:val="No Spacing Char"/>
    <w:aliases w:val="PBAC Table Footnote Char"/>
    <w:basedOn w:val="DefaultParagraphFont"/>
    <w:link w:val="NoSpacing"/>
    <w:uiPriority w:val="1"/>
    <w:rsid w:val="004C5F5F"/>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2134C"/>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5F1BDF"/>
    <w:pPr>
      <w:keepNext/>
      <w:widowControl/>
      <w:spacing w:before="40" w:after="40"/>
      <w:jc w:val="left"/>
    </w:pPr>
    <w:rPr>
      <w:rFonts w:ascii="Arial Narrow" w:eastAsiaTheme="minorHAnsi" w:hAnsi="Arial Narrow" w:cstheme="minorBidi"/>
      <w:snapToGrid/>
      <w:sz w:val="20"/>
    </w:rPr>
  </w:style>
  <w:style w:type="paragraph" w:customStyle="1" w:styleId="PBACtablecaption">
    <w:name w:val="PBAC table caption"/>
    <w:basedOn w:val="Normal"/>
    <w:link w:val="PBACtablecaptionChar"/>
    <w:qFormat/>
    <w:rsid w:val="004C5F5F"/>
    <w:pPr>
      <w:widowControl/>
      <w:spacing w:before="60" w:after="60"/>
      <w:jc w:val="left"/>
    </w:pPr>
    <w:rPr>
      <w:rFonts w:ascii="Sabon" w:eastAsiaTheme="minorHAnsi" w:hAnsi="Sabon"/>
      <w:b/>
      <w:snapToGrid/>
      <w:sz w:val="22"/>
    </w:rPr>
  </w:style>
  <w:style w:type="character" w:customStyle="1" w:styleId="PBACtablecaptionChar">
    <w:name w:val="PBAC table caption Char"/>
    <w:basedOn w:val="DefaultParagraphFont"/>
    <w:link w:val="PBACtablecaption"/>
    <w:rsid w:val="004C5F5F"/>
    <w:rPr>
      <w:rFonts w:ascii="Sabon" w:eastAsiaTheme="minorHAnsi" w:hAnsi="Sabon" w:cs="Arial"/>
      <w:b/>
      <w:sz w:val="22"/>
      <w:szCs w:val="22"/>
      <w:lang w:eastAsia="en-US"/>
    </w:rPr>
  </w:style>
  <w:style w:type="paragraph" w:customStyle="1" w:styleId="NormalPBACsubtext">
    <w:name w:val="Normal PBAC sub text"/>
    <w:basedOn w:val="Normal"/>
    <w:next w:val="Normal"/>
    <w:rsid w:val="004C5F5F"/>
    <w:pPr>
      <w:keepNext/>
      <w:widowControl/>
      <w:spacing w:after="240"/>
    </w:pPr>
    <w:rPr>
      <w:rFonts w:ascii="Sabon" w:eastAsiaTheme="minorHAnsi" w:hAnsi="Sabon" w:cstheme="minorBidi"/>
      <w:snapToGrid/>
      <w:sz w:val="22"/>
    </w:rPr>
  </w:style>
  <w:style w:type="paragraph" w:customStyle="1" w:styleId="PBACHeading1Nonumbering">
    <w:name w:val="PBAC Heading 1 No numbering"/>
    <w:basedOn w:val="Heading1"/>
    <w:qFormat/>
    <w:rsid w:val="00EB5DA9"/>
    <w:pPr>
      <w:keepNext/>
      <w:widowControl/>
      <w:spacing w:before="120" w:after="240"/>
      <w:ind w:left="0" w:firstLine="0"/>
      <w:jc w:val="left"/>
    </w:pPr>
    <w:rPr>
      <w:rFonts w:ascii="Sabon" w:hAnsi="Sabon"/>
      <w:b w:val="0"/>
      <w:bCs/>
      <w:caps w:val="0"/>
      <w:snapToGrid/>
      <w:kern w:val="32"/>
      <w:sz w:val="36"/>
      <w:szCs w:val="28"/>
    </w:rPr>
  </w:style>
  <w:style w:type="paragraph" w:customStyle="1" w:styleId="PBACTableText">
    <w:name w:val="PBAC Table Text"/>
    <w:basedOn w:val="Normal"/>
    <w:link w:val="PBACTableTextChar"/>
    <w:qFormat/>
    <w:rsid w:val="00EB5DA9"/>
    <w:pPr>
      <w:widowControl/>
      <w:spacing w:before="40" w:after="40"/>
      <w:jc w:val="left"/>
    </w:pPr>
    <w:rPr>
      <w:rFonts w:ascii="Arial Narrow" w:hAnsi="Arial Narrow" w:cs="Times New Roman"/>
      <w:snapToGrid/>
      <w:sz w:val="20"/>
      <w:szCs w:val="20"/>
    </w:rPr>
  </w:style>
  <w:style w:type="character" w:customStyle="1" w:styleId="PBACTableTextChar">
    <w:name w:val="PBAC Table Text Char"/>
    <w:basedOn w:val="DefaultParagraphFont"/>
    <w:link w:val="PBACTableText"/>
    <w:rsid w:val="00EB5DA9"/>
    <w:rPr>
      <w:rFonts w:ascii="Arial Narrow" w:hAnsi="Arial Narrow"/>
      <w:lang w:eastAsia="en-US"/>
    </w:rPr>
  </w:style>
  <w:style w:type="paragraph" w:customStyle="1" w:styleId="PBACtablefooter">
    <w:name w:val="PBAC table footer"/>
    <w:basedOn w:val="PBACTableText"/>
    <w:link w:val="PBACtablefooterChar"/>
    <w:rsid w:val="009737A3"/>
    <w:pPr>
      <w:spacing w:before="60" w:after="0"/>
    </w:pPr>
    <w:rPr>
      <w:rFonts w:eastAsiaTheme="minorHAnsi" w:cs="Arial"/>
      <w:sz w:val="18"/>
      <w:szCs w:val="18"/>
    </w:rPr>
  </w:style>
  <w:style w:type="character" w:customStyle="1" w:styleId="PBACtablefooterChar">
    <w:name w:val="PBAC table footer Char"/>
    <w:basedOn w:val="PBACTableTextChar"/>
    <w:link w:val="PBACtablefooter"/>
    <w:rsid w:val="009737A3"/>
    <w:rPr>
      <w:rFonts w:ascii="Arial Narrow" w:eastAsiaTheme="minorHAnsi" w:hAnsi="Arial Narrow" w:cs="Arial"/>
      <w:sz w:val="18"/>
      <w:szCs w:val="18"/>
      <w:lang w:eastAsia="en-US"/>
    </w:rPr>
  </w:style>
  <w:style w:type="paragraph" w:customStyle="1" w:styleId="PbacTabletoprow">
    <w:name w:val="Pbac Table top row"/>
    <w:basedOn w:val="PBACTableText"/>
    <w:rsid w:val="00EE5D61"/>
    <w:rPr>
      <w:rFonts w:eastAsiaTheme="minorHAnsi" w:cs="Arial"/>
      <w:b/>
    </w:rPr>
  </w:style>
  <w:style w:type="table" w:styleId="TableGridLight">
    <w:name w:val="Grid Table Light"/>
    <w:basedOn w:val="TableNormal"/>
    <w:uiPriority w:val="40"/>
    <w:rsid w:val="00EE5D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bacTableHeading">
    <w:name w:val="Pbac Table Heading"/>
    <w:basedOn w:val="PBACTableText"/>
    <w:qFormat/>
    <w:rsid w:val="00EC19DA"/>
    <w:pPr>
      <w:spacing w:before="0" w:after="80"/>
    </w:pPr>
    <w:rPr>
      <w:rFonts w:eastAsiaTheme="minorHAnsi" w:cs="Arial"/>
      <w:b/>
    </w:rPr>
  </w:style>
  <w:style w:type="paragraph" w:customStyle="1" w:styleId="PBACTabletext0">
    <w:name w:val="PBAC Table text"/>
    <w:basedOn w:val="Normal"/>
    <w:link w:val="PBACTabletextChar0"/>
    <w:rsid w:val="00563850"/>
    <w:pPr>
      <w:widowControl/>
      <w:spacing w:before="40" w:after="40"/>
      <w:jc w:val="left"/>
    </w:pPr>
    <w:rPr>
      <w:rFonts w:ascii="Arial Narrow" w:eastAsiaTheme="minorHAnsi" w:hAnsi="Arial Narrow"/>
      <w:snapToGrid/>
      <w:sz w:val="20"/>
      <w:szCs w:val="20"/>
    </w:rPr>
  </w:style>
  <w:style w:type="character" w:customStyle="1" w:styleId="PBACTabletextChar0">
    <w:name w:val="PBAC Table text Char"/>
    <w:basedOn w:val="DefaultParagraphFont"/>
    <w:link w:val="PBACTabletext0"/>
    <w:rsid w:val="00563850"/>
    <w:rPr>
      <w:rFonts w:ascii="Arial Narrow" w:eastAsiaTheme="minorHAnsi" w:hAnsi="Arial Narrow" w:cs="Arial"/>
      <w:lang w:eastAsia="en-US"/>
    </w:rPr>
  </w:style>
  <w:style w:type="paragraph" w:customStyle="1" w:styleId="Dash">
    <w:name w:val="Dash"/>
    <w:basedOn w:val="Normal"/>
    <w:rsid w:val="00DD38F1"/>
    <w:pPr>
      <w:widowControl/>
      <w:numPr>
        <w:numId w:val="8"/>
      </w:numPr>
      <w:tabs>
        <w:tab w:val="num" w:pos="360"/>
      </w:tabs>
      <w:spacing w:after="40"/>
      <w:ind w:left="714" w:hanging="357"/>
      <w:jc w:val="left"/>
    </w:pPr>
    <w:rPr>
      <w:rFonts w:asciiTheme="minorHAnsi" w:eastAsiaTheme="minorHAnsi" w:hAnsiTheme="minorHAnsi" w:cstheme="minorBidi"/>
      <w:snapToGrid/>
      <w:sz w:val="22"/>
    </w:rPr>
  </w:style>
  <w:style w:type="paragraph" w:customStyle="1" w:styleId="TableParagraph">
    <w:name w:val="Table Paragraph"/>
    <w:basedOn w:val="Normal"/>
    <w:uiPriority w:val="1"/>
    <w:qFormat/>
    <w:rsid w:val="00B61933"/>
    <w:pPr>
      <w:autoSpaceDE w:val="0"/>
      <w:autoSpaceDN w:val="0"/>
      <w:ind w:left="107"/>
      <w:jc w:val="left"/>
    </w:pPr>
    <w:rPr>
      <w:rFonts w:eastAsia="Calibri" w:cs="Calibri"/>
      <w:snapToGrid/>
      <w:sz w:val="22"/>
      <w:lang w:val="en-US" w:bidi="en-US"/>
    </w:rPr>
  </w:style>
  <w:style w:type="paragraph" w:customStyle="1" w:styleId="PBACcaption">
    <w:name w:val="PBAC caption"/>
    <w:basedOn w:val="PBACtablecaption"/>
    <w:link w:val="PBACcaptionChar"/>
    <w:qFormat/>
    <w:rsid w:val="00E4340D"/>
    <w:pPr>
      <w:spacing w:before="0" w:after="0"/>
      <w:ind w:left="1440" w:hanging="1440"/>
    </w:pPr>
  </w:style>
  <w:style w:type="character" w:customStyle="1" w:styleId="PBACcaptionChar">
    <w:name w:val="PBAC caption Char"/>
    <w:basedOn w:val="PBACtablecaptionChar"/>
    <w:link w:val="PBACcaption"/>
    <w:rsid w:val="00E4340D"/>
    <w:rPr>
      <w:rFonts w:ascii="Sabon" w:eastAsiaTheme="minorHAnsi" w:hAnsi="Sabon" w:cs="Arial"/>
      <w:b/>
      <w:sz w:val="22"/>
      <w:szCs w:val="22"/>
      <w:lang w:eastAsia="en-US"/>
    </w:rPr>
  </w:style>
  <w:style w:type="character" w:styleId="Strong">
    <w:name w:val="Strong"/>
    <w:basedOn w:val="DefaultParagraphFont"/>
    <w:uiPriority w:val="22"/>
    <w:qFormat/>
    <w:rsid w:val="006D779C"/>
    <w:rPr>
      <w:b/>
      <w:bCs/>
    </w:rPr>
  </w:style>
  <w:style w:type="character" w:customStyle="1" w:styleId="UnresolvedMention1">
    <w:name w:val="Unresolved Mention1"/>
    <w:basedOn w:val="DefaultParagraphFont"/>
    <w:uiPriority w:val="99"/>
    <w:semiHidden/>
    <w:unhideWhenUsed/>
    <w:rsid w:val="006357BA"/>
    <w:rPr>
      <w:color w:val="605E5C"/>
      <w:shd w:val="clear" w:color="auto" w:fill="E1DFDD"/>
    </w:rPr>
  </w:style>
  <w:style w:type="paragraph" w:customStyle="1" w:styleId="Default">
    <w:name w:val="Default"/>
    <w:rsid w:val="00854C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8802">
      <w:bodyDiv w:val="1"/>
      <w:marLeft w:val="0"/>
      <w:marRight w:val="0"/>
      <w:marTop w:val="0"/>
      <w:marBottom w:val="0"/>
      <w:divBdr>
        <w:top w:val="none" w:sz="0" w:space="0" w:color="auto"/>
        <w:left w:val="none" w:sz="0" w:space="0" w:color="auto"/>
        <w:bottom w:val="none" w:sz="0" w:space="0" w:color="auto"/>
        <w:right w:val="none" w:sz="0" w:space="0" w:color="auto"/>
      </w:divBdr>
    </w:div>
    <w:div w:id="121776154">
      <w:bodyDiv w:val="1"/>
      <w:marLeft w:val="0"/>
      <w:marRight w:val="0"/>
      <w:marTop w:val="0"/>
      <w:marBottom w:val="0"/>
      <w:divBdr>
        <w:top w:val="none" w:sz="0" w:space="0" w:color="auto"/>
        <w:left w:val="none" w:sz="0" w:space="0" w:color="auto"/>
        <w:bottom w:val="none" w:sz="0" w:space="0" w:color="auto"/>
        <w:right w:val="none" w:sz="0" w:space="0" w:color="auto"/>
      </w:divBdr>
    </w:div>
    <w:div w:id="414596895">
      <w:bodyDiv w:val="1"/>
      <w:marLeft w:val="0"/>
      <w:marRight w:val="0"/>
      <w:marTop w:val="0"/>
      <w:marBottom w:val="0"/>
      <w:divBdr>
        <w:top w:val="none" w:sz="0" w:space="0" w:color="auto"/>
        <w:left w:val="none" w:sz="0" w:space="0" w:color="auto"/>
        <w:bottom w:val="none" w:sz="0" w:space="0" w:color="auto"/>
        <w:right w:val="none" w:sz="0" w:space="0" w:color="auto"/>
      </w:divBdr>
    </w:div>
    <w:div w:id="706639382">
      <w:bodyDiv w:val="1"/>
      <w:marLeft w:val="0"/>
      <w:marRight w:val="0"/>
      <w:marTop w:val="0"/>
      <w:marBottom w:val="0"/>
      <w:divBdr>
        <w:top w:val="none" w:sz="0" w:space="0" w:color="auto"/>
        <w:left w:val="none" w:sz="0" w:space="0" w:color="auto"/>
        <w:bottom w:val="none" w:sz="0" w:space="0" w:color="auto"/>
        <w:right w:val="none" w:sz="0" w:space="0" w:color="auto"/>
      </w:divBdr>
    </w:div>
    <w:div w:id="994838453">
      <w:bodyDiv w:val="1"/>
      <w:marLeft w:val="0"/>
      <w:marRight w:val="0"/>
      <w:marTop w:val="0"/>
      <w:marBottom w:val="0"/>
      <w:divBdr>
        <w:top w:val="none" w:sz="0" w:space="0" w:color="auto"/>
        <w:left w:val="none" w:sz="0" w:space="0" w:color="auto"/>
        <w:bottom w:val="none" w:sz="0" w:space="0" w:color="auto"/>
        <w:right w:val="none" w:sz="0" w:space="0" w:color="auto"/>
      </w:divBdr>
    </w:div>
    <w:div w:id="1076902534">
      <w:bodyDiv w:val="1"/>
      <w:marLeft w:val="0"/>
      <w:marRight w:val="0"/>
      <w:marTop w:val="0"/>
      <w:marBottom w:val="0"/>
      <w:divBdr>
        <w:top w:val="none" w:sz="0" w:space="0" w:color="auto"/>
        <w:left w:val="none" w:sz="0" w:space="0" w:color="auto"/>
        <w:bottom w:val="none" w:sz="0" w:space="0" w:color="auto"/>
        <w:right w:val="none" w:sz="0" w:space="0" w:color="auto"/>
      </w:divBdr>
    </w:div>
    <w:div w:id="1393043194">
      <w:bodyDiv w:val="1"/>
      <w:marLeft w:val="0"/>
      <w:marRight w:val="0"/>
      <w:marTop w:val="0"/>
      <w:marBottom w:val="0"/>
      <w:divBdr>
        <w:top w:val="none" w:sz="0" w:space="0" w:color="auto"/>
        <w:left w:val="none" w:sz="0" w:space="0" w:color="auto"/>
        <w:bottom w:val="none" w:sz="0" w:space="0" w:color="auto"/>
        <w:right w:val="none" w:sz="0" w:space="0" w:color="auto"/>
      </w:divBdr>
    </w:div>
    <w:div w:id="1734501508">
      <w:bodyDiv w:val="1"/>
      <w:marLeft w:val="0"/>
      <w:marRight w:val="0"/>
      <w:marTop w:val="0"/>
      <w:marBottom w:val="0"/>
      <w:divBdr>
        <w:top w:val="none" w:sz="0" w:space="0" w:color="auto"/>
        <w:left w:val="none" w:sz="0" w:space="0" w:color="auto"/>
        <w:bottom w:val="none" w:sz="0" w:space="0" w:color="auto"/>
        <w:right w:val="none" w:sz="0" w:space="0" w:color="auto"/>
      </w:divBdr>
    </w:div>
    <w:div w:id="1892035997">
      <w:bodyDiv w:val="1"/>
      <w:marLeft w:val="0"/>
      <w:marRight w:val="0"/>
      <w:marTop w:val="0"/>
      <w:marBottom w:val="0"/>
      <w:divBdr>
        <w:top w:val="none" w:sz="0" w:space="0" w:color="auto"/>
        <w:left w:val="none" w:sz="0" w:space="0" w:color="auto"/>
        <w:bottom w:val="none" w:sz="0" w:space="0" w:color="auto"/>
        <w:right w:val="none" w:sz="0" w:space="0" w:color="auto"/>
      </w:divBdr>
    </w:div>
    <w:div w:id="20956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2E94-5012-4F66-ABD0-0233B27C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12294</Words>
  <Characters>73013</Characters>
  <Application>Microsoft Office Word</Application>
  <DocSecurity>0</DocSecurity>
  <Lines>608</Lines>
  <Paragraphs>170</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5.13	OFATUMUMAB,  Injection 20 mg in 0.4 mL single use pre-filled pen,  Kesimpta</vt:lpstr>
      <vt:lpstr>Purpose of Application</vt:lpstr>
      <vt:lpstr>Requested listing</vt:lpstr>
      <vt:lpstr>Background</vt:lpstr>
      <vt:lpstr>    Registration status</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Clinical claim</vt:lpstr>
      <vt:lpstr>    Economic analysis </vt:lpstr>
      <vt:lpstr>    Drug cost/patient/two years</vt:lpstr>
      <vt:lpstr>    Estimated PBS usage &amp; financial implications</vt:lpstr>
      <vt:lpstr>    Quality Use of Medicines</vt:lpstr>
      <vt:lpstr>    Financial Management – Risk Sharing Arrangements</vt:lpstr>
      <vt:lpstr>PBAC Outcome</vt:lpstr>
      <vt:lpstr>    Outcome:  Recommended</vt:lpstr>
      <vt:lpstr>Recommended listing</vt:lpstr>
      <vt:lpstr>Context for Decision</vt:lpstr>
      <vt:lpstr>Sponsor’s Comment</vt:lpstr>
      <vt:lpstr>Novartis welcomes the decision by the PBAC to recommend the PBS listing of ofatu</vt:lpstr>
    </vt:vector>
  </TitlesOfParts>
  <Company/>
  <LinksUpToDate>false</LinksUpToDate>
  <CharactersWithSpaces>85137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2021-06-30T03:19:00Z</dcterms:created>
  <dcterms:modified xsi:type="dcterms:W3CDTF">2021-06-30T03:21:00Z</dcterms:modified>
</cp:coreProperties>
</file>