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9F8" w:rsidRPr="002059F8" w:rsidRDefault="002059F8" w:rsidP="002059F8">
      <w:pPr>
        <w:pStyle w:val="PBACHeading1"/>
        <w:rPr>
          <w:sz w:val="36"/>
          <w:szCs w:val="36"/>
        </w:rPr>
      </w:pPr>
      <w:r w:rsidRPr="002059F8">
        <w:rPr>
          <w:sz w:val="36"/>
          <w:szCs w:val="36"/>
        </w:rPr>
        <w:t xml:space="preserve">6.08 </w:t>
      </w:r>
      <w:r w:rsidRPr="002059F8">
        <w:rPr>
          <w:sz w:val="36"/>
          <w:szCs w:val="36"/>
        </w:rPr>
        <w:tab/>
        <w:t>OLAPARIB</w:t>
      </w:r>
      <w:r w:rsidR="00F865DC">
        <w:rPr>
          <w:sz w:val="36"/>
          <w:szCs w:val="36"/>
        </w:rPr>
        <w:t>,</w:t>
      </w:r>
    </w:p>
    <w:p w:rsidR="002059F8" w:rsidRPr="002059F8" w:rsidRDefault="002059F8" w:rsidP="002059F8">
      <w:pPr>
        <w:pStyle w:val="PBACHeading1"/>
        <w:ind w:firstLine="130"/>
        <w:rPr>
          <w:sz w:val="36"/>
          <w:szCs w:val="36"/>
        </w:rPr>
      </w:pPr>
      <w:r w:rsidRPr="002059F8">
        <w:rPr>
          <w:sz w:val="36"/>
          <w:szCs w:val="36"/>
        </w:rPr>
        <w:t xml:space="preserve">Tablet 100 mg, </w:t>
      </w:r>
      <w:r w:rsidR="00AE6D2A">
        <w:rPr>
          <w:sz w:val="36"/>
          <w:szCs w:val="36"/>
        </w:rPr>
        <w:t xml:space="preserve">Tablet </w:t>
      </w:r>
      <w:r w:rsidRPr="002059F8">
        <w:rPr>
          <w:sz w:val="36"/>
          <w:szCs w:val="36"/>
        </w:rPr>
        <w:t>150 mg</w:t>
      </w:r>
    </w:p>
    <w:p w:rsidR="002059F8" w:rsidRPr="002059F8" w:rsidRDefault="002059F8" w:rsidP="002059F8">
      <w:pPr>
        <w:pStyle w:val="PBACHeading1"/>
        <w:rPr>
          <w:sz w:val="36"/>
          <w:szCs w:val="36"/>
        </w:rPr>
      </w:pPr>
      <w:r w:rsidRPr="002059F8">
        <w:rPr>
          <w:sz w:val="36"/>
          <w:szCs w:val="36"/>
        </w:rPr>
        <w:tab/>
      </w:r>
      <w:r>
        <w:rPr>
          <w:sz w:val="36"/>
          <w:szCs w:val="36"/>
        </w:rPr>
        <w:tab/>
      </w:r>
      <w:proofErr w:type="spellStart"/>
      <w:r w:rsidRPr="002059F8">
        <w:rPr>
          <w:sz w:val="36"/>
          <w:szCs w:val="36"/>
        </w:rPr>
        <w:t>Lynparza</w:t>
      </w:r>
      <w:proofErr w:type="spellEnd"/>
      <w:r w:rsidRPr="002059F8">
        <w:rPr>
          <w:rFonts w:cstheme="minorHAnsi"/>
          <w:sz w:val="36"/>
          <w:szCs w:val="36"/>
        </w:rPr>
        <w:t>®</w:t>
      </w:r>
    </w:p>
    <w:p w:rsidR="002059F8" w:rsidRPr="002059F8" w:rsidRDefault="002059F8" w:rsidP="002059F8">
      <w:pPr>
        <w:pStyle w:val="PBACHeading1"/>
        <w:ind w:firstLine="130"/>
        <w:rPr>
          <w:sz w:val="36"/>
          <w:szCs w:val="36"/>
        </w:rPr>
      </w:pPr>
      <w:r w:rsidRPr="002059F8">
        <w:rPr>
          <w:sz w:val="36"/>
          <w:szCs w:val="36"/>
        </w:rPr>
        <w:t>AstraZeneca Pty Ltd</w:t>
      </w:r>
    </w:p>
    <w:p w:rsidR="00C31220" w:rsidRPr="00BE056E" w:rsidRDefault="00C31220" w:rsidP="00E805F7">
      <w:pPr>
        <w:pStyle w:val="PBACESHeading1"/>
        <w:numPr>
          <w:ilvl w:val="0"/>
          <w:numId w:val="12"/>
        </w:numPr>
      </w:pPr>
      <w:bookmarkStart w:id="0" w:name="_Toc58779747"/>
      <w:bookmarkStart w:id="1" w:name="_Toc62027833"/>
      <w:r w:rsidRPr="00BE056E">
        <w:t>Purpose of submission</w:t>
      </w:r>
      <w:bookmarkEnd w:id="0"/>
      <w:bookmarkEnd w:id="1"/>
    </w:p>
    <w:p w:rsidR="00C31220" w:rsidRPr="00BE056E" w:rsidRDefault="0065509E" w:rsidP="00C31220">
      <w:pPr>
        <w:pStyle w:val="ListParagraph"/>
      </w:pPr>
      <w:r>
        <w:t xml:space="preserve">The submission </w:t>
      </w:r>
      <w:r w:rsidR="00C31220" w:rsidRPr="00BE056E">
        <w:t>request</w:t>
      </w:r>
      <w:r>
        <w:t>ed</w:t>
      </w:r>
      <w:r w:rsidR="00C31220" w:rsidRPr="00BE056E">
        <w:t xml:space="preserve"> MBS listing of </w:t>
      </w:r>
      <w:r w:rsidR="00C31220" w:rsidRPr="00BE056E">
        <w:rPr>
          <w:i/>
          <w:iCs/>
        </w:rPr>
        <w:t>BRCA</w:t>
      </w:r>
      <w:r w:rsidR="00C31220" w:rsidRPr="000D611B">
        <w:rPr>
          <w:i/>
          <w:iCs/>
        </w:rPr>
        <w:t xml:space="preserve">1/2 </w:t>
      </w:r>
      <w:r w:rsidR="00C31220" w:rsidRPr="00BE056E">
        <w:t>pathogenic gene variant test</w:t>
      </w:r>
      <w:r w:rsidR="004A0051">
        <w:t>ing</w:t>
      </w:r>
      <w:r w:rsidR="00C31220" w:rsidRPr="00BE056E">
        <w:t xml:space="preserve"> and PBS listing of </w:t>
      </w:r>
      <w:proofErr w:type="spellStart"/>
      <w:r w:rsidR="00C31220" w:rsidRPr="00BE056E">
        <w:t>olaparib</w:t>
      </w:r>
      <w:proofErr w:type="spellEnd"/>
      <w:r w:rsidR="00C31220" w:rsidRPr="00BE056E">
        <w:t xml:space="preserve"> for the targeted treatment of metastatic castration resistant prostate cancer (</w:t>
      </w:r>
      <w:proofErr w:type="spellStart"/>
      <w:r w:rsidR="00C31220" w:rsidRPr="00BE056E">
        <w:t>mCRPC</w:t>
      </w:r>
      <w:proofErr w:type="spellEnd"/>
      <w:r w:rsidR="00C31220" w:rsidRPr="00BE056E">
        <w:t>).</w:t>
      </w:r>
    </w:p>
    <w:p w:rsidR="00C31220" w:rsidRPr="00BE056E" w:rsidRDefault="00C31220" w:rsidP="00C31220">
      <w:pPr>
        <w:pStyle w:val="ListParagraph"/>
      </w:pPr>
      <w:r w:rsidRPr="00BE056E">
        <w:t xml:space="preserve">Listing was requested on the basis of a cost-utility analysis versus </w:t>
      </w:r>
      <w:r w:rsidR="001771F0" w:rsidRPr="00BE056E">
        <w:t xml:space="preserve">either abiraterone or enzalutamide as </w:t>
      </w:r>
      <w:r w:rsidRPr="00BE056E">
        <w:t xml:space="preserve">novel hormonal agents (NHAs). </w:t>
      </w:r>
      <w:r w:rsidR="00D01CDA" w:rsidRPr="00BE056E">
        <w:t>Th</w:t>
      </w:r>
      <w:r w:rsidRPr="00BE056E">
        <w:t>e key components of the clinical issue addressed by the submission</w:t>
      </w:r>
      <w:r w:rsidR="00027C36">
        <w:t xml:space="preserve"> are presented in Table 1.</w:t>
      </w:r>
    </w:p>
    <w:p w:rsidR="00C31220" w:rsidRPr="00BE056E" w:rsidRDefault="00C31220" w:rsidP="0088177D">
      <w:pPr>
        <w:pStyle w:val="Caption"/>
      </w:pPr>
      <w:r w:rsidRPr="00BE056E">
        <w:t xml:space="preserve">Table </w:t>
      </w:r>
      <w:r w:rsidR="00CD4B9C">
        <w:rPr>
          <w:noProof/>
        </w:rPr>
        <w:t>1</w:t>
      </w:r>
      <w:r w:rsidR="00781284">
        <w:rPr>
          <w:noProof/>
        </w:rPr>
        <w:t>:</w:t>
      </w:r>
      <w:r w:rsidRPr="00BE056E">
        <w:tab/>
        <w:t>Key components of the clinical issue addressed by the submission</w:t>
      </w:r>
    </w:p>
    <w:tbl>
      <w:tblPr>
        <w:tblStyle w:val="PBACTableStyle"/>
        <w:tblW w:w="0" w:type="auto"/>
        <w:tblLook w:val="04A0" w:firstRow="1" w:lastRow="0" w:firstColumn="1" w:lastColumn="0" w:noHBand="0" w:noVBand="1"/>
        <w:tblCaption w:val="Table 1: Key components of the clinical issue addressed by the submission"/>
      </w:tblPr>
      <w:tblGrid>
        <w:gridCol w:w="1271"/>
        <w:gridCol w:w="7745"/>
      </w:tblGrid>
      <w:tr w:rsidR="00C31220" w:rsidRPr="00BE056E" w:rsidTr="004251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vAlign w:val="bottom"/>
          </w:tcPr>
          <w:p w:rsidR="00C31220" w:rsidRPr="00BE056E" w:rsidRDefault="00C31220" w:rsidP="0088177D">
            <w:pPr>
              <w:pStyle w:val="TableText"/>
              <w:keepNext/>
              <w:keepLines/>
              <w:spacing w:before="0" w:after="0" w:line="240" w:lineRule="auto"/>
            </w:pPr>
            <w:r w:rsidRPr="00BE056E">
              <w:t>Component</w:t>
            </w:r>
          </w:p>
        </w:tc>
        <w:tc>
          <w:tcPr>
            <w:tcW w:w="7745" w:type="dxa"/>
            <w:vAlign w:val="bottom"/>
          </w:tcPr>
          <w:p w:rsidR="00C31220" w:rsidRPr="00BE056E" w:rsidRDefault="00C31220" w:rsidP="0088177D">
            <w:pPr>
              <w:pStyle w:val="TableText"/>
              <w:keepNext/>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BE056E">
              <w:t>Description</w:t>
            </w:r>
          </w:p>
        </w:tc>
      </w:tr>
      <w:tr w:rsidR="00C31220" w:rsidRPr="00BE056E" w:rsidTr="00750CE1">
        <w:tc>
          <w:tcPr>
            <w:cnfStyle w:val="001000000000" w:firstRow="0" w:lastRow="0" w:firstColumn="1" w:lastColumn="0" w:oddVBand="0" w:evenVBand="0" w:oddHBand="0" w:evenHBand="0" w:firstRowFirstColumn="0" w:firstRowLastColumn="0" w:lastRowFirstColumn="0" w:lastRowLastColumn="0"/>
            <w:tcW w:w="1271" w:type="dxa"/>
          </w:tcPr>
          <w:p w:rsidR="00C31220" w:rsidRPr="00BE056E" w:rsidRDefault="00C31220" w:rsidP="0088177D">
            <w:pPr>
              <w:pStyle w:val="TableText"/>
              <w:keepNext/>
              <w:keepLines/>
              <w:spacing w:before="0" w:after="0" w:line="240" w:lineRule="auto"/>
            </w:pPr>
            <w:r w:rsidRPr="00BE056E">
              <w:t>Population</w:t>
            </w:r>
          </w:p>
        </w:tc>
        <w:tc>
          <w:tcPr>
            <w:tcW w:w="7745" w:type="dxa"/>
          </w:tcPr>
          <w:p w:rsidR="00C31220" w:rsidRPr="00A673D0" w:rsidRDefault="00C31220" w:rsidP="0088177D">
            <w:pPr>
              <w:pStyle w:val="TableText"/>
              <w:keepNext/>
              <w:keepLines/>
              <w:spacing w:before="0" w:after="0" w:line="240" w:lineRule="auto"/>
              <w:cnfStyle w:val="000000000000" w:firstRow="0" w:lastRow="0" w:firstColumn="0" w:lastColumn="0" w:oddVBand="0" w:evenVBand="0" w:oddHBand="0" w:evenHBand="0" w:firstRowFirstColumn="0" w:firstRowLastColumn="0" w:lastRowFirstColumn="0" w:lastRowLastColumn="0"/>
              <w:rPr>
                <w:color w:val="auto"/>
              </w:rPr>
            </w:pPr>
            <w:r w:rsidRPr="00A673D0">
              <w:rPr>
                <w:color w:val="auto"/>
                <w:u w:val="single"/>
              </w:rPr>
              <w:t>Test</w:t>
            </w:r>
            <w:r w:rsidRPr="00A673D0">
              <w:rPr>
                <w:color w:val="auto"/>
              </w:rPr>
              <w:t>: Patients diagnosed with metastatic castration-resistant prostate cancer (</w:t>
            </w:r>
            <w:proofErr w:type="spellStart"/>
            <w:r w:rsidRPr="00A673D0">
              <w:rPr>
                <w:color w:val="auto"/>
              </w:rPr>
              <w:t>mCRPC</w:t>
            </w:r>
            <w:proofErr w:type="spellEnd"/>
            <w:r w:rsidRPr="00A673D0">
              <w:rPr>
                <w:color w:val="auto"/>
              </w:rPr>
              <w:t>).</w:t>
            </w:r>
          </w:p>
          <w:p w:rsidR="00C31220" w:rsidRPr="00A673D0" w:rsidRDefault="00C31220" w:rsidP="0088177D">
            <w:pPr>
              <w:pStyle w:val="TableText"/>
              <w:keepNext/>
              <w:keepLines/>
              <w:spacing w:before="0" w:after="0" w:line="240" w:lineRule="auto"/>
              <w:cnfStyle w:val="000000000000" w:firstRow="0" w:lastRow="0" w:firstColumn="0" w:lastColumn="0" w:oddVBand="0" w:evenVBand="0" w:oddHBand="0" w:evenHBand="0" w:firstRowFirstColumn="0" w:firstRowLastColumn="0" w:lastRowFirstColumn="0" w:lastRowLastColumn="0"/>
              <w:rPr>
                <w:color w:val="auto"/>
              </w:rPr>
            </w:pPr>
            <w:r w:rsidRPr="00A673D0">
              <w:rPr>
                <w:color w:val="auto"/>
                <w:u w:val="single"/>
              </w:rPr>
              <w:t>Medicine</w:t>
            </w:r>
            <w:r w:rsidRPr="00A673D0">
              <w:rPr>
                <w:color w:val="auto"/>
              </w:rPr>
              <w:t xml:space="preserve">: Patients with </w:t>
            </w:r>
            <w:proofErr w:type="spellStart"/>
            <w:r w:rsidRPr="00A673D0">
              <w:rPr>
                <w:color w:val="auto"/>
              </w:rPr>
              <w:t>mCRPC</w:t>
            </w:r>
            <w:proofErr w:type="spellEnd"/>
            <w:r w:rsidRPr="00A673D0">
              <w:rPr>
                <w:color w:val="auto"/>
              </w:rPr>
              <w:t xml:space="preserve"> who have failed first- or second-line physician choice of NHA treatment and have pathogenic or likely pathogenic </w:t>
            </w:r>
            <w:r w:rsidRPr="00A673D0">
              <w:rPr>
                <w:i/>
                <w:iCs/>
                <w:color w:val="auto"/>
              </w:rPr>
              <w:t>BRCA1/2</w:t>
            </w:r>
            <w:r w:rsidRPr="00A673D0">
              <w:rPr>
                <w:color w:val="auto"/>
              </w:rPr>
              <w:t xml:space="preserve"> gene variants in tumour tissue.</w:t>
            </w:r>
          </w:p>
        </w:tc>
      </w:tr>
      <w:tr w:rsidR="00C31220" w:rsidRPr="00BE056E" w:rsidTr="00750CE1">
        <w:tc>
          <w:tcPr>
            <w:cnfStyle w:val="001000000000" w:firstRow="0" w:lastRow="0" w:firstColumn="1" w:lastColumn="0" w:oddVBand="0" w:evenVBand="0" w:oddHBand="0" w:evenHBand="0" w:firstRowFirstColumn="0" w:firstRowLastColumn="0" w:lastRowFirstColumn="0" w:lastRowLastColumn="0"/>
            <w:tcW w:w="1271" w:type="dxa"/>
          </w:tcPr>
          <w:p w:rsidR="00C31220" w:rsidRPr="00BE056E" w:rsidRDefault="00C31220" w:rsidP="0088177D">
            <w:pPr>
              <w:pStyle w:val="TableText"/>
              <w:keepNext/>
              <w:keepLines/>
              <w:spacing w:before="0" w:after="0" w:line="240" w:lineRule="auto"/>
            </w:pPr>
            <w:r w:rsidRPr="00BE056E">
              <w:t>Intervention</w:t>
            </w:r>
          </w:p>
        </w:tc>
        <w:tc>
          <w:tcPr>
            <w:tcW w:w="7745" w:type="dxa"/>
          </w:tcPr>
          <w:p w:rsidR="00C31220" w:rsidRPr="00A673D0" w:rsidRDefault="00C31220" w:rsidP="0088177D">
            <w:pPr>
              <w:keepNext/>
              <w:keepLines/>
              <w:spacing w:before="0"/>
              <w:jc w:val="left"/>
              <w:cnfStyle w:val="000000000000" w:firstRow="0" w:lastRow="0" w:firstColumn="0" w:lastColumn="0" w:oddVBand="0" w:evenVBand="0" w:oddHBand="0" w:evenHBand="0" w:firstRowFirstColumn="0" w:firstRowLastColumn="0" w:lastRowFirstColumn="0" w:lastRowLastColumn="0"/>
              <w:rPr>
                <w:color w:val="auto"/>
                <w:sz w:val="20"/>
              </w:rPr>
            </w:pPr>
            <w:r w:rsidRPr="00A673D0">
              <w:rPr>
                <w:color w:val="auto"/>
                <w:sz w:val="20"/>
                <w:u w:val="single"/>
              </w:rPr>
              <w:t>Test</w:t>
            </w:r>
            <w:r w:rsidRPr="00A673D0">
              <w:rPr>
                <w:color w:val="auto"/>
                <w:sz w:val="20"/>
              </w:rPr>
              <w:t xml:space="preserve">: Testing of metastatic tumour tissue to detect pathogenic </w:t>
            </w:r>
            <w:r w:rsidRPr="00A673D0">
              <w:rPr>
                <w:i/>
                <w:iCs/>
                <w:color w:val="auto"/>
                <w:sz w:val="20"/>
              </w:rPr>
              <w:t>BRCA1/2</w:t>
            </w:r>
            <w:r w:rsidRPr="00A673D0">
              <w:rPr>
                <w:color w:val="auto"/>
                <w:sz w:val="20"/>
              </w:rPr>
              <w:t xml:space="preserve"> gene variants, </w:t>
            </w:r>
            <w:r w:rsidRPr="00A673D0">
              <w:rPr>
                <w:iCs/>
                <w:color w:val="auto"/>
                <w:sz w:val="20"/>
              </w:rPr>
              <w:t>or use of germline testing if tumour testing is not feasible</w:t>
            </w:r>
            <w:r w:rsidRPr="00A673D0">
              <w:rPr>
                <w:color w:val="auto"/>
                <w:sz w:val="20"/>
              </w:rPr>
              <w:t xml:space="preserve">, to determine eligibility for </w:t>
            </w:r>
            <w:proofErr w:type="spellStart"/>
            <w:r w:rsidRPr="00A673D0">
              <w:rPr>
                <w:color w:val="auto"/>
                <w:sz w:val="20"/>
              </w:rPr>
              <w:t>olaparib</w:t>
            </w:r>
            <w:proofErr w:type="spellEnd"/>
            <w:r w:rsidRPr="00A673D0">
              <w:rPr>
                <w:color w:val="auto"/>
                <w:sz w:val="20"/>
              </w:rPr>
              <w:t>; germline</w:t>
            </w:r>
            <w:r w:rsidRPr="00A673D0">
              <w:rPr>
                <w:i/>
                <w:color w:val="auto"/>
                <w:sz w:val="20"/>
              </w:rPr>
              <w:t xml:space="preserve"> BRCA</w:t>
            </w:r>
            <w:r w:rsidRPr="00A673D0">
              <w:rPr>
                <w:color w:val="auto"/>
                <w:sz w:val="20"/>
              </w:rPr>
              <w:t xml:space="preserve"> testing will be offered to patients </w:t>
            </w:r>
            <w:r w:rsidRPr="00A673D0">
              <w:rPr>
                <w:iCs/>
                <w:color w:val="auto"/>
                <w:sz w:val="20"/>
              </w:rPr>
              <w:t>when a pathogenic or likely pathogenic gene variant has been identified</w:t>
            </w:r>
            <w:r w:rsidRPr="00A673D0">
              <w:rPr>
                <w:color w:val="auto"/>
                <w:sz w:val="20"/>
              </w:rPr>
              <w:t xml:space="preserve"> </w:t>
            </w:r>
            <w:r w:rsidRPr="00A673D0">
              <w:rPr>
                <w:iCs/>
                <w:color w:val="auto"/>
                <w:sz w:val="20"/>
              </w:rPr>
              <w:t>in a tumour tissue test.</w:t>
            </w:r>
          </w:p>
          <w:p w:rsidR="00C31220" w:rsidRPr="00A673D0" w:rsidRDefault="00C31220" w:rsidP="0088177D">
            <w:pPr>
              <w:pStyle w:val="TableText"/>
              <w:keepNext/>
              <w:keepLines/>
              <w:spacing w:before="0" w:after="0" w:line="240" w:lineRule="auto"/>
              <w:cnfStyle w:val="000000000000" w:firstRow="0" w:lastRow="0" w:firstColumn="0" w:lastColumn="0" w:oddVBand="0" w:evenVBand="0" w:oddHBand="0" w:evenHBand="0" w:firstRowFirstColumn="0" w:firstRowLastColumn="0" w:lastRowFirstColumn="0" w:lastRowLastColumn="0"/>
              <w:rPr>
                <w:color w:val="auto"/>
              </w:rPr>
            </w:pPr>
            <w:r w:rsidRPr="00A673D0">
              <w:rPr>
                <w:color w:val="auto"/>
                <w:u w:val="single"/>
              </w:rPr>
              <w:t>Medicine</w:t>
            </w:r>
            <w:r w:rsidRPr="00A673D0">
              <w:rPr>
                <w:color w:val="auto"/>
              </w:rPr>
              <w:t xml:space="preserve">: </w:t>
            </w:r>
            <w:proofErr w:type="spellStart"/>
            <w:r w:rsidRPr="00A673D0">
              <w:rPr>
                <w:color w:val="auto"/>
              </w:rPr>
              <w:t>Olaparib</w:t>
            </w:r>
            <w:proofErr w:type="spellEnd"/>
            <w:r w:rsidRPr="00A673D0">
              <w:rPr>
                <w:color w:val="auto"/>
              </w:rPr>
              <w:t xml:space="preserve"> 300</w:t>
            </w:r>
            <w:r w:rsidR="005139AD" w:rsidRPr="00A673D0">
              <w:rPr>
                <w:color w:val="auto"/>
              </w:rPr>
              <w:t xml:space="preserve"> </w:t>
            </w:r>
            <w:r w:rsidRPr="00A673D0">
              <w:rPr>
                <w:color w:val="auto"/>
              </w:rPr>
              <w:t>mg (2×150</w:t>
            </w:r>
            <w:r w:rsidR="00E03CDB" w:rsidRPr="00A673D0">
              <w:rPr>
                <w:color w:val="auto"/>
              </w:rPr>
              <w:t xml:space="preserve"> </w:t>
            </w:r>
            <w:r w:rsidRPr="00A673D0">
              <w:rPr>
                <w:color w:val="auto"/>
              </w:rPr>
              <w:t>mg) twice daily (total dose 600</w:t>
            </w:r>
            <w:r w:rsidR="00E03CDB" w:rsidRPr="00A673D0">
              <w:rPr>
                <w:color w:val="auto"/>
              </w:rPr>
              <w:t xml:space="preserve"> </w:t>
            </w:r>
            <w:r w:rsidRPr="00A673D0">
              <w:rPr>
                <w:color w:val="auto"/>
              </w:rPr>
              <w:t xml:space="preserve">mg/day) for patients found to be positive for a selected </w:t>
            </w:r>
            <w:r w:rsidRPr="00A673D0">
              <w:rPr>
                <w:i/>
                <w:iCs/>
                <w:color w:val="auto"/>
              </w:rPr>
              <w:t>BRCA1/2</w:t>
            </w:r>
            <w:r w:rsidRPr="00A673D0">
              <w:rPr>
                <w:color w:val="auto"/>
              </w:rPr>
              <w:t xml:space="preserve"> gene variant after failed treatment </w:t>
            </w:r>
            <w:r w:rsidR="00027C36" w:rsidRPr="00A673D0">
              <w:rPr>
                <w:color w:val="auto"/>
              </w:rPr>
              <w:t>with physician’s choice of NHA.</w:t>
            </w:r>
          </w:p>
        </w:tc>
      </w:tr>
      <w:tr w:rsidR="00C31220" w:rsidRPr="00BE056E" w:rsidTr="00750CE1">
        <w:tc>
          <w:tcPr>
            <w:cnfStyle w:val="001000000000" w:firstRow="0" w:lastRow="0" w:firstColumn="1" w:lastColumn="0" w:oddVBand="0" w:evenVBand="0" w:oddHBand="0" w:evenHBand="0" w:firstRowFirstColumn="0" w:firstRowLastColumn="0" w:lastRowFirstColumn="0" w:lastRowLastColumn="0"/>
            <w:tcW w:w="1271" w:type="dxa"/>
          </w:tcPr>
          <w:p w:rsidR="00C31220" w:rsidRPr="00BE056E" w:rsidRDefault="00C31220" w:rsidP="0088177D">
            <w:pPr>
              <w:pStyle w:val="TableText"/>
              <w:keepNext/>
              <w:keepLines/>
              <w:spacing w:before="0" w:after="0" w:line="240" w:lineRule="auto"/>
            </w:pPr>
            <w:r w:rsidRPr="00BE056E">
              <w:t>Comparator</w:t>
            </w:r>
          </w:p>
        </w:tc>
        <w:tc>
          <w:tcPr>
            <w:tcW w:w="7745" w:type="dxa"/>
          </w:tcPr>
          <w:p w:rsidR="00C31220" w:rsidRPr="00A673D0" w:rsidRDefault="00C31220" w:rsidP="0088177D">
            <w:pPr>
              <w:pStyle w:val="TableText"/>
              <w:keepNext/>
              <w:keepLines/>
              <w:spacing w:before="0" w:after="0" w:line="240" w:lineRule="auto"/>
              <w:cnfStyle w:val="000000000000" w:firstRow="0" w:lastRow="0" w:firstColumn="0" w:lastColumn="0" w:oddVBand="0" w:evenVBand="0" w:oddHBand="0" w:evenHBand="0" w:firstRowFirstColumn="0" w:firstRowLastColumn="0" w:lastRowFirstColumn="0" w:lastRowLastColumn="0"/>
              <w:rPr>
                <w:color w:val="auto"/>
              </w:rPr>
            </w:pPr>
            <w:r w:rsidRPr="00A673D0">
              <w:rPr>
                <w:color w:val="auto"/>
                <w:u w:val="single"/>
              </w:rPr>
              <w:t>Test</w:t>
            </w:r>
            <w:r w:rsidRPr="00A673D0">
              <w:rPr>
                <w:color w:val="auto"/>
              </w:rPr>
              <w:t>: No genetic testing.</w:t>
            </w:r>
          </w:p>
          <w:p w:rsidR="00C31220" w:rsidRPr="00A673D0" w:rsidRDefault="00C31220" w:rsidP="0088177D">
            <w:pPr>
              <w:pStyle w:val="TableText"/>
              <w:keepNext/>
              <w:keepLines/>
              <w:spacing w:before="0" w:after="0" w:line="240" w:lineRule="auto"/>
              <w:cnfStyle w:val="000000000000" w:firstRow="0" w:lastRow="0" w:firstColumn="0" w:lastColumn="0" w:oddVBand="0" w:evenVBand="0" w:oddHBand="0" w:evenHBand="0" w:firstRowFirstColumn="0" w:firstRowLastColumn="0" w:lastRowFirstColumn="0" w:lastRowLastColumn="0"/>
              <w:rPr>
                <w:color w:val="auto"/>
              </w:rPr>
            </w:pPr>
            <w:r w:rsidRPr="00A673D0">
              <w:rPr>
                <w:color w:val="auto"/>
                <w:u w:val="single"/>
              </w:rPr>
              <w:t>Medicine</w:t>
            </w:r>
            <w:r w:rsidRPr="00A673D0">
              <w:rPr>
                <w:color w:val="auto"/>
              </w:rPr>
              <w:t>: physician’s choice of NHA in both second- and third-line patients.</w:t>
            </w:r>
          </w:p>
        </w:tc>
      </w:tr>
      <w:tr w:rsidR="00C31220" w:rsidRPr="00BE056E" w:rsidTr="00750CE1">
        <w:tc>
          <w:tcPr>
            <w:cnfStyle w:val="001000000000" w:firstRow="0" w:lastRow="0" w:firstColumn="1" w:lastColumn="0" w:oddVBand="0" w:evenVBand="0" w:oddHBand="0" w:evenHBand="0" w:firstRowFirstColumn="0" w:firstRowLastColumn="0" w:lastRowFirstColumn="0" w:lastRowLastColumn="0"/>
            <w:tcW w:w="1271" w:type="dxa"/>
          </w:tcPr>
          <w:p w:rsidR="00C31220" w:rsidRPr="00BE056E" w:rsidRDefault="00C31220" w:rsidP="0088177D">
            <w:pPr>
              <w:pStyle w:val="TableText"/>
              <w:keepNext/>
              <w:keepLines/>
              <w:spacing w:before="0" w:after="0" w:line="240" w:lineRule="auto"/>
            </w:pPr>
            <w:r w:rsidRPr="00BE056E">
              <w:t>Outcomes</w:t>
            </w:r>
          </w:p>
        </w:tc>
        <w:tc>
          <w:tcPr>
            <w:tcW w:w="7745" w:type="dxa"/>
          </w:tcPr>
          <w:p w:rsidR="00C31220" w:rsidRPr="00BE056E" w:rsidRDefault="00C31220" w:rsidP="0088177D">
            <w:pPr>
              <w:pStyle w:val="TableText"/>
              <w:keepNext/>
              <w:keepLines/>
              <w:spacing w:before="0" w:after="0" w:line="240" w:lineRule="auto"/>
              <w:cnfStyle w:val="000000000000" w:firstRow="0" w:lastRow="0" w:firstColumn="0" w:lastColumn="0" w:oddVBand="0" w:evenVBand="0" w:oddHBand="0" w:evenHBand="0" w:firstRowFirstColumn="0" w:firstRowLastColumn="0" w:lastRowFirstColumn="0" w:lastRowLastColumn="0"/>
            </w:pPr>
            <w:r w:rsidRPr="00BE056E">
              <w:t xml:space="preserve">OS, PFS, health-related </w:t>
            </w:r>
            <w:proofErr w:type="spellStart"/>
            <w:r w:rsidRPr="00BE056E">
              <w:t>QoL</w:t>
            </w:r>
            <w:proofErr w:type="spellEnd"/>
            <w:r w:rsidRPr="00BE056E">
              <w:t>, AEs (drug and test), analytical and clinical validity of test.</w:t>
            </w:r>
          </w:p>
        </w:tc>
      </w:tr>
      <w:tr w:rsidR="00C31220" w:rsidRPr="00BE056E" w:rsidTr="00750CE1">
        <w:tc>
          <w:tcPr>
            <w:cnfStyle w:val="001000000000" w:firstRow="0" w:lastRow="0" w:firstColumn="1" w:lastColumn="0" w:oddVBand="0" w:evenVBand="0" w:oddHBand="0" w:evenHBand="0" w:firstRowFirstColumn="0" w:firstRowLastColumn="0" w:lastRowFirstColumn="0" w:lastRowLastColumn="0"/>
            <w:tcW w:w="1271" w:type="dxa"/>
          </w:tcPr>
          <w:p w:rsidR="00C31220" w:rsidRPr="00BE056E" w:rsidRDefault="00C31220" w:rsidP="0088177D">
            <w:pPr>
              <w:pStyle w:val="TableText"/>
              <w:keepNext/>
              <w:keepLines/>
              <w:spacing w:before="0" w:after="0" w:line="240" w:lineRule="auto"/>
            </w:pPr>
            <w:r w:rsidRPr="00BE056E">
              <w:t>Clinical claim</w:t>
            </w:r>
          </w:p>
        </w:tc>
        <w:tc>
          <w:tcPr>
            <w:tcW w:w="7745" w:type="dxa"/>
          </w:tcPr>
          <w:p w:rsidR="00C31220" w:rsidRPr="00BE056E" w:rsidRDefault="00C31220" w:rsidP="0088177D">
            <w:pPr>
              <w:pStyle w:val="TableText"/>
              <w:keepNext/>
              <w:keepLines/>
              <w:spacing w:before="0" w:after="0" w:line="240" w:lineRule="auto"/>
              <w:cnfStyle w:val="000000000000" w:firstRow="0" w:lastRow="0" w:firstColumn="0" w:lastColumn="0" w:oddVBand="0" w:evenVBand="0" w:oddHBand="0" w:evenHBand="0" w:firstRowFirstColumn="0" w:firstRowLastColumn="0" w:lastRowFirstColumn="0" w:lastRowLastColumn="0"/>
            </w:pPr>
            <w:r w:rsidRPr="00BE056E">
              <w:t xml:space="preserve">For patients diagnosed with </w:t>
            </w:r>
            <w:proofErr w:type="spellStart"/>
            <w:r w:rsidRPr="00BE056E">
              <w:t>mCRPC</w:t>
            </w:r>
            <w:proofErr w:type="spellEnd"/>
            <w:r w:rsidRPr="00BE056E">
              <w:t xml:space="preserve"> who have failed first- or second-line NHA treatment and have a pathogenic or likely pathogenic </w:t>
            </w:r>
            <w:r w:rsidRPr="00BE056E">
              <w:rPr>
                <w:i/>
                <w:iCs/>
              </w:rPr>
              <w:t>BRCA</w:t>
            </w:r>
            <w:r w:rsidRPr="000D611B">
              <w:rPr>
                <w:i/>
                <w:iCs/>
              </w:rPr>
              <w:t>1/2</w:t>
            </w:r>
            <w:r w:rsidRPr="00BE056E">
              <w:t xml:space="preserve"> gene variant in tumour tissue or the germline, </w:t>
            </w:r>
            <w:proofErr w:type="spellStart"/>
            <w:r w:rsidRPr="00BE056E">
              <w:t>olaparib</w:t>
            </w:r>
            <w:proofErr w:type="spellEnd"/>
            <w:r w:rsidRPr="00BE056E">
              <w:t xml:space="preserve"> is superior in efficacy. Safety and tolerability in this population is consistent with the known safety and tolerability profile of </w:t>
            </w:r>
            <w:proofErr w:type="spellStart"/>
            <w:r w:rsidRPr="00BE056E">
              <w:t>olaparib</w:t>
            </w:r>
            <w:proofErr w:type="spellEnd"/>
            <w:r w:rsidRPr="00BE056E">
              <w:t>.</w:t>
            </w:r>
          </w:p>
        </w:tc>
      </w:tr>
    </w:tbl>
    <w:p w:rsidR="00C31220" w:rsidRPr="00BE056E" w:rsidRDefault="00C31220" w:rsidP="0088177D">
      <w:pPr>
        <w:pStyle w:val="TableFooter"/>
        <w:keepNext/>
        <w:keepLines/>
      </w:pPr>
      <w:r w:rsidRPr="00BE056E">
        <w:t>Source: Table 1-1, p24 of the submission.</w:t>
      </w:r>
    </w:p>
    <w:p w:rsidR="00C31220" w:rsidRPr="00BE056E" w:rsidRDefault="00C31220" w:rsidP="0088177D">
      <w:pPr>
        <w:pStyle w:val="TableFooter"/>
        <w:keepNext/>
        <w:keepLines/>
      </w:pPr>
      <w:r w:rsidRPr="00BE056E">
        <w:t>AE</w:t>
      </w:r>
      <w:r w:rsidR="005139AD">
        <w:t xml:space="preserve"> </w:t>
      </w:r>
      <w:r w:rsidRPr="00BE056E">
        <w:t>=</w:t>
      </w:r>
      <w:r w:rsidR="005139AD">
        <w:t xml:space="preserve"> </w:t>
      </w:r>
      <w:r w:rsidRPr="00BE056E">
        <w:t xml:space="preserve">adverse event; </w:t>
      </w:r>
      <w:r w:rsidRPr="00BE056E">
        <w:rPr>
          <w:i/>
          <w:iCs/>
          <w:szCs w:val="18"/>
        </w:rPr>
        <w:t>BRCA1/2</w:t>
      </w:r>
      <w:r w:rsidR="005139AD">
        <w:rPr>
          <w:i/>
          <w:iCs/>
          <w:szCs w:val="18"/>
        </w:rPr>
        <w:t xml:space="preserve"> </w:t>
      </w:r>
      <w:r w:rsidRPr="00BE056E">
        <w:rPr>
          <w:szCs w:val="18"/>
        </w:rPr>
        <w:t>=</w:t>
      </w:r>
      <w:r w:rsidR="005139AD">
        <w:rPr>
          <w:szCs w:val="18"/>
        </w:rPr>
        <w:t xml:space="preserve"> </w:t>
      </w:r>
      <w:r w:rsidRPr="00BE056E">
        <w:rPr>
          <w:szCs w:val="18"/>
        </w:rPr>
        <w:t>breast cancer genes 1 and 2</w:t>
      </w:r>
      <w:r w:rsidRPr="00BE056E">
        <w:rPr>
          <w:rFonts w:ascii="ArialNarrow" w:hAnsi="ArialNarrow"/>
          <w:szCs w:val="18"/>
        </w:rPr>
        <w:t xml:space="preserve">; </w:t>
      </w:r>
      <w:proofErr w:type="spellStart"/>
      <w:r w:rsidRPr="00BE056E">
        <w:t>mCRPC</w:t>
      </w:r>
      <w:proofErr w:type="spellEnd"/>
      <w:r w:rsidR="005139AD">
        <w:t xml:space="preserve"> </w:t>
      </w:r>
      <w:r w:rsidRPr="00BE056E">
        <w:t>=</w:t>
      </w:r>
      <w:r w:rsidR="005139AD">
        <w:t xml:space="preserve"> </w:t>
      </w:r>
      <w:r w:rsidRPr="00BE056E">
        <w:t>metastatic castration-resistant prostate cancer; NHA</w:t>
      </w:r>
      <w:r w:rsidR="005139AD">
        <w:t xml:space="preserve"> </w:t>
      </w:r>
      <w:r w:rsidRPr="00BE056E">
        <w:t>=</w:t>
      </w:r>
      <w:r w:rsidR="005139AD">
        <w:t xml:space="preserve"> </w:t>
      </w:r>
      <w:r w:rsidRPr="00BE056E">
        <w:t>novel hormonal agent; OS</w:t>
      </w:r>
      <w:r w:rsidR="005139AD">
        <w:t xml:space="preserve"> </w:t>
      </w:r>
      <w:r w:rsidRPr="00BE056E">
        <w:t>=</w:t>
      </w:r>
      <w:r w:rsidR="005139AD">
        <w:t xml:space="preserve"> </w:t>
      </w:r>
      <w:r w:rsidRPr="00BE056E">
        <w:t>overall survival; PFS</w:t>
      </w:r>
      <w:r w:rsidR="005139AD">
        <w:t xml:space="preserve"> </w:t>
      </w:r>
      <w:r w:rsidRPr="00BE056E">
        <w:t>=</w:t>
      </w:r>
      <w:r w:rsidR="005139AD">
        <w:t xml:space="preserve"> </w:t>
      </w:r>
      <w:r w:rsidRPr="00BE056E">
        <w:t xml:space="preserve">progression-free survival; </w:t>
      </w:r>
      <w:proofErr w:type="spellStart"/>
      <w:r w:rsidRPr="00BE056E">
        <w:t>QoL</w:t>
      </w:r>
      <w:proofErr w:type="spellEnd"/>
      <w:r w:rsidR="005139AD">
        <w:t xml:space="preserve"> </w:t>
      </w:r>
      <w:r w:rsidRPr="00BE056E">
        <w:t>=</w:t>
      </w:r>
      <w:r w:rsidR="005139AD">
        <w:t xml:space="preserve"> </w:t>
      </w:r>
      <w:r w:rsidRPr="00BE056E">
        <w:t>quality of life</w:t>
      </w:r>
      <w:r w:rsidR="00F80A08">
        <w:t>.</w:t>
      </w:r>
    </w:p>
    <w:p w:rsidR="00C31220" w:rsidRPr="0065509E" w:rsidRDefault="00C31220" w:rsidP="00C31220">
      <w:pPr>
        <w:pStyle w:val="ListParagraph"/>
        <w:rPr>
          <w:color w:val="auto"/>
        </w:rPr>
      </w:pPr>
      <w:r w:rsidRPr="00BE056E">
        <w:rPr>
          <w:color w:val="auto"/>
        </w:rPr>
        <w:t xml:space="preserve">The submission proposed that a diagnostic test to identify </w:t>
      </w:r>
      <w:r w:rsidRPr="00BE056E">
        <w:rPr>
          <w:i/>
          <w:color w:val="auto"/>
        </w:rPr>
        <w:t>BRCA1/2</w:t>
      </w:r>
      <w:r w:rsidRPr="00BE056E">
        <w:rPr>
          <w:color w:val="auto"/>
        </w:rPr>
        <w:t xml:space="preserve"> pathogenic gene variants occur at diagnosis of </w:t>
      </w:r>
      <w:proofErr w:type="spellStart"/>
      <w:r w:rsidRPr="00BE056E">
        <w:rPr>
          <w:color w:val="auto"/>
        </w:rPr>
        <w:t>mCRPC</w:t>
      </w:r>
      <w:proofErr w:type="spellEnd"/>
      <w:r w:rsidRPr="00BE056E">
        <w:rPr>
          <w:color w:val="auto"/>
        </w:rPr>
        <w:t xml:space="preserve">, with </w:t>
      </w:r>
      <w:proofErr w:type="spellStart"/>
      <w:r w:rsidRPr="00BE056E">
        <w:rPr>
          <w:color w:val="auto"/>
        </w:rPr>
        <w:t>olaparib</w:t>
      </w:r>
      <w:proofErr w:type="spellEnd"/>
      <w:r w:rsidRPr="00BE056E">
        <w:rPr>
          <w:color w:val="auto"/>
        </w:rPr>
        <w:t xml:space="preserve"> used as a second- or later-line treatment option</w:t>
      </w:r>
      <w:r w:rsidRPr="00BE056E">
        <w:t xml:space="preserve"> for </w:t>
      </w:r>
      <w:proofErr w:type="spellStart"/>
      <w:r w:rsidRPr="00BE056E">
        <w:t>mCRPC</w:t>
      </w:r>
      <w:proofErr w:type="spellEnd"/>
      <w:r w:rsidRPr="00BE056E">
        <w:t xml:space="preserve"> in patients who have failed NHA treatment</w:t>
      </w:r>
      <w:r w:rsidR="001771F0" w:rsidRPr="00BE056E">
        <w:t xml:space="preserve"> (i</w:t>
      </w:r>
      <w:r w:rsidR="006820DA" w:rsidRPr="00BE056E">
        <w:t>.</w:t>
      </w:r>
      <w:r w:rsidR="001771F0" w:rsidRPr="00BE056E">
        <w:t>e</w:t>
      </w:r>
      <w:r w:rsidR="006820DA" w:rsidRPr="00BE056E">
        <w:t>.</w:t>
      </w:r>
      <w:r w:rsidR="001771F0" w:rsidRPr="00BE056E">
        <w:t xml:space="preserve"> enzalutamide or abiraterone)</w:t>
      </w:r>
      <w:r w:rsidRPr="00BE056E">
        <w:rPr>
          <w:color w:val="auto"/>
        </w:rPr>
        <w:t xml:space="preserve">. </w:t>
      </w:r>
      <w:r w:rsidRPr="002059F8">
        <w:rPr>
          <w:iCs/>
          <w:color w:val="auto"/>
        </w:rPr>
        <w:t xml:space="preserve">There </w:t>
      </w:r>
      <w:r w:rsidR="00DE2BDD" w:rsidRPr="002059F8">
        <w:rPr>
          <w:iCs/>
          <w:color w:val="auto"/>
        </w:rPr>
        <w:t>is</w:t>
      </w:r>
      <w:r w:rsidRPr="002059F8">
        <w:rPr>
          <w:iCs/>
          <w:color w:val="auto"/>
        </w:rPr>
        <w:t xml:space="preserve"> no medicine </w:t>
      </w:r>
      <w:r w:rsidR="00DE2BDD" w:rsidRPr="002059F8">
        <w:rPr>
          <w:iCs/>
          <w:color w:val="auto"/>
        </w:rPr>
        <w:t xml:space="preserve">explicitly </w:t>
      </w:r>
      <w:r w:rsidRPr="002059F8">
        <w:rPr>
          <w:iCs/>
          <w:color w:val="auto"/>
        </w:rPr>
        <w:t xml:space="preserve">available on the PBS for </w:t>
      </w:r>
      <w:proofErr w:type="gramStart"/>
      <w:r w:rsidRPr="002059F8">
        <w:rPr>
          <w:iCs/>
          <w:color w:val="auto"/>
        </w:rPr>
        <w:t>this</w:t>
      </w:r>
      <w:proofErr w:type="gramEnd"/>
      <w:r w:rsidRPr="002059F8">
        <w:rPr>
          <w:iCs/>
          <w:color w:val="auto"/>
        </w:rPr>
        <w:t xml:space="preserve"> specific patient population</w:t>
      </w:r>
      <w:r w:rsidR="00CB37F8" w:rsidRPr="002059F8">
        <w:rPr>
          <w:iCs/>
          <w:color w:val="auto"/>
        </w:rPr>
        <w:t xml:space="preserve"> whether or not the patient has a</w:t>
      </w:r>
      <w:r w:rsidR="00CB37F8" w:rsidRPr="00BE056E">
        <w:rPr>
          <w:i/>
          <w:iCs/>
          <w:color w:val="auto"/>
        </w:rPr>
        <w:t xml:space="preserve"> BRCA1/2 </w:t>
      </w:r>
      <w:r w:rsidR="00CB37F8" w:rsidRPr="002059F8">
        <w:rPr>
          <w:iCs/>
          <w:color w:val="auto"/>
        </w:rPr>
        <w:t>variant</w:t>
      </w:r>
      <w:r w:rsidRPr="002059F8">
        <w:rPr>
          <w:iCs/>
          <w:color w:val="auto"/>
        </w:rPr>
        <w:t>.</w:t>
      </w:r>
    </w:p>
    <w:p w:rsidR="00BF2C85" w:rsidRPr="00E8500A" w:rsidRDefault="00BF2C85" w:rsidP="00A149AC">
      <w:pPr>
        <w:pStyle w:val="PBACESHeading2"/>
        <w:rPr>
          <w:rFonts w:cstheme="minorHAnsi"/>
        </w:rPr>
      </w:pPr>
      <w:r w:rsidRPr="00A149AC">
        <w:rPr>
          <w:rFonts w:asciiTheme="minorHAnsi" w:hAnsiTheme="minorHAnsi" w:cstheme="minorHAnsi"/>
        </w:rPr>
        <w:lastRenderedPageBreak/>
        <w:t xml:space="preserve">Claim of </w:t>
      </w:r>
      <w:proofErr w:type="spellStart"/>
      <w:r w:rsidRPr="00A149AC">
        <w:rPr>
          <w:rFonts w:asciiTheme="minorHAnsi" w:hAnsiTheme="minorHAnsi" w:cstheme="minorHAnsi"/>
        </w:rPr>
        <w:t>codependence</w:t>
      </w:r>
      <w:proofErr w:type="spellEnd"/>
    </w:p>
    <w:p w:rsidR="0065509E" w:rsidRPr="002F7AF0" w:rsidRDefault="0065509E" w:rsidP="00C31220">
      <w:pPr>
        <w:pStyle w:val="ListParagraph"/>
        <w:rPr>
          <w:color w:val="auto"/>
        </w:rPr>
      </w:pPr>
      <w:r>
        <w:rPr>
          <w:iCs/>
          <w:color w:val="auto"/>
        </w:rPr>
        <w:t xml:space="preserve">The submission claimed that identification of </w:t>
      </w:r>
      <w:r w:rsidRPr="0065509E">
        <w:rPr>
          <w:i/>
          <w:iCs/>
          <w:color w:val="auto"/>
        </w:rPr>
        <w:t>BRCA</w:t>
      </w:r>
      <w:r>
        <w:rPr>
          <w:iCs/>
          <w:color w:val="auto"/>
        </w:rPr>
        <w:t xml:space="preserve"> gene variants in patients with </w:t>
      </w:r>
      <w:proofErr w:type="spellStart"/>
      <w:r>
        <w:rPr>
          <w:iCs/>
          <w:color w:val="auto"/>
        </w:rPr>
        <w:t>mCRPC</w:t>
      </w:r>
      <w:proofErr w:type="spellEnd"/>
      <w:r>
        <w:rPr>
          <w:iCs/>
          <w:color w:val="auto"/>
        </w:rPr>
        <w:t xml:space="preserve"> could optimise treatment in these patients, through access to a targeted therapy and by prolonging survival in this population. However, all patients in the key trial, the </w:t>
      </w:r>
      <w:proofErr w:type="spellStart"/>
      <w:proofErr w:type="gramStart"/>
      <w:r>
        <w:rPr>
          <w:iCs/>
          <w:color w:val="auto"/>
        </w:rPr>
        <w:t>PROfound</w:t>
      </w:r>
      <w:proofErr w:type="spellEnd"/>
      <w:proofErr w:type="gramEnd"/>
      <w:r>
        <w:rPr>
          <w:iCs/>
          <w:color w:val="auto"/>
        </w:rPr>
        <w:t xml:space="preserve"> trial, had pathogenic gene variants and no comparisons were provided against patients without the biomarker.</w:t>
      </w:r>
    </w:p>
    <w:p w:rsidR="00464B92" w:rsidRPr="00E8500A" w:rsidRDefault="002F7AF0" w:rsidP="00781284">
      <w:pPr>
        <w:pStyle w:val="ListParagraph"/>
        <w:spacing w:after="40"/>
      </w:pPr>
      <w:r w:rsidRPr="00BC3FDE">
        <w:t xml:space="preserve">The ESCs </w:t>
      </w:r>
      <w:r w:rsidRPr="00BF2A96">
        <w:t xml:space="preserve">concluded that there was sufficient indirect evidence to support the clinical utility of </w:t>
      </w:r>
      <w:r w:rsidRPr="00BF2A96">
        <w:rPr>
          <w:i/>
        </w:rPr>
        <w:t>BRCA1/2</w:t>
      </w:r>
      <w:r w:rsidRPr="00BF2A96">
        <w:t xml:space="preserve"> testing in the proposed population. The ESCs considered the </w:t>
      </w:r>
      <w:proofErr w:type="spellStart"/>
      <w:proofErr w:type="gramStart"/>
      <w:r w:rsidRPr="00BF2A96">
        <w:t>PROfound</w:t>
      </w:r>
      <w:proofErr w:type="spellEnd"/>
      <w:proofErr w:type="gramEnd"/>
      <w:r w:rsidRPr="00BF2A96">
        <w:t xml:space="preserve"> trial reported a clinically meaningful improvement in overall survival </w:t>
      </w:r>
      <w:r w:rsidR="00533562" w:rsidRPr="00BF2A96">
        <w:t xml:space="preserve">(OS) </w:t>
      </w:r>
      <w:r w:rsidRPr="00BF2A96">
        <w:t xml:space="preserve">for the </w:t>
      </w:r>
      <w:r w:rsidRPr="00BF2A96">
        <w:rPr>
          <w:i/>
        </w:rPr>
        <w:t>BRCA1/2</w:t>
      </w:r>
      <w:r w:rsidRPr="00BF2A96">
        <w:t xml:space="preserve"> subgroup that was not seen for other pathogenic variants of other HRR genes. Additionally, the ESCs noted that the Phase II TOPARP-B study of </w:t>
      </w:r>
      <w:proofErr w:type="spellStart"/>
      <w:r w:rsidRPr="00BF2A96">
        <w:t>olaparib</w:t>
      </w:r>
      <w:proofErr w:type="spellEnd"/>
      <w:r w:rsidRPr="00BF2A96">
        <w:t xml:space="preserve"> also showed a greater response in the </w:t>
      </w:r>
      <w:r w:rsidRPr="00BF2A96">
        <w:rPr>
          <w:i/>
        </w:rPr>
        <w:t>BRCA1/2</w:t>
      </w:r>
      <w:r w:rsidRPr="00BF2A96">
        <w:t xml:space="preserve"> subgroup</w:t>
      </w:r>
      <w:r w:rsidRPr="00BC3FDE">
        <w:t xml:space="preserve"> than other genetic variants.</w:t>
      </w:r>
      <w:r>
        <w:t xml:space="preserve"> </w:t>
      </w:r>
      <w:r w:rsidRPr="00BC3FDE">
        <w:t xml:space="preserve">The ESCs noted that, although there was no direct evidence of clinical utility, the evidence suggested </w:t>
      </w:r>
      <w:proofErr w:type="spellStart"/>
      <w:r w:rsidRPr="00BC3FDE">
        <w:t>olaparib</w:t>
      </w:r>
      <w:proofErr w:type="spellEnd"/>
      <w:r w:rsidRPr="00BC3FDE">
        <w:t xml:space="preserve"> was not as effective in non-BRCA HRR genetic variants.</w:t>
      </w:r>
    </w:p>
    <w:p w:rsidR="00C31220" w:rsidRPr="00BE056E" w:rsidRDefault="00C31220" w:rsidP="00C31220">
      <w:pPr>
        <w:pStyle w:val="PBACESHeading1"/>
      </w:pPr>
      <w:bookmarkStart w:id="2" w:name="_Toc487029150"/>
      <w:bookmarkStart w:id="3" w:name="_Toc58779749"/>
      <w:bookmarkStart w:id="4" w:name="_Toc62027834"/>
      <w:r w:rsidRPr="00BE056E">
        <w:t>Background</w:t>
      </w:r>
      <w:bookmarkEnd w:id="2"/>
      <w:bookmarkEnd w:id="3"/>
      <w:bookmarkEnd w:id="4"/>
    </w:p>
    <w:p w:rsidR="00C31220" w:rsidRPr="004F0D62" w:rsidRDefault="00C31220" w:rsidP="00C31220">
      <w:pPr>
        <w:pStyle w:val="PBACESHeading2"/>
        <w:rPr>
          <w:rFonts w:asciiTheme="minorHAnsi" w:hAnsiTheme="minorHAnsi" w:cstheme="minorHAnsi"/>
        </w:rPr>
      </w:pPr>
      <w:bookmarkStart w:id="5" w:name="_Toc58779750"/>
      <w:bookmarkStart w:id="6" w:name="_Toc62027835"/>
      <w:r w:rsidRPr="004F0D62">
        <w:rPr>
          <w:rFonts w:asciiTheme="minorHAnsi" w:hAnsiTheme="minorHAnsi" w:cstheme="minorHAnsi"/>
        </w:rPr>
        <w:t>Registration status</w:t>
      </w:r>
      <w:bookmarkEnd w:id="5"/>
      <w:bookmarkEnd w:id="6"/>
    </w:p>
    <w:p w:rsidR="007800E4" w:rsidRPr="00424E2D" w:rsidRDefault="00C31220" w:rsidP="00C31220">
      <w:pPr>
        <w:pStyle w:val="ListParagraph"/>
        <w:rPr>
          <w:color w:val="auto"/>
        </w:rPr>
      </w:pPr>
      <w:r w:rsidRPr="00BE056E">
        <w:t xml:space="preserve">An application to the TGA to extend the registration of </w:t>
      </w:r>
      <w:proofErr w:type="spellStart"/>
      <w:r w:rsidRPr="00BE056E">
        <w:t>olaparib</w:t>
      </w:r>
      <w:proofErr w:type="spellEnd"/>
      <w:r w:rsidRPr="00BE056E">
        <w:t xml:space="preserve"> to include patients with </w:t>
      </w:r>
      <w:proofErr w:type="spellStart"/>
      <w:r w:rsidRPr="00BE056E">
        <w:t>mCRPC</w:t>
      </w:r>
      <w:proofErr w:type="spellEnd"/>
      <w:r w:rsidRPr="00BE056E">
        <w:t xml:space="preserve"> and a detected pathogenic gene variant was made on 29</w:t>
      </w:r>
      <w:r w:rsidRPr="00BE056E">
        <w:rPr>
          <w:vertAlign w:val="superscript"/>
        </w:rPr>
        <w:t>th</w:t>
      </w:r>
      <w:r w:rsidRPr="00BE056E">
        <w:t xml:space="preserve"> February 2020. The requested indication </w:t>
      </w:r>
      <w:r w:rsidR="00CB37F8" w:rsidRPr="00BE056E">
        <w:t>wa</w:t>
      </w:r>
      <w:r w:rsidR="00027C36">
        <w:t>s:</w:t>
      </w:r>
    </w:p>
    <w:p w:rsidR="00C31220" w:rsidRPr="00BE056E" w:rsidRDefault="00C31220" w:rsidP="00424E2D">
      <w:pPr>
        <w:pStyle w:val="ListParagraph"/>
        <w:numPr>
          <w:ilvl w:val="0"/>
          <w:numId w:val="0"/>
        </w:numPr>
        <w:ind w:left="993"/>
        <w:rPr>
          <w:color w:val="auto"/>
        </w:rPr>
      </w:pPr>
      <w:r w:rsidRPr="00BE056E">
        <w:t>Treatment of adult patients with metastatic castration-resistant prostate cancer and homologous recombination repair (HRR) gene mutation [variants] (germline and/or somatic) who have progressed following a prior new [novel] hormonal agent. HRR gene mutation [variant] status should be determined by an experienced laboratory using a validated test method.</w:t>
      </w:r>
    </w:p>
    <w:p w:rsidR="004A0051" w:rsidRDefault="00C31220" w:rsidP="004A0051">
      <w:pPr>
        <w:pStyle w:val="ListParagraph"/>
        <w:rPr>
          <w:color w:val="auto"/>
        </w:rPr>
      </w:pPr>
      <w:proofErr w:type="spellStart"/>
      <w:r w:rsidRPr="00BE056E">
        <w:t>Olaparib</w:t>
      </w:r>
      <w:proofErr w:type="spellEnd"/>
      <w:r w:rsidRPr="00BE056E">
        <w:t xml:space="preserve"> received approval from the FDA on 19</w:t>
      </w:r>
      <w:r w:rsidRPr="004A0051">
        <w:rPr>
          <w:vertAlign w:val="superscript"/>
        </w:rPr>
        <w:t>th</w:t>
      </w:r>
      <w:r w:rsidRPr="00BE056E">
        <w:t xml:space="preserve"> May 2020 for treatment of adult patients with germline or somatic HRR gene-mutated </w:t>
      </w:r>
      <w:proofErr w:type="spellStart"/>
      <w:r w:rsidRPr="00BE056E">
        <w:t>mCRPC</w:t>
      </w:r>
      <w:proofErr w:type="spellEnd"/>
      <w:r w:rsidRPr="00BE056E">
        <w:t xml:space="preserve"> who have progressed following prior treatment with enzalutamide or abiraterone.</w:t>
      </w:r>
      <w:r w:rsidR="001D26E6">
        <w:t xml:space="preserve"> </w:t>
      </w:r>
      <w:r w:rsidR="001D26E6" w:rsidRPr="004A0051">
        <w:rPr>
          <w:color w:val="auto"/>
        </w:rPr>
        <w:t xml:space="preserve">In Canada, </w:t>
      </w:r>
      <w:proofErr w:type="spellStart"/>
      <w:r w:rsidR="001D26E6" w:rsidRPr="004A0051">
        <w:rPr>
          <w:color w:val="auto"/>
        </w:rPr>
        <w:t>olaparib</w:t>
      </w:r>
      <w:proofErr w:type="spellEnd"/>
      <w:r w:rsidR="001D26E6" w:rsidRPr="004A0051">
        <w:rPr>
          <w:color w:val="auto"/>
        </w:rPr>
        <w:t xml:space="preserve"> was approved in August 2020 for treatment of adults with deleterious or suspected deleterious germline and or somatic </w:t>
      </w:r>
      <w:r w:rsidR="001D26E6" w:rsidRPr="004A0051">
        <w:rPr>
          <w:i/>
          <w:iCs/>
          <w:color w:val="auto"/>
        </w:rPr>
        <w:t>BRCA</w:t>
      </w:r>
      <w:r w:rsidR="001D26E6" w:rsidRPr="006860A4">
        <w:rPr>
          <w:color w:val="auto"/>
        </w:rPr>
        <w:t xml:space="preserve"> or </w:t>
      </w:r>
      <w:r w:rsidR="001D26E6" w:rsidRPr="006860A4">
        <w:rPr>
          <w:i/>
          <w:iCs/>
          <w:color w:val="auto"/>
        </w:rPr>
        <w:t>ATM</w:t>
      </w:r>
      <w:r w:rsidR="001D26E6" w:rsidRPr="002F7AF0">
        <w:rPr>
          <w:color w:val="auto"/>
        </w:rPr>
        <w:t xml:space="preserve"> mutated </w:t>
      </w:r>
      <w:proofErr w:type="spellStart"/>
      <w:r w:rsidR="001D26E6" w:rsidRPr="002F7AF0">
        <w:rPr>
          <w:color w:val="auto"/>
        </w:rPr>
        <w:t>mCRPC</w:t>
      </w:r>
      <w:proofErr w:type="spellEnd"/>
      <w:r w:rsidR="001D26E6" w:rsidRPr="002F7AF0">
        <w:rPr>
          <w:color w:val="auto"/>
        </w:rPr>
        <w:t xml:space="preserve"> who have progressed following prior treatment with a</w:t>
      </w:r>
      <w:r w:rsidR="00EB56AC">
        <w:rPr>
          <w:color w:val="auto"/>
        </w:rPr>
        <w:t>n</w:t>
      </w:r>
      <w:r w:rsidR="001D26E6" w:rsidRPr="002F7AF0">
        <w:rPr>
          <w:color w:val="auto"/>
        </w:rPr>
        <w:t xml:space="preserve"> </w:t>
      </w:r>
      <w:r w:rsidR="004A0051" w:rsidRPr="002F7AF0">
        <w:rPr>
          <w:color w:val="auto"/>
        </w:rPr>
        <w:t>NHA</w:t>
      </w:r>
      <w:r w:rsidR="00A630C2" w:rsidRPr="002F7AF0">
        <w:rPr>
          <w:color w:val="auto"/>
        </w:rPr>
        <w:t>.</w:t>
      </w:r>
    </w:p>
    <w:p w:rsidR="00C31220" w:rsidRPr="004A0051" w:rsidRDefault="001D26E6" w:rsidP="004A0051">
      <w:pPr>
        <w:pStyle w:val="ListParagraph"/>
        <w:rPr>
          <w:color w:val="auto"/>
        </w:rPr>
      </w:pPr>
      <w:r w:rsidRPr="004A0051">
        <w:rPr>
          <w:color w:val="auto"/>
        </w:rPr>
        <w:t xml:space="preserve">The European Medicines Agency (EMA) granted marketing authorisation in November 2020 </w:t>
      </w:r>
      <w:r w:rsidR="00C31220" w:rsidRPr="00BE056E">
        <w:t xml:space="preserve">for the use of </w:t>
      </w:r>
      <w:proofErr w:type="spellStart"/>
      <w:r w:rsidR="00C31220" w:rsidRPr="00BE056E">
        <w:t>olaparib</w:t>
      </w:r>
      <w:proofErr w:type="spellEnd"/>
      <w:r w:rsidR="00C31220" w:rsidRPr="00BE056E">
        <w:t xml:space="preserve"> for treatment of adult patients with </w:t>
      </w:r>
      <w:proofErr w:type="spellStart"/>
      <w:r w:rsidR="00C31220" w:rsidRPr="00BE056E">
        <w:t>mCRPC</w:t>
      </w:r>
      <w:proofErr w:type="spellEnd"/>
      <w:r w:rsidR="00C31220" w:rsidRPr="00BE056E">
        <w:t xml:space="preserve"> and </w:t>
      </w:r>
      <w:r w:rsidR="00C31220" w:rsidRPr="004A0051">
        <w:rPr>
          <w:i/>
          <w:iCs/>
        </w:rPr>
        <w:t>BRCA1/2</w:t>
      </w:r>
      <w:r w:rsidR="00C31220" w:rsidRPr="00BE056E">
        <w:t xml:space="preserve"> </w:t>
      </w:r>
      <w:r w:rsidR="002D1E7D" w:rsidRPr="00BE056E">
        <w:t>pathogenic variant</w:t>
      </w:r>
      <w:r w:rsidR="00C31220" w:rsidRPr="00BE056E">
        <w:t>s (germline or somatic) who have progressed following prior therapy that includes a</w:t>
      </w:r>
      <w:r w:rsidR="00EB56AC">
        <w:t>n</w:t>
      </w:r>
      <w:r w:rsidR="00C31220" w:rsidRPr="00BE056E">
        <w:t xml:space="preserve"> </w:t>
      </w:r>
      <w:r w:rsidR="004A0051">
        <w:t>NHA</w:t>
      </w:r>
      <w:r w:rsidR="00C31220" w:rsidRPr="00BE056E">
        <w:t>.</w:t>
      </w:r>
      <w:bookmarkStart w:id="7" w:name="_Toc487029151"/>
    </w:p>
    <w:p w:rsidR="001D26E6" w:rsidRPr="003724E0" w:rsidRDefault="001D26E6" w:rsidP="00C31220">
      <w:pPr>
        <w:pStyle w:val="ListParagraph"/>
        <w:rPr>
          <w:color w:val="auto"/>
        </w:rPr>
      </w:pPr>
      <w:r w:rsidRPr="000F2527">
        <w:rPr>
          <w:iCs/>
          <w:color w:val="auto"/>
        </w:rPr>
        <w:t xml:space="preserve">The TGA Delegate’s overview (dated 4 Jan 2021) was received during the evaluation, and the Delegate’s recommendation was to approve the registration of </w:t>
      </w:r>
      <w:proofErr w:type="spellStart"/>
      <w:r w:rsidRPr="000F2527">
        <w:rPr>
          <w:iCs/>
          <w:color w:val="auto"/>
        </w:rPr>
        <w:t>olaparib</w:t>
      </w:r>
      <w:proofErr w:type="spellEnd"/>
      <w:r w:rsidRPr="000F2527">
        <w:rPr>
          <w:iCs/>
          <w:color w:val="auto"/>
        </w:rPr>
        <w:t xml:space="preserve">, with </w:t>
      </w:r>
      <w:r w:rsidRPr="000F2527">
        <w:rPr>
          <w:iCs/>
          <w:color w:val="auto"/>
        </w:rPr>
        <w:lastRenderedPageBreak/>
        <w:t xml:space="preserve">a limitation of the indication to patients with </w:t>
      </w:r>
      <w:r w:rsidRPr="008D6556">
        <w:rPr>
          <w:i/>
          <w:iCs/>
          <w:color w:val="auto"/>
        </w:rPr>
        <w:t>BRCA1</w:t>
      </w:r>
      <w:r w:rsidRPr="000F2527">
        <w:rPr>
          <w:iCs/>
          <w:color w:val="auto"/>
        </w:rPr>
        <w:t xml:space="preserve"> or </w:t>
      </w:r>
      <w:r w:rsidRPr="008D6556">
        <w:rPr>
          <w:i/>
          <w:iCs/>
          <w:color w:val="auto"/>
        </w:rPr>
        <w:t>BRCA2</w:t>
      </w:r>
      <w:r w:rsidRPr="000F2527">
        <w:rPr>
          <w:iCs/>
          <w:color w:val="auto"/>
        </w:rPr>
        <w:t xml:space="preserve"> pathogenic variants. The TGA Delegate explained that exploratory analyses of </w:t>
      </w:r>
      <w:r w:rsidR="00533562">
        <w:rPr>
          <w:iCs/>
          <w:color w:val="auto"/>
        </w:rPr>
        <w:t>progression free survival (</w:t>
      </w:r>
      <w:r w:rsidRPr="000F2527">
        <w:rPr>
          <w:iCs/>
          <w:color w:val="auto"/>
        </w:rPr>
        <w:t>PFS</w:t>
      </w:r>
      <w:r w:rsidR="00533562">
        <w:rPr>
          <w:iCs/>
          <w:color w:val="auto"/>
        </w:rPr>
        <w:t>)</w:t>
      </w:r>
      <w:r w:rsidRPr="000F2527">
        <w:rPr>
          <w:iCs/>
          <w:color w:val="auto"/>
        </w:rPr>
        <w:t xml:space="preserve"> and</w:t>
      </w:r>
      <w:r w:rsidR="00533562">
        <w:rPr>
          <w:iCs/>
          <w:color w:val="auto"/>
        </w:rPr>
        <w:t xml:space="preserve"> </w:t>
      </w:r>
      <w:r w:rsidRPr="000F2527">
        <w:rPr>
          <w:iCs/>
          <w:color w:val="auto"/>
        </w:rPr>
        <w:t xml:space="preserve">OS in the </w:t>
      </w:r>
      <w:r w:rsidRPr="008D6556">
        <w:rPr>
          <w:i/>
          <w:iCs/>
          <w:color w:val="auto"/>
        </w:rPr>
        <w:t xml:space="preserve">ATM </w:t>
      </w:r>
      <w:r w:rsidRPr="000F2527">
        <w:rPr>
          <w:iCs/>
          <w:color w:val="auto"/>
        </w:rPr>
        <w:t xml:space="preserve">and </w:t>
      </w:r>
      <w:r w:rsidRPr="008D6556">
        <w:rPr>
          <w:i/>
          <w:iCs/>
          <w:color w:val="auto"/>
        </w:rPr>
        <w:t>CDK12</w:t>
      </w:r>
      <w:r w:rsidRPr="000F2527">
        <w:rPr>
          <w:iCs/>
          <w:color w:val="auto"/>
        </w:rPr>
        <w:t xml:space="preserve"> subgroups within </w:t>
      </w:r>
      <w:proofErr w:type="spellStart"/>
      <w:r w:rsidRPr="000F2527">
        <w:rPr>
          <w:iCs/>
          <w:color w:val="auto"/>
        </w:rPr>
        <w:t>PROfound</w:t>
      </w:r>
      <w:proofErr w:type="spellEnd"/>
      <w:r w:rsidRPr="000F2527">
        <w:rPr>
          <w:iCs/>
          <w:color w:val="auto"/>
        </w:rPr>
        <w:t xml:space="preserve"> do not support a conclusion of meaningful efficacy in these groups, over the comparator. The TGA Delegate concluded that the presence of a </w:t>
      </w:r>
      <w:r w:rsidRPr="008D6556">
        <w:rPr>
          <w:i/>
          <w:iCs/>
          <w:color w:val="auto"/>
        </w:rPr>
        <w:t>non-BRCA</w:t>
      </w:r>
      <w:r w:rsidRPr="000F2527">
        <w:rPr>
          <w:iCs/>
          <w:color w:val="auto"/>
        </w:rPr>
        <w:t xml:space="preserve"> HRR pathogenic variant is not considered a biomarker that sufficiently predicts for response on a population level to justify exposing this population to the additional toxicity that is conferred by treatment with </w:t>
      </w:r>
      <w:proofErr w:type="spellStart"/>
      <w:r w:rsidRPr="000F2527">
        <w:rPr>
          <w:iCs/>
          <w:color w:val="auto"/>
        </w:rPr>
        <w:t>olaparib</w:t>
      </w:r>
      <w:proofErr w:type="spellEnd"/>
      <w:r w:rsidRPr="000F2527">
        <w:rPr>
          <w:iCs/>
          <w:color w:val="auto"/>
        </w:rPr>
        <w:t xml:space="preserve"> compared to an NHA.</w:t>
      </w:r>
      <w:r w:rsidR="00F11E2C" w:rsidRPr="000F2527">
        <w:rPr>
          <w:iCs/>
          <w:color w:val="auto"/>
        </w:rPr>
        <w:t xml:space="preserve"> Efficacy in the </w:t>
      </w:r>
      <w:r w:rsidR="00F11E2C" w:rsidRPr="008D6556">
        <w:rPr>
          <w:i/>
          <w:iCs/>
          <w:color w:val="auto"/>
        </w:rPr>
        <w:t>BRCA1/2</w:t>
      </w:r>
      <w:r w:rsidR="00F11E2C" w:rsidRPr="000F2527">
        <w:rPr>
          <w:iCs/>
          <w:color w:val="auto"/>
        </w:rPr>
        <w:t xml:space="preserve"> group was mainly driven by results in </w:t>
      </w:r>
      <w:r w:rsidR="00425D25" w:rsidRPr="000F2527">
        <w:rPr>
          <w:iCs/>
          <w:color w:val="auto"/>
        </w:rPr>
        <w:t xml:space="preserve">patients with </w:t>
      </w:r>
      <w:r w:rsidR="00425D25" w:rsidRPr="008D6556">
        <w:rPr>
          <w:i/>
          <w:iCs/>
          <w:color w:val="auto"/>
        </w:rPr>
        <w:t>BRCA2</w:t>
      </w:r>
      <w:r w:rsidR="00267064" w:rsidRPr="000F2527">
        <w:rPr>
          <w:iCs/>
          <w:color w:val="auto"/>
        </w:rPr>
        <w:t>;</w:t>
      </w:r>
      <w:r w:rsidR="00425D25" w:rsidRPr="000F2527">
        <w:rPr>
          <w:iCs/>
          <w:color w:val="auto"/>
        </w:rPr>
        <w:t xml:space="preserve"> however</w:t>
      </w:r>
      <w:r w:rsidR="00267064" w:rsidRPr="000F2527">
        <w:rPr>
          <w:iCs/>
          <w:color w:val="auto"/>
        </w:rPr>
        <w:t>,</w:t>
      </w:r>
      <w:r w:rsidR="00425D25" w:rsidRPr="000F2527">
        <w:rPr>
          <w:iCs/>
          <w:color w:val="auto"/>
        </w:rPr>
        <w:t xml:space="preserve"> the delegate felt grouping of </w:t>
      </w:r>
      <w:r w:rsidR="00425D25" w:rsidRPr="008D6556">
        <w:rPr>
          <w:i/>
          <w:iCs/>
          <w:color w:val="auto"/>
        </w:rPr>
        <w:t>BRCA1</w:t>
      </w:r>
      <w:r w:rsidR="00425D25" w:rsidRPr="000F2527">
        <w:rPr>
          <w:iCs/>
          <w:color w:val="auto"/>
        </w:rPr>
        <w:t xml:space="preserve"> and </w:t>
      </w:r>
      <w:r w:rsidR="00425D25" w:rsidRPr="008D6556">
        <w:rPr>
          <w:i/>
          <w:iCs/>
          <w:color w:val="auto"/>
        </w:rPr>
        <w:t>BRCA2</w:t>
      </w:r>
      <w:r w:rsidR="00425D25" w:rsidRPr="000F2527">
        <w:rPr>
          <w:iCs/>
          <w:color w:val="auto"/>
        </w:rPr>
        <w:t xml:space="preserve"> was reasonable</w:t>
      </w:r>
      <w:r w:rsidR="008934E9" w:rsidRPr="000F2527">
        <w:rPr>
          <w:iCs/>
          <w:color w:val="auto"/>
        </w:rPr>
        <w:t xml:space="preserve"> given the breadth and strength of pre-clinical and clinical evidence of sensitivity of PARP inhibitors in </w:t>
      </w:r>
      <w:r w:rsidR="008934E9" w:rsidRPr="008D6556">
        <w:rPr>
          <w:i/>
          <w:iCs/>
          <w:color w:val="auto"/>
        </w:rPr>
        <w:t>BRCA1</w:t>
      </w:r>
      <w:r w:rsidR="008934E9" w:rsidRPr="000F2527">
        <w:rPr>
          <w:iCs/>
          <w:color w:val="auto"/>
        </w:rPr>
        <w:t xml:space="preserve"> and </w:t>
      </w:r>
      <w:r w:rsidR="008934E9" w:rsidRPr="008D6556">
        <w:rPr>
          <w:i/>
          <w:iCs/>
          <w:color w:val="auto"/>
        </w:rPr>
        <w:t>BRCA2</w:t>
      </w:r>
      <w:r w:rsidR="008934E9" w:rsidRPr="000F2527">
        <w:rPr>
          <w:iCs/>
          <w:color w:val="auto"/>
        </w:rPr>
        <w:t xml:space="preserve"> </w:t>
      </w:r>
      <w:r w:rsidR="00A63E7D" w:rsidRPr="000F2527">
        <w:rPr>
          <w:iCs/>
          <w:color w:val="auto"/>
        </w:rPr>
        <w:t>pathogenic</w:t>
      </w:r>
      <w:r w:rsidR="008934E9" w:rsidRPr="000F2527">
        <w:rPr>
          <w:iCs/>
          <w:color w:val="auto"/>
        </w:rPr>
        <w:t xml:space="preserve"> variants.</w:t>
      </w:r>
      <w:r w:rsidR="0061550C" w:rsidRPr="000F2527">
        <w:rPr>
          <w:iCs/>
          <w:color w:val="auto"/>
        </w:rPr>
        <w:t xml:space="preserve"> It was noted, that like </w:t>
      </w:r>
      <w:r w:rsidR="00425D25" w:rsidRPr="000F2527">
        <w:rPr>
          <w:iCs/>
          <w:color w:val="auto"/>
        </w:rPr>
        <w:t xml:space="preserve">other rarer mutations, the relative low rate of </w:t>
      </w:r>
      <w:r w:rsidR="00425D25" w:rsidRPr="008D6556">
        <w:rPr>
          <w:i/>
          <w:iCs/>
          <w:color w:val="auto"/>
        </w:rPr>
        <w:t>BRCA1</w:t>
      </w:r>
      <w:r w:rsidR="00425D25" w:rsidRPr="000F2527">
        <w:rPr>
          <w:iCs/>
          <w:color w:val="auto"/>
        </w:rPr>
        <w:t xml:space="preserve"> </w:t>
      </w:r>
      <w:r w:rsidR="00A63E7D" w:rsidRPr="000F2527">
        <w:rPr>
          <w:iCs/>
          <w:color w:val="auto"/>
        </w:rPr>
        <w:t>pathogenic</w:t>
      </w:r>
      <w:r w:rsidR="00425D25" w:rsidRPr="000F2527">
        <w:rPr>
          <w:iCs/>
          <w:color w:val="auto"/>
        </w:rPr>
        <w:t xml:space="preserve"> variants in prostate cancer make</w:t>
      </w:r>
      <w:r w:rsidR="0061550C" w:rsidRPr="000F2527">
        <w:rPr>
          <w:iCs/>
          <w:color w:val="auto"/>
        </w:rPr>
        <w:t>s</w:t>
      </w:r>
      <w:r w:rsidR="00425D25" w:rsidRPr="000F2527">
        <w:rPr>
          <w:iCs/>
          <w:color w:val="auto"/>
        </w:rPr>
        <w:t xml:space="preserve"> it difficult to assess responses in </w:t>
      </w:r>
      <w:r w:rsidR="00425D25" w:rsidRPr="008D6556">
        <w:rPr>
          <w:i/>
          <w:iCs/>
          <w:color w:val="auto"/>
        </w:rPr>
        <w:t>BRCA1</w:t>
      </w:r>
      <w:r w:rsidR="00425D25" w:rsidRPr="000F2527">
        <w:rPr>
          <w:iCs/>
          <w:color w:val="auto"/>
        </w:rPr>
        <w:t xml:space="preserve"> population independent of </w:t>
      </w:r>
      <w:r w:rsidR="00425D25" w:rsidRPr="008D6556">
        <w:rPr>
          <w:i/>
          <w:iCs/>
          <w:color w:val="auto"/>
        </w:rPr>
        <w:t>BRCA2</w:t>
      </w:r>
      <w:r w:rsidR="0061550C" w:rsidRPr="000F2527">
        <w:rPr>
          <w:iCs/>
          <w:color w:val="auto"/>
        </w:rPr>
        <w:t>.</w:t>
      </w:r>
    </w:p>
    <w:p w:rsidR="003724E0" w:rsidRDefault="003724E0" w:rsidP="00C31220">
      <w:pPr>
        <w:pStyle w:val="ListParagraph"/>
        <w:rPr>
          <w:color w:val="auto"/>
        </w:rPr>
      </w:pPr>
      <w:r>
        <w:rPr>
          <w:color w:val="auto"/>
        </w:rPr>
        <w:t xml:space="preserve">The pre-PBAC response stated that </w:t>
      </w:r>
      <w:r w:rsidR="0065509E">
        <w:rPr>
          <w:color w:val="auto"/>
        </w:rPr>
        <w:t xml:space="preserve">a revised TGA Delegate’s overview (dated 16 Feb 2021) proposed the </w:t>
      </w:r>
      <w:r>
        <w:rPr>
          <w:color w:val="auto"/>
        </w:rPr>
        <w:t>following indication</w:t>
      </w:r>
      <w:r w:rsidR="0065509E">
        <w:rPr>
          <w:color w:val="auto"/>
        </w:rPr>
        <w:t xml:space="preserve"> for </w:t>
      </w:r>
      <w:proofErr w:type="spellStart"/>
      <w:r w:rsidR="0065509E">
        <w:rPr>
          <w:color w:val="auto"/>
        </w:rPr>
        <w:t>olaparib</w:t>
      </w:r>
      <w:proofErr w:type="spellEnd"/>
      <w:r>
        <w:rPr>
          <w:color w:val="auto"/>
        </w:rPr>
        <w:t>:</w:t>
      </w:r>
    </w:p>
    <w:p w:rsidR="003724E0" w:rsidRPr="000F2527" w:rsidRDefault="003724E0" w:rsidP="003724E0">
      <w:pPr>
        <w:pStyle w:val="ListParagraph"/>
        <w:numPr>
          <w:ilvl w:val="0"/>
          <w:numId w:val="0"/>
        </w:numPr>
        <w:ind w:left="1020"/>
        <w:rPr>
          <w:color w:val="auto"/>
        </w:rPr>
      </w:pPr>
      <w:r>
        <w:rPr>
          <w:color w:val="auto"/>
        </w:rPr>
        <w:t xml:space="preserve">Treatment of adult patients with </w:t>
      </w:r>
      <w:r w:rsidRPr="0073766D">
        <w:rPr>
          <w:i/>
          <w:color w:val="auto"/>
        </w:rPr>
        <w:t>BRCA</w:t>
      </w:r>
      <w:r>
        <w:rPr>
          <w:color w:val="auto"/>
        </w:rPr>
        <w:t>-mutated (germline and/or somatic) metastatic castration resistant prostate cancer who have progressed following prior therapy that included a new hormonal agent. BRCA mutation status should be determined by an experienced laboratory using a validated test method.</w:t>
      </w:r>
    </w:p>
    <w:p w:rsidR="00C31220" w:rsidRPr="004F0D62" w:rsidRDefault="00C31220" w:rsidP="004F0D62">
      <w:pPr>
        <w:pStyle w:val="PBACESHeading3"/>
        <w:rPr>
          <w:rFonts w:asciiTheme="minorHAnsi" w:hAnsiTheme="minorHAnsi" w:cstheme="minorHAnsi"/>
          <w:i/>
        </w:rPr>
      </w:pPr>
      <w:bookmarkStart w:id="8" w:name="_Toc492317094"/>
      <w:bookmarkStart w:id="9" w:name="_Toc58779751"/>
      <w:bookmarkStart w:id="10" w:name="_Toc62027836"/>
      <w:bookmarkEnd w:id="7"/>
      <w:r w:rsidRPr="004F0D62">
        <w:rPr>
          <w:rFonts w:asciiTheme="minorHAnsi" w:hAnsiTheme="minorHAnsi" w:cstheme="minorHAnsi"/>
          <w:i/>
        </w:rPr>
        <w:t>Previous PBAC consideration</w:t>
      </w:r>
      <w:bookmarkEnd w:id="8"/>
      <w:bookmarkEnd w:id="9"/>
      <w:bookmarkEnd w:id="10"/>
    </w:p>
    <w:p w:rsidR="003A30C2" w:rsidRDefault="00C31220" w:rsidP="003A30C2">
      <w:pPr>
        <w:pStyle w:val="ListParagraph"/>
        <w:spacing w:before="0" w:after="0"/>
        <w:rPr>
          <w:color w:val="auto"/>
        </w:rPr>
      </w:pPr>
      <w:r w:rsidRPr="00BE056E">
        <w:rPr>
          <w:color w:val="auto"/>
        </w:rPr>
        <w:t xml:space="preserve">There have been no previous PBAC considerations of </w:t>
      </w:r>
      <w:proofErr w:type="spellStart"/>
      <w:r w:rsidRPr="00BE056E">
        <w:rPr>
          <w:color w:val="auto"/>
        </w:rPr>
        <w:t>olaparib</w:t>
      </w:r>
      <w:proofErr w:type="spellEnd"/>
      <w:r w:rsidRPr="00BE056E">
        <w:rPr>
          <w:color w:val="auto"/>
        </w:rPr>
        <w:t xml:space="preserve"> for treatment of </w:t>
      </w:r>
      <w:proofErr w:type="spellStart"/>
      <w:r w:rsidRPr="00BE056E">
        <w:rPr>
          <w:color w:val="auto"/>
        </w:rPr>
        <w:t>mCRPC</w:t>
      </w:r>
      <w:proofErr w:type="spellEnd"/>
      <w:r w:rsidRPr="00BE056E">
        <w:rPr>
          <w:color w:val="auto"/>
        </w:rPr>
        <w:t>, but there have been a number of submissions for the use</w:t>
      </w:r>
      <w:r w:rsidR="00781284">
        <w:rPr>
          <w:color w:val="auto"/>
        </w:rPr>
        <w:t xml:space="preserve"> of </w:t>
      </w:r>
      <w:proofErr w:type="spellStart"/>
      <w:r w:rsidR="00781284">
        <w:rPr>
          <w:color w:val="auto"/>
        </w:rPr>
        <w:t>olaparib</w:t>
      </w:r>
      <w:proofErr w:type="spellEnd"/>
      <w:r w:rsidR="00781284">
        <w:rPr>
          <w:color w:val="auto"/>
        </w:rPr>
        <w:t xml:space="preserve"> in ovarian cancer.</w:t>
      </w:r>
    </w:p>
    <w:p w:rsidR="00AA6D4A" w:rsidRDefault="00AA6D4A" w:rsidP="00AA6D4A">
      <w:pPr>
        <w:pStyle w:val="ListParagraph"/>
        <w:numPr>
          <w:ilvl w:val="0"/>
          <w:numId w:val="0"/>
        </w:numPr>
        <w:spacing w:before="0" w:after="0"/>
        <w:ind w:left="720"/>
        <w:rPr>
          <w:color w:val="auto"/>
        </w:rPr>
      </w:pPr>
    </w:p>
    <w:p w:rsidR="00AA6D4A" w:rsidRPr="00AA6D4A" w:rsidRDefault="00AA6D4A" w:rsidP="00AA6D4A">
      <w:pPr>
        <w:pStyle w:val="ListParagraph"/>
        <w:numPr>
          <w:ilvl w:val="0"/>
          <w:numId w:val="0"/>
        </w:numPr>
        <w:spacing w:before="0" w:after="0"/>
        <w:ind w:left="720"/>
        <w:rPr>
          <w:i/>
          <w:color w:val="auto"/>
        </w:rPr>
      </w:pPr>
      <w:r w:rsidRPr="00AA6D4A">
        <w:rPr>
          <w:i/>
          <w:color w:val="auto"/>
        </w:rPr>
        <w:t>For more detail on PBAC’s view, see section 7 PBAC outcome.</w:t>
      </w:r>
    </w:p>
    <w:p w:rsidR="00A532E5" w:rsidRDefault="00A532E5">
      <w:pPr>
        <w:spacing w:before="0" w:line="259" w:lineRule="auto"/>
        <w:jc w:val="left"/>
        <w:rPr>
          <w:rFonts w:cs="Arial"/>
          <w:b/>
          <w:snapToGrid w:val="0"/>
          <w:sz w:val="32"/>
          <w:szCs w:val="32"/>
          <w:lang w:eastAsia="en-US"/>
        </w:rPr>
      </w:pPr>
      <w:bookmarkStart w:id="11" w:name="_Toc62027837"/>
      <w:bookmarkStart w:id="12" w:name="_Toc476306884"/>
      <w:bookmarkStart w:id="13" w:name="_Toc58779752"/>
      <w:bookmarkStart w:id="14" w:name="_Toc413139275"/>
      <w:r>
        <w:br w:type="page"/>
      </w:r>
    </w:p>
    <w:p w:rsidR="006802B5" w:rsidRDefault="006802B5" w:rsidP="006802B5">
      <w:pPr>
        <w:pStyle w:val="PBACESHeading1"/>
      </w:pPr>
      <w:r w:rsidRPr="00BE056E">
        <w:lastRenderedPageBreak/>
        <w:t>Requested listing</w:t>
      </w:r>
      <w:bookmarkEnd w:id="11"/>
    </w:p>
    <w:p w:rsidR="006802B5" w:rsidRPr="00BE056E" w:rsidRDefault="006802B5" w:rsidP="006802B5">
      <w:pPr>
        <w:rPr>
          <w:b/>
        </w:rPr>
      </w:pPr>
      <w:r w:rsidRPr="00BE056E">
        <w:rPr>
          <w:b/>
        </w:rPr>
        <w:t xml:space="preserve">Proposed PBS </w:t>
      </w:r>
      <w:r w:rsidR="00781284">
        <w:rPr>
          <w:b/>
        </w:rPr>
        <w:t>l</w:t>
      </w:r>
      <w:r w:rsidRPr="00BE056E">
        <w:rPr>
          <w:b/>
        </w:rPr>
        <w:t>isting</w:t>
      </w:r>
    </w:p>
    <w:tbl>
      <w:tblPr>
        <w:tblW w:w="8985" w:type="dxa"/>
        <w:tblLayout w:type="fixed"/>
        <w:tblLook w:val="04A0" w:firstRow="1" w:lastRow="0" w:firstColumn="1" w:lastColumn="0" w:noHBand="0" w:noVBand="1"/>
      </w:tblPr>
      <w:tblGrid>
        <w:gridCol w:w="2552"/>
        <w:gridCol w:w="992"/>
        <w:gridCol w:w="992"/>
        <w:gridCol w:w="851"/>
        <w:gridCol w:w="1843"/>
        <w:gridCol w:w="1755"/>
      </w:tblGrid>
      <w:tr w:rsidR="006802B5" w:rsidRPr="00750CE1" w:rsidTr="009D1785">
        <w:tc>
          <w:tcPr>
            <w:tcW w:w="2552" w:type="dxa"/>
            <w:tcBorders>
              <w:bottom w:val="single" w:sz="4" w:space="0" w:color="auto"/>
            </w:tcBorders>
          </w:tcPr>
          <w:p w:rsidR="006802B5" w:rsidRPr="00750CE1" w:rsidRDefault="006802B5" w:rsidP="00750CE1">
            <w:pPr>
              <w:pStyle w:val="TableText"/>
              <w:spacing w:before="0" w:after="0" w:line="240" w:lineRule="auto"/>
              <w:rPr>
                <w:b/>
                <w:bCs/>
              </w:rPr>
            </w:pPr>
            <w:r w:rsidRPr="00750CE1">
              <w:rPr>
                <w:b/>
              </w:rPr>
              <w:t>Name, restriction, manner of administration, form</w:t>
            </w:r>
          </w:p>
        </w:tc>
        <w:tc>
          <w:tcPr>
            <w:tcW w:w="992" w:type="dxa"/>
            <w:tcBorders>
              <w:bottom w:val="single" w:sz="4" w:space="0" w:color="auto"/>
            </w:tcBorders>
          </w:tcPr>
          <w:p w:rsidR="006802B5" w:rsidRPr="00750CE1" w:rsidRDefault="006802B5" w:rsidP="00750CE1">
            <w:pPr>
              <w:pStyle w:val="TableText"/>
              <w:spacing w:before="0" w:after="0" w:line="240" w:lineRule="auto"/>
              <w:rPr>
                <w:b/>
                <w:bCs/>
              </w:rPr>
            </w:pPr>
            <w:r w:rsidRPr="00750CE1">
              <w:rPr>
                <w:b/>
              </w:rPr>
              <w:t>Maximum quantity (packs)</w:t>
            </w:r>
          </w:p>
        </w:tc>
        <w:tc>
          <w:tcPr>
            <w:tcW w:w="992" w:type="dxa"/>
            <w:tcBorders>
              <w:bottom w:val="single" w:sz="4" w:space="0" w:color="auto"/>
            </w:tcBorders>
          </w:tcPr>
          <w:p w:rsidR="006802B5" w:rsidRPr="00750CE1" w:rsidRDefault="006802B5" w:rsidP="00750CE1">
            <w:pPr>
              <w:pStyle w:val="TableText"/>
              <w:spacing w:before="0" w:after="0" w:line="240" w:lineRule="auto"/>
              <w:rPr>
                <w:b/>
                <w:bCs/>
              </w:rPr>
            </w:pPr>
            <w:r w:rsidRPr="00750CE1">
              <w:rPr>
                <w:b/>
              </w:rPr>
              <w:t>Maximum quantity (units)</w:t>
            </w:r>
          </w:p>
        </w:tc>
        <w:tc>
          <w:tcPr>
            <w:tcW w:w="851" w:type="dxa"/>
            <w:tcBorders>
              <w:bottom w:val="single" w:sz="4" w:space="0" w:color="auto"/>
            </w:tcBorders>
          </w:tcPr>
          <w:p w:rsidR="006802B5" w:rsidRPr="00750CE1" w:rsidRDefault="006802B5" w:rsidP="00750CE1">
            <w:pPr>
              <w:pStyle w:val="TableText"/>
              <w:spacing w:before="0" w:after="0" w:line="240" w:lineRule="auto"/>
              <w:rPr>
                <w:b/>
                <w:bCs/>
              </w:rPr>
            </w:pPr>
            <w:r w:rsidRPr="00750CE1">
              <w:rPr>
                <w:b/>
              </w:rPr>
              <w:t>No. of repeats</w:t>
            </w:r>
          </w:p>
        </w:tc>
        <w:tc>
          <w:tcPr>
            <w:tcW w:w="1843" w:type="dxa"/>
            <w:tcBorders>
              <w:bottom w:val="single" w:sz="4" w:space="0" w:color="auto"/>
            </w:tcBorders>
          </w:tcPr>
          <w:p w:rsidR="006802B5" w:rsidRPr="00750CE1" w:rsidRDefault="006802B5" w:rsidP="00750CE1">
            <w:pPr>
              <w:pStyle w:val="TableText"/>
              <w:spacing w:before="0" w:after="0" w:line="240" w:lineRule="auto"/>
              <w:rPr>
                <w:b/>
                <w:bCs/>
              </w:rPr>
            </w:pPr>
            <w:r w:rsidRPr="00750CE1">
              <w:rPr>
                <w:b/>
              </w:rPr>
              <w:t>Dispensed price for maximum quantity</w:t>
            </w:r>
          </w:p>
        </w:tc>
        <w:tc>
          <w:tcPr>
            <w:tcW w:w="1755" w:type="dxa"/>
            <w:tcBorders>
              <w:bottom w:val="single" w:sz="4" w:space="0" w:color="auto"/>
            </w:tcBorders>
          </w:tcPr>
          <w:p w:rsidR="006802B5" w:rsidRPr="00750CE1" w:rsidRDefault="006802B5" w:rsidP="00750CE1">
            <w:pPr>
              <w:pStyle w:val="TableText"/>
              <w:spacing w:before="0" w:after="0" w:line="240" w:lineRule="auto"/>
              <w:rPr>
                <w:b/>
                <w:bCs/>
              </w:rPr>
            </w:pPr>
            <w:r w:rsidRPr="00750CE1">
              <w:rPr>
                <w:b/>
              </w:rPr>
              <w:t>Proprietary name and manufacturer</w:t>
            </w:r>
          </w:p>
        </w:tc>
      </w:tr>
      <w:tr w:rsidR="006802B5" w:rsidRPr="00BE056E" w:rsidTr="009D1785">
        <w:tc>
          <w:tcPr>
            <w:tcW w:w="2552" w:type="dxa"/>
            <w:tcBorders>
              <w:top w:val="single" w:sz="4" w:space="0" w:color="auto"/>
              <w:bottom w:val="single" w:sz="4" w:space="0" w:color="auto"/>
            </w:tcBorders>
            <w:vAlign w:val="center"/>
          </w:tcPr>
          <w:p w:rsidR="006802B5" w:rsidRPr="00BE056E" w:rsidRDefault="006802B5" w:rsidP="00750CE1">
            <w:pPr>
              <w:keepLines/>
              <w:spacing w:before="0" w:after="0"/>
              <w:jc w:val="left"/>
              <w:rPr>
                <w:rFonts w:ascii="Arial Narrow" w:hAnsi="Arial Narrow"/>
                <w:sz w:val="20"/>
              </w:rPr>
            </w:pPr>
            <w:r w:rsidRPr="00BE056E">
              <w:rPr>
                <w:rFonts w:ascii="Arial Narrow" w:hAnsi="Arial Narrow"/>
                <w:sz w:val="20"/>
              </w:rPr>
              <w:t>OLAPARIB, tablet, 150mg, 100mg, 56</w:t>
            </w:r>
          </w:p>
          <w:p w:rsidR="006802B5" w:rsidRPr="00BE056E" w:rsidRDefault="006802B5" w:rsidP="00750CE1">
            <w:pPr>
              <w:pStyle w:val="TableText"/>
              <w:spacing w:before="0" w:after="0" w:line="240" w:lineRule="auto"/>
              <w:rPr>
                <w:bCs/>
              </w:rPr>
            </w:pPr>
            <w:r w:rsidRPr="00BE056E">
              <w:t>Initial treatment</w:t>
            </w:r>
          </w:p>
        </w:tc>
        <w:tc>
          <w:tcPr>
            <w:tcW w:w="992" w:type="dxa"/>
            <w:tcBorders>
              <w:top w:val="single" w:sz="4" w:space="0" w:color="auto"/>
              <w:bottom w:val="single" w:sz="4" w:space="0" w:color="auto"/>
            </w:tcBorders>
            <w:vAlign w:val="center"/>
          </w:tcPr>
          <w:p w:rsidR="006802B5" w:rsidRPr="00BE056E" w:rsidRDefault="006802B5" w:rsidP="00750CE1">
            <w:pPr>
              <w:pStyle w:val="TableText"/>
              <w:spacing w:before="0" w:after="0" w:line="240" w:lineRule="auto"/>
              <w:jc w:val="center"/>
              <w:rPr>
                <w:rFonts w:ascii="Times" w:hAnsi="Times"/>
              </w:rPr>
            </w:pPr>
            <w:r w:rsidRPr="00BE056E">
              <w:t>2</w:t>
            </w:r>
          </w:p>
        </w:tc>
        <w:tc>
          <w:tcPr>
            <w:tcW w:w="992" w:type="dxa"/>
            <w:tcBorders>
              <w:top w:val="single" w:sz="4" w:space="0" w:color="auto"/>
              <w:bottom w:val="single" w:sz="4" w:space="0" w:color="auto"/>
            </w:tcBorders>
            <w:vAlign w:val="center"/>
          </w:tcPr>
          <w:p w:rsidR="006802B5" w:rsidRPr="00BE056E" w:rsidRDefault="006802B5" w:rsidP="00750CE1">
            <w:pPr>
              <w:pStyle w:val="TableText"/>
              <w:spacing w:before="0" w:after="0" w:line="240" w:lineRule="auto"/>
              <w:jc w:val="center"/>
              <w:rPr>
                <w:rFonts w:ascii="Times" w:hAnsi="Times"/>
              </w:rPr>
            </w:pPr>
            <w:r w:rsidRPr="00BE056E">
              <w:t>112</w:t>
            </w:r>
          </w:p>
        </w:tc>
        <w:tc>
          <w:tcPr>
            <w:tcW w:w="851" w:type="dxa"/>
            <w:tcBorders>
              <w:top w:val="single" w:sz="4" w:space="0" w:color="auto"/>
              <w:bottom w:val="single" w:sz="4" w:space="0" w:color="auto"/>
            </w:tcBorders>
            <w:vAlign w:val="center"/>
          </w:tcPr>
          <w:p w:rsidR="006802B5" w:rsidRPr="00BE056E" w:rsidRDefault="006802B5" w:rsidP="00750CE1">
            <w:pPr>
              <w:pStyle w:val="TableText"/>
              <w:spacing w:before="0" w:after="0" w:line="240" w:lineRule="auto"/>
              <w:jc w:val="center"/>
              <w:rPr>
                <w:rFonts w:ascii="Times" w:hAnsi="Times"/>
              </w:rPr>
            </w:pPr>
            <w:r w:rsidRPr="00BE056E">
              <w:t>2</w:t>
            </w:r>
          </w:p>
        </w:tc>
        <w:tc>
          <w:tcPr>
            <w:tcW w:w="1843" w:type="dxa"/>
            <w:tcBorders>
              <w:top w:val="single" w:sz="4" w:space="0" w:color="auto"/>
              <w:bottom w:val="single" w:sz="4" w:space="0" w:color="auto"/>
            </w:tcBorders>
            <w:vAlign w:val="center"/>
          </w:tcPr>
          <w:p w:rsidR="006802B5" w:rsidRPr="00BE056E" w:rsidRDefault="006802B5" w:rsidP="00750CE1">
            <w:pPr>
              <w:pStyle w:val="TableText"/>
              <w:spacing w:before="0" w:after="0" w:line="240" w:lineRule="auto"/>
              <w:rPr>
                <w:rFonts w:ascii="Times" w:hAnsi="Times"/>
              </w:rPr>
            </w:pPr>
            <w:r w:rsidRPr="00BE056E">
              <w:t>$6,986.96 (published)</w:t>
            </w:r>
            <w:r w:rsidRPr="00BE056E">
              <w:br/>
              <w:t>$</w:t>
            </w:r>
            <w:r w:rsidR="000F4D7C">
              <w:rPr>
                <w:noProof/>
                <w:color w:val="000000"/>
                <w:highlight w:val="black"/>
              </w:rPr>
              <w:t>''''''''''''''''''''</w:t>
            </w:r>
            <w:r w:rsidRPr="00BE056E">
              <w:t xml:space="preserve"> (effective)</w:t>
            </w:r>
          </w:p>
        </w:tc>
        <w:tc>
          <w:tcPr>
            <w:tcW w:w="1755" w:type="dxa"/>
            <w:tcBorders>
              <w:top w:val="single" w:sz="4" w:space="0" w:color="auto"/>
              <w:bottom w:val="single" w:sz="4" w:space="0" w:color="auto"/>
            </w:tcBorders>
            <w:vAlign w:val="center"/>
          </w:tcPr>
          <w:p w:rsidR="006802B5" w:rsidRPr="00BE056E" w:rsidRDefault="006802B5" w:rsidP="00750CE1">
            <w:pPr>
              <w:pStyle w:val="TableText"/>
              <w:spacing w:before="0" w:after="0" w:line="240" w:lineRule="auto"/>
              <w:rPr>
                <w:rFonts w:ascii="Times" w:hAnsi="Times"/>
              </w:rPr>
            </w:pPr>
            <w:r w:rsidRPr="00BE056E">
              <w:t>LYNPARZA</w:t>
            </w:r>
            <w:r w:rsidRPr="00BE056E">
              <w:rPr>
                <w:vertAlign w:val="superscript"/>
              </w:rPr>
              <w:t>®</w:t>
            </w:r>
            <w:r w:rsidRPr="00BE056E">
              <w:br/>
              <w:t>AstraZeneca Pty Ltd</w:t>
            </w:r>
          </w:p>
        </w:tc>
      </w:tr>
      <w:tr w:rsidR="006802B5" w:rsidRPr="00BE056E" w:rsidTr="009D1785">
        <w:tc>
          <w:tcPr>
            <w:tcW w:w="2552" w:type="dxa"/>
            <w:tcBorders>
              <w:top w:val="single" w:sz="4" w:space="0" w:color="auto"/>
              <w:bottom w:val="single" w:sz="4" w:space="0" w:color="auto"/>
            </w:tcBorders>
            <w:vAlign w:val="center"/>
          </w:tcPr>
          <w:p w:rsidR="006802B5" w:rsidRPr="00BE056E" w:rsidRDefault="006802B5" w:rsidP="00750CE1">
            <w:pPr>
              <w:keepLines/>
              <w:spacing w:before="0" w:after="0"/>
              <w:jc w:val="left"/>
              <w:rPr>
                <w:rFonts w:ascii="Arial Narrow" w:hAnsi="Arial Narrow"/>
                <w:sz w:val="20"/>
              </w:rPr>
            </w:pPr>
            <w:r w:rsidRPr="00BE056E">
              <w:rPr>
                <w:rFonts w:ascii="Arial Narrow" w:hAnsi="Arial Narrow"/>
                <w:sz w:val="20"/>
              </w:rPr>
              <w:t>OLAPARIB, tablet, 150mg, 100mg, 56</w:t>
            </w:r>
          </w:p>
          <w:p w:rsidR="006802B5" w:rsidRPr="00BE056E" w:rsidRDefault="006802B5" w:rsidP="00750CE1">
            <w:pPr>
              <w:pStyle w:val="TableText"/>
              <w:spacing w:before="0" w:after="0" w:line="240" w:lineRule="auto"/>
            </w:pPr>
            <w:r w:rsidRPr="00BE056E">
              <w:t>Continuing treatment</w:t>
            </w:r>
          </w:p>
        </w:tc>
        <w:tc>
          <w:tcPr>
            <w:tcW w:w="992" w:type="dxa"/>
            <w:tcBorders>
              <w:top w:val="single" w:sz="4" w:space="0" w:color="auto"/>
              <w:bottom w:val="single" w:sz="4" w:space="0" w:color="auto"/>
            </w:tcBorders>
            <w:vAlign w:val="center"/>
          </w:tcPr>
          <w:p w:rsidR="006802B5" w:rsidRPr="00BE056E" w:rsidRDefault="006802B5" w:rsidP="00750CE1">
            <w:pPr>
              <w:pStyle w:val="TableText"/>
              <w:spacing w:before="0" w:after="0" w:line="240" w:lineRule="auto"/>
              <w:jc w:val="center"/>
            </w:pPr>
            <w:r w:rsidRPr="00BE056E">
              <w:t>2</w:t>
            </w:r>
          </w:p>
        </w:tc>
        <w:tc>
          <w:tcPr>
            <w:tcW w:w="992" w:type="dxa"/>
            <w:tcBorders>
              <w:top w:val="single" w:sz="4" w:space="0" w:color="auto"/>
              <w:bottom w:val="single" w:sz="4" w:space="0" w:color="auto"/>
            </w:tcBorders>
            <w:vAlign w:val="center"/>
          </w:tcPr>
          <w:p w:rsidR="006802B5" w:rsidRPr="00BE056E" w:rsidRDefault="006802B5" w:rsidP="00750CE1">
            <w:pPr>
              <w:pStyle w:val="TableText"/>
              <w:spacing w:before="0" w:after="0" w:line="240" w:lineRule="auto"/>
              <w:jc w:val="center"/>
            </w:pPr>
            <w:r w:rsidRPr="00BE056E">
              <w:t>112</w:t>
            </w:r>
          </w:p>
        </w:tc>
        <w:tc>
          <w:tcPr>
            <w:tcW w:w="851" w:type="dxa"/>
            <w:tcBorders>
              <w:top w:val="single" w:sz="4" w:space="0" w:color="auto"/>
              <w:bottom w:val="single" w:sz="4" w:space="0" w:color="auto"/>
            </w:tcBorders>
            <w:vAlign w:val="center"/>
          </w:tcPr>
          <w:p w:rsidR="006802B5" w:rsidRPr="00BE056E" w:rsidRDefault="006802B5" w:rsidP="00750CE1">
            <w:pPr>
              <w:pStyle w:val="TableText"/>
              <w:spacing w:before="0" w:after="0" w:line="240" w:lineRule="auto"/>
              <w:jc w:val="center"/>
            </w:pPr>
            <w:r w:rsidRPr="00BE056E">
              <w:t>5</w:t>
            </w:r>
          </w:p>
        </w:tc>
        <w:tc>
          <w:tcPr>
            <w:tcW w:w="1843" w:type="dxa"/>
            <w:tcBorders>
              <w:top w:val="single" w:sz="4" w:space="0" w:color="auto"/>
              <w:bottom w:val="single" w:sz="4" w:space="0" w:color="auto"/>
            </w:tcBorders>
            <w:vAlign w:val="center"/>
          </w:tcPr>
          <w:p w:rsidR="006802B5" w:rsidRPr="00BE056E" w:rsidRDefault="006802B5" w:rsidP="00750CE1">
            <w:pPr>
              <w:pStyle w:val="TableText"/>
              <w:spacing w:before="0" w:after="0" w:line="240" w:lineRule="auto"/>
            </w:pPr>
            <w:r w:rsidRPr="00BE056E">
              <w:t>$6,986.96 (published)</w:t>
            </w:r>
            <w:r w:rsidRPr="00BE056E">
              <w:br/>
              <w:t>$</w:t>
            </w:r>
            <w:r w:rsidR="000F4D7C">
              <w:rPr>
                <w:noProof/>
                <w:color w:val="000000"/>
                <w:highlight w:val="black"/>
              </w:rPr>
              <w:t>''''''''''''''''''''</w:t>
            </w:r>
            <w:r w:rsidRPr="00BE056E">
              <w:t xml:space="preserve"> (effective)</w:t>
            </w:r>
          </w:p>
        </w:tc>
        <w:tc>
          <w:tcPr>
            <w:tcW w:w="1755" w:type="dxa"/>
            <w:tcBorders>
              <w:top w:val="single" w:sz="4" w:space="0" w:color="auto"/>
              <w:bottom w:val="single" w:sz="4" w:space="0" w:color="auto"/>
            </w:tcBorders>
            <w:vAlign w:val="center"/>
          </w:tcPr>
          <w:p w:rsidR="006802B5" w:rsidRPr="00BE056E" w:rsidRDefault="006802B5" w:rsidP="00750CE1">
            <w:pPr>
              <w:pStyle w:val="TableText"/>
              <w:spacing w:before="0" w:after="0" w:line="240" w:lineRule="auto"/>
            </w:pPr>
            <w:r w:rsidRPr="00BE056E">
              <w:t>LYNPARZA</w:t>
            </w:r>
            <w:r w:rsidRPr="00BE056E">
              <w:rPr>
                <w:vertAlign w:val="superscript"/>
              </w:rPr>
              <w:t>®</w:t>
            </w:r>
            <w:r w:rsidRPr="00BE056E">
              <w:br/>
              <w:t>AstraZeneca Pty Ltd</w:t>
            </w:r>
          </w:p>
        </w:tc>
      </w:tr>
    </w:tbl>
    <w:p w:rsidR="006802B5" w:rsidRPr="00BE056E" w:rsidRDefault="006802B5" w:rsidP="006802B5">
      <w:pPr>
        <w:spacing w:before="0" w:after="0"/>
      </w:pPr>
    </w:p>
    <w:tbl>
      <w:tblPr>
        <w:tblW w:w="5000" w:type="pct"/>
        <w:tblLayout w:type="fixed"/>
        <w:tblLook w:val="0000" w:firstRow="0" w:lastRow="0" w:firstColumn="0" w:lastColumn="0" w:noHBand="0" w:noVBand="0"/>
      </w:tblPr>
      <w:tblGrid>
        <w:gridCol w:w="2122"/>
        <w:gridCol w:w="6894"/>
      </w:tblGrid>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b/>
                <w:sz w:val="20"/>
                <w:szCs w:val="20"/>
              </w:rPr>
            </w:pPr>
            <w:r w:rsidRPr="00BE056E">
              <w:rPr>
                <w:rFonts w:ascii="Arial Narrow" w:hAnsi="Arial Narrow" w:cs="Arial"/>
                <w:b/>
                <w:sz w:val="20"/>
                <w:szCs w:val="20"/>
              </w:rPr>
              <w:t>Category / Program:</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t>GENERAL – General Schedule (Code GE)</w:t>
            </w:r>
          </w:p>
        </w:tc>
      </w:tr>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b/>
                <w:sz w:val="20"/>
                <w:szCs w:val="20"/>
              </w:rPr>
            </w:pPr>
            <w:r w:rsidRPr="00BE056E">
              <w:rPr>
                <w:rFonts w:ascii="Arial Narrow" w:hAnsi="Arial Narrow" w:cs="Arial"/>
                <w:b/>
                <w:sz w:val="20"/>
                <w:szCs w:val="20"/>
              </w:rPr>
              <w:t>Prescriber type:</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fldChar w:fldCharType="begin">
                <w:ffData>
                  <w:name w:val=""/>
                  <w:enabled/>
                  <w:calcOnExit w:val="0"/>
                  <w:checkBox>
                    <w:sizeAuto/>
                    <w:default w:val="1"/>
                  </w:checkBox>
                </w:ffData>
              </w:fldChar>
            </w:r>
            <w:r w:rsidRPr="00BE056E">
              <w:rPr>
                <w:rFonts w:ascii="Arial Narrow" w:hAnsi="Arial Narrow" w:cs="Arial"/>
                <w:sz w:val="20"/>
                <w:szCs w:val="20"/>
              </w:rPr>
              <w:instrText xml:space="preserve"> FORMCHECKBOX </w:instrText>
            </w:r>
            <w:r w:rsidR="009963BB">
              <w:rPr>
                <w:rFonts w:ascii="Arial Narrow" w:hAnsi="Arial Narrow" w:cs="Arial"/>
                <w:sz w:val="20"/>
                <w:szCs w:val="20"/>
              </w:rPr>
            </w:r>
            <w:r w:rsidR="009963BB">
              <w:rPr>
                <w:rFonts w:ascii="Arial Narrow" w:hAnsi="Arial Narrow" w:cs="Arial"/>
                <w:sz w:val="20"/>
                <w:szCs w:val="20"/>
              </w:rPr>
              <w:fldChar w:fldCharType="separate"/>
            </w:r>
            <w:r w:rsidRPr="00BE056E">
              <w:rPr>
                <w:rFonts w:ascii="Arial Narrow" w:hAnsi="Arial Narrow" w:cs="Arial"/>
                <w:sz w:val="20"/>
                <w:szCs w:val="20"/>
              </w:rPr>
              <w:fldChar w:fldCharType="end"/>
            </w:r>
            <w:r w:rsidR="00027C36">
              <w:rPr>
                <w:rFonts w:ascii="Arial Narrow" w:hAnsi="Arial Narrow" w:cs="Arial"/>
                <w:sz w:val="20"/>
                <w:szCs w:val="20"/>
              </w:rPr>
              <w:t>Medical Practitioners</w:t>
            </w:r>
          </w:p>
        </w:tc>
      </w:tr>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b/>
                <w:sz w:val="20"/>
                <w:szCs w:val="20"/>
              </w:rPr>
            </w:pPr>
            <w:r w:rsidRPr="00BE056E">
              <w:rPr>
                <w:rFonts w:ascii="Arial Narrow" w:hAnsi="Arial Narrow" w:cs="Arial"/>
                <w:b/>
                <w:sz w:val="20"/>
                <w:szCs w:val="20"/>
              </w:rPr>
              <w:t>Severity:</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t>Metastatic</w:t>
            </w:r>
          </w:p>
        </w:tc>
      </w:tr>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b/>
                <w:sz w:val="20"/>
                <w:szCs w:val="20"/>
              </w:rPr>
            </w:pPr>
            <w:r w:rsidRPr="00BE056E">
              <w:rPr>
                <w:rFonts w:ascii="Arial Narrow" w:hAnsi="Arial Narrow" w:cs="Arial"/>
                <w:b/>
                <w:sz w:val="20"/>
                <w:szCs w:val="20"/>
              </w:rPr>
              <w:t>Condition:</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t>Carcinoma of the prostate</w:t>
            </w:r>
          </w:p>
        </w:tc>
      </w:tr>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b/>
                <w:sz w:val="20"/>
                <w:szCs w:val="20"/>
              </w:rPr>
            </w:pPr>
            <w:r w:rsidRPr="00BE056E">
              <w:rPr>
                <w:rFonts w:ascii="Arial Narrow" w:hAnsi="Arial Narrow" w:cs="Arial"/>
                <w:b/>
                <w:sz w:val="20"/>
                <w:szCs w:val="20"/>
              </w:rPr>
              <w:t>PBS Indication:</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t>Castration resistant metastatic carcinoma of the prostate</w:t>
            </w:r>
          </w:p>
        </w:tc>
      </w:tr>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b/>
                <w:sz w:val="20"/>
                <w:szCs w:val="20"/>
              </w:rPr>
            </w:pPr>
            <w:r w:rsidRPr="00BE056E">
              <w:rPr>
                <w:rFonts w:ascii="Arial Narrow" w:hAnsi="Arial Narrow" w:cs="Arial"/>
                <w:b/>
                <w:sz w:val="20"/>
                <w:szCs w:val="20"/>
              </w:rPr>
              <w:t>Treatment phase:</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t xml:space="preserve">Initial </w:t>
            </w:r>
          </w:p>
        </w:tc>
      </w:tr>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b/>
                <w:sz w:val="20"/>
                <w:szCs w:val="20"/>
              </w:rPr>
            </w:pPr>
            <w:r w:rsidRPr="00BE056E">
              <w:rPr>
                <w:rFonts w:ascii="Arial Narrow" w:hAnsi="Arial Narrow" w:cs="Arial"/>
                <w:b/>
                <w:sz w:val="20"/>
                <w:szCs w:val="20"/>
              </w:rPr>
              <w:t>Restriction Level / Method:</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fldChar w:fldCharType="begin">
                <w:ffData>
                  <w:name w:val="Check3"/>
                  <w:enabled/>
                  <w:calcOnExit w:val="0"/>
                  <w:checkBox>
                    <w:sizeAuto/>
                    <w:default w:val="1"/>
                  </w:checkBox>
                </w:ffData>
              </w:fldChar>
            </w:r>
            <w:r w:rsidRPr="00BE056E">
              <w:rPr>
                <w:rFonts w:ascii="Arial Narrow" w:hAnsi="Arial Narrow" w:cs="Arial"/>
                <w:sz w:val="20"/>
                <w:szCs w:val="20"/>
              </w:rPr>
              <w:instrText xml:space="preserve"> FORMCHECKBOX </w:instrText>
            </w:r>
            <w:r w:rsidR="009963BB">
              <w:rPr>
                <w:rFonts w:ascii="Arial Narrow" w:hAnsi="Arial Narrow" w:cs="Arial"/>
                <w:sz w:val="20"/>
                <w:szCs w:val="20"/>
              </w:rPr>
            </w:r>
            <w:r w:rsidR="009963BB">
              <w:rPr>
                <w:rFonts w:ascii="Arial Narrow" w:hAnsi="Arial Narrow" w:cs="Arial"/>
                <w:sz w:val="20"/>
                <w:szCs w:val="20"/>
              </w:rPr>
              <w:fldChar w:fldCharType="separate"/>
            </w:r>
            <w:r w:rsidRPr="00BE056E">
              <w:rPr>
                <w:rFonts w:ascii="Arial Narrow" w:hAnsi="Arial Narrow" w:cs="Arial"/>
                <w:sz w:val="20"/>
                <w:szCs w:val="20"/>
              </w:rPr>
              <w:fldChar w:fldCharType="end"/>
            </w:r>
            <w:r w:rsidRPr="00BE056E">
              <w:rPr>
                <w:rFonts w:ascii="Arial Narrow" w:hAnsi="Arial Narrow" w:cs="Arial"/>
                <w:sz w:val="20"/>
                <w:szCs w:val="20"/>
              </w:rPr>
              <w:t>Authority Required – Telephone/Electronic/Emergency</w:t>
            </w:r>
          </w:p>
        </w:tc>
      </w:tr>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027C36">
            <w:pPr>
              <w:spacing w:before="0" w:after="0"/>
              <w:rPr>
                <w:rFonts w:ascii="Arial Narrow" w:hAnsi="Arial Narrow" w:cs="Arial"/>
                <w:b/>
                <w:sz w:val="20"/>
                <w:szCs w:val="20"/>
              </w:rPr>
            </w:pPr>
            <w:r w:rsidRPr="00BE056E">
              <w:rPr>
                <w:rFonts w:ascii="Arial Narrow" w:hAnsi="Arial Narrow" w:cs="Arial"/>
                <w:b/>
                <w:sz w:val="20"/>
                <w:szCs w:val="20"/>
              </w:rPr>
              <w:t>Clinical criteria:</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pStyle w:val="Default"/>
              <w:jc w:val="both"/>
              <w:rPr>
                <w:rFonts w:ascii="Arial Narrow" w:hAnsi="Arial Narrow"/>
                <w:i/>
                <w:color w:val="auto"/>
                <w:sz w:val="20"/>
                <w:szCs w:val="20"/>
              </w:rPr>
            </w:pPr>
            <w:r w:rsidRPr="00BE056E">
              <w:rPr>
                <w:rFonts w:ascii="Arial Narrow" w:hAnsi="Arial Narrow"/>
                <w:iCs/>
                <w:color w:val="auto"/>
                <w:sz w:val="20"/>
                <w:szCs w:val="20"/>
              </w:rPr>
              <w:t xml:space="preserve">Patient must have homologous recombination repair gene variants (germline and/or somatic) </w:t>
            </w:r>
            <w:r w:rsidRPr="00BE056E">
              <w:rPr>
                <w:rFonts w:ascii="Arial Narrow" w:hAnsi="Arial Narrow"/>
                <w:i/>
                <w:color w:val="auto"/>
                <w:sz w:val="20"/>
                <w:szCs w:val="20"/>
              </w:rPr>
              <w:t>BRCA1</w:t>
            </w:r>
            <w:r w:rsidRPr="00BE056E">
              <w:rPr>
                <w:rFonts w:ascii="Arial Narrow" w:hAnsi="Arial Narrow"/>
                <w:iCs/>
                <w:color w:val="auto"/>
                <w:sz w:val="20"/>
                <w:szCs w:val="20"/>
              </w:rPr>
              <w:t xml:space="preserve"> or </w:t>
            </w:r>
            <w:r w:rsidRPr="00BE056E">
              <w:rPr>
                <w:rFonts w:ascii="Arial Narrow" w:hAnsi="Arial Narrow"/>
                <w:i/>
                <w:color w:val="auto"/>
                <w:sz w:val="20"/>
                <w:szCs w:val="20"/>
              </w:rPr>
              <w:t>BRCA2</w:t>
            </w:r>
          </w:p>
          <w:p w:rsidR="006802B5" w:rsidRPr="00BE056E" w:rsidRDefault="006802B5" w:rsidP="009D1785">
            <w:pPr>
              <w:pStyle w:val="Default"/>
              <w:jc w:val="both"/>
              <w:rPr>
                <w:rFonts w:ascii="Arial Narrow" w:hAnsi="Arial Narrow"/>
                <w:color w:val="auto"/>
                <w:sz w:val="20"/>
                <w:szCs w:val="20"/>
              </w:rPr>
            </w:pPr>
            <w:r w:rsidRPr="00BE056E">
              <w:rPr>
                <w:rFonts w:ascii="Arial Narrow" w:hAnsi="Arial Narrow"/>
                <w:color w:val="auto"/>
                <w:sz w:val="20"/>
                <w:szCs w:val="20"/>
              </w:rPr>
              <w:t>AND</w:t>
            </w:r>
          </w:p>
          <w:p w:rsidR="006802B5" w:rsidRPr="00BE056E" w:rsidRDefault="006802B5" w:rsidP="009D1785">
            <w:pPr>
              <w:pStyle w:val="Default"/>
              <w:jc w:val="both"/>
              <w:rPr>
                <w:rFonts w:ascii="Arial Narrow" w:hAnsi="Arial Narrow"/>
                <w:color w:val="auto"/>
                <w:sz w:val="20"/>
                <w:szCs w:val="20"/>
              </w:rPr>
            </w:pPr>
            <w:r w:rsidRPr="00BE056E">
              <w:rPr>
                <w:rFonts w:ascii="Arial Narrow" w:hAnsi="Arial Narrow"/>
                <w:color w:val="auto"/>
                <w:sz w:val="20"/>
                <w:szCs w:val="20"/>
              </w:rPr>
              <w:t>The treatment must not be used in combination with chemotherapy or novel hormonal agents</w:t>
            </w:r>
          </w:p>
          <w:p w:rsidR="006802B5" w:rsidRPr="00BE056E" w:rsidRDefault="006802B5" w:rsidP="009D1785">
            <w:pPr>
              <w:pStyle w:val="Default"/>
              <w:jc w:val="both"/>
              <w:rPr>
                <w:rFonts w:ascii="Arial Narrow" w:hAnsi="Arial Narrow"/>
                <w:color w:val="auto"/>
                <w:sz w:val="20"/>
                <w:szCs w:val="20"/>
              </w:rPr>
            </w:pPr>
            <w:r w:rsidRPr="00BE056E">
              <w:rPr>
                <w:rFonts w:ascii="Arial Narrow" w:hAnsi="Arial Narrow"/>
                <w:color w:val="auto"/>
                <w:sz w:val="20"/>
                <w:szCs w:val="20"/>
              </w:rPr>
              <w:t xml:space="preserve">AND </w:t>
            </w:r>
          </w:p>
          <w:p w:rsidR="006802B5" w:rsidRPr="00BE056E" w:rsidRDefault="006802B5" w:rsidP="009D1785">
            <w:pPr>
              <w:pStyle w:val="Default"/>
              <w:jc w:val="both"/>
              <w:rPr>
                <w:rFonts w:ascii="Arial Narrow" w:hAnsi="Arial Narrow"/>
                <w:color w:val="auto"/>
                <w:sz w:val="20"/>
                <w:szCs w:val="20"/>
              </w:rPr>
            </w:pPr>
            <w:r w:rsidRPr="00BE056E">
              <w:rPr>
                <w:rFonts w:ascii="Arial Narrow" w:hAnsi="Arial Narrow"/>
                <w:color w:val="auto"/>
                <w:sz w:val="20"/>
                <w:szCs w:val="20"/>
              </w:rPr>
              <w:t xml:space="preserve">Patient must not receive PBS-subsidised treatment with this drug if progressive disease develops while on this drug </w:t>
            </w:r>
          </w:p>
          <w:p w:rsidR="006802B5" w:rsidRPr="00BE056E" w:rsidRDefault="006802B5" w:rsidP="009D1785">
            <w:pPr>
              <w:pStyle w:val="Default"/>
              <w:jc w:val="both"/>
              <w:rPr>
                <w:rFonts w:ascii="Arial Narrow" w:hAnsi="Arial Narrow"/>
                <w:color w:val="auto"/>
                <w:sz w:val="20"/>
                <w:szCs w:val="20"/>
              </w:rPr>
            </w:pPr>
            <w:r w:rsidRPr="00BE056E">
              <w:rPr>
                <w:rFonts w:ascii="Arial Narrow" w:hAnsi="Arial Narrow"/>
                <w:color w:val="auto"/>
                <w:sz w:val="20"/>
                <w:szCs w:val="20"/>
              </w:rPr>
              <w:t xml:space="preserve">AND </w:t>
            </w:r>
          </w:p>
          <w:p w:rsidR="006802B5" w:rsidRPr="00BE056E" w:rsidRDefault="006802B5" w:rsidP="009D1785">
            <w:pPr>
              <w:pStyle w:val="Default"/>
              <w:jc w:val="both"/>
              <w:rPr>
                <w:rFonts w:ascii="Arial Narrow" w:hAnsi="Arial Narrow"/>
                <w:color w:val="auto"/>
                <w:sz w:val="20"/>
                <w:szCs w:val="20"/>
              </w:rPr>
            </w:pPr>
            <w:r w:rsidRPr="00BE056E">
              <w:rPr>
                <w:rFonts w:ascii="Arial Narrow" w:hAnsi="Arial Narrow"/>
                <w:color w:val="auto"/>
                <w:sz w:val="20"/>
                <w:szCs w:val="20"/>
              </w:rPr>
              <w:t>Patient must have progressed or failed treatment following a prior novel hormonal agent treatment</w:t>
            </w:r>
          </w:p>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t xml:space="preserve">OR </w:t>
            </w:r>
          </w:p>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t>Patient must be unsuitable for novel hormonal agent treatment on the basis of predicted intolerance</w:t>
            </w:r>
          </w:p>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t>AND</w:t>
            </w:r>
          </w:p>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t>Patient must have a WHO performance status of 2 or less</w:t>
            </w:r>
          </w:p>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t>AND</w:t>
            </w:r>
          </w:p>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t xml:space="preserve">Patient must not have received prior treatment with </w:t>
            </w:r>
            <w:proofErr w:type="spellStart"/>
            <w:r w:rsidRPr="00BE056E">
              <w:rPr>
                <w:rFonts w:ascii="Arial Narrow" w:hAnsi="Arial Narrow" w:cs="Arial"/>
                <w:sz w:val="20"/>
                <w:szCs w:val="20"/>
              </w:rPr>
              <w:t>olaparib</w:t>
            </w:r>
            <w:proofErr w:type="spellEnd"/>
            <w:r w:rsidRPr="00BE056E">
              <w:rPr>
                <w:rFonts w:ascii="Arial Narrow" w:hAnsi="Arial Narrow" w:cs="Arial"/>
                <w:sz w:val="20"/>
                <w:szCs w:val="20"/>
              </w:rPr>
              <w:t xml:space="preserve"> </w:t>
            </w:r>
          </w:p>
        </w:tc>
      </w:tr>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b/>
                <w:sz w:val="20"/>
                <w:szCs w:val="20"/>
              </w:rPr>
            </w:pPr>
            <w:r w:rsidRPr="00BE056E">
              <w:rPr>
                <w:rFonts w:ascii="Arial Narrow" w:hAnsi="Arial Narrow" w:cs="Arial"/>
                <w:b/>
                <w:sz w:val="20"/>
                <w:szCs w:val="20"/>
              </w:rPr>
              <w:t>Treatment phase:</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pStyle w:val="Default"/>
              <w:jc w:val="both"/>
              <w:rPr>
                <w:rFonts w:ascii="Arial Narrow" w:hAnsi="Arial Narrow"/>
                <w:iCs/>
                <w:color w:val="auto"/>
                <w:sz w:val="20"/>
                <w:szCs w:val="20"/>
              </w:rPr>
            </w:pPr>
            <w:r w:rsidRPr="00BE056E">
              <w:rPr>
                <w:rFonts w:ascii="Arial Narrow" w:hAnsi="Arial Narrow"/>
                <w:iCs/>
                <w:color w:val="auto"/>
                <w:sz w:val="20"/>
                <w:szCs w:val="20"/>
              </w:rPr>
              <w:t>Continuing</w:t>
            </w:r>
          </w:p>
        </w:tc>
      </w:tr>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b/>
                <w:sz w:val="20"/>
                <w:szCs w:val="20"/>
              </w:rPr>
            </w:pPr>
            <w:r w:rsidRPr="00BE056E">
              <w:rPr>
                <w:rFonts w:ascii="Arial Narrow" w:hAnsi="Arial Narrow" w:cs="Arial"/>
                <w:b/>
                <w:sz w:val="20"/>
                <w:szCs w:val="20"/>
              </w:rPr>
              <w:t>Restriction Level / Method:</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sz w:val="20"/>
                <w:szCs w:val="20"/>
              </w:rPr>
            </w:pPr>
            <w:r w:rsidRPr="00BE056E">
              <w:rPr>
                <w:rFonts w:ascii="Arial Narrow" w:hAnsi="Arial Narrow" w:cs="Arial"/>
                <w:sz w:val="20"/>
                <w:szCs w:val="20"/>
              </w:rPr>
              <w:fldChar w:fldCharType="begin">
                <w:ffData>
                  <w:name w:val="Check3"/>
                  <w:enabled/>
                  <w:calcOnExit w:val="0"/>
                  <w:checkBox>
                    <w:sizeAuto/>
                    <w:default w:val="1"/>
                  </w:checkBox>
                </w:ffData>
              </w:fldChar>
            </w:r>
            <w:r w:rsidRPr="00BE056E">
              <w:rPr>
                <w:rFonts w:ascii="Arial Narrow" w:hAnsi="Arial Narrow" w:cs="Arial"/>
                <w:sz w:val="20"/>
                <w:szCs w:val="20"/>
              </w:rPr>
              <w:instrText xml:space="preserve"> FORMCHECKBOX </w:instrText>
            </w:r>
            <w:r w:rsidR="009963BB">
              <w:rPr>
                <w:rFonts w:ascii="Arial Narrow" w:hAnsi="Arial Narrow" w:cs="Arial"/>
                <w:sz w:val="20"/>
                <w:szCs w:val="20"/>
              </w:rPr>
            </w:r>
            <w:r w:rsidR="009963BB">
              <w:rPr>
                <w:rFonts w:ascii="Arial Narrow" w:hAnsi="Arial Narrow" w:cs="Arial"/>
                <w:sz w:val="20"/>
                <w:szCs w:val="20"/>
              </w:rPr>
              <w:fldChar w:fldCharType="separate"/>
            </w:r>
            <w:r w:rsidRPr="00BE056E">
              <w:rPr>
                <w:rFonts w:ascii="Arial Narrow" w:hAnsi="Arial Narrow" w:cs="Arial"/>
                <w:sz w:val="20"/>
                <w:szCs w:val="20"/>
              </w:rPr>
              <w:fldChar w:fldCharType="end"/>
            </w:r>
            <w:r w:rsidRPr="00BE056E">
              <w:rPr>
                <w:rFonts w:ascii="Arial Narrow" w:hAnsi="Arial Narrow" w:cs="Arial"/>
                <w:sz w:val="20"/>
                <w:szCs w:val="20"/>
              </w:rPr>
              <w:t>Authority Required – Telephone/Electronic/Emergency</w:t>
            </w:r>
          </w:p>
          <w:p w:rsidR="006802B5" w:rsidRPr="00BE056E" w:rsidRDefault="006802B5" w:rsidP="009D1785">
            <w:pPr>
              <w:pStyle w:val="Default"/>
              <w:jc w:val="both"/>
              <w:rPr>
                <w:rFonts w:ascii="Arial Narrow" w:hAnsi="Arial Narrow"/>
                <w:iCs/>
                <w:color w:val="auto"/>
                <w:sz w:val="20"/>
                <w:szCs w:val="20"/>
              </w:rPr>
            </w:pPr>
            <w:r w:rsidRPr="00BE056E">
              <w:rPr>
                <w:rFonts w:ascii="Arial Narrow" w:hAnsi="Arial Narrow"/>
                <w:sz w:val="20"/>
                <w:szCs w:val="20"/>
              </w:rPr>
              <w:fldChar w:fldCharType="begin">
                <w:ffData>
                  <w:name w:val="Check3"/>
                  <w:enabled/>
                  <w:calcOnExit w:val="0"/>
                  <w:checkBox>
                    <w:sizeAuto/>
                    <w:default w:val="1"/>
                  </w:checkBox>
                </w:ffData>
              </w:fldChar>
            </w:r>
            <w:r w:rsidRPr="00BE056E">
              <w:rPr>
                <w:rFonts w:ascii="Arial Narrow" w:hAnsi="Arial Narrow"/>
                <w:sz w:val="20"/>
                <w:szCs w:val="20"/>
              </w:rPr>
              <w:instrText xml:space="preserve"> FORMCHECKBOX </w:instrText>
            </w:r>
            <w:r w:rsidR="009963BB">
              <w:rPr>
                <w:rFonts w:ascii="Arial Narrow" w:hAnsi="Arial Narrow"/>
                <w:sz w:val="20"/>
                <w:szCs w:val="20"/>
              </w:rPr>
            </w:r>
            <w:r w:rsidR="009963BB">
              <w:rPr>
                <w:rFonts w:ascii="Arial Narrow" w:hAnsi="Arial Narrow"/>
                <w:sz w:val="20"/>
                <w:szCs w:val="20"/>
              </w:rPr>
              <w:fldChar w:fldCharType="separate"/>
            </w:r>
            <w:r w:rsidRPr="00BE056E">
              <w:rPr>
                <w:rFonts w:ascii="Arial Narrow" w:hAnsi="Arial Narrow"/>
                <w:sz w:val="20"/>
                <w:szCs w:val="20"/>
              </w:rPr>
              <w:fldChar w:fldCharType="end"/>
            </w:r>
            <w:r w:rsidRPr="00BE056E">
              <w:rPr>
                <w:rFonts w:ascii="Arial Narrow" w:hAnsi="Arial Narrow"/>
                <w:sz w:val="20"/>
                <w:szCs w:val="20"/>
              </w:rPr>
              <w:t>Streamlined</w:t>
            </w:r>
          </w:p>
        </w:tc>
      </w:tr>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b/>
                <w:sz w:val="20"/>
                <w:szCs w:val="20"/>
              </w:rPr>
            </w:pPr>
            <w:r w:rsidRPr="00BE056E">
              <w:rPr>
                <w:rFonts w:ascii="Arial Narrow" w:hAnsi="Arial Narrow" w:cs="Arial"/>
                <w:b/>
                <w:sz w:val="20"/>
                <w:szCs w:val="20"/>
              </w:rPr>
              <w:t>Clinical criteria:</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pStyle w:val="Default"/>
              <w:jc w:val="both"/>
              <w:rPr>
                <w:rFonts w:ascii="Arial Narrow" w:hAnsi="Arial Narrow"/>
                <w:iCs/>
                <w:color w:val="auto"/>
                <w:sz w:val="20"/>
                <w:szCs w:val="20"/>
              </w:rPr>
            </w:pPr>
            <w:r w:rsidRPr="00BE056E">
              <w:rPr>
                <w:rFonts w:ascii="Arial Narrow" w:hAnsi="Arial Narrow"/>
                <w:iCs/>
                <w:color w:val="auto"/>
                <w:sz w:val="20"/>
                <w:szCs w:val="20"/>
              </w:rPr>
              <w:t>Patient must have previously received PBS-subsidised treatment with this drug for this condition</w:t>
            </w:r>
          </w:p>
          <w:p w:rsidR="006802B5" w:rsidRPr="00BE056E" w:rsidRDefault="006802B5" w:rsidP="009D1785">
            <w:pPr>
              <w:pStyle w:val="Default"/>
              <w:jc w:val="both"/>
              <w:rPr>
                <w:rFonts w:ascii="Arial Narrow" w:hAnsi="Arial Narrow"/>
                <w:iCs/>
                <w:color w:val="auto"/>
                <w:sz w:val="20"/>
                <w:szCs w:val="20"/>
              </w:rPr>
            </w:pPr>
            <w:r w:rsidRPr="00BE056E">
              <w:rPr>
                <w:rFonts w:ascii="Arial Narrow" w:hAnsi="Arial Narrow"/>
                <w:iCs/>
                <w:color w:val="auto"/>
                <w:sz w:val="20"/>
                <w:szCs w:val="20"/>
              </w:rPr>
              <w:t>AND</w:t>
            </w:r>
          </w:p>
          <w:p w:rsidR="006802B5" w:rsidRPr="00BE056E" w:rsidRDefault="006802B5" w:rsidP="009D1785">
            <w:pPr>
              <w:pStyle w:val="Default"/>
              <w:jc w:val="both"/>
              <w:rPr>
                <w:rFonts w:ascii="Arial Narrow" w:hAnsi="Arial Narrow"/>
                <w:iCs/>
                <w:color w:val="auto"/>
                <w:sz w:val="20"/>
                <w:szCs w:val="20"/>
              </w:rPr>
            </w:pPr>
            <w:r w:rsidRPr="00BE056E">
              <w:rPr>
                <w:rFonts w:ascii="Arial Narrow" w:hAnsi="Arial Narrow"/>
                <w:iCs/>
                <w:color w:val="auto"/>
                <w:sz w:val="20"/>
                <w:szCs w:val="20"/>
              </w:rPr>
              <w:t>Patient must not receive PBS-subsidised treatment with this drug if progressive disease develops while on this drug</w:t>
            </w:r>
          </w:p>
        </w:tc>
      </w:tr>
      <w:tr w:rsidR="006802B5" w:rsidRPr="00BE056E" w:rsidTr="00750CE1">
        <w:trPr>
          <w:cantSplit/>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spacing w:before="0" w:after="0"/>
              <w:rPr>
                <w:rFonts w:ascii="Arial Narrow" w:hAnsi="Arial Narrow" w:cs="Arial"/>
                <w:b/>
                <w:sz w:val="20"/>
                <w:szCs w:val="20"/>
              </w:rPr>
            </w:pPr>
            <w:r w:rsidRPr="00BE056E">
              <w:rPr>
                <w:rFonts w:ascii="Arial Narrow" w:hAnsi="Arial Narrow" w:cs="Arial"/>
                <w:b/>
                <w:sz w:val="20"/>
                <w:szCs w:val="20"/>
              </w:rPr>
              <w:t>Administrative Advice:</w:t>
            </w:r>
          </w:p>
        </w:tc>
        <w:tc>
          <w:tcPr>
            <w:tcW w:w="68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02B5" w:rsidRPr="00BE056E" w:rsidRDefault="006802B5" w:rsidP="009D1785">
            <w:pPr>
              <w:pStyle w:val="Default"/>
              <w:jc w:val="both"/>
              <w:rPr>
                <w:rFonts w:ascii="Arial Narrow" w:hAnsi="Arial Narrow"/>
                <w:iCs/>
                <w:color w:val="auto"/>
                <w:sz w:val="20"/>
                <w:szCs w:val="20"/>
              </w:rPr>
            </w:pPr>
            <w:r w:rsidRPr="00BE056E">
              <w:rPr>
                <w:rFonts w:ascii="Arial Narrow" w:hAnsi="Arial Narrow"/>
                <w:iCs/>
                <w:color w:val="auto"/>
                <w:sz w:val="20"/>
                <w:szCs w:val="20"/>
              </w:rPr>
              <w:t>Special Pricing Arrangements apply</w:t>
            </w:r>
          </w:p>
        </w:tc>
      </w:tr>
    </w:tbl>
    <w:p w:rsidR="006802B5" w:rsidRPr="00BE056E" w:rsidRDefault="006802B5" w:rsidP="006802B5">
      <w:pPr>
        <w:pStyle w:val="TableFooter"/>
      </w:pPr>
      <w:r w:rsidRPr="00BE056E">
        <w:t>Source: Table 1-10, p54-55, Table 1-11, p55-56 of the submission.</w:t>
      </w:r>
    </w:p>
    <w:p w:rsidR="006802B5" w:rsidRPr="00BE056E" w:rsidRDefault="006802B5" w:rsidP="006802B5">
      <w:pPr>
        <w:pStyle w:val="ListParagraph"/>
        <w:rPr>
          <w:color w:val="auto"/>
        </w:rPr>
      </w:pPr>
      <w:proofErr w:type="spellStart"/>
      <w:r w:rsidRPr="00BE056E">
        <w:t>Olaparib</w:t>
      </w:r>
      <w:proofErr w:type="spellEnd"/>
      <w:r w:rsidRPr="00BE056E">
        <w:t xml:space="preserve"> is proposed to be used as monotherapy following progression with NHA treatment. The recommended dose is 300 mg (2</w:t>
      </w:r>
      <w:r w:rsidRPr="00BE056E">
        <w:rPr>
          <w:rFonts w:ascii="Calibri" w:hAnsi="Calibri" w:cs="Calibri"/>
        </w:rPr>
        <w:t>×</w:t>
      </w:r>
      <w:r w:rsidRPr="00BE056E">
        <w:t>150 mg tablets) twice daily, for a total of 600 mg/day, until progression.</w:t>
      </w:r>
    </w:p>
    <w:p w:rsidR="000D7BBA" w:rsidRPr="004F0D62" w:rsidRDefault="006802B5" w:rsidP="000D7BBA">
      <w:pPr>
        <w:pStyle w:val="ListParagraph"/>
      </w:pPr>
      <w:r w:rsidRPr="000F2527">
        <w:rPr>
          <w:iCs/>
        </w:rPr>
        <w:lastRenderedPageBreak/>
        <w:t xml:space="preserve">The requested restriction, which specifies that patients must have </w:t>
      </w:r>
      <w:r w:rsidRPr="00F00AC5">
        <w:rPr>
          <w:i/>
          <w:iCs/>
        </w:rPr>
        <w:t>BRCA1</w:t>
      </w:r>
      <w:r w:rsidRPr="000F2527">
        <w:rPr>
          <w:iCs/>
        </w:rPr>
        <w:t xml:space="preserve"> or </w:t>
      </w:r>
      <w:r w:rsidRPr="00F00AC5">
        <w:rPr>
          <w:i/>
          <w:iCs/>
        </w:rPr>
        <w:t>BRCA2</w:t>
      </w:r>
      <w:r w:rsidRPr="000F2527">
        <w:rPr>
          <w:iCs/>
        </w:rPr>
        <w:t xml:space="preserve"> pathogenic gene variants, is </w:t>
      </w:r>
      <w:r w:rsidR="004449ED" w:rsidRPr="004F0D62">
        <w:rPr>
          <w:rStyle w:val="InstructionalTextChar"/>
          <w:iCs/>
          <w:color w:val="auto"/>
        </w:rPr>
        <w:t>consistent with the TGA delegate’s recommendation.</w:t>
      </w:r>
    </w:p>
    <w:p w:rsidR="006802B5" w:rsidRPr="00AA6D4A" w:rsidRDefault="006802B5" w:rsidP="000D7BBA">
      <w:pPr>
        <w:pStyle w:val="ListParagraph"/>
      </w:pPr>
      <w:r w:rsidRPr="000F2527">
        <w:rPr>
          <w:iCs/>
        </w:rPr>
        <w:t xml:space="preserve">The requested restriction uses similar wording to that used in the PBS listings of abiraterone and enzalutamide for treatment of </w:t>
      </w:r>
      <w:proofErr w:type="spellStart"/>
      <w:r w:rsidRPr="000F2527">
        <w:rPr>
          <w:iCs/>
        </w:rPr>
        <w:t>mCRPC</w:t>
      </w:r>
      <w:proofErr w:type="spellEnd"/>
      <w:r w:rsidRPr="000F2527">
        <w:rPr>
          <w:iCs/>
        </w:rPr>
        <w:t>, but instead of specifying that patients have failed treatment or are intolerant to docetaxel, the requested listing specifies that patients have failed or are intolerant to novel hormonal agents, e</w:t>
      </w:r>
      <w:r w:rsidR="00662365">
        <w:rPr>
          <w:iCs/>
        </w:rPr>
        <w:t>.</w:t>
      </w:r>
      <w:r w:rsidRPr="000F2527">
        <w:rPr>
          <w:iCs/>
        </w:rPr>
        <w:t>g</w:t>
      </w:r>
      <w:r w:rsidR="00662365">
        <w:rPr>
          <w:iCs/>
        </w:rPr>
        <w:t>.</w:t>
      </w:r>
      <w:r w:rsidRPr="000F2527">
        <w:rPr>
          <w:iCs/>
        </w:rPr>
        <w:t xml:space="preserve"> abiraterone and enzalutamide.</w:t>
      </w:r>
    </w:p>
    <w:p w:rsidR="00AA6D4A" w:rsidRPr="00AA6D4A" w:rsidRDefault="00AA6D4A" w:rsidP="00AA6D4A">
      <w:pPr>
        <w:pStyle w:val="ListParagraph"/>
        <w:numPr>
          <w:ilvl w:val="0"/>
          <w:numId w:val="0"/>
        </w:numPr>
        <w:ind w:left="720"/>
        <w:rPr>
          <w:i/>
        </w:rPr>
      </w:pPr>
      <w:r w:rsidRPr="00AA6D4A">
        <w:rPr>
          <w:i/>
          <w:iCs/>
        </w:rPr>
        <w:t>For more detail on PBAC’s views, see section 7 PBAC outcome.</w:t>
      </w:r>
    </w:p>
    <w:p w:rsidR="00C31220" w:rsidRPr="00BE056E" w:rsidRDefault="00C31220" w:rsidP="00C31220">
      <w:pPr>
        <w:pStyle w:val="PBACESHeading1"/>
      </w:pPr>
      <w:bookmarkStart w:id="15" w:name="_Toc62027838"/>
      <w:r w:rsidRPr="00BE056E">
        <w:t>Population and disease</w:t>
      </w:r>
      <w:bookmarkEnd w:id="12"/>
      <w:bookmarkEnd w:id="13"/>
      <w:bookmarkEnd w:id="15"/>
    </w:p>
    <w:p w:rsidR="00A9284D" w:rsidRPr="00E40DB1" w:rsidRDefault="00C31220" w:rsidP="00E40DB1">
      <w:pPr>
        <w:pStyle w:val="ListParagraph"/>
        <w:rPr>
          <w:color w:val="auto"/>
        </w:rPr>
      </w:pPr>
      <w:proofErr w:type="spellStart"/>
      <w:proofErr w:type="gramStart"/>
      <w:r w:rsidRPr="00E40DB1">
        <w:rPr>
          <w:color w:val="auto"/>
        </w:rPr>
        <w:t>mCRPC</w:t>
      </w:r>
      <w:proofErr w:type="spellEnd"/>
      <w:proofErr w:type="gramEnd"/>
      <w:r w:rsidRPr="00E40DB1">
        <w:rPr>
          <w:color w:val="auto"/>
        </w:rPr>
        <w:t xml:space="preserve"> is an incurable disease with a substantial impact on patients’ survival.</w:t>
      </w:r>
      <w:r w:rsidR="009D1785" w:rsidRPr="00E40DB1">
        <w:rPr>
          <w:color w:val="auto"/>
        </w:rPr>
        <w:t xml:space="preserve"> </w:t>
      </w:r>
      <w:r w:rsidR="00402290" w:rsidRPr="00E40DB1">
        <w:rPr>
          <w:color w:val="auto"/>
        </w:rPr>
        <w:t xml:space="preserve">One strategy for treating </w:t>
      </w:r>
      <w:proofErr w:type="spellStart"/>
      <w:r w:rsidR="00085DFE">
        <w:rPr>
          <w:color w:val="auto"/>
        </w:rPr>
        <w:t>m</w:t>
      </w:r>
      <w:r w:rsidR="00402290" w:rsidRPr="00E40DB1">
        <w:rPr>
          <w:color w:val="auto"/>
        </w:rPr>
        <w:t>CRPC</w:t>
      </w:r>
      <w:proofErr w:type="spellEnd"/>
      <w:r w:rsidR="00402290" w:rsidRPr="00E40DB1">
        <w:rPr>
          <w:color w:val="auto"/>
        </w:rPr>
        <w:t xml:space="preserve"> relies </w:t>
      </w:r>
      <w:r w:rsidR="00402290">
        <w:rPr>
          <w:color w:val="auto"/>
        </w:rPr>
        <w:t>o</w:t>
      </w:r>
      <w:r w:rsidR="00402290" w:rsidRPr="00E40DB1">
        <w:rPr>
          <w:color w:val="auto"/>
        </w:rPr>
        <w:t>n targeting tumo</w:t>
      </w:r>
      <w:r w:rsidR="00085DFE">
        <w:rPr>
          <w:color w:val="auto"/>
        </w:rPr>
        <w:t>u</w:t>
      </w:r>
      <w:r w:rsidR="00402290" w:rsidRPr="00E40DB1">
        <w:rPr>
          <w:color w:val="auto"/>
        </w:rPr>
        <w:t>rs that are deficient in homologous recombination DNA repair (HRR)</w:t>
      </w:r>
      <w:r w:rsidR="00A9284D" w:rsidRPr="00E40DB1">
        <w:rPr>
          <w:color w:val="auto"/>
        </w:rPr>
        <w:t>.</w:t>
      </w:r>
      <w:r w:rsidR="00E40DB1" w:rsidRPr="00E40DB1">
        <w:rPr>
          <w:color w:val="auto"/>
        </w:rPr>
        <w:t xml:space="preserve"> </w:t>
      </w:r>
      <w:r w:rsidR="00352BDC" w:rsidRPr="006B5D4A">
        <w:rPr>
          <w:color w:val="auto"/>
        </w:rPr>
        <w:t xml:space="preserve">The altered genes that are responsible for producing deficient HRR include </w:t>
      </w:r>
      <w:r w:rsidR="00352BDC" w:rsidRPr="00BA13FA">
        <w:rPr>
          <w:i/>
          <w:color w:val="auto"/>
        </w:rPr>
        <w:t>BRCA1, BRCA2, PALB2, and RAD51D</w:t>
      </w:r>
      <w:r w:rsidR="00120767">
        <w:rPr>
          <w:i/>
          <w:color w:val="auto"/>
        </w:rPr>
        <w:t xml:space="preserve">, </w:t>
      </w:r>
      <w:r w:rsidR="00352BDC" w:rsidRPr="006B5D4A">
        <w:rPr>
          <w:color w:val="auto"/>
        </w:rPr>
        <w:t xml:space="preserve">other </w:t>
      </w:r>
      <w:r w:rsidR="006B0DA8">
        <w:rPr>
          <w:color w:val="auto"/>
        </w:rPr>
        <w:t xml:space="preserve">HRR </w:t>
      </w:r>
      <w:r w:rsidR="00352BDC" w:rsidRPr="006B5D4A">
        <w:rPr>
          <w:color w:val="auto"/>
        </w:rPr>
        <w:t xml:space="preserve">genes, such as </w:t>
      </w:r>
      <w:r w:rsidR="00352BDC" w:rsidRPr="00BA13FA">
        <w:rPr>
          <w:i/>
          <w:color w:val="auto"/>
        </w:rPr>
        <w:t xml:space="preserve">ATM, CHEK2, </w:t>
      </w:r>
      <w:r w:rsidR="00352BDC" w:rsidRPr="0073766D">
        <w:rPr>
          <w:color w:val="auto"/>
        </w:rPr>
        <w:t>and</w:t>
      </w:r>
      <w:r w:rsidR="00352BDC" w:rsidRPr="00BA13FA">
        <w:rPr>
          <w:i/>
          <w:color w:val="auto"/>
        </w:rPr>
        <w:t xml:space="preserve"> FANCA</w:t>
      </w:r>
      <w:r w:rsidR="006B0DA8">
        <w:rPr>
          <w:color w:val="auto"/>
        </w:rPr>
        <w:t xml:space="preserve"> </w:t>
      </w:r>
      <w:r w:rsidR="00230A64">
        <w:rPr>
          <w:color w:val="auto"/>
        </w:rPr>
        <w:t xml:space="preserve">are important as they </w:t>
      </w:r>
      <w:r w:rsidR="00352BDC" w:rsidRPr="006B5D4A">
        <w:rPr>
          <w:color w:val="auto"/>
        </w:rPr>
        <w:t xml:space="preserve">indirectly interact with the HRR protein complex. </w:t>
      </w:r>
      <w:r w:rsidR="00E40DB1" w:rsidRPr="00E40DB1">
        <w:rPr>
          <w:color w:val="auto"/>
        </w:rPr>
        <w:t>The poly ADP-ribose polymerase (PARP) enzyme fixes DNA damage in both healthy and cancer cells.</w:t>
      </w:r>
      <w:r w:rsidR="00230A64">
        <w:rPr>
          <w:color w:val="auto"/>
        </w:rPr>
        <w:t xml:space="preserve"> </w:t>
      </w:r>
      <w:r w:rsidR="00230A64" w:rsidRPr="00230A64">
        <w:rPr>
          <w:color w:val="auto"/>
        </w:rPr>
        <w:t xml:space="preserve">Cancer cells with </w:t>
      </w:r>
      <w:r w:rsidR="00E74358">
        <w:rPr>
          <w:color w:val="auto"/>
        </w:rPr>
        <w:t xml:space="preserve">pathogenic variants in </w:t>
      </w:r>
      <w:r w:rsidR="00E74358" w:rsidRPr="00BA13FA">
        <w:rPr>
          <w:color w:val="auto"/>
        </w:rPr>
        <w:t>HRR</w:t>
      </w:r>
      <w:r w:rsidR="00E74358">
        <w:rPr>
          <w:i/>
          <w:color w:val="auto"/>
        </w:rPr>
        <w:t xml:space="preserve"> </w:t>
      </w:r>
      <w:r w:rsidR="00E74358" w:rsidRPr="00BA13FA">
        <w:rPr>
          <w:color w:val="auto"/>
        </w:rPr>
        <w:t>gene</w:t>
      </w:r>
      <w:r w:rsidR="0095081C">
        <w:rPr>
          <w:color w:val="auto"/>
        </w:rPr>
        <w:t>s</w:t>
      </w:r>
      <w:r w:rsidR="00E74358">
        <w:rPr>
          <w:i/>
          <w:color w:val="auto"/>
        </w:rPr>
        <w:t xml:space="preserve"> </w:t>
      </w:r>
      <w:r w:rsidR="00230A64" w:rsidRPr="00230A64">
        <w:rPr>
          <w:color w:val="auto"/>
        </w:rPr>
        <w:t>have defective HRR function, and the unrepaired DNA breaks that result after treatment with PARP inhibitors eventually lead to cancer cell death. This process is referred to as "synthetic lethality," in which two conditions that would independently not cause cell death, when present in combination cause lethal injury to the cancer cell</w:t>
      </w:r>
      <w:r w:rsidR="00230A64">
        <w:rPr>
          <w:color w:val="auto"/>
        </w:rPr>
        <w:t xml:space="preserve">. </w:t>
      </w:r>
      <w:r w:rsidR="00E74358" w:rsidRPr="00E74358">
        <w:rPr>
          <w:color w:val="auto"/>
        </w:rPr>
        <w:t xml:space="preserve">The available evidence suggests that response rates to PARP inhibitors are highest in those with germline or somatic </w:t>
      </w:r>
      <w:r w:rsidR="00E74358" w:rsidRPr="00BA13FA">
        <w:rPr>
          <w:i/>
          <w:color w:val="auto"/>
        </w:rPr>
        <w:t>BRCA1/2</w:t>
      </w:r>
      <w:r w:rsidR="00E74358" w:rsidRPr="00E74358">
        <w:rPr>
          <w:color w:val="auto"/>
        </w:rPr>
        <w:t xml:space="preserve"> </w:t>
      </w:r>
      <w:r w:rsidR="0095081C">
        <w:rPr>
          <w:color w:val="auto"/>
        </w:rPr>
        <w:t>genetic variants.</w:t>
      </w:r>
    </w:p>
    <w:p w:rsidR="00C31220" w:rsidRPr="000F2527" w:rsidRDefault="00C31220" w:rsidP="00C31220">
      <w:pPr>
        <w:pStyle w:val="ListParagraph"/>
        <w:rPr>
          <w:color w:val="auto"/>
        </w:rPr>
      </w:pPr>
      <w:r w:rsidRPr="000F2527">
        <w:rPr>
          <w:color w:val="auto"/>
        </w:rPr>
        <w:t xml:space="preserve">The submission has proposed that a diagnostic test to identify </w:t>
      </w:r>
      <w:r w:rsidRPr="00F00AC5">
        <w:rPr>
          <w:i/>
          <w:color w:val="auto"/>
        </w:rPr>
        <w:t>BRCA1/2</w:t>
      </w:r>
      <w:r w:rsidRPr="000F2527">
        <w:rPr>
          <w:color w:val="auto"/>
        </w:rPr>
        <w:t xml:space="preserve"> gene variants </w:t>
      </w:r>
      <w:r w:rsidR="00526353" w:rsidRPr="000F2527">
        <w:rPr>
          <w:color w:val="auto"/>
        </w:rPr>
        <w:t xml:space="preserve">would </w:t>
      </w:r>
      <w:r w:rsidRPr="000F2527">
        <w:rPr>
          <w:color w:val="auto"/>
        </w:rPr>
        <w:t xml:space="preserve">occur at diagnosis of </w:t>
      </w:r>
      <w:proofErr w:type="spellStart"/>
      <w:r w:rsidRPr="000F2527">
        <w:rPr>
          <w:color w:val="auto"/>
        </w:rPr>
        <w:t>mCRPC</w:t>
      </w:r>
      <w:proofErr w:type="spellEnd"/>
      <w:r w:rsidRPr="000F2527">
        <w:rPr>
          <w:color w:val="auto"/>
        </w:rPr>
        <w:t xml:space="preserve">, with </w:t>
      </w:r>
      <w:proofErr w:type="spellStart"/>
      <w:r w:rsidRPr="000F2527">
        <w:rPr>
          <w:color w:val="auto"/>
        </w:rPr>
        <w:t>olaparib</w:t>
      </w:r>
      <w:proofErr w:type="spellEnd"/>
      <w:r w:rsidRPr="000F2527">
        <w:rPr>
          <w:color w:val="auto"/>
        </w:rPr>
        <w:t xml:space="preserve"> used as a second- or later-line treatment option </w:t>
      </w:r>
      <w:r w:rsidRPr="000F2527">
        <w:t>(i</w:t>
      </w:r>
      <w:r w:rsidR="00111696" w:rsidRPr="000F2527">
        <w:t>.</w:t>
      </w:r>
      <w:r w:rsidRPr="000F2527">
        <w:t>e</w:t>
      </w:r>
      <w:r w:rsidR="00111696" w:rsidRPr="000F2527">
        <w:t>.</w:t>
      </w:r>
      <w:r w:rsidR="000D611B" w:rsidRPr="000F2527">
        <w:t xml:space="preserve"> </w:t>
      </w:r>
      <w:r w:rsidRPr="000F2527">
        <w:t xml:space="preserve">patients </w:t>
      </w:r>
      <w:r w:rsidR="00F6120B" w:rsidRPr="000F2527">
        <w:t xml:space="preserve">with a pathogenic </w:t>
      </w:r>
      <w:r w:rsidR="00F6120B" w:rsidRPr="00F00AC5">
        <w:rPr>
          <w:i/>
        </w:rPr>
        <w:t>BRCA1/2</w:t>
      </w:r>
      <w:r w:rsidR="00F6120B" w:rsidRPr="000F2527">
        <w:t xml:space="preserve"> variant </w:t>
      </w:r>
      <w:r w:rsidRPr="000F2527">
        <w:t xml:space="preserve">who received NHA in first-line would be eligible for </w:t>
      </w:r>
      <w:proofErr w:type="spellStart"/>
      <w:r w:rsidRPr="000F2527">
        <w:t>olaparib</w:t>
      </w:r>
      <w:proofErr w:type="spellEnd"/>
      <w:r w:rsidR="00F6120B" w:rsidRPr="000F2527">
        <w:t xml:space="preserve"> in second-line</w:t>
      </w:r>
      <w:r w:rsidRPr="000F2527">
        <w:t xml:space="preserve">, and patients who received docetaxel in first-line and NHA in second-line would be eligible for </w:t>
      </w:r>
      <w:proofErr w:type="spellStart"/>
      <w:r w:rsidRPr="000F2527">
        <w:t>olaparib</w:t>
      </w:r>
      <w:proofErr w:type="spellEnd"/>
      <w:r w:rsidRPr="000F2527">
        <w:t xml:space="preserve"> in third</w:t>
      </w:r>
      <w:r w:rsidR="00F6120B" w:rsidRPr="000F2527">
        <w:t>-</w:t>
      </w:r>
      <w:r w:rsidRPr="000F2527">
        <w:t>line)</w:t>
      </w:r>
      <w:r w:rsidRPr="000F2527">
        <w:rPr>
          <w:color w:val="auto"/>
        </w:rPr>
        <w:t xml:space="preserve">. </w:t>
      </w:r>
      <w:r w:rsidRPr="000F2527">
        <w:rPr>
          <w:rFonts w:ascii="Calibri" w:hAnsi="Calibri" w:cs="Calibri"/>
          <w:iCs/>
        </w:rPr>
        <w:t xml:space="preserve">The proposed clinical management algorithm in the submission did not include </w:t>
      </w:r>
      <w:r w:rsidR="006860A4" w:rsidRPr="000F2527">
        <w:rPr>
          <w:rFonts w:ascii="Calibri" w:hAnsi="Calibri" w:cs="Calibri"/>
          <w:iCs/>
        </w:rPr>
        <w:t xml:space="preserve">the flow on to germline and cascade testing and explicitly depict that tumour testing leads to germline testing (after counselling, if tumour testing is positive), followed by cascade testing (after counselling, if germline testing is positive). </w:t>
      </w:r>
    </w:p>
    <w:p w:rsidR="00C31220" w:rsidRPr="00AA6D4A" w:rsidRDefault="00A673D0" w:rsidP="00C31220">
      <w:pPr>
        <w:pStyle w:val="ListParagraph"/>
        <w:rPr>
          <w:color w:val="auto"/>
        </w:rPr>
      </w:pPr>
      <w:r w:rsidRPr="004F0D62">
        <w:rPr>
          <w:iCs/>
        </w:rPr>
        <w:t>T</w:t>
      </w:r>
      <w:r w:rsidR="007325D3" w:rsidRPr="004F0D62">
        <w:rPr>
          <w:iCs/>
        </w:rPr>
        <w:t>he ESCs noted that the</w:t>
      </w:r>
      <w:r w:rsidR="00C31220" w:rsidRPr="004F0D62">
        <w:rPr>
          <w:iCs/>
        </w:rPr>
        <w:t xml:space="preserve"> clinical management algorithm of </w:t>
      </w:r>
      <w:proofErr w:type="spellStart"/>
      <w:r w:rsidR="00C31220" w:rsidRPr="004F0D62">
        <w:rPr>
          <w:iCs/>
        </w:rPr>
        <w:t>mCRPC</w:t>
      </w:r>
      <w:proofErr w:type="spellEnd"/>
      <w:r w:rsidR="00C31220" w:rsidRPr="004F0D62">
        <w:rPr>
          <w:iCs/>
        </w:rPr>
        <w:t xml:space="preserve"> patients </w:t>
      </w:r>
      <w:r w:rsidR="007325D3" w:rsidRPr="004F0D62">
        <w:rPr>
          <w:iCs/>
        </w:rPr>
        <w:t>is changing</w:t>
      </w:r>
      <w:r w:rsidR="00C31220" w:rsidRPr="004F0D62">
        <w:rPr>
          <w:iCs/>
        </w:rPr>
        <w:t>.</w:t>
      </w:r>
      <w:r w:rsidR="00C31220" w:rsidRPr="000F2527">
        <w:rPr>
          <w:iCs/>
        </w:rPr>
        <w:t xml:space="preserve"> For example, both apalutamide and </w:t>
      </w:r>
      <w:proofErr w:type="spellStart"/>
      <w:r w:rsidR="00C31220" w:rsidRPr="000F2527">
        <w:rPr>
          <w:iCs/>
        </w:rPr>
        <w:t>darolutamide</w:t>
      </w:r>
      <w:proofErr w:type="spellEnd"/>
      <w:r w:rsidR="00F6120B" w:rsidRPr="000F2527">
        <w:rPr>
          <w:iCs/>
        </w:rPr>
        <w:t>, which are also NHAs,</w:t>
      </w:r>
      <w:r w:rsidR="00C31220" w:rsidRPr="000F2527">
        <w:rPr>
          <w:iCs/>
        </w:rPr>
        <w:t xml:space="preserve"> have been considered by the PBAC for use in non-metastatic CRPC</w:t>
      </w:r>
      <w:r w:rsidR="00F6120B" w:rsidRPr="000F2527">
        <w:rPr>
          <w:iCs/>
        </w:rPr>
        <w:t>. If</w:t>
      </w:r>
      <w:r w:rsidR="00C31220" w:rsidRPr="000F2527">
        <w:rPr>
          <w:iCs/>
        </w:rPr>
        <w:t xml:space="preserve"> recommended, it is probable that NHA</w:t>
      </w:r>
      <w:r w:rsidR="00F6120B" w:rsidRPr="000F2527">
        <w:rPr>
          <w:iCs/>
        </w:rPr>
        <w:t xml:space="preserve"> use in the non-metastatic CRPC setting would prohibit NHA use in the </w:t>
      </w:r>
      <w:proofErr w:type="spellStart"/>
      <w:r w:rsidR="00C31220" w:rsidRPr="000F2527">
        <w:rPr>
          <w:iCs/>
        </w:rPr>
        <w:t>mCRPC</w:t>
      </w:r>
      <w:proofErr w:type="spellEnd"/>
      <w:r w:rsidR="00F6120B" w:rsidRPr="000F2527">
        <w:rPr>
          <w:iCs/>
        </w:rPr>
        <w:t xml:space="preserve"> setting. Therefore, </w:t>
      </w:r>
      <w:r w:rsidR="00C31220" w:rsidRPr="000F2527">
        <w:rPr>
          <w:iCs/>
        </w:rPr>
        <w:t xml:space="preserve">for patients with </w:t>
      </w:r>
      <w:r w:rsidR="00C31220" w:rsidRPr="00F00AC5">
        <w:rPr>
          <w:i/>
          <w:iCs/>
        </w:rPr>
        <w:t>BRCA1/2</w:t>
      </w:r>
      <w:r w:rsidR="00C31220" w:rsidRPr="000F2527">
        <w:rPr>
          <w:iCs/>
        </w:rPr>
        <w:t xml:space="preserve"> pathogenic gene variants, </w:t>
      </w:r>
      <w:proofErr w:type="spellStart"/>
      <w:r w:rsidR="00C31220" w:rsidRPr="000F2527">
        <w:rPr>
          <w:iCs/>
        </w:rPr>
        <w:t>olaparib</w:t>
      </w:r>
      <w:proofErr w:type="spellEnd"/>
      <w:r w:rsidR="00C31220" w:rsidRPr="000F2527">
        <w:rPr>
          <w:iCs/>
        </w:rPr>
        <w:t xml:space="preserve"> would become first-line treatment in </w:t>
      </w:r>
      <w:proofErr w:type="spellStart"/>
      <w:r w:rsidR="00C31220" w:rsidRPr="000F2527">
        <w:rPr>
          <w:iCs/>
        </w:rPr>
        <w:t>mCRPC</w:t>
      </w:r>
      <w:proofErr w:type="spellEnd"/>
      <w:r w:rsidR="00D36987" w:rsidRPr="000F2527">
        <w:rPr>
          <w:iCs/>
        </w:rPr>
        <w:t xml:space="preserve"> in patients who have predicted </w:t>
      </w:r>
      <w:r w:rsidR="00D36987" w:rsidRPr="000F2527">
        <w:rPr>
          <w:iCs/>
        </w:rPr>
        <w:lastRenderedPageBreak/>
        <w:t>intolerance to docetaxel and second-line treatment in patients who have failed treatment with docetaxel.</w:t>
      </w:r>
    </w:p>
    <w:p w:rsidR="00AA6D4A" w:rsidRPr="00AA6D4A" w:rsidRDefault="00AA6D4A" w:rsidP="00AA6D4A">
      <w:pPr>
        <w:pStyle w:val="ListParagraph"/>
        <w:numPr>
          <w:ilvl w:val="0"/>
          <w:numId w:val="0"/>
        </w:numPr>
        <w:ind w:left="720"/>
        <w:rPr>
          <w:i/>
          <w:color w:val="auto"/>
        </w:rPr>
      </w:pPr>
      <w:r w:rsidRPr="00AA6D4A">
        <w:rPr>
          <w:i/>
          <w:iCs/>
        </w:rPr>
        <w:t>For more detail on PBAC’s views, see section 7 PBAC outcome.</w:t>
      </w:r>
    </w:p>
    <w:p w:rsidR="00C31220" w:rsidRPr="00BE056E" w:rsidRDefault="00C31220" w:rsidP="00C31220">
      <w:pPr>
        <w:pStyle w:val="PBACESHeading1"/>
      </w:pPr>
      <w:bookmarkStart w:id="16" w:name="_Toc58779753"/>
      <w:bookmarkStart w:id="17" w:name="_Toc62027839"/>
      <w:r w:rsidRPr="00BE056E">
        <w:t>Comparator</w:t>
      </w:r>
      <w:bookmarkEnd w:id="14"/>
      <w:bookmarkEnd w:id="16"/>
      <w:bookmarkEnd w:id="17"/>
    </w:p>
    <w:p w:rsidR="00C31220" w:rsidRPr="000F2527" w:rsidRDefault="00C31220" w:rsidP="00C31220">
      <w:pPr>
        <w:pStyle w:val="ListParagraph"/>
        <w:rPr>
          <w:color w:val="auto"/>
        </w:rPr>
      </w:pPr>
      <w:r w:rsidRPr="00BE056E">
        <w:t xml:space="preserve">The main comparator for testing of tumour tissue to detect </w:t>
      </w:r>
      <w:r w:rsidRPr="00BE056E">
        <w:rPr>
          <w:i/>
          <w:iCs/>
        </w:rPr>
        <w:t>BRCA1/2</w:t>
      </w:r>
      <w:r w:rsidRPr="00BE056E">
        <w:t xml:space="preserve"> gene variants in patients with </w:t>
      </w:r>
      <w:proofErr w:type="spellStart"/>
      <w:r w:rsidRPr="00BE056E">
        <w:t>mCRPC</w:t>
      </w:r>
      <w:proofErr w:type="spellEnd"/>
      <w:r w:rsidRPr="00BE056E">
        <w:t xml:space="preserve"> is no genetic testing. </w:t>
      </w:r>
      <w:r w:rsidRPr="000F2527">
        <w:rPr>
          <w:iCs/>
        </w:rPr>
        <w:t>The ratified PICO for Application 1618 stated that PASC confirmed the comparator for the test.</w:t>
      </w:r>
    </w:p>
    <w:p w:rsidR="00C31220" w:rsidRPr="004F0D62" w:rsidRDefault="00C31220" w:rsidP="00C31220">
      <w:pPr>
        <w:pStyle w:val="ListParagraph"/>
        <w:rPr>
          <w:color w:val="auto"/>
        </w:rPr>
      </w:pPr>
      <w:r w:rsidRPr="000F2527">
        <w:t xml:space="preserve">The submission nominated physician’s choice of NHA (abiraterone or enzalutamide) as the main comparator for </w:t>
      </w:r>
      <w:proofErr w:type="spellStart"/>
      <w:r w:rsidRPr="000F2527">
        <w:t>olaparib</w:t>
      </w:r>
      <w:proofErr w:type="spellEnd"/>
      <w:r w:rsidRPr="000F2527">
        <w:rPr>
          <w:color w:val="auto"/>
        </w:rPr>
        <w:t>.</w:t>
      </w:r>
      <w:r w:rsidR="009F6680" w:rsidRPr="000F2527">
        <w:rPr>
          <w:color w:val="auto"/>
        </w:rPr>
        <w:t xml:space="preserve"> </w:t>
      </w:r>
      <w:r w:rsidR="009F6680" w:rsidRPr="003724E0">
        <w:rPr>
          <w:rFonts w:ascii="Calibri" w:hAnsi="Calibri" w:cs="Calibri"/>
          <w:iCs/>
          <w:color w:val="000000"/>
        </w:rPr>
        <w:t xml:space="preserve">The </w:t>
      </w:r>
      <w:r w:rsidR="00F00AC5" w:rsidRPr="003724E0">
        <w:rPr>
          <w:rFonts w:ascii="Calibri" w:hAnsi="Calibri" w:cs="Calibri"/>
          <w:iCs/>
          <w:color w:val="000000"/>
        </w:rPr>
        <w:t>ESC</w:t>
      </w:r>
      <w:r w:rsidR="004449ED" w:rsidRPr="003724E0">
        <w:rPr>
          <w:rFonts w:ascii="Calibri" w:hAnsi="Calibri" w:cs="Calibri"/>
          <w:iCs/>
          <w:color w:val="000000"/>
        </w:rPr>
        <w:t>s</w:t>
      </w:r>
      <w:r w:rsidR="00F00AC5" w:rsidRPr="003724E0">
        <w:rPr>
          <w:rFonts w:ascii="Calibri" w:hAnsi="Calibri" w:cs="Calibri"/>
          <w:iCs/>
          <w:color w:val="000000"/>
        </w:rPr>
        <w:t xml:space="preserve"> noted that</w:t>
      </w:r>
      <w:r w:rsidR="00F00AC5">
        <w:rPr>
          <w:rFonts w:ascii="Calibri" w:hAnsi="Calibri" w:cs="Calibri"/>
          <w:iCs/>
          <w:color w:val="000000"/>
        </w:rPr>
        <w:t xml:space="preserve"> the </w:t>
      </w:r>
      <w:r w:rsidR="009F6680" w:rsidRPr="000F2527">
        <w:rPr>
          <w:rFonts w:ascii="Calibri" w:hAnsi="Calibri" w:cs="Calibri"/>
          <w:iCs/>
          <w:color w:val="000000"/>
        </w:rPr>
        <w:t>nominated comparator does not reflect current Australian practice and ignores the PBS listing criteria for both abiraterone and enzalutamide which expressly prevent sequential use of NHAs. The PBAC ha</w:t>
      </w:r>
      <w:r w:rsidR="00940919" w:rsidRPr="000F2527">
        <w:rPr>
          <w:rFonts w:ascii="Calibri" w:hAnsi="Calibri" w:cs="Calibri"/>
          <w:iCs/>
          <w:color w:val="000000"/>
        </w:rPr>
        <w:t>s</w:t>
      </w:r>
      <w:r w:rsidR="009F6680" w:rsidRPr="000F2527">
        <w:rPr>
          <w:rFonts w:ascii="Calibri" w:hAnsi="Calibri" w:cs="Calibri"/>
          <w:iCs/>
          <w:color w:val="000000"/>
        </w:rPr>
        <w:t xml:space="preserve"> </w:t>
      </w:r>
      <w:r w:rsidR="001C6CBE">
        <w:rPr>
          <w:rFonts w:ascii="Calibri" w:hAnsi="Calibri" w:cs="Calibri"/>
          <w:iCs/>
          <w:color w:val="000000"/>
        </w:rPr>
        <w:t xml:space="preserve">previously </w:t>
      </w:r>
      <w:r w:rsidR="009F6680" w:rsidRPr="000F2527">
        <w:rPr>
          <w:rFonts w:ascii="Calibri" w:hAnsi="Calibri" w:cs="Calibri"/>
          <w:iCs/>
          <w:color w:val="000000"/>
        </w:rPr>
        <w:t xml:space="preserve">considered the issue of sequential use of NHA and considered it unlikely subsequent NHA would demonstrate efficacy following progression on a prior NHA due to pharmacological similarity. The PBAC </w:t>
      </w:r>
      <w:r w:rsidR="001C6CBE">
        <w:rPr>
          <w:rFonts w:ascii="Calibri" w:hAnsi="Calibri" w:cs="Calibri"/>
          <w:iCs/>
          <w:color w:val="000000"/>
        </w:rPr>
        <w:t xml:space="preserve">previously </w:t>
      </w:r>
      <w:r w:rsidR="009F6680" w:rsidRPr="000F2527">
        <w:rPr>
          <w:rFonts w:ascii="Calibri" w:hAnsi="Calibri" w:cs="Calibri"/>
          <w:iCs/>
          <w:color w:val="000000"/>
        </w:rPr>
        <w:t>noted evidence from a phase IV trial in 251 patients who had previously responded to enzalutamide and then progressed (</w:t>
      </w:r>
      <w:proofErr w:type="spellStart"/>
      <w:r w:rsidR="009F6680" w:rsidRPr="000F2527">
        <w:rPr>
          <w:rFonts w:ascii="Calibri" w:hAnsi="Calibri" w:cs="Calibri"/>
          <w:iCs/>
          <w:color w:val="000000"/>
        </w:rPr>
        <w:t>Attard</w:t>
      </w:r>
      <w:proofErr w:type="spellEnd"/>
      <w:r w:rsidR="009F6680" w:rsidRPr="000F2527">
        <w:rPr>
          <w:rFonts w:ascii="Calibri" w:hAnsi="Calibri" w:cs="Calibri"/>
          <w:iCs/>
          <w:color w:val="000000"/>
        </w:rPr>
        <w:t xml:space="preserve"> 2017</w:t>
      </w:r>
      <w:r w:rsidR="00903620" w:rsidRPr="000F2527">
        <w:rPr>
          <w:rStyle w:val="FootnoteReference"/>
          <w:rFonts w:ascii="Calibri" w:hAnsi="Calibri" w:cs="Calibri"/>
          <w:iCs/>
          <w:color w:val="000000"/>
        </w:rPr>
        <w:footnoteReference w:id="1"/>
      </w:r>
      <w:r w:rsidR="009F6680" w:rsidRPr="000F2527">
        <w:rPr>
          <w:rFonts w:ascii="Calibri" w:hAnsi="Calibri" w:cs="Calibri"/>
          <w:iCs/>
          <w:color w:val="000000"/>
        </w:rPr>
        <w:t>)</w:t>
      </w:r>
      <w:r w:rsidR="003027FC" w:rsidRPr="000F2527">
        <w:rPr>
          <w:rFonts w:ascii="Calibri" w:hAnsi="Calibri" w:cs="Calibri"/>
          <w:iCs/>
          <w:color w:val="000000"/>
        </w:rPr>
        <w:t xml:space="preserve"> </w:t>
      </w:r>
      <w:r w:rsidR="00940919" w:rsidRPr="000F2527">
        <w:rPr>
          <w:rFonts w:ascii="Calibri" w:hAnsi="Calibri" w:cs="Calibri"/>
          <w:iCs/>
          <w:color w:val="000000"/>
        </w:rPr>
        <w:t xml:space="preserve">which </w:t>
      </w:r>
      <w:r w:rsidR="009F6680" w:rsidRPr="000F2527">
        <w:rPr>
          <w:rFonts w:ascii="Calibri" w:hAnsi="Calibri" w:cs="Calibri"/>
          <w:iCs/>
          <w:color w:val="000000"/>
        </w:rPr>
        <w:t>indicat</w:t>
      </w:r>
      <w:r w:rsidR="00940919" w:rsidRPr="000F2527">
        <w:rPr>
          <w:rFonts w:ascii="Calibri" w:hAnsi="Calibri" w:cs="Calibri"/>
          <w:iCs/>
          <w:color w:val="000000"/>
        </w:rPr>
        <w:t>ed that</w:t>
      </w:r>
      <w:r w:rsidR="009F6680" w:rsidRPr="000F2527">
        <w:rPr>
          <w:rFonts w:ascii="Calibri" w:hAnsi="Calibri" w:cs="Calibri"/>
          <w:iCs/>
          <w:color w:val="000000"/>
        </w:rPr>
        <w:t xml:space="preserve"> abiraterone has only minimal activity in patients who progressed after treatment with enzalutam</w:t>
      </w:r>
      <w:r w:rsidR="00940919" w:rsidRPr="000F2527">
        <w:rPr>
          <w:rFonts w:ascii="Calibri" w:hAnsi="Calibri" w:cs="Calibri"/>
          <w:iCs/>
          <w:color w:val="000000"/>
        </w:rPr>
        <w:t>ide.</w:t>
      </w:r>
      <w:r w:rsidR="00345C1F">
        <w:rPr>
          <w:rFonts w:ascii="Calibri" w:hAnsi="Calibri" w:cs="Calibri"/>
          <w:iCs/>
          <w:color w:val="000000"/>
        </w:rPr>
        <w:t xml:space="preserve"> </w:t>
      </w:r>
      <w:r w:rsidR="00345C1F" w:rsidRPr="004F0D62">
        <w:rPr>
          <w:rFonts w:ascii="Calibri" w:hAnsi="Calibri" w:cs="Calibri"/>
          <w:iCs/>
          <w:color w:val="000000"/>
        </w:rPr>
        <w:t>For enzalutamide following abiraterone, a single-arm Phase</w:t>
      </w:r>
      <w:r w:rsidR="007325D3" w:rsidRPr="004F0D62">
        <w:rPr>
          <w:rFonts w:ascii="Calibri" w:hAnsi="Calibri" w:cs="Calibri"/>
          <w:iCs/>
          <w:color w:val="000000"/>
        </w:rPr>
        <w:t xml:space="preserve"> </w:t>
      </w:r>
      <w:r w:rsidR="00345C1F" w:rsidRPr="004F0D62">
        <w:rPr>
          <w:rFonts w:ascii="Calibri" w:hAnsi="Calibri" w:cs="Calibri"/>
          <w:iCs/>
          <w:color w:val="000000"/>
        </w:rPr>
        <w:t xml:space="preserve">IV </w:t>
      </w:r>
      <w:r w:rsidR="007325D3" w:rsidRPr="004F0D62">
        <w:rPr>
          <w:rFonts w:ascii="Calibri" w:hAnsi="Calibri" w:cs="Calibri"/>
          <w:iCs/>
          <w:color w:val="000000"/>
        </w:rPr>
        <w:t>study</w:t>
      </w:r>
      <w:r w:rsidR="007325D3" w:rsidRPr="004F0D62">
        <w:rPr>
          <w:rStyle w:val="FootnoteReference"/>
          <w:rFonts w:ascii="Calibri" w:hAnsi="Calibri" w:cs="Calibri"/>
          <w:iCs/>
          <w:color w:val="000000"/>
        </w:rPr>
        <w:footnoteReference w:id="2"/>
      </w:r>
      <w:r w:rsidR="007325D3" w:rsidRPr="004F0D62">
        <w:rPr>
          <w:rFonts w:ascii="Calibri" w:hAnsi="Calibri" w:cs="Calibri"/>
          <w:iCs/>
          <w:color w:val="000000"/>
        </w:rPr>
        <w:t xml:space="preserve"> </w:t>
      </w:r>
      <w:r w:rsidR="00345C1F" w:rsidRPr="004F0D62">
        <w:rPr>
          <w:rFonts w:ascii="Calibri" w:hAnsi="Calibri" w:cs="Calibri"/>
          <w:iCs/>
          <w:color w:val="000000"/>
        </w:rPr>
        <w:t>showed that enzalutamide had some anti-tumour activity, following progression on abiraterone, although many patients had developed cross-resistance.</w:t>
      </w:r>
      <w:r w:rsidR="00345C1F">
        <w:rPr>
          <w:rFonts w:ascii="Calibri" w:hAnsi="Calibri" w:cs="Calibri"/>
          <w:iCs/>
          <w:color w:val="000000"/>
        </w:rPr>
        <w:t xml:space="preserve"> </w:t>
      </w:r>
      <w:r w:rsidR="00940919" w:rsidRPr="000F2527">
        <w:rPr>
          <w:rFonts w:ascii="Calibri" w:hAnsi="Calibri" w:cs="Calibri"/>
          <w:iCs/>
          <w:color w:val="000000"/>
        </w:rPr>
        <w:t>On this basis, the PBAC has</w:t>
      </w:r>
      <w:r w:rsidR="009F6680" w:rsidRPr="000F2527">
        <w:rPr>
          <w:rFonts w:ascii="Calibri" w:hAnsi="Calibri" w:cs="Calibri"/>
          <w:iCs/>
          <w:color w:val="000000"/>
        </w:rPr>
        <w:t xml:space="preserve"> </w:t>
      </w:r>
      <w:r w:rsidR="001C6CBE">
        <w:rPr>
          <w:rFonts w:ascii="Calibri" w:hAnsi="Calibri" w:cs="Calibri"/>
          <w:iCs/>
          <w:color w:val="000000"/>
        </w:rPr>
        <w:t xml:space="preserve">previously </w:t>
      </w:r>
      <w:r w:rsidR="009F6680" w:rsidRPr="000F2527">
        <w:rPr>
          <w:rFonts w:ascii="Calibri" w:hAnsi="Calibri" w:cs="Calibri"/>
          <w:iCs/>
          <w:color w:val="000000"/>
        </w:rPr>
        <w:t xml:space="preserve">also recommended that use of abiraterone and enzalutamide in the metastatic setting following apalutamide and </w:t>
      </w:r>
      <w:proofErr w:type="spellStart"/>
      <w:r w:rsidR="009F6680" w:rsidRPr="000F2527">
        <w:rPr>
          <w:rFonts w:ascii="Calibri" w:hAnsi="Calibri" w:cs="Calibri"/>
          <w:iCs/>
          <w:color w:val="000000"/>
        </w:rPr>
        <w:t>darolutamide</w:t>
      </w:r>
      <w:proofErr w:type="spellEnd"/>
      <w:r w:rsidR="00940919" w:rsidRPr="000F2527">
        <w:rPr>
          <w:rFonts w:ascii="Calibri" w:hAnsi="Calibri" w:cs="Calibri"/>
          <w:iCs/>
          <w:color w:val="000000"/>
        </w:rPr>
        <w:t xml:space="preserve"> in the non-metastatic setting</w:t>
      </w:r>
      <w:r w:rsidR="009F6680" w:rsidRPr="000F2527">
        <w:rPr>
          <w:rFonts w:ascii="Calibri" w:hAnsi="Calibri" w:cs="Calibri"/>
          <w:iCs/>
          <w:color w:val="000000"/>
        </w:rPr>
        <w:t xml:space="preserve"> would not be appropriate due to the potential for cross-resistance, uncertainty regarding the magnitude of benefit and uncertain cost effectiveness (see paras 2.7, 4.7, 6.46, 7.4,</w:t>
      </w:r>
      <w:r w:rsidR="00B2001A" w:rsidRPr="000F2527">
        <w:rPr>
          <w:rFonts w:ascii="Calibri" w:hAnsi="Calibri" w:cs="Calibri"/>
          <w:iCs/>
          <w:color w:val="000000"/>
        </w:rPr>
        <w:t xml:space="preserve"> </w:t>
      </w:r>
      <w:r w:rsidR="009F6680" w:rsidRPr="000F2527">
        <w:rPr>
          <w:rFonts w:ascii="Calibri" w:hAnsi="Calibri" w:cs="Calibri"/>
          <w:iCs/>
          <w:color w:val="000000"/>
        </w:rPr>
        <w:t xml:space="preserve">7.13 apalutamide November 2018, 2.5, 2.6, 7.3 and 7.4 apalutamide July 2019 and paras 3.1, 7.4 </w:t>
      </w:r>
      <w:proofErr w:type="spellStart"/>
      <w:r w:rsidR="009F6680" w:rsidRPr="000F2527">
        <w:rPr>
          <w:rFonts w:ascii="Calibri" w:hAnsi="Calibri" w:cs="Calibri"/>
          <w:iCs/>
          <w:color w:val="000000"/>
        </w:rPr>
        <w:t>darolutamide</w:t>
      </w:r>
      <w:proofErr w:type="spellEnd"/>
      <w:r w:rsidR="009F6680" w:rsidRPr="000F2527">
        <w:rPr>
          <w:rFonts w:ascii="Calibri" w:hAnsi="Calibri" w:cs="Calibri"/>
          <w:iCs/>
          <w:color w:val="000000"/>
        </w:rPr>
        <w:t xml:space="preserve"> July 2020 </w:t>
      </w:r>
      <w:r w:rsidR="008F7F60">
        <w:t>Public Summary Document</w:t>
      </w:r>
      <w:r w:rsidR="008F7F60" w:rsidRPr="000F2527">
        <w:rPr>
          <w:rFonts w:ascii="Calibri" w:hAnsi="Calibri" w:cs="Calibri"/>
          <w:iCs/>
          <w:color w:val="000000"/>
        </w:rPr>
        <w:t xml:space="preserve"> </w:t>
      </w:r>
      <w:r w:rsidR="008F7F60">
        <w:rPr>
          <w:rFonts w:ascii="Calibri" w:hAnsi="Calibri" w:cs="Calibri"/>
          <w:iCs/>
          <w:color w:val="000000"/>
        </w:rPr>
        <w:t>(</w:t>
      </w:r>
      <w:r w:rsidR="009F6680" w:rsidRPr="000F2527">
        <w:rPr>
          <w:rFonts w:ascii="Calibri" w:hAnsi="Calibri" w:cs="Calibri"/>
          <w:iCs/>
          <w:color w:val="000000"/>
        </w:rPr>
        <w:t>PSD</w:t>
      </w:r>
      <w:r w:rsidR="008F7F60">
        <w:rPr>
          <w:rFonts w:ascii="Calibri" w:hAnsi="Calibri" w:cs="Calibri"/>
          <w:iCs/>
          <w:color w:val="000000"/>
        </w:rPr>
        <w:t>)</w:t>
      </w:r>
      <w:r w:rsidR="009F6680" w:rsidRPr="000F2527">
        <w:rPr>
          <w:rFonts w:ascii="Calibri" w:hAnsi="Calibri" w:cs="Calibri"/>
          <w:iCs/>
          <w:color w:val="000000"/>
        </w:rPr>
        <w:t>).</w:t>
      </w:r>
      <w:r w:rsidR="007C7562">
        <w:rPr>
          <w:rFonts w:ascii="Calibri" w:hAnsi="Calibri" w:cs="Calibri"/>
          <w:iCs/>
          <w:color w:val="000000"/>
        </w:rPr>
        <w:t xml:space="preserve"> </w:t>
      </w:r>
      <w:r w:rsidR="007C7562" w:rsidRPr="004F0D62">
        <w:rPr>
          <w:bCs/>
          <w:iCs/>
          <w:color w:val="auto"/>
        </w:rPr>
        <w:t xml:space="preserve">The </w:t>
      </w:r>
      <w:r w:rsidR="008F7F60">
        <w:t>Pre-Sub-Committee Response</w:t>
      </w:r>
      <w:r w:rsidR="008F7F60" w:rsidRPr="004F0D62">
        <w:rPr>
          <w:bCs/>
          <w:iCs/>
          <w:color w:val="auto"/>
        </w:rPr>
        <w:t xml:space="preserve"> </w:t>
      </w:r>
      <w:r w:rsidR="008F7F60">
        <w:rPr>
          <w:bCs/>
          <w:iCs/>
          <w:color w:val="auto"/>
        </w:rPr>
        <w:t>(</w:t>
      </w:r>
      <w:r w:rsidR="007C7562" w:rsidRPr="004F0D62">
        <w:rPr>
          <w:bCs/>
          <w:iCs/>
          <w:color w:val="auto"/>
        </w:rPr>
        <w:t>PSCR</w:t>
      </w:r>
      <w:r w:rsidR="008F7F60">
        <w:rPr>
          <w:bCs/>
          <w:iCs/>
          <w:color w:val="auto"/>
        </w:rPr>
        <w:t>)</w:t>
      </w:r>
      <w:r w:rsidR="007C7562" w:rsidRPr="004F0D62">
        <w:rPr>
          <w:bCs/>
          <w:iCs/>
          <w:color w:val="auto"/>
        </w:rPr>
        <w:t xml:space="preserve"> stated that, despite the PBS restrictions, a 2016 DUSC analysis found that large number of patients (24%) receive</w:t>
      </w:r>
      <w:r w:rsidR="00E94FCD" w:rsidRPr="004F0D62">
        <w:rPr>
          <w:bCs/>
          <w:iCs/>
          <w:color w:val="auto"/>
        </w:rPr>
        <w:t>d</w:t>
      </w:r>
      <w:r w:rsidR="007C7562" w:rsidRPr="004F0D62">
        <w:rPr>
          <w:bCs/>
          <w:iCs/>
          <w:color w:val="auto"/>
        </w:rPr>
        <w:t xml:space="preserve"> abiraterone or enzalutamide without the use of prior docetaxel and that some patients (11%) receive</w:t>
      </w:r>
      <w:r w:rsidR="00662365" w:rsidRPr="004F0D62">
        <w:rPr>
          <w:bCs/>
          <w:iCs/>
          <w:color w:val="auto"/>
        </w:rPr>
        <w:t>d</w:t>
      </w:r>
      <w:r w:rsidR="007C7562" w:rsidRPr="004F0D62">
        <w:rPr>
          <w:bCs/>
          <w:iCs/>
          <w:color w:val="auto"/>
        </w:rPr>
        <w:t xml:space="preserve"> sequential use of NHAs. </w:t>
      </w:r>
      <w:r w:rsidR="00141EEB" w:rsidRPr="004F0D62">
        <w:rPr>
          <w:bCs/>
          <w:iCs/>
          <w:color w:val="auto"/>
        </w:rPr>
        <w:t>The ESC</w:t>
      </w:r>
      <w:r w:rsidR="00044890" w:rsidRPr="004F0D62">
        <w:rPr>
          <w:bCs/>
          <w:iCs/>
          <w:color w:val="auto"/>
        </w:rPr>
        <w:t>s</w:t>
      </w:r>
      <w:r w:rsidR="00141EEB" w:rsidRPr="004F0D62">
        <w:rPr>
          <w:bCs/>
          <w:iCs/>
          <w:color w:val="auto"/>
        </w:rPr>
        <w:t xml:space="preserve"> noted that the 2016 DUSC analysis stated that </w:t>
      </w:r>
      <w:r w:rsidR="00B67810" w:rsidRPr="004F0D62">
        <w:rPr>
          <w:bCs/>
          <w:iCs/>
          <w:color w:val="auto"/>
        </w:rPr>
        <w:t xml:space="preserve">in the trials approximately 5% of patients developed intolerance to an NHA and needed to be switched and that DUSC </w:t>
      </w:r>
      <w:r w:rsidR="00662365" w:rsidRPr="004F0D62">
        <w:rPr>
          <w:bCs/>
          <w:iCs/>
          <w:color w:val="auto"/>
        </w:rPr>
        <w:t xml:space="preserve">therefore </w:t>
      </w:r>
      <w:r w:rsidR="00B67810" w:rsidRPr="004F0D62">
        <w:rPr>
          <w:bCs/>
          <w:iCs/>
          <w:color w:val="auto"/>
        </w:rPr>
        <w:t xml:space="preserve">considered that a proportion of the </w:t>
      </w:r>
      <w:r w:rsidR="00B67810" w:rsidRPr="004F0D62">
        <w:rPr>
          <w:bCs/>
          <w:iCs/>
          <w:color w:val="auto"/>
        </w:rPr>
        <w:lastRenderedPageBreak/>
        <w:t>11% of patients who transitioned between NHAs was legitimate use after patients developed intolerance.</w:t>
      </w:r>
      <w:r w:rsidR="00B67810" w:rsidRPr="004F0D62">
        <w:rPr>
          <w:rStyle w:val="FootnoteReference"/>
          <w:bCs/>
          <w:iCs/>
          <w:color w:val="auto"/>
        </w:rPr>
        <w:footnoteReference w:id="3"/>
      </w:r>
      <w:r w:rsidR="00B67810" w:rsidRPr="004F0D62">
        <w:rPr>
          <w:bCs/>
          <w:iCs/>
          <w:color w:val="auto"/>
        </w:rPr>
        <w:t xml:space="preserve"> </w:t>
      </w:r>
      <w:r w:rsidR="007C7562" w:rsidRPr="004F0D62">
        <w:rPr>
          <w:bCs/>
          <w:iCs/>
          <w:color w:val="auto"/>
        </w:rPr>
        <w:t>The PSCR also stated that a recent analysis of a Medicare 10% PBS sample found that in 2019, 79% of patients received a</w:t>
      </w:r>
      <w:r w:rsidR="00EB56AC">
        <w:rPr>
          <w:bCs/>
          <w:iCs/>
          <w:color w:val="auto"/>
        </w:rPr>
        <w:t>n</w:t>
      </w:r>
      <w:r w:rsidR="007C7562" w:rsidRPr="004F0D62">
        <w:rPr>
          <w:bCs/>
          <w:iCs/>
          <w:color w:val="auto"/>
        </w:rPr>
        <w:t xml:space="preserve"> NHA as a first-line treatment in </w:t>
      </w:r>
      <w:proofErr w:type="spellStart"/>
      <w:r w:rsidR="007C7562" w:rsidRPr="004F0D62">
        <w:rPr>
          <w:bCs/>
          <w:iCs/>
          <w:color w:val="auto"/>
        </w:rPr>
        <w:t>mCRPC</w:t>
      </w:r>
      <w:proofErr w:type="spellEnd"/>
      <w:r w:rsidR="007C7562" w:rsidRPr="004F0D62">
        <w:rPr>
          <w:bCs/>
          <w:iCs/>
          <w:color w:val="auto"/>
        </w:rPr>
        <w:t xml:space="preserve"> and that NHAs were prescribed sequentially in 49% of patients.</w:t>
      </w:r>
      <w:r w:rsidR="00B67810" w:rsidRPr="004F0D62">
        <w:rPr>
          <w:bCs/>
          <w:iCs/>
          <w:color w:val="auto"/>
        </w:rPr>
        <w:t xml:space="preserve"> The ESC</w:t>
      </w:r>
      <w:r w:rsidR="00044890" w:rsidRPr="004F0D62">
        <w:rPr>
          <w:bCs/>
          <w:iCs/>
          <w:color w:val="auto"/>
        </w:rPr>
        <w:t>s</w:t>
      </w:r>
      <w:r w:rsidR="00B67810" w:rsidRPr="004F0D62">
        <w:rPr>
          <w:bCs/>
          <w:iCs/>
          <w:color w:val="auto"/>
        </w:rPr>
        <w:t xml:space="preserve"> noted that </w:t>
      </w:r>
      <w:r w:rsidR="00E94FCD" w:rsidRPr="004F0D62">
        <w:rPr>
          <w:bCs/>
          <w:iCs/>
          <w:color w:val="auto"/>
        </w:rPr>
        <w:t>th</w:t>
      </w:r>
      <w:r w:rsidR="0041336E" w:rsidRPr="004F0D62">
        <w:rPr>
          <w:bCs/>
          <w:iCs/>
          <w:color w:val="auto"/>
        </w:rPr>
        <w:t>e sponsor’s</w:t>
      </w:r>
      <w:r w:rsidR="00E94FCD" w:rsidRPr="004F0D62">
        <w:rPr>
          <w:bCs/>
          <w:iCs/>
          <w:color w:val="auto"/>
        </w:rPr>
        <w:t xml:space="preserve"> data could not be verified and that </w:t>
      </w:r>
      <w:r w:rsidR="009B69BA">
        <w:rPr>
          <w:bCs/>
          <w:iCs/>
          <w:color w:val="auto"/>
        </w:rPr>
        <w:t xml:space="preserve">updated </w:t>
      </w:r>
      <w:r w:rsidR="00B67810" w:rsidRPr="004F0D62">
        <w:rPr>
          <w:bCs/>
          <w:iCs/>
          <w:color w:val="auto"/>
        </w:rPr>
        <w:t xml:space="preserve">data provided by DUSC </w:t>
      </w:r>
      <w:r w:rsidR="007B1320" w:rsidRPr="004F0D62">
        <w:rPr>
          <w:bCs/>
          <w:iCs/>
          <w:color w:val="auto"/>
        </w:rPr>
        <w:t>(</w:t>
      </w:r>
      <w:r w:rsidR="009B69BA">
        <w:t xml:space="preserve">Jan-Jun 2018 with follow up to December 2019, </w:t>
      </w:r>
      <w:r w:rsidR="00037169" w:rsidRPr="004F0D62">
        <w:rPr>
          <w:bCs/>
          <w:iCs/>
          <w:color w:val="auto"/>
        </w:rPr>
        <w:t>s</w:t>
      </w:r>
      <w:r w:rsidR="007B1320" w:rsidRPr="004F0D62">
        <w:rPr>
          <w:bCs/>
          <w:iCs/>
          <w:color w:val="auto"/>
        </w:rPr>
        <w:t>ee Table 2)</w:t>
      </w:r>
      <w:r w:rsidR="00B67810" w:rsidRPr="004F0D62">
        <w:rPr>
          <w:bCs/>
          <w:iCs/>
          <w:color w:val="auto"/>
        </w:rPr>
        <w:t xml:space="preserve"> indic</w:t>
      </w:r>
      <w:r w:rsidR="007B1320" w:rsidRPr="004F0D62">
        <w:rPr>
          <w:bCs/>
          <w:iCs/>
          <w:color w:val="auto"/>
        </w:rPr>
        <w:t>a</w:t>
      </w:r>
      <w:r w:rsidR="00B67810" w:rsidRPr="004F0D62">
        <w:rPr>
          <w:bCs/>
          <w:iCs/>
          <w:color w:val="auto"/>
        </w:rPr>
        <w:t xml:space="preserve">ted that </w:t>
      </w:r>
      <w:r w:rsidR="00756406" w:rsidRPr="004F0D62">
        <w:rPr>
          <w:bCs/>
          <w:iCs/>
          <w:color w:val="auto"/>
        </w:rPr>
        <w:t>52</w:t>
      </w:r>
      <w:r w:rsidR="00B67810" w:rsidRPr="004F0D62">
        <w:rPr>
          <w:bCs/>
          <w:iCs/>
          <w:color w:val="auto"/>
        </w:rPr>
        <w:t>% of patients received a</w:t>
      </w:r>
      <w:r w:rsidR="00EB56AC">
        <w:rPr>
          <w:bCs/>
          <w:iCs/>
          <w:color w:val="auto"/>
        </w:rPr>
        <w:t>n</w:t>
      </w:r>
      <w:r w:rsidR="00B67810" w:rsidRPr="004F0D62">
        <w:rPr>
          <w:bCs/>
          <w:iCs/>
          <w:color w:val="auto"/>
        </w:rPr>
        <w:t xml:space="preserve"> NHA as a first-line treatment in </w:t>
      </w:r>
      <w:proofErr w:type="spellStart"/>
      <w:r w:rsidR="00B67810" w:rsidRPr="004F0D62">
        <w:rPr>
          <w:bCs/>
          <w:iCs/>
          <w:color w:val="auto"/>
        </w:rPr>
        <w:t>mCRPC</w:t>
      </w:r>
      <w:proofErr w:type="spellEnd"/>
      <w:r w:rsidR="00B67810" w:rsidRPr="004F0D62">
        <w:rPr>
          <w:bCs/>
          <w:iCs/>
          <w:color w:val="auto"/>
        </w:rPr>
        <w:t xml:space="preserve"> and that 9% of patients </w:t>
      </w:r>
      <w:r w:rsidR="00E94FCD" w:rsidRPr="004F0D62">
        <w:rPr>
          <w:bCs/>
          <w:iCs/>
          <w:color w:val="auto"/>
        </w:rPr>
        <w:t xml:space="preserve">receiving a second treatment </w:t>
      </w:r>
      <w:r w:rsidR="00B67810" w:rsidRPr="004F0D62">
        <w:rPr>
          <w:bCs/>
          <w:iCs/>
          <w:color w:val="auto"/>
        </w:rPr>
        <w:t xml:space="preserve">received </w:t>
      </w:r>
      <w:r w:rsidR="00E94FCD" w:rsidRPr="004F0D62">
        <w:rPr>
          <w:bCs/>
          <w:iCs/>
          <w:color w:val="auto"/>
        </w:rPr>
        <w:t>sequential NHA</w:t>
      </w:r>
      <w:r w:rsidR="00B67810" w:rsidRPr="004F0D62">
        <w:rPr>
          <w:bCs/>
          <w:iCs/>
          <w:color w:val="auto"/>
        </w:rPr>
        <w:t>.</w:t>
      </w:r>
      <w:r w:rsidR="00E94FCD" w:rsidRPr="004F0D62">
        <w:rPr>
          <w:bCs/>
          <w:iCs/>
          <w:color w:val="auto"/>
        </w:rPr>
        <w:t xml:space="preserve"> The ESC</w:t>
      </w:r>
      <w:r w:rsidR="00044890" w:rsidRPr="004F0D62">
        <w:rPr>
          <w:bCs/>
          <w:iCs/>
          <w:color w:val="auto"/>
        </w:rPr>
        <w:t>s</w:t>
      </w:r>
      <w:r w:rsidR="00E94FCD" w:rsidRPr="004F0D62">
        <w:rPr>
          <w:bCs/>
          <w:iCs/>
          <w:color w:val="auto"/>
        </w:rPr>
        <w:t xml:space="preserve"> considered that a large proportion of the 9% sequential use would be </w:t>
      </w:r>
      <w:r w:rsidR="007B1320" w:rsidRPr="004F0D62">
        <w:rPr>
          <w:bCs/>
          <w:iCs/>
          <w:color w:val="auto"/>
        </w:rPr>
        <w:t xml:space="preserve">switching </w:t>
      </w:r>
      <w:r w:rsidR="00E94FCD" w:rsidRPr="004F0D62">
        <w:rPr>
          <w:bCs/>
          <w:iCs/>
          <w:color w:val="auto"/>
        </w:rPr>
        <w:t>due to intolerance</w:t>
      </w:r>
      <w:r w:rsidR="007B1320" w:rsidRPr="004F0D62">
        <w:rPr>
          <w:bCs/>
          <w:iCs/>
          <w:color w:val="auto"/>
        </w:rPr>
        <w:t>, rather than subsequent treatment following progression</w:t>
      </w:r>
      <w:r w:rsidR="00E94FCD" w:rsidRPr="004F0D62">
        <w:rPr>
          <w:bCs/>
          <w:iCs/>
          <w:color w:val="auto"/>
        </w:rPr>
        <w:t>. The ESC</w:t>
      </w:r>
      <w:r w:rsidR="00044890" w:rsidRPr="004F0D62">
        <w:rPr>
          <w:bCs/>
          <w:iCs/>
          <w:color w:val="auto"/>
        </w:rPr>
        <w:t>s</w:t>
      </w:r>
      <w:r w:rsidR="00E94FCD" w:rsidRPr="004F0D62">
        <w:rPr>
          <w:bCs/>
          <w:iCs/>
          <w:color w:val="auto"/>
        </w:rPr>
        <w:t xml:space="preserve"> also noted that only 35% of patients go on to receive second-line treatment for </w:t>
      </w:r>
      <w:proofErr w:type="spellStart"/>
      <w:r w:rsidR="00E94FCD" w:rsidRPr="004F0D62">
        <w:rPr>
          <w:bCs/>
          <w:iCs/>
          <w:color w:val="auto"/>
        </w:rPr>
        <w:t>mCRPC</w:t>
      </w:r>
      <w:proofErr w:type="spellEnd"/>
      <w:r w:rsidR="00ED4887" w:rsidRPr="004F0D62">
        <w:rPr>
          <w:bCs/>
          <w:iCs/>
          <w:color w:val="auto"/>
        </w:rPr>
        <w:t xml:space="preserve"> (254/729 = 35%) and following prior NHA</w:t>
      </w:r>
      <w:r w:rsidR="0035046D" w:rsidRPr="004F0D62">
        <w:rPr>
          <w:bCs/>
          <w:iCs/>
          <w:color w:val="auto"/>
        </w:rPr>
        <w:t xml:space="preserve"> therapy 71% of patients did not have a subsequent treatment within 18-24 months of follow up</w:t>
      </w:r>
      <w:r w:rsidR="00E94FCD" w:rsidRPr="004F0D62">
        <w:rPr>
          <w:bCs/>
          <w:iCs/>
          <w:color w:val="auto"/>
        </w:rPr>
        <w:t>.</w:t>
      </w:r>
    </w:p>
    <w:p w:rsidR="004449ED" w:rsidRPr="00BE056E" w:rsidRDefault="004449ED">
      <w:pPr>
        <w:pStyle w:val="TableRowHeader"/>
        <w:keepNext/>
        <w:keepLines/>
        <w:jc w:val="both"/>
      </w:pPr>
      <w:r w:rsidRPr="00BE056E">
        <w:t xml:space="preserve">Table </w:t>
      </w:r>
      <w:r w:rsidR="00CD4B9C">
        <w:rPr>
          <w:noProof/>
        </w:rPr>
        <w:t>2</w:t>
      </w:r>
      <w:r w:rsidR="0073766D">
        <w:rPr>
          <w:noProof/>
        </w:rPr>
        <w:t>:</w:t>
      </w:r>
      <w:r>
        <w:tab/>
        <w:t xml:space="preserve">DUSC 2019 analysis of scripts for </w:t>
      </w:r>
      <w:proofErr w:type="spellStart"/>
      <w:r>
        <w:t>mCRPC</w:t>
      </w:r>
      <w:proofErr w:type="spellEnd"/>
      <w:r>
        <w:t xml:space="preserve"> (6 month first initiating cohort (Jan-Jun 2018 with follow up to December 2019</w:t>
      </w:r>
      <w:r w:rsidR="0003156F">
        <w:t>)</w:t>
      </w:r>
    </w:p>
    <w:tbl>
      <w:tblPr>
        <w:tblStyle w:val="AZTable"/>
        <w:tblW w:w="5000" w:type="pct"/>
        <w:tblLook w:val="04A0" w:firstRow="1" w:lastRow="0" w:firstColumn="1" w:lastColumn="0" w:noHBand="0" w:noVBand="1"/>
        <w:tblCaption w:val="Table 1: Key components of the clinical issue addressed by the submission"/>
      </w:tblPr>
      <w:tblGrid>
        <w:gridCol w:w="1838"/>
        <w:gridCol w:w="2410"/>
        <w:gridCol w:w="2410"/>
        <w:gridCol w:w="2358"/>
      </w:tblGrid>
      <w:tr w:rsidR="0003156F" w:rsidTr="004251C9">
        <w:trPr>
          <w:cnfStyle w:val="100000000000" w:firstRow="1" w:lastRow="0" w:firstColumn="0" w:lastColumn="0" w:oddVBand="0" w:evenVBand="0" w:oddHBand="0" w:evenHBand="0" w:firstRowFirstColumn="0" w:firstRowLastColumn="0" w:lastRowFirstColumn="0" w:lastRowLastColumn="0"/>
          <w:tblHeader/>
        </w:trPr>
        <w:tc>
          <w:tcPr>
            <w:tcW w:w="1838" w:type="dxa"/>
          </w:tcPr>
          <w:p w:rsidR="0003156F" w:rsidRPr="001C6CBE" w:rsidRDefault="0003156F" w:rsidP="00244A68">
            <w:pPr>
              <w:pStyle w:val="TableRowHeader"/>
              <w:keepNext/>
              <w:keepLines/>
              <w:spacing w:before="0" w:after="0"/>
            </w:pPr>
          </w:p>
        </w:tc>
        <w:tc>
          <w:tcPr>
            <w:tcW w:w="2410" w:type="dxa"/>
          </w:tcPr>
          <w:p w:rsidR="0003156F" w:rsidRPr="001C6CBE" w:rsidRDefault="0003156F" w:rsidP="00244A68">
            <w:pPr>
              <w:pStyle w:val="TableRowHeader"/>
              <w:keepNext/>
              <w:keepLines/>
              <w:spacing w:before="0" w:after="0"/>
            </w:pPr>
            <w:r w:rsidRPr="001C6CBE">
              <w:t xml:space="preserve">First line </w:t>
            </w:r>
            <w:proofErr w:type="spellStart"/>
            <w:r w:rsidRPr="001C6CBE">
              <w:t>mCRPC</w:t>
            </w:r>
            <w:proofErr w:type="spellEnd"/>
          </w:p>
          <w:p w:rsidR="0003156F" w:rsidRPr="001C6CBE" w:rsidRDefault="0003156F" w:rsidP="00244A68">
            <w:pPr>
              <w:pStyle w:val="TableRowHeader"/>
              <w:keepNext/>
              <w:keepLines/>
              <w:spacing w:before="0" w:after="0"/>
            </w:pPr>
            <w:proofErr w:type="gramStart"/>
            <w:r w:rsidRPr="001C6CBE">
              <w:t>n/N</w:t>
            </w:r>
            <w:proofErr w:type="gramEnd"/>
            <w:r w:rsidRPr="001C6CBE">
              <w:t xml:space="preserve"> (%)</w:t>
            </w:r>
          </w:p>
        </w:tc>
        <w:tc>
          <w:tcPr>
            <w:tcW w:w="2410" w:type="dxa"/>
          </w:tcPr>
          <w:p w:rsidR="0003156F" w:rsidRPr="001C6CBE" w:rsidRDefault="0003156F" w:rsidP="00244A68">
            <w:pPr>
              <w:pStyle w:val="TableRowHeader"/>
              <w:keepNext/>
              <w:keepLines/>
              <w:spacing w:before="0" w:after="0"/>
            </w:pPr>
            <w:r w:rsidRPr="001C6CBE">
              <w:t xml:space="preserve">Second line </w:t>
            </w:r>
            <w:proofErr w:type="spellStart"/>
            <w:r w:rsidRPr="001C6CBE">
              <w:t>mCRPC</w:t>
            </w:r>
            <w:proofErr w:type="spellEnd"/>
            <w:r w:rsidRPr="001C6CBE">
              <w:t xml:space="preserve"> </w:t>
            </w:r>
          </w:p>
          <w:p w:rsidR="0003156F" w:rsidRPr="001C6CBE" w:rsidRDefault="0003156F" w:rsidP="00244A68">
            <w:pPr>
              <w:pStyle w:val="TableRowHeader"/>
              <w:keepNext/>
              <w:keepLines/>
              <w:spacing w:before="0" w:after="0"/>
            </w:pPr>
            <w:r w:rsidRPr="001C6CBE">
              <w:t>n/N (%)</w:t>
            </w:r>
            <w:r w:rsidRPr="001C6CBE">
              <w:rPr>
                <w:vertAlign w:val="superscript"/>
              </w:rPr>
              <w:t>a</w:t>
            </w:r>
          </w:p>
        </w:tc>
        <w:tc>
          <w:tcPr>
            <w:tcW w:w="2358" w:type="dxa"/>
          </w:tcPr>
          <w:p w:rsidR="0003156F" w:rsidRPr="001C6CBE" w:rsidRDefault="0003156F" w:rsidP="00244A68">
            <w:pPr>
              <w:pStyle w:val="TableRowHeader"/>
              <w:keepNext/>
              <w:keepLines/>
              <w:spacing w:before="0" w:after="0"/>
            </w:pPr>
            <w:r w:rsidRPr="001C6CBE">
              <w:t xml:space="preserve">Following </w:t>
            </w:r>
            <w:r w:rsidR="00C57B18" w:rsidRPr="001C6CBE">
              <w:t>prior</w:t>
            </w:r>
            <w:r w:rsidRPr="001C6CBE">
              <w:t xml:space="preserve"> NHA</w:t>
            </w:r>
          </w:p>
          <w:p w:rsidR="0003156F" w:rsidRPr="001C6CBE" w:rsidRDefault="0003156F" w:rsidP="00244A68">
            <w:pPr>
              <w:pStyle w:val="TableRowHeader"/>
              <w:keepNext/>
              <w:keepLines/>
              <w:spacing w:before="0" w:after="0"/>
            </w:pPr>
            <w:r w:rsidRPr="001C6CBE">
              <w:t>n/N (%)</w:t>
            </w:r>
            <w:r w:rsidRPr="001C6CBE">
              <w:rPr>
                <w:vertAlign w:val="superscript"/>
              </w:rPr>
              <w:t>b</w:t>
            </w:r>
          </w:p>
        </w:tc>
      </w:tr>
      <w:tr w:rsidR="0003156F" w:rsidTr="00037169">
        <w:tc>
          <w:tcPr>
            <w:tcW w:w="1838" w:type="dxa"/>
          </w:tcPr>
          <w:p w:rsidR="0003156F" w:rsidRPr="001C6CBE" w:rsidRDefault="0003156F" w:rsidP="00244A68">
            <w:pPr>
              <w:pStyle w:val="TableText"/>
              <w:keepNext/>
              <w:keepLines/>
              <w:spacing w:before="0" w:after="0"/>
            </w:pPr>
            <w:r w:rsidRPr="001C6CBE">
              <w:t>Docetaxel</w:t>
            </w:r>
          </w:p>
        </w:tc>
        <w:tc>
          <w:tcPr>
            <w:tcW w:w="2410" w:type="dxa"/>
          </w:tcPr>
          <w:p w:rsidR="0003156F" w:rsidRPr="001C6CBE" w:rsidRDefault="00756406" w:rsidP="00244A68">
            <w:pPr>
              <w:pStyle w:val="TableText"/>
              <w:keepNext/>
              <w:keepLines/>
              <w:spacing w:before="0" w:after="0"/>
              <w:jc w:val="center"/>
            </w:pPr>
            <w:r w:rsidRPr="001C6CBE">
              <w:t>337/729 (46.2</w:t>
            </w:r>
            <w:r w:rsidR="0003156F" w:rsidRPr="001C6CBE">
              <w:t>)</w:t>
            </w:r>
          </w:p>
        </w:tc>
        <w:tc>
          <w:tcPr>
            <w:tcW w:w="2410" w:type="dxa"/>
          </w:tcPr>
          <w:p w:rsidR="0003156F" w:rsidRPr="001C6CBE" w:rsidRDefault="00756406" w:rsidP="00244A68">
            <w:pPr>
              <w:pStyle w:val="TableText"/>
              <w:keepNext/>
              <w:keepLines/>
              <w:spacing w:before="0" w:after="0"/>
              <w:jc w:val="center"/>
            </w:pPr>
            <w:r w:rsidRPr="001C6CBE">
              <w:t>57/254 (22.4)</w:t>
            </w:r>
          </w:p>
        </w:tc>
        <w:tc>
          <w:tcPr>
            <w:tcW w:w="2358" w:type="dxa"/>
          </w:tcPr>
          <w:p w:rsidR="0003156F" w:rsidRPr="001C6CBE" w:rsidRDefault="0097589D" w:rsidP="00244A68">
            <w:pPr>
              <w:pStyle w:val="TableText"/>
              <w:keepNext/>
              <w:keepLines/>
              <w:spacing w:before="0" w:after="0"/>
              <w:jc w:val="center"/>
            </w:pPr>
            <w:r w:rsidRPr="001C6CBE">
              <w:t>57/418</w:t>
            </w:r>
            <w:r w:rsidR="00C57B18" w:rsidRPr="001C6CBE">
              <w:t xml:space="preserve"> (</w:t>
            </w:r>
            <w:r w:rsidRPr="001C6CBE">
              <w:t>13.6</w:t>
            </w:r>
            <w:r w:rsidR="00C57B18" w:rsidRPr="001C6CBE">
              <w:t>)</w:t>
            </w:r>
          </w:p>
        </w:tc>
      </w:tr>
      <w:tr w:rsidR="0003156F" w:rsidTr="00F80A08">
        <w:trPr>
          <w:trHeight w:val="46"/>
        </w:trPr>
        <w:tc>
          <w:tcPr>
            <w:tcW w:w="1838" w:type="dxa"/>
          </w:tcPr>
          <w:p w:rsidR="0003156F" w:rsidRPr="001C6CBE" w:rsidRDefault="0003156F" w:rsidP="00244A68">
            <w:pPr>
              <w:pStyle w:val="TableText"/>
              <w:keepNext/>
              <w:keepLines/>
              <w:spacing w:before="0" w:after="0"/>
            </w:pPr>
            <w:r w:rsidRPr="001C6CBE">
              <w:t>NHA (</w:t>
            </w:r>
            <w:proofErr w:type="spellStart"/>
            <w:r w:rsidRPr="001C6CBE">
              <w:t>abi</w:t>
            </w:r>
            <w:proofErr w:type="spellEnd"/>
            <w:r w:rsidRPr="001C6CBE">
              <w:t xml:space="preserve"> or </w:t>
            </w:r>
            <w:proofErr w:type="spellStart"/>
            <w:r w:rsidRPr="001C6CBE">
              <w:t>enza</w:t>
            </w:r>
            <w:proofErr w:type="spellEnd"/>
            <w:r w:rsidRPr="001C6CBE">
              <w:t>)</w:t>
            </w:r>
          </w:p>
        </w:tc>
        <w:tc>
          <w:tcPr>
            <w:tcW w:w="2410" w:type="dxa"/>
          </w:tcPr>
          <w:p w:rsidR="0003156F" w:rsidRPr="001C6CBE" w:rsidRDefault="00756406" w:rsidP="00244A68">
            <w:pPr>
              <w:pStyle w:val="TableText"/>
              <w:keepNext/>
              <w:keepLines/>
              <w:spacing w:before="0" w:after="0" w:line="240" w:lineRule="auto"/>
              <w:jc w:val="center"/>
            </w:pPr>
            <w:r w:rsidRPr="001C6CBE">
              <w:t>377</w:t>
            </w:r>
            <w:r w:rsidR="0003156F" w:rsidRPr="001C6CBE">
              <w:t>/729 (</w:t>
            </w:r>
            <w:r w:rsidRPr="001C6CBE">
              <w:t>51.7</w:t>
            </w:r>
            <w:r w:rsidR="0003156F" w:rsidRPr="001C6CBE">
              <w:t>)</w:t>
            </w:r>
          </w:p>
        </w:tc>
        <w:tc>
          <w:tcPr>
            <w:tcW w:w="2410" w:type="dxa"/>
          </w:tcPr>
          <w:p w:rsidR="0003156F" w:rsidRPr="001C6CBE" w:rsidRDefault="00756406" w:rsidP="00244A68">
            <w:pPr>
              <w:pStyle w:val="TableText"/>
              <w:keepNext/>
              <w:keepLines/>
              <w:spacing w:before="0" w:after="0"/>
              <w:jc w:val="center"/>
            </w:pPr>
            <w:r w:rsidRPr="001C6CBE">
              <w:t>172/254 (67.7)</w:t>
            </w:r>
          </w:p>
        </w:tc>
        <w:tc>
          <w:tcPr>
            <w:tcW w:w="2358" w:type="dxa"/>
          </w:tcPr>
          <w:p w:rsidR="0003156F" w:rsidRPr="001C6CBE" w:rsidRDefault="0097589D" w:rsidP="00244A68">
            <w:pPr>
              <w:pStyle w:val="TableText"/>
              <w:keepNext/>
              <w:keepLines/>
              <w:spacing w:before="0" w:after="0"/>
              <w:jc w:val="center"/>
            </w:pPr>
            <w:r w:rsidRPr="001C6CBE">
              <w:t>24/418</w:t>
            </w:r>
            <w:r w:rsidR="00C57B18" w:rsidRPr="001C6CBE">
              <w:t xml:space="preserve"> (</w:t>
            </w:r>
            <w:r w:rsidRPr="001C6CBE">
              <w:t>5.7</w:t>
            </w:r>
            <w:r w:rsidR="00C57B18" w:rsidRPr="001C6CBE">
              <w:t>)</w:t>
            </w:r>
          </w:p>
        </w:tc>
      </w:tr>
      <w:tr w:rsidR="00756406" w:rsidTr="00037169">
        <w:tc>
          <w:tcPr>
            <w:tcW w:w="1838" w:type="dxa"/>
          </w:tcPr>
          <w:p w:rsidR="00756406" w:rsidRPr="001C6CBE" w:rsidRDefault="00756406" w:rsidP="00244A68">
            <w:pPr>
              <w:pStyle w:val="TableText"/>
              <w:keepNext/>
              <w:keepLines/>
              <w:spacing w:before="0" w:after="0"/>
            </w:pPr>
            <w:r w:rsidRPr="001C6CBE">
              <w:t>Other</w:t>
            </w:r>
          </w:p>
        </w:tc>
        <w:tc>
          <w:tcPr>
            <w:tcW w:w="2410" w:type="dxa"/>
          </w:tcPr>
          <w:p w:rsidR="00756406" w:rsidRPr="001C6CBE" w:rsidRDefault="00756406" w:rsidP="00244A68">
            <w:pPr>
              <w:pStyle w:val="TableText"/>
              <w:keepNext/>
              <w:keepLines/>
              <w:spacing w:before="0" w:after="0"/>
              <w:jc w:val="center"/>
            </w:pPr>
            <w:r w:rsidRPr="001C6CBE">
              <w:t>15/729 (2.1)</w:t>
            </w:r>
          </w:p>
        </w:tc>
        <w:tc>
          <w:tcPr>
            <w:tcW w:w="2410" w:type="dxa"/>
          </w:tcPr>
          <w:p w:rsidR="00756406" w:rsidRPr="001C6CBE" w:rsidRDefault="00C57B18" w:rsidP="00244A68">
            <w:pPr>
              <w:pStyle w:val="TableText"/>
              <w:keepNext/>
              <w:keepLines/>
              <w:spacing w:before="0" w:after="0"/>
              <w:jc w:val="center"/>
            </w:pPr>
            <w:r w:rsidRPr="001C6CBE">
              <w:t>NA</w:t>
            </w:r>
          </w:p>
        </w:tc>
        <w:tc>
          <w:tcPr>
            <w:tcW w:w="2358" w:type="dxa"/>
          </w:tcPr>
          <w:p w:rsidR="00756406" w:rsidRPr="001C6CBE" w:rsidRDefault="00C57B18" w:rsidP="00244A68">
            <w:pPr>
              <w:pStyle w:val="TableText"/>
              <w:keepNext/>
              <w:keepLines/>
              <w:spacing w:before="0" w:after="0"/>
              <w:jc w:val="center"/>
            </w:pPr>
            <w:r w:rsidRPr="001C6CBE">
              <w:t>NA</w:t>
            </w:r>
          </w:p>
        </w:tc>
      </w:tr>
      <w:tr w:rsidR="0003156F" w:rsidTr="00037169">
        <w:tc>
          <w:tcPr>
            <w:tcW w:w="1838" w:type="dxa"/>
          </w:tcPr>
          <w:p w:rsidR="0003156F" w:rsidRPr="001C6CBE" w:rsidRDefault="0003156F" w:rsidP="00244A68">
            <w:pPr>
              <w:pStyle w:val="TableText"/>
              <w:keepNext/>
              <w:keepLines/>
              <w:spacing w:before="0" w:after="0"/>
            </w:pPr>
            <w:r w:rsidRPr="001C6CBE">
              <w:t>Cabazitaxel</w:t>
            </w:r>
          </w:p>
        </w:tc>
        <w:tc>
          <w:tcPr>
            <w:tcW w:w="2410" w:type="dxa"/>
          </w:tcPr>
          <w:p w:rsidR="0003156F" w:rsidRPr="001C6CBE" w:rsidRDefault="0003156F" w:rsidP="00244A68">
            <w:pPr>
              <w:pStyle w:val="TableText"/>
              <w:keepNext/>
              <w:keepLines/>
              <w:spacing w:before="0" w:after="0"/>
              <w:jc w:val="center"/>
            </w:pPr>
          </w:p>
        </w:tc>
        <w:tc>
          <w:tcPr>
            <w:tcW w:w="2410" w:type="dxa"/>
          </w:tcPr>
          <w:p w:rsidR="0003156F" w:rsidRPr="001C6CBE" w:rsidRDefault="00756406" w:rsidP="00244A68">
            <w:pPr>
              <w:pStyle w:val="TableText"/>
              <w:keepNext/>
              <w:keepLines/>
              <w:spacing w:before="0" w:after="0"/>
              <w:jc w:val="center"/>
            </w:pPr>
            <w:r w:rsidRPr="001C6CBE">
              <w:t>25/254 (9.8)</w:t>
            </w:r>
          </w:p>
        </w:tc>
        <w:tc>
          <w:tcPr>
            <w:tcW w:w="2358" w:type="dxa"/>
          </w:tcPr>
          <w:p w:rsidR="0003156F" w:rsidRPr="001C6CBE" w:rsidRDefault="0097589D" w:rsidP="00244A68">
            <w:pPr>
              <w:pStyle w:val="TableText"/>
              <w:keepNext/>
              <w:keepLines/>
              <w:spacing w:before="0" w:after="0"/>
              <w:jc w:val="center"/>
            </w:pPr>
            <w:r w:rsidRPr="001C6CBE">
              <w:t>41/418 (9.8)</w:t>
            </w:r>
          </w:p>
        </w:tc>
      </w:tr>
      <w:tr w:rsidR="0003156F" w:rsidTr="00037169">
        <w:tc>
          <w:tcPr>
            <w:tcW w:w="1838" w:type="dxa"/>
          </w:tcPr>
          <w:p w:rsidR="0003156F" w:rsidRPr="001C6CBE" w:rsidRDefault="0003156F" w:rsidP="00244A68">
            <w:pPr>
              <w:pStyle w:val="TableText"/>
              <w:keepNext/>
              <w:keepLines/>
              <w:spacing w:before="0" w:after="0"/>
            </w:pPr>
            <w:r w:rsidRPr="001C6CBE">
              <w:t>No treatment</w:t>
            </w:r>
          </w:p>
        </w:tc>
        <w:tc>
          <w:tcPr>
            <w:tcW w:w="2410" w:type="dxa"/>
          </w:tcPr>
          <w:p w:rsidR="0003156F" w:rsidRPr="001C6CBE" w:rsidRDefault="00C57B18" w:rsidP="00244A68">
            <w:pPr>
              <w:pStyle w:val="TableText"/>
              <w:keepNext/>
              <w:keepLines/>
              <w:spacing w:before="0" w:after="0"/>
              <w:jc w:val="center"/>
            </w:pPr>
            <w:r w:rsidRPr="001C6CBE">
              <w:t>NA</w:t>
            </w:r>
          </w:p>
        </w:tc>
        <w:tc>
          <w:tcPr>
            <w:tcW w:w="2410" w:type="dxa"/>
          </w:tcPr>
          <w:p w:rsidR="0003156F" w:rsidRPr="001C6CBE" w:rsidRDefault="00C57B18" w:rsidP="00244A68">
            <w:pPr>
              <w:pStyle w:val="TableText"/>
              <w:keepNext/>
              <w:keepLines/>
              <w:spacing w:before="0" w:after="0"/>
              <w:jc w:val="center"/>
            </w:pPr>
            <w:r w:rsidRPr="001C6CBE">
              <w:t>NA</w:t>
            </w:r>
          </w:p>
        </w:tc>
        <w:tc>
          <w:tcPr>
            <w:tcW w:w="2358" w:type="dxa"/>
          </w:tcPr>
          <w:p w:rsidR="0003156F" w:rsidRPr="001C6CBE" w:rsidRDefault="0097589D" w:rsidP="00244A68">
            <w:pPr>
              <w:pStyle w:val="TableText"/>
              <w:keepNext/>
              <w:keepLines/>
              <w:spacing w:before="0" w:after="0"/>
              <w:jc w:val="center"/>
            </w:pPr>
            <w:r w:rsidRPr="001C6CBE">
              <w:t>296/418 (70.8)</w:t>
            </w:r>
          </w:p>
        </w:tc>
      </w:tr>
      <w:tr w:rsidR="0003156F" w:rsidRPr="00C57B18" w:rsidTr="00037169">
        <w:tc>
          <w:tcPr>
            <w:tcW w:w="1838" w:type="dxa"/>
          </w:tcPr>
          <w:p w:rsidR="0003156F" w:rsidRPr="001C6CBE" w:rsidRDefault="00C57B18" w:rsidP="00244A68">
            <w:pPr>
              <w:pStyle w:val="TableText"/>
              <w:keepNext/>
              <w:keepLines/>
              <w:spacing w:before="0" w:after="0"/>
            </w:pPr>
            <w:r w:rsidRPr="001C6CBE">
              <w:t>Sequential NHA</w:t>
            </w:r>
          </w:p>
        </w:tc>
        <w:tc>
          <w:tcPr>
            <w:tcW w:w="2410" w:type="dxa"/>
          </w:tcPr>
          <w:p w:rsidR="0003156F" w:rsidRPr="001C6CBE" w:rsidRDefault="00ED4887" w:rsidP="00244A68">
            <w:pPr>
              <w:pStyle w:val="TableText"/>
              <w:keepNext/>
              <w:keepLines/>
              <w:spacing w:before="0" w:after="0"/>
              <w:jc w:val="center"/>
            </w:pPr>
            <w:r w:rsidRPr="001C6CBE">
              <w:t>-</w:t>
            </w:r>
          </w:p>
        </w:tc>
        <w:tc>
          <w:tcPr>
            <w:tcW w:w="2410" w:type="dxa"/>
          </w:tcPr>
          <w:p w:rsidR="0003156F" w:rsidRPr="001C6CBE" w:rsidRDefault="00C57B18" w:rsidP="00244A68">
            <w:pPr>
              <w:pStyle w:val="TableText"/>
              <w:keepNext/>
              <w:keepLines/>
              <w:spacing w:before="0" w:after="0"/>
              <w:jc w:val="center"/>
            </w:pPr>
            <w:r w:rsidRPr="001C6CBE">
              <w:t>24/254 (9.4)</w:t>
            </w:r>
          </w:p>
        </w:tc>
        <w:tc>
          <w:tcPr>
            <w:tcW w:w="2358" w:type="dxa"/>
          </w:tcPr>
          <w:p w:rsidR="0003156F" w:rsidRPr="001C6CBE" w:rsidRDefault="00ED4887" w:rsidP="00244A68">
            <w:pPr>
              <w:pStyle w:val="TableText"/>
              <w:keepNext/>
              <w:keepLines/>
              <w:spacing w:before="0" w:after="0"/>
              <w:jc w:val="center"/>
            </w:pPr>
            <w:r w:rsidRPr="001C6CBE">
              <w:t>-</w:t>
            </w:r>
          </w:p>
        </w:tc>
      </w:tr>
    </w:tbl>
    <w:p w:rsidR="004449ED" w:rsidRDefault="0003156F" w:rsidP="00037169">
      <w:pPr>
        <w:pStyle w:val="TableFooter"/>
        <w:keepNext/>
        <w:keepLines/>
      </w:pPr>
      <w:proofErr w:type="gramStart"/>
      <w:r>
        <w:t>a</w:t>
      </w:r>
      <w:proofErr w:type="gramEnd"/>
      <w:r>
        <w:t xml:space="preserve"> Denominator is count of patients with a subsequent therapy</w:t>
      </w:r>
    </w:p>
    <w:p w:rsidR="0003156F" w:rsidRPr="00037169" w:rsidRDefault="00C57B18" w:rsidP="00037169">
      <w:pPr>
        <w:pStyle w:val="TableFooter"/>
        <w:keepNext/>
        <w:keepLines/>
      </w:pPr>
      <w:proofErr w:type="gramStart"/>
      <w:r>
        <w:t>b</w:t>
      </w:r>
      <w:proofErr w:type="gramEnd"/>
      <w:r>
        <w:t xml:space="preserve"> Denominator is count of pati</w:t>
      </w:r>
      <w:r w:rsidR="0003156F">
        <w:t>e</w:t>
      </w:r>
      <w:r>
        <w:t>n</w:t>
      </w:r>
      <w:r w:rsidR="0003156F">
        <w:t xml:space="preserve">ts with </w:t>
      </w:r>
      <w:r w:rsidR="0097589D">
        <w:t>first line</w:t>
      </w:r>
      <w:r w:rsidR="0003156F">
        <w:t xml:space="preserve"> NHA</w:t>
      </w:r>
      <w:r>
        <w:t>, or</w:t>
      </w:r>
      <w:r w:rsidR="0097589D">
        <w:t xml:space="preserve"> second</w:t>
      </w:r>
      <w:r>
        <w:t xml:space="preserve"> line NHA and a subsequent therapy</w:t>
      </w:r>
    </w:p>
    <w:p w:rsidR="00440013" w:rsidRPr="004F0D62" w:rsidRDefault="00440013" w:rsidP="00C31220">
      <w:pPr>
        <w:pStyle w:val="ListParagraph"/>
        <w:rPr>
          <w:color w:val="auto"/>
        </w:rPr>
      </w:pPr>
      <w:r w:rsidRPr="004F0D62">
        <w:rPr>
          <w:color w:val="auto"/>
        </w:rPr>
        <w:t xml:space="preserve">Based on the DUSC data in Table 2, </w:t>
      </w:r>
      <w:r w:rsidR="00C369BF" w:rsidRPr="004F0D62">
        <w:rPr>
          <w:color w:val="auto"/>
        </w:rPr>
        <w:t xml:space="preserve">the ESCs considered that </w:t>
      </w:r>
      <w:r w:rsidRPr="004F0D62">
        <w:rPr>
          <w:color w:val="auto"/>
        </w:rPr>
        <w:t>a mixed comparator might be appropriate:</w:t>
      </w:r>
      <w:r w:rsidR="00F20617" w:rsidRPr="004F0D62">
        <w:rPr>
          <w:color w:val="auto"/>
        </w:rPr>
        <w:t xml:space="preserve"> </w:t>
      </w:r>
      <w:r w:rsidR="004D28DA" w:rsidRPr="004F0D62">
        <w:rPr>
          <w:color w:val="auto"/>
        </w:rPr>
        <w:t>best supportive care (</w:t>
      </w:r>
      <w:r w:rsidR="00F20617" w:rsidRPr="004F0D62">
        <w:rPr>
          <w:color w:val="auto"/>
        </w:rPr>
        <w:t>BSC</w:t>
      </w:r>
      <w:r w:rsidR="004D28DA" w:rsidRPr="004F0D62">
        <w:rPr>
          <w:color w:val="auto"/>
        </w:rPr>
        <w:t>)</w:t>
      </w:r>
      <w:r w:rsidR="00F20617" w:rsidRPr="004F0D62">
        <w:rPr>
          <w:color w:val="auto"/>
        </w:rPr>
        <w:t>: 75</w:t>
      </w:r>
      <w:r w:rsidRPr="004F0D62">
        <w:rPr>
          <w:color w:val="auto"/>
        </w:rPr>
        <w:t>%, docetaxel</w:t>
      </w:r>
      <w:r w:rsidR="00101869" w:rsidRPr="004F0D62">
        <w:rPr>
          <w:color w:val="auto"/>
        </w:rPr>
        <w:t>: 15%, ca</w:t>
      </w:r>
      <w:r w:rsidR="00F20617" w:rsidRPr="004F0D62">
        <w:rPr>
          <w:color w:val="auto"/>
        </w:rPr>
        <w:t>bazitaxel: 10%. Sequential use of NHA</w:t>
      </w:r>
      <w:r w:rsidR="004D28DA" w:rsidRPr="004F0D62">
        <w:rPr>
          <w:color w:val="auto"/>
        </w:rPr>
        <w:t>s</w:t>
      </w:r>
      <w:r w:rsidR="00F20617" w:rsidRPr="004F0D62">
        <w:rPr>
          <w:color w:val="auto"/>
        </w:rPr>
        <w:t xml:space="preserve"> due to toxicity </w:t>
      </w:r>
      <w:r w:rsidR="00D66127" w:rsidRPr="004F0D62">
        <w:rPr>
          <w:color w:val="auto"/>
        </w:rPr>
        <w:t>would not be a comparator because this would still be considered initial</w:t>
      </w:r>
      <w:r w:rsidR="004D28DA" w:rsidRPr="004F0D62">
        <w:rPr>
          <w:color w:val="auto"/>
        </w:rPr>
        <w:t xml:space="preserve"> (first-line)</w:t>
      </w:r>
      <w:r w:rsidR="00D66127" w:rsidRPr="004F0D62">
        <w:rPr>
          <w:color w:val="auto"/>
        </w:rPr>
        <w:t xml:space="preserve"> NHA use.</w:t>
      </w:r>
      <w:r w:rsidR="001C6CBE">
        <w:rPr>
          <w:color w:val="auto"/>
        </w:rPr>
        <w:t xml:space="preserve"> The pre-PBAC response</w:t>
      </w:r>
      <w:r w:rsidR="004A19F4">
        <w:rPr>
          <w:color w:val="auto"/>
        </w:rPr>
        <w:t xml:space="preserve"> cit</w:t>
      </w:r>
      <w:r w:rsidR="00371961">
        <w:rPr>
          <w:color w:val="auto"/>
        </w:rPr>
        <w:t>ed</w:t>
      </w:r>
      <w:r w:rsidR="004A19F4">
        <w:rPr>
          <w:color w:val="auto"/>
        </w:rPr>
        <w:t xml:space="preserve"> the 2019 10% PBS data sample</w:t>
      </w:r>
      <w:r w:rsidR="00371961">
        <w:rPr>
          <w:color w:val="auto"/>
        </w:rPr>
        <w:t>, stating</w:t>
      </w:r>
      <w:r w:rsidR="004A19F4">
        <w:rPr>
          <w:color w:val="auto"/>
        </w:rPr>
        <w:t xml:space="preserve"> that of </w:t>
      </w:r>
      <w:r w:rsidR="00371961">
        <w:rPr>
          <w:color w:val="auto"/>
        </w:rPr>
        <w:t>patients</w:t>
      </w:r>
      <w:r w:rsidR="004A19F4">
        <w:rPr>
          <w:color w:val="auto"/>
        </w:rPr>
        <w:t xml:space="preserve"> </w:t>
      </w:r>
      <w:r w:rsidR="00371961">
        <w:rPr>
          <w:color w:val="auto"/>
        </w:rPr>
        <w:t xml:space="preserve">who received sequential </w:t>
      </w:r>
      <w:r w:rsidR="004A19F4">
        <w:rPr>
          <w:color w:val="auto"/>
        </w:rPr>
        <w:t>NHA, 20% were sequenced NHA treatments on progression</w:t>
      </w:r>
      <w:r w:rsidR="00371961">
        <w:rPr>
          <w:color w:val="auto"/>
        </w:rPr>
        <w:t xml:space="preserve"> (based on having 4 or more scripts of their initial NHA). The sponsor proposed</w:t>
      </w:r>
      <w:r w:rsidR="001C6CBE">
        <w:rPr>
          <w:color w:val="auto"/>
        </w:rPr>
        <w:t xml:space="preserve"> that a more appropriate mixed comparator would consist</w:t>
      </w:r>
      <w:r w:rsidR="004A19F4">
        <w:rPr>
          <w:color w:val="auto"/>
        </w:rPr>
        <w:t xml:space="preserve"> </w:t>
      </w:r>
      <w:r w:rsidR="001C6CBE">
        <w:rPr>
          <w:color w:val="auto"/>
        </w:rPr>
        <w:t>of</w:t>
      </w:r>
      <w:r w:rsidR="004A19F4">
        <w:rPr>
          <w:color w:val="auto"/>
        </w:rPr>
        <w:t>:</w:t>
      </w:r>
      <w:r w:rsidR="001C6CBE">
        <w:rPr>
          <w:color w:val="auto"/>
        </w:rPr>
        <w:t xml:space="preserve"> NHA, 20%; BSC, 55%; docetaxel, 15%; and cabazitaxel, 10%</w:t>
      </w:r>
      <w:r w:rsidR="0000771F">
        <w:rPr>
          <w:color w:val="auto"/>
        </w:rPr>
        <w:t>. The PBAC</w:t>
      </w:r>
      <w:r w:rsidR="00AA2990" w:rsidRPr="00755A36">
        <w:rPr>
          <w:color w:val="auto"/>
        </w:rPr>
        <w:t>, noting the issues with sequential NHA use,</w:t>
      </w:r>
      <w:r w:rsidR="0000771F" w:rsidRPr="00755A36">
        <w:rPr>
          <w:color w:val="auto"/>
        </w:rPr>
        <w:t xml:space="preserve"> </w:t>
      </w:r>
      <w:r w:rsidR="0000771F">
        <w:rPr>
          <w:color w:val="auto"/>
        </w:rPr>
        <w:t>considered that BSC o</w:t>
      </w:r>
      <w:r w:rsidR="00E72939">
        <w:rPr>
          <w:color w:val="auto"/>
        </w:rPr>
        <w:t>r cabazitax</w:t>
      </w:r>
      <w:r w:rsidR="0000771F">
        <w:rPr>
          <w:color w:val="auto"/>
        </w:rPr>
        <w:t xml:space="preserve">el, </w:t>
      </w:r>
      <w:r w:rsidR="00463BC4">
        <w:rPr>
          <w:color w:val="auto"/>
        </w:rPr>
        <w:t>(</w:t>
      </w:r>
      <w:r w:rsidR="0000771F">
        <w:rPr>
          <w:color w:val="auto"/>
        </w:rPr>
        <w:t>which is currently PBS listed for use following docetaxel</w:t>
      </w:r>
      <w:r w:rsidR="00463BC4">
        <w:rPr>
          <w:color w:val="auto"/>
        </w:rPr>
        <w:t>)</w:t>
      </w:r>
      <w:r w:rsidR="0000771F">
        <w:rPr>
          <w:color w:val="auto"/>
        </w:rPr>
        <w:t>, would be appropriate comparators.</w:t>
      </w:r>
    </w:p>
    <w:p w:rsidR="00C31220" w:rsidRDefault="004D28DA" w:rsidP="007F5025">
      <w:pPr>
        <w:pStyle w:val="ListParagraph"/>
      </w:pPr>
      <w:r w:rsidRPr="004F0D62">
        <w:lastRenderedPageBreak/>
        <w:t xml:space="preserve">The ESCs acknowledged that as there are no head-to-head trials comparing </w:t>
      </w:r>
      <w:proofErr w:type="spellStart"/>
      <w:r w:rsidRPr="004F0D62">
        <w:t>olaparib</w:t>
      </w:r>
      <w:proofErr w:type="spellEnd"/>
      <w:r w:rsidRPr="004F0D62">
        <w:t xml:space="preserve"> with BSC, cabazitaxel or docetaxel</w:t>
      </w:r>
      <w:r w:rsidR="00F45005" w:rsidRPr="004F0D62">
        <w:t>,</w:t>
      </w:r>
      <w:r w:rsidRPr="004F0D62">
        <w:t xml:space="preserve"> any comparison would be an indirect treatment comparison.</w:t>
      </w:r>
      <w:r w:rsidR="00D66127" w:rsidRPr="004F0D62">
        <w:t xml:space="preserve"> However, a</w:t>
      </w:r>
      <w:r w:rsidR="004E6A1E" w:rsidRPr="004F0D62">
        <w:t xml:space="preserve">n indirect </w:t>
      </w:r>
      <w:r w:rsidR="00D66127" w:rsidRPr="004F0D62">
        <w:t xml:space="preserve">treatment comparison from the </w:t>
      </w:r>
      <w:r w:rsidR="00D66127" w:rsidRPr="0000771F">
        <w:rPr>
          <w:i/>
        </w:rPr>
        <w:t>BRCA</w:t>
      </w:r>
      <w:r w:rsidR="00D66127" w:rsidRPr="004F0D62">
        <w:t xml:space="preserve">+ subgroup of </w:t>
      </w:r>
      <w:proofErr w:type="spellStart"/>
      <w:r w:rsidR="00D66127" w:rsidRPr="004F0D62">
        <w:t>olaparib</w:t>
      </w:r>
      <w:proofErr w:type="spellEnd"/>
      <w:r w:rsidR="00D66127" w:rsidRPr="004F0D62">
        <w:t xml:space="preserve"> arm of </w:t>
      </w:r>
      <w:proofErr w:type="spellStart"/>
      <w:r w:rsidR="00D66127" w:rsidRPr="004F0D62">
        <w:t>PRO</w:t>
      </w:r>
      <w:r w:rsidR="00F45005" w:rsidRPr="004F0D62">
        <w:t>found</w:t>
      </w:r>
      <w:proofErr w:type="spellEnd"/>
      <w:r w:rsidR="00D66127" w:rsidRPr="004F0D62">
        <w:t xml:space="preserve"> to all-comers tri</w:t>
      </w:r>
      <w:r w:rsidR="00101869" w:rsidRPr="004F0D62">
        <w:t>als with BSC or docetaxel or ca</w:t>
      </w:r>
      <w:r w:rsidR="00D66127" w:rsidRPr="004F0D62">
        <w:t xml:space="preserve">bazitaxel </w:t>
      </w:r>
      <w:r w:rsidR="004E6A1E" w:rsidRPr="004F0D62">
        <w:t xml:space="preserve">as treatment arms </w:t>
      </w:r>
      <w:r w:rsidR="00D66127" w:rsidRPr="004F0D62">
        <w:t xml:space="preserve">would be subject to transitivity problems leading to bias. </w:t>
      </w:r>
      <w:r w:rsidR="00F75EE3" w:rsidRPr="004F0D62">
        <w:t>Therefore</w:t>
      </w:r>
      <w:r w:rsidR="007F5025" w:rsidRPr="004F0D62">
        <w:t xml:space="preserve">, in view of the expected poor efficacy of any of the alternative therapies for the requested population, the comparative results of the </w:t>
      </w:r>
      <w:proofErr w:type="spellStart"/>
      <w:proofErr w:type="gramStart"/>
      <w:r w:rsidR="007F5025" w:rsidRPr="004F0D62">
        <w:t>PROfound</w:t>
      </w:r>
      <w:proofErr w:type="spellEnd"/>
      <w:proofErr w:type="gramEnd"/>
      <w:r w:rsidR="007F5025" w:rsidRPr="004F0D62">
        <w:t xml:space="preserve"> trial may represent reasonable estimates of the effectiveness of </w:t>
      </w:r>
      <w:proofErr w:type="spellStart"/>
      <w:r w:rsidR="004E0BD4" w:rsidRPr="004F0D62">
        <w:t>olaparib</w:t>
      </w:r>
      <w:proofErr w:type="spellEnd"/>
      <w:r w:rsidR="004E0BD4" w:rsidRPr="004F0D62">
        <w:t xml:space="preserve"> over a mixed comparator (BSC, docetaxel</w:t>
      </w:r>
      <w:r w:rsidR="004A0270" w:rsidRPr="004F0D62">
        <w:t>,</w:t>
      </w:r>
      <w:r w:rsidR="004E0BD4" w:rsidRPr="004F0D62">
        <w:t xml:space="preserve"> cabazitaxel)</w:t>
      </w:r>
      <w:r w:rsidR="007F5025" w:rsidRPr="004F0D62">
        <w:t>.</w:t>
      </w:r>
      <w:r w:rsidR="004E0BD4" w:rsidRPr="004F0D62" w:rsidDel="004E0BD4">
        <w:t xml:space="preserve"> </w:t>
      </w:r>
      <w:r w:rsidR="00F75EE3" w:rsidRPr="004F0D62">
        <w:t xml:space="preserve">Even this pragmatic option would tend to overestimate the incremental advantage to </w:t>
      </w:r>
      <w:proofErr w:type="spellStart"/>
      <w:r w:rsidR="00F75EE3" w:rsidRPr="004F0D62">
        <w:t>olaparib</w:t>
      </w:r>
      <w:proofErr w:type="spellEnd"/>
      <w:r w:rsidR="00F75EE3" w:rsidRPr="004F0D62">
        <w:t xml:space="preserve"> because medicines from another class of medicines (such as cabazitaxel and docetaxel) are more likely to have an effect than the second sequential NHA </w:t>
      </w:r>
      <w:r w:rsidR="00AF4BCB" w:rsidRPr="004F0D62">
        <w:t>which would likely have minimal ac</w:t>
      </w:r>
      <w:r w:rsidR="00781284">
        <w:t>tivity due to cross resistance.</w:t>
      </w:r>
    </w:p>
    <w:p w:rsidR="00AA6D4A" w:rsidRPr="00AA6D4A" w:rsidRDefault="00AA6D4A" w:rsidP="00AA6D4A">
      <w:pPr>
        <w:pStyle w:val="ListParagraph"/>
        <w:numPr>
          <w:ilvl w:val="0"/>
          <w:numId w:val="0"/>
        </w:numPr>
        <w:ind w:left="720"/>
        <w:rPr>
          <w:i/>
        </w:rPr>
      </w:pPr>
      <w:r w:rsidRPr="00AA6D4A">
        <w:rPr>
          <w:i/>
        </w:rPr>
        <w:t>For more detail on PBAC’s views, see section 7 PBAC outcome.</w:t>
      </w:r>
    </w:p>
    <w:p w:rsidR="00C31220" w:rsidRPr="00BE056E" w:rsidRDefault="00C31220" w:rsidP="0088177D">
      <w:pPr>
        <w:pStyle w:val="PBACESHeading1"/>
      </w:pPr>
      <w:bookmarkStart w:id="18" w:name="_Toc413139276"/>
      <w:bookmarkStart w:id="19" w:name="_Ref496885030"/>
      <w:bookmarkStart w:id="20" w:name="_Toc58779754"/>
      <w:bookmarkStart w:id="21" w:name="_Toc62027840"/>
      <w:r w:rsidRPr="00BE056E">
        <w:t>Consideration of the evidence</w:t>
      </w:r>
      <w:bookmarkEnd w:id="18"/>
      <w:bookmarkEnd w:id="19"/>
      <w:bookmarkEnd w:id="20"/>
      <w:bookmarkEnd w:id="21"/>
    </w:p>
    <w:p w:rsidR="00AA6D4A" w:rsidRPr="00AA6D4A" w:rsidRDefault="00AA6D4A" w:rsidP="0088177D">
      <w:pPr>
        <w:pStyle w:val="PBACESHeading2"/>
        <w:rPr>
          <w:rFonts w:asciiTheme="minorHAnsi" w:hAnsiTheme="minorHAnsi" w:cstheme="minorHAnsi"/>
        </w:rPr>
      </w:pPr>
      <w:bookmarkStart w:id="22" w:name="_Toc58779755"/>
      <w:bookmarkStart w:id="23" w:name="_Toc62027841"/>
      <w:r w:rsidRPr="00AA6D4A">
        <w:rPr>
          <w:rFonts w:asciiTheme="minorHAnsi" w:hAnsiTheme="minorHAnsi" w:cstheme="minorHAnsi"/>
        </w:rPr>
        <w:t>Sponsor hearing</w:t>
      </w:r>
    </w:p>
    <w:p w:rsidR="00AA6D4A" w:rsidRPr="00836F75" w:rsidRDefault="00630BCA" w:rsidP="0088177D">
      <w:pPr>
        <w:keepNext/>
        <w:keepLines/>
        <w:widowControl w:val="0"/>
        <w:numPr>
          <w:ilvl w:val="1"/>
          <w:numId w:val="1"/>
        </w:numPr>
        <w:spacing w:before="0" w:after="120"/>
        <w:rPr>
          <w:rFonts w:cs="Arial"/>
          <w:bCs/>
          <w:snapToGrid w:val="0"/>
        </w:rPr>
      </w:pPr>
      <w:r>
        <w:rPr>
          <w:rFonts w:cs="Arial"/>
          <w:bCs/>
          <w:snapToGrid w:val="0"/>
        </w:rPr>
        <w:t>6.1</w:t>
      </w:r>
      <w:r>
        <w:rPr>
          <w:rFonts w:cs="Arial"/>
          <w:bCs/>
          <w:snapToGrid w:val="0"/>
        </w:rPr>
        <w:tab/>
      </w:r>
      <w:r w:rsidR="00AA6D4A" w:rsidRPr="00836F75">
        <w:rPr>
          <w:rFonts w:cs="Arial"/>
          <w:bCs/>
          <w:snapToGrid w:val="0"/>
        </w:rPr>
        <w:t xml:space="preserve">The sponsor requested a hearing for this item. The clinician discussed the natural history of </w:t>
      </w:r>
      <w:r w:rsidR="00E72939">
        <w:rPr>
          <w:rFonts w:cs="Arial"/>
          <w:bCs/>
          <w:snapToGrid w:val="0"/>
        </w:rPr>
        <w:t>prostate</w:t>
      </w:r>
      <w:r w:rsidR="003724E0">
        <w:rPr>
          <w:rFonts w:cs="Arial"/>
          <w:bCs/>
          <w:snapToGrid w:val="0"/>
        </w:rPr>
        <w:t xml:space="preserve"> cancer and the medications currently available for the treatment of </w:t>
      </w:r>
      <w:proofErr w:type="spellStart"/>
      <w:r w:rsidR="003724E0">
        <w:rPr>
          <w:rFonts w:cs="Arial"/>
          <w:bCs/>
          <w:snapToGrid w:val="0"/>
        </w:rPr>
        <w:t>mCRPC</w:t>
      </w:r>
      <w:proofErr w:type="spellEnd"/>
      <w:r w:rsidR="00AF2631">
        <w:rPr>
          <w:rFonts w:cs="Arial"/>
          <w:bCs/>
          <w:snapToGrid w:val="0"/>
        </w:rPr>
        <w:t xml:space="preserve"> and the changes in the clinical algorithm with NHAs being used earlier in the treatment algorithm</w:t>
      </w:r>
      <w:r w:rsidR="003724E0">
        <w:rPr>
          <w:rFonts w:cs="Arial"/>
          <w:bCs/>
          <w:snapToGrid w:val="0"/>
        </w:rPr>
        <w:t>.</w:t>
      </w:r>
      <w:r w:rsidR="00AA6D4A" w:rsidRPr="00836F75">
        <w:rPr>
          <w:rFonts w:cs="Arial"/>
          <w:bCs/>
          <w:snapToGrid w:val="0"/>
        </w:rPr>
        <w:t xml:space="preserve"> </w:t>
      </w:r>
      <w:r w:rsidR="00AF2631">
        <w:rPr>
          <w:rFonts w:cs="Arial"/>
          <w:bCs/>
          <w:snapToGrid w:val="0"/>
        </w:rPr>
        <w:t xml:space="preserve">The clinician noted the unmet need for novel treatments that do not target the hormone receptor, given the potential for cross-resistance between NHAs and also between NHAs and </w:t>
      </w:r>
      <w:proofErr w:type="spellStart"/>
      <w:r w:rsidR="00AF2631">
        <w:rPr>
          <w:rFonts w:cs="Arial"/>
          <w:bCs/>
          <w:snapToGrid w:val="0"/>
        </w:rPr>
        <w:t>taxanes</w:t>
      </w:r>
      <w:proofErr w:type="spellEnd"/>
      <w:r w:rsidR="00AF2631">
        <w:rPr>
          <w:rFonts w:cs="Arial"/>
          <w:bCs/>
          <w:snapToGrid w:val="0"/>
        </w:rPr>
        <w:t xml:space="preserve">. </w:t>
      </w:r>
      <w:r w:rsidR="003724E0">
        <w:rPr>
          <w:rFonts w:cs="Arial"/>
          <w:bCs/>
          <w:snapToGrid w:val="0"/>
        </w:rPr>
        <w:t>The clinician</w:t>
      </w:r>
      <w:r w:rsidR="00AF2631">
        <w:rPr>
          <w:rFonts w:cs="Arial"/>
          <w:bCs/>
          <w:snapToGrid w:val="0"/>
        </w:rPr>
        <w:t xml:space="preserve"> also</w:t>
      </w:r>
      <w:r w:rsidR="003724E0">
        <w:rPr>
          <w:rFonts w:cs="Arial"/>
          <w:bCs/>
          <w:snapToGrid w:val="0"/>
        </w:rPr>
        <w:t xml:space="preserve"> </w:t>
      </w:r>
      <w:r w:rsidR="0032010D">
        <w:rPr>
          <w:rFonts w:cs="Arial"/>
          <w:bCs/>
          <w:snapToGrid w:val="0"/>
        </w:rPr>
        <w:t>discussed</w:t>
      </w:r>
      <w:r w:rsidR="00A149AC">
        <w:rPr>
          <w:rFonts w:cs="Arial"/>
          <w:bCs/>
          <w:snapToGrid w:val="0"/>
        </w:rPr>
        <w:t xml:space="preserve"> </w:t>
      </w:r>
      <w:r w:rsidR="003724E0">
        <w:rPr>
          <w:rFonts w:cs="Arial"/>
          <w:bCs/>
          <w:snapToGrid w:val="0"/>
        </w:rPr>
        <w:t xml:space="preserve">the incidence of </w:t>
      </w:r>
      <w:r w:rsidR="003724E0" w:rsidRPr="003724E0">
        <w:rPr>
          <w:rFonts w:cs="Arial"/>
          <w:bCs/>
          <w:i/>
          <w:snapToGrid w:val="0"/>
        </w:rPr>
        <w:t>BRCA1/2</w:t>
      </w:r>
      <w:r w:rsidR="003724E0">
        <w:rPr>
          <w:rFonts w:cs="Arial"/>
          <w:bCs/>
          <w:snapToGrid w:val="0"/>
        </w:rPr>
        <w:t xml:space="preserve"> gene variants</w:t>
      </w:r>
      <w:r w:rsidR="00AC4C5B">
        <w:rPr>
          <w:rFonts w:cs="Arial"/>
          <w:bCs/>
          <w:snapToGrid w:val="0"/>
        </w:rPr>
        <w:t>, which varies in the literature depending on how enriched the cohorts are for advanced and aggressive cancers</w:t>
      </w:r>
      <w:r w:rsidR="003724E0">
        <w:rPr>
          <w:rFonts w:cs="Arial"/>
          <w:bCs/>
          <w:snapToGrid w:val="0"/>
        </w:rPr>
        <w:t>.</w:t>
      </w:r>
      <w:r w:rsidR="00AA6D4A" w:rsidRPr="00836F75">
        <w:rPr>
          <w:rFonts w:cs="Arial"/>
          <w:bCs/>
          <w:snapToGrid w:val="0"/>
        </w:rPr>
        <w:t xml:space="preserve"> </w:t>
      </w:r>
      <w:r w:rsidR="00AC4C5B">
        <w:rPr>
          <w:rFonts w:cs="Arial"/>
          <w:bCs/>
          <w:snapToGrid w:val="0"/>
        </w:rPr>
        <w:t xml:space="preserve">The clinician considered the incidence from the screening component </w:t>
      </w:r>
      <w:r w:rsidR="00EA5E8B">
        <w:rPr>
          <w:rFonts w:cs="Arial"/>
          <w:bCs/>
          <w:snapToGrid w:val="0"/>
        </w:rPr>
        <w:t xml:space="preserve">of the </w:t>
      </w:r>
      <w:proofErr w:type="spellStart"/>
      <w:proofErr w:type="gramStart"/>
      <w:r w:rsidR="00AC4C5B">
        <w:rPr>
          <w:rFonts w:cs="Arial"/>
          <w:bCs/>
          <w:snapToGrid w:val="0"/>
        </w:rPr>
        <w:t>PROfound</w:t>
      </w:r>
      <w:proofErr w:type="spellEnd"/>
      <w:proofErr w:type="gramEnd"/>
      <w:r w:rsidR="00AC4C5B">
        <w:rPr>
          <w:rFonts w:cs="Arial"/>
          <w:bCs/>
          <w:snapToGrid w:val="0"/>
        </w:rPr>
        <w:t xml:space="preserve"> trial provided the best basis for estimating the incidence of </w:t>
      </w:r>
      <w:r w:rsidR="00AC4C5B" w:rsidRPr="003724E0">
        <w:rPr>
          <w:rFonts w:cs="Arial"/>
          <w:bCs/>
          <w:i/>
          <w:snapToGrid w:val="0"/>
        </w:rPr>
        <w:t>BRCA1/2</w:t>
      </w:r>
      <w:r w:rsidR="00781284">
        <w:rPr>
          <w:rFonts w:cs="Arial"/>
          <w:bCs/>
          <w:snapToGrid w:val="0"/>
        </w:rPr>
        <w:t xml:space="preserve"> gene variants.</w:t>
      </w:r>
    </w:p>
    <w:p w:rsidR="00AA6D4A" w:rsidRPr="00AA6D4A" w:rsidRDefault="00AA6D4A" w:rsidP="00AA6D4A">
      <w:pPr>
        <w:pStyle w:val="PBACESHeading2"/>
        <w:rPr>
          <w:rFonts w:asciiTheme="minorHAnsi" w:hAnsiTheme="minorHAnsi" w:cstheme="minorHAnsi"/>
        </w:rPr>
      </w:pPr>
      <w:r w:rsidRPr="00AA6D4A">
        <w:rPr>
          <w:rFonts w:asciiTheme="minorHAnsi" w:hAnsiTheme="minorHAnsi" w:cstheme="minorHAnsi"/>
        </w:rPr>
        <w:t>Consumer comments</w:t>
      </w:r>
    </w:p>
    <w:p w:rsidR="00630BCA" w:rsidRDefault="00630BCA" w:rsidP="00BD2453">
      <w:pPr>
        <w:widowControl w:val="0"/>
        <w:numPr>
          <w:ilvl w:val="1"/>
          <w:numId w:val="1"/>
        </w:numPr>
        <w:spacing w:before="0" w:after="120"/>
        <w:rPr>
          <w:rFonts w:cs="Arial"/>
          <w:bCs/>
          <w:snapToGrid w:val="0"/>
        </w:rPr>
      </w:pPr>
      <w:r w:rsidRPr="00630BCA">
        <w:rPr>
          <w:rFonts w:cs="Arial"/>
          <w:bCs/>
          <w:snapToGrid w:val="0"/>
        </w:rPr>
        <w:t>6.2</w:t>
      </w:r>
      <w:r w:rsidRPr="00630BCA">
        <w:rPr>
          <w:rFonts w:cs="Arial"/>
          <w:bCs/>
          <w:i/>
          <w:snapToGrid w:val="0"/>
        </w:rPr>
        <w:tab/>
      </w:r>
      <w:r w:rsidR="00AA6D4A" w:rsidRPr="00630BCA">
        <w:rPr>
          <w:rFonts w:cs="Arial"/>
          <w:bCs/>
          <w:snapToGrid w:val="0"/>
        </w:rPr>
        <w:t>The PBAC not</w:t>
      </w:r>
      <w:r w:rsidRPr="00630BCA">
        <w:rPr>
          <w:rFonts w:cs="Arial"/>
          <w:bCs/>
          <w:snapToGrid w:val="0"/>
        </w:rPr>
        <w:t>ed and welcomed the input from two</w:t>
      </w:r>
      <w:r w:rsidR="00AA6D4A" w:rsidRPr="00630BCA">
        <w:rPr>
          <w:rFonts w:cs="Arial"/>
          <w:bCs/>
          <w:snapToGrid w:val="0"/>
        </w:rPr>
        <w:t xml:space="preserve"> organisations via the Consumer Comments facility on the PBS website. </w:t>
      </w:r>
      <w:r w:rsidR="0032010D">
        <w:rPr>
          <w:rFonts w:cs="Arial"/>
          <w:bCs/>
          <w:snapToGrid w:val="0"/>
        </w:rPr>
        <w:t>No comments on this submission were received from individuals.</w:t>
      </w:r>
    </w:p>
    <w:p w:rsidR="00BD2453" w:rsidRDefault="00630BCA" w:rsidP="00BD2453">
      <w:pPr>
        <w:widowControl w:val="0"/>
        <w:numPr>
          <w:ilvl w:val="1"/>
          <w:numId w:val="1"/>
        </w:numPr>
        <w:spacing w:before="0" w:after="120"/>
        <w:rPr>
          <w:rFonts w:cs="Arial"/>
          <w:bCs/>
          <w:snapToGrid w:val="0"/>
        </w:rPr>
      </w:pPr>
      <w:r>
        <w:rPr>
          <w:rFonts w:cs="Arial"/>
          <w:bCs/>
          <w:snapToGrid w:val="0"/>
        </w:rPr>
        <w:t>6.3</w:t>
      </w:r>
      <w:r>
        <w:rPr>
          <w:rFonts w:cs="Arial"/>
          <w:bCs/>
          <w:snapToGrid w:val="0"/>
        </w:rPr>
        <w:tab/>
      </w:r>
      <w:r w:rsidR="00AA6D4A" w:rsidRPr="00630BCA">
        <w:rPr>
          <w:rFonts w:cs="Arial"/>
          <w:bCs/>
          <w:snapToGrid w:val="0"/>
        </w:rPr>
        <w:t xml:space="preserve">The PBAC noted the advice received from </w:t>
      </w:r>
      <w:r>
        <w:rPr>
          <w:rFonts w:cs="Arial"/>
          <w:bCs/>
          <w:snapToGrid w:val="0"/>
        </w:rPr>
        <w:t>the Prostate Cancer Foundation of Australi</w:t>
      </w:r>
      <w:r w:rsidR="00BD2453">
        <w:rPr>
          <w:rFonts w:cs="Arial"/>
          <w:bCs/>
          <w:snapToGrid w:val="0"/>
        </w:rPr>
        <w:t>a</w:t>
      </w:r>
      <w:r w:rsidR="00AA6D4A" w:rsidRPr="00630BCA">
        <w:rPr>
          <w:rFonts w:cs="Arial"/>
          <w:bCs/>
          <w:snapToGrid w:val="0"/>
        </w:rPr>
        <w:t xml:space="preserve"> </w:t>
      </w:r>
      <w:r w:rsidR="00781284">
        <w:rPr>
          <w:rFonts w:cs="Arial"/>
          <w:bCs/>
          <w:snapToGrid w:val="0"/>
        </w:rPr>
        <w:t>confirming its</w:t>
      </w:r>
      <w:r w:rsidR="00BD2453">
        <w:rPr>
          <w:rFonts w:cs="Arial"/>
          <w:bCs/>
          <w:snapToGrid w:val="0"/>
        </w:rPr>
        <w:t xml:space="preserve"> support for the </w:t>
      </w:r>
      <w:proofErr w:type="spellStart"/>
      <w:r w:rsidR="00BD2453">
        <w:rPr>
          <w:rFonts w:cs="Arial"/>
          <w:bCs/>
          <w:snapToGrid w:val="0"/>
        </w:rPr>
        <w:t>olaparib</w:t>
      </w:r>
      <w:proofErr w:type="spellEnd"/>
      <w:r w:rsidR="00AA6D4A" w:rsidRPr="00630BCA">
        <w:rPr>
          <w:rFonts w:cs="Arial"/>
          <w:bCs/>
          <w:snapToGrid w:val="0"/>
        </w:rPr>
        <w:t xml:space="preserve"> </w:t>
      </w:r>
      <w:r w:rsidR="00BD2453">
        <w:rPr>
          <w:rFonts w:cs="Arial"/>
          <w:bCs/>
          <w:snapToGrid w:val="0"/>
        </w:rPr>
        <w:t>submission</w:t>
      </w:r>
      <w:r w:rsidR="00AA6D4A" w:rsidRPr="00630BCA">
        <w:rPr>
          <w:rFonts w:cs="Arial"/>
          <w:bCs/>
          <w:snapToGrid w:val="0"/>
        </w:rPr>
        <w:t xml:space="preserve">. The PBAC specifically noted the advice that the use of </w:t>
      </w:r>
      <w:proofErr w:type="spellStart"/>
      <w:r w:rsidR="00BD2453">
        <w:rPr>
          <w:rFonts w:cs="Arial"/>
          <w:bCs/>
          <w:snapToGrid w:val="0"/>
        </w:rPr>
        <w:t>olaparib</w:t>
      </w:r>
      <w:proofErr w:type="spellEnd"/>
      <w:r w:rsidR="00BD2453">
        <w:rPr>
          <w:rFonts w:cs="Arial"/>
          <w:bCs/>
          <w:snapToGrid w:val="0"/>
        </w:rPr>
        <w:t xml:space="preserve"> has the potential to improve the quality of life of patients with prostate cancer. </w:t>
      </w:r>
      <w:r w:rsidR="00AA6D4A" w:rsidRPr="00630BCA">
        <w:rPr>
          <w:rFonts w:cs="Arial"/>
          <w:bCs/>
          <w:snapToGrid w:val="0"/>
        </w:rPr>
        <w:t>The PBAC noted that this advice was supportive of the evide</w:t>
      </w:r>
      <w:r w:rsidR="00BD2453">
        <w:rPr>
          <w:rFonts w:cs="Arial"/>
          <w:bCs/>
          <w:snapToGrid w:val="0"/>
        </w:rPr>
        <w:t>nce provided in the submission.</w:t>
      </w:r>
    </w:p>
    <w:p w:rsidR="00AA6D4A" w:rsidRPr="00BD2453" w:rsidRDefault="00BD2453" w:rsidP="00BD2453">
      <w:pPr>
        <w:widowControl w:val="0"/>
        <w:numPr>
          <w:ilvl w:val="1"/>
          <w:numId w:val="1"/>
        </w:numPr>
        <w:spacing w:before="0" w:after="120"/>
        <w:rPr>
          <w:rFonts w:cs="Arial"/>
          <w:bCs/>
          <w:snapToGrid w:val="0"/>
        </w:rPr>
      </w:pPr>
      <w:r>
        <w:rPr>
          <w:rFonts w:cs="Arial"/>
          <w:bCs/>
          <w:snapToGrid w:val="0"/>
        </w:rPr>
        <w:t>6.4</w:t>
      </w:r>
      <w:r>
        <w:rPr>
          <w:rFonts w:cs="Arial"/>
          <w:bCs/>
          <w:snapToGrid w:val="0"/>
        </w:rPr>
        <w:tab/>
      </w:r>
      <w:r w:rsidR="00AA6D4A" w:rsidRPr="00BD2453">
        <w:rPr>
          <w:rFonts w:cs="Arial"/>
          <w:bCs/>
          <w:snapToGrid w:val="0"/>
        </w:rPr>
        <w:t xml:space="preserve">The Medical Oncology Group of Australia (MOGA) also expressed its support for the </w:t>
      </w:r>
      <w:proofErr w:type="spellStart"/>
      <w:r>
        <w:rPr>
          <w:rFonts w:cs="Arial"/>
          <w:bCs/>
          <w:snapToGrid w:val="0"/>
        </w:rPr>
        <w:t>olaparib</w:t>
      </w:r>
      <w:proofErr w:type="spellEnd"/>
      <w:r w:rsidR="00AA6D4A" w:rsidRPr="00BD2453">
        <w:rPr>
          <w:rFonts w:cs="Arial"/>
          <w:bCs/>
          <w:snapToGrid w:val="0"/>
        </w:rPr>
        <w:t xml:space="preserve"> submission. The PBAC noted that the MOGA presented a European Society </w:t>
      </w:r>
      <w:r w:rsidR="00AA6D4A" w:rsidRPr="00BD2453">
        <w:rPr>
          <w:rFonts w:cs="Arial"/>
          <w:bCs/>
          <w:snapToGrid w:val="0"/>
        </w:rPr>
        <w:lastRenderedPageBreak/>
        <w:t xml:space="preserve">for Medical Oncology Magnitude of Clinical Benefit Scale (ESMO-MCBS) for </w:t>
      </w:r>
      <w:proofErr w:type="spellStart"/>
      <w:r>
        <w:rPr>
          <w:rFonts w:cs="Arial"/>
          <w:bCs/>
          <w:snapToGrid w:val="0"/>
        </w:rPr>
        <w:t>olaparib</w:t>
      </w:r>
      <w:proofErr w:type="spellEnd"/>
      <w:r w:rsidR="00AA6D4A" w:rsidRPr="00BD2453">
        <w:rPr>
          <w:rFonts w:cs="Arial"/>
          <w:bCs/>
          <w:snapToGrid w:val="0"/>
        </w:rPr>
        <w:t xml:space="preserve">, which was limited to </w:t>
      </w:r>
      <w:r>
        <w:rPr>
          <w:rFonts w:cs="Arial"/>
          <w:bCs/>
          <w:snapToGrid w:val="0"/>
        </w:rPr>
        <w:t>3</w:t>
      </w:r>
      <w:r w:rsidR="00AA6D4A" w:rsidRPr="00BD2453">
        <w:rPr>
          <w:rFonts w:cs="Arial"/>
          <w:bCs/>
          <w:snapToGrid w:val="0"/>
        </w:rPr>
        <w:t xml:space="preserve"> (out of a maximum of 5, where 5 and 4 represent the grades with substantial improvement), based on a comparison with </w:t>
      </w:r>
      <w:r>
        <w:rPr>
          <w:rFonts w:cs="Arial"/>
          <w:bCs/>
          <w:snapToGrid w:val="0"/>
        </w:rPr>
        <w:t>abiraterone or enzalutamide.</w:t>
      </w:r>
      <w:r>
        <w:rPr>
          <w:rStyle w:val="FootnoteReference"/>
          <w:rFonts w:cs="Arial"/>
          <w:bCs/>
          <w:snapToGrid w:val="0"/>
        </w:rPr>
        <w:footnoteReference w:id="4"/>
      </w:r>
    </w:p>
    <w:p w:rsidR="00C31220" w:rsidRPr="004F0D62" w:rsidRDefault="004F0D62" w:rsidP="00C31220">
      <w:pPr>
        <w:pStyle w:val="PBACESHeading2"/>
        <w:rPr>
          <w:rFonts w:asciiTheme="minorHAnsi" w:hAnsiTheme="minorHAnsi" w:cstheme="minorHAnsi"/>
        </w:rPr>
      </w:pPr>
      <w:r>
        <w:rPr>
          <w:rFonts w:asciiTheme="minorHAnsi" w:hAnsiTheme="minorHAnsi" w:cstheme="minorHAnsi"/>
        </w:rPr>
        <w:t>Clinical trials</w:t>
      </w:r>
      <w:bookmarkEnd w:id="22"/>
      <w:bookmarkEnd w:id="23"/>
    </w:p>
    <w:p w:rsidR="00C31220" w:rsidRPr="00BD2453" w:rsidRDefault="00C31220" w:rsidP="00BD2453">
      <w:pPr>
        <w:pStyle w:val="ListParagraph"/>
        <w:numPr>
          <w:ilvl w:val="4"/>
          <w:numId w:val="31"/>
        </w:numPr>
        <w:rPr>
          <w:color w:val="auto"/>
        </w:rPr>
      </w:pPr>
      <w:r w:rsidRPr="00BE056E">
        <w:t xml:space="preserve">The approach taken in the submission </w:t>
      </w:r>
      <w:r w:rsidR="0032010D">
        <w:t>wa</w:t>
      </w:r>
      <w:r w:rsidRPr="00BE056E">
        <w:t xml:space="preserve">s to present evidence that has been linked to support the contention that targeting of patients with </w:t>
      </w:r>
      <w:r w:rsidRPr="00BD2453">
        <w:rPr>
          <w:i/>
          <w:iCs/>
        </w:rPr>
        <w:t>BRCA1/2</w:t>
      </w:r>
      <w:r w:rsidRPr="00BE056E">
        <w:t xml:space="preserve"> pathogenic variants (either somatic or germline) with </w:t>
      </w:r>
      <w:proofErr w:type="spellStart"/>
      <w:r w:rsidRPr="00BE056E">
        <w:t>olaparib</w:t>
      </w:r>
      <w:proofErr w:type="spellEnd"/>
      <w:r w:rsidRPr="00BE056E">
        <w:t xml:space="preserve"> will result in improved clinical outcomes in patients </w:t>
      </w:r>
      <w:proofErr w:type="spellStart"/>
      <w:r w:rsidRPr="00BD2453">
        <w:rPr>
          <w:color w:val="auto"/>
        </w:rPr>
        <w:t>mCRP</w:t>
      </w:r>
      <w:r w:rsidR="000355B3" w:rsidRPr="00BD2453">
        <w:rPr>
          <w:color w:val="auto"/>
        </w:rPr>
        <w:t>C</w:t>
      </w:r>
      <w:proofErr w:type="spellEnd"/>
      <w:r w:rsidR="000355B3" w:rsidRPr="00BD2453">
        <w:rPr>
          <w:color w:val="auto"/>
        </w:rPr>
        <w:t xml:space="preserve"> who failed NHA treatment.</w:t>
      </w:r>
    </w:p>
    <w:p w:rsidR="00C31220" w:rsidRPr="00BE056E" w:rsidRDefault="00C31220" w:rsidP="00C31220">
      <w:pPr>
        <w:pStyle w:val="TableRowHeader"/>
        <w:keepNext/>
        <w:keepLines/>
        <w:jc w:val="both"/>
      </w:pPr>
      <w:r w:rsidRPr="00BE056E">
        <w:t xml:space="preserve">Table </w:t>
      </w:r>
      <w:r w:rsidR="00CD4B9C">
        <w:rPr>
          <w:noProof/>
        </w:rPr>
        <w:t>3</w:t>
      </w:r>
      <w:r w:rsidR="0073766D">
        <w:rPr>
          <w:noProof/>
        </w:rPr>
        <w:t>:</w:t>
      </w:r>
      <w:r w:rsidRPr="00BE056E">
        <w:tab/>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76"/>
        <w:gridCol w:w="5833"/>
        <w:gridCol w:w="1507"/>
      </w:tblGrid>
      <w:tr w:rsidR="00C31220" w:rsidRPr="00BE056E" w:rsidTr="005139AD">
        <w:trPr>
          <w:tblHeader/>
        </w:trPr>
        <w:tc>
          <w:tcPr>
            <w:tcW w:w="929" w:type="pct"/>
            <w:tcBorders>
              <w:top w:val="single" w:sz="4" w:space="0" w:color="auto"/>
              <w:left w:val="single" w:sz="4" w:space="0" w:color="auto"/>
              <w:bottom w:val="single" w:sz="4" w:space="0" w:color="auto"/>
              <w:right w:val="single" w:sz="4" w:space="0" w:color="auto"/>
            </w:tcBorders>
            <w:vAlign w:val="bottom"/>
          </w:tcPr>
          <w:p w:rsidR="00C31220" w:rsidRPr="00BE056E" w:rsidRDefault="00C31220" w:rsidP="00750CE1">
            <w:pPr>
              <w:pStyle w:val="TableText"/>
              <w:keepNext/>
              <w:keepLines/>
              <w:spacing w:before="0" w:after="0" w:line="240" w:lineRule="auto"/>
              <w:jc w:val="center"/>
              <w:rPr>
                <w:b/>
                <w:i/>
              </w:rPr>
            </w:pPr>
          </w:p>
        </w:tc>
        <w:tc>
          <w:tcPr>
            <w:tcW w:w="3235" w:type="pct"/>
            <w:tcBorders>
              <w:top w:val="single" w:sz="4" w:space="0" w:color="auto"/>
              <w:left w:val="single" w:sz="4" w:space="0" w:color="auto"/>
              <w:bottom w:val="single" w:sz="4" w:space="0" w:color="auto"/>
              <w:right w:val="single" w:sz="4" w:space="0" w:color="auto"/>
            </w:tcBorders>
            <w:vAlign w:val="bottom"/>
            <w:hideMark/>
          </w:tcPr>
          <w:p w:rsidR="00C31220" w:rsidRPr="000F2527" w:rsidRDefault="00C31220" w:rsidP="00750CE1">
            <w:pPr>
              <w:pStyle w:val="TableText"/>
              <w:keepNext/>
              <w:keepLines/>
              <w:spacing w:before="0" w:after="0" w:line="240" w:lineRule="auto"/>
              <w:jc w:val="center"/>
              <w:rPr>
                <w:b/>
              </w:rPr>
            </w:pPr>
            <w:r w:rsidRPr="000F2527">
              <w:rPr>
                <w:b/>
              </w:rPr>
              <w:t>Type of evidence supplied</w:t>
            </w:r>
          </w:p>
        </w:tc>
        <w:tc>
          <w:tcPr>
            <w:tcW w:w="836" w:type="pct"/>
            <w:tcBorders>
              <w:top w:val="single" w:sz="4" w:space="0" w:color="auto"/>
              <w:left w:val="single" w:sz="4" w:space="0" w:color="auto"/>
              <w:bottom w:val="single" w:sz="4" w:space="0" w:color="auto"/>
              <w:right w:val="single" w:sz="4" w:space="0" w:color="auto"/>
            </w:tcBorders>
            <w:vAlign w:val="bottom"/>
            <w:hideMark/>
          </w:tcPr>
          <w:p w:rsidR="00C31220" w:rsidRPr="000F2527" w:rsidRDefault="00C31220" w:rsidP="00750CE1">
            <w:pPr>
              <w:pStyle w:val="TableText"/>
              <w:keepNext/>
              <w:keepLines/>
              <w:spacing w:before="0" w:after="0" w:line="240" w:lineRule="auto"/>
              <w:jc w:val="center"/>
              <w:rPr>
                <w:b/>
              </w:rPr>
            </w:pPr>
            <w:r w:rsidRPr="000F2527">
              <w:rPr>
                <w:b/>
              </w:rPr>
              <w:t>Extent of evidence supplied</w:t>
            </w:r>
          </w:p>
        </w:tc>
      </w:tr>
      <w:tr w:rsidR="00C31220" w:rsidRPr="00BE056E" w:rsidTr="005139AD">
        <w:tc>
          <w:tcPr>
            <w:tcW w:w="929" w:type="pct"/>
            <w:tcBorders>
              <w:top w:val="single" w:sz="4" w:space="0" w:color="auto"/>
              <w:left w:val="single" w:sz="4" w:space="0" w:color="auto"/>
              <w:bottom w:val="single" w:sz="4" w:space="0" w:color="auto"/>
              <w:right w:val="single" w:sz="4" w:space="0" w:color="auto"/>
            </w:tcBorders>
            <w:hideMark/>
          </w:tcPr>
          <w:p w:rsidR="00C31220" w:rsidRPr="00BE056E" w:rsidRDefault="00C31220" w:rsidP="00750CE1">
            <w:pPr>
              <w:pStyle w:val="TableText"/>
              <w:keepNext/>
              <w:keepLines/>
              <w:spacing w:before="0" w:after="0" w:line="240" w:lineRule="auto"/>
              <w:rPr>
                <w:iCs/>
              </w:rPr>
            </w:pPr>
            <w:r w:rsidRPr="00BE056E">
              <w:rPr>
                <w:iCs/>
              </w:rPr>
              <w:t>Accuracy and performance of the test (analytical validity)</w:t>
            </w:r>
          </w:p>
        </w:tc>
        <w:tc>
          <w:tcPr>
            <w:tcW w:w="3235" w:type="pct"/>
            <w:tcBorders>
              <w:top w:val="single" w:sz="4" w:space="0" w:color="auto"/>
              <w:left w:val="single" w:sz="4" w:space="0" w:color="auto"/>
              <w:bottom w:val="single" w:sz="4" w:space="0" w:color="auto"/>
              <w:right w:val="single" w:sz="4" w:space="0" w:color="auto"/>
            </w:tcBorders>
            <w:hideMark/>
          </w:tcPr>
          <w:p w:rsidR="00C31220" w:rsidRPr="000F2527" w:rsidRDefault="00C31220" w:rsidP="00750CE1">
            <w:pPr>
              <w:pStyle w:val="TableText"/>
              <w:keepNext/>
              <w:keepLines/>
              <w:spacing w:before="0" w:after="0" w:line="240" w:lineRule="auto"/>
            </w:pPr>
            <w:r w:rsidRPr="000F2527">
              <w:t>The submission did not conduct a search for studies of diagnostic performance.</w:t>
            </w:r>
          </w:p>
          <w:p w:rsidR="00C31220" w:rsidRPr="000F2527" w:rsidRDefault="00C31220" w:rsidP="00750CE1">
            <w:pPr>
              <w:pStyle w:val="TableText"/>
              <w:keepNext/>
              <w:keepLines/>
              <w:spacing w:before="0" w:after="0" w:line="240" w:lineRule="auto"/>
            </w:pPr>
            <w:r w:rsidRPr="000F2527">
              <w:t>The following data was included for:</w:t>
            </w:r>
          </w:p>
          <w:p w:rsidR="00C31220" w:rsidRPr="000F2527" w:rsidRDefault="00C31220" w:rsidP="00750CE1">
            <w:pPr>
              <w:pStyle w:val="TableText"/>
              <w:keepNext/>
              <w:keepLines/>
              <w:spacing w:before="0" w:after="0" w:line="240" w:lineRule="auto"/>
            </w:pPr>
            <w:r w:rsidRPr="000F2527">
              <w:rPr>
                <w:u w:val="single"/>
              </w:rPr>
              <w:t>F1CDx</w:t>
            </w:r>
            <w:r w:rsidRPr="000F2527">
              <w:t xml:space="preserve">: the summary of two concordance analyses included in the FDA label comparing F1CDx with </w:t>
            </w:r>
            <w:proofErr w:type="spellStart"/>
            <w:r w:rsidRPr="000F2527">
              <w:t>evNGS</w:t>
            </w:r>
            <w:proofErr w:type="spellEnd"/>
            <w:r w:rsidRPr="000F2527">
              <w:t xml:space="preserve"> and F1LTD.</w:t>
            </w:r>
          </w:p>
          <w:p w:rsidR="00C31220" w:rsidRPr="000F2527" w:rsidRDefault="00C31220" w:rsidP="00750CE1">
            <w:pPr>
              <w:pStyle w:val="TableText"/>
              <w:keepNext/>
              <w:keepLines/>
              <w:spacing w:before="0" w:after="0" w:line="240" w:lineRule="auto"/>
            </w:pPr>
            <w:proofErr w:type="spellStart"/>
            <w:r w:rsidRPr="000F2527">
              <w:rPr>
                <w:u w:val="single"/>
              </w:rPr>
              <w:t>QIAseq</w:t>
            </w:r>
            <w:proofErr w:type="spellEnd"/>
            <w:r w:rsidRPr="000F2527">
              <w:t xml:space="preserve">: A validation report conducted by the PMCC comparing </w:t>
            </w:r>
            <w:proofErr w:type="spellStart"/>
            <w:r w:rsidRPr="000F2527">
              <w:t>QIAseq</w:t>
            </w:r>
            <w:proofErr w:type="spellEnd"/>
            <w:r w:rsidRPr="000F2527">
              <w:t xml:space="preserve"> to two in-house NGS assays: CCP and the FRCP</w:t>
            </w:r>
            <w:r w:rsidR="00A13627" w:rsidRPr="000F2527">
              <w:t>.</w:t>
            </w:r>
          </w:p>
        </w:tc>
        <w:tc>
          <w:tcPr>
            <w:tcW w:w="836" w:type="pct"/>
            <w:tcBorders>
              <w:top w:val="single" w:sz="4" w:space="0" w:color="auto"/>
              <w:left w:val="single" w:sz="4" w:space="0" w:color="auto"/>
              <w:bottom w:val="single" w:sz="4" w:space="0" w:color="auto"/>
              <w:right w:val="single" w:sz="4" w:space="0" w:color="auto"/>
            </w:tcBorders>
            <w:hideMark/>
          </w:tcPr>
          <w:p w:rsidR="00C31220" w:rsidRPr="000F2527" w:rsidRDefault="009963BB" w:rsidP="00750CE1">
            <w:pPr>
              <w:pStyle w:val="TableText"/>
              <w:keepNext/>
              <w:keepLines/>
              <w:spacing w:before="0" w:after="0" w:line="240" w:lineRule="auto"/>
            </w:pPr>
            <w:sdt>
              <w:sdtPr>
                <w:id w:val="-921482885"/>
                <w14:checkbox>
                  <w14:checked w14:val="0"/>
                  <w14:checkedState w14:val="2612" w14:font="MS Gothic"/>
                  <w14:uncheckedState w14:val="2610" w14:font="MS Gothic"/>
                </w14:checkbox>
              </w:sdtPr>
              <w:sdtEndPr/>
              <w:sdtContent>
                <w:r w:rsidR="00C31220" w:rsidRPr="000F2527">
                  <w:rPr>
                    <w:rFonts w:ascii="Segoe UI Symbol" w:hAnsi="Segoe UI Symbol" w:cs="Segoe UI Symbol"/>
                  </w:rPr>
                  <w:t>☐</w:t>
                </w:r>
              </w:sdtContent>
            </w:sdt>
            <w:r w:rsidR="00C31220" w:rsidRPr="000F2527">
              <w:tab/>
              <w:t>k=0</w:t>
            </w:r>
          </w:p>
        </w:tc>
      </w:tr>
      <w:tr w:rsidR="00C31220" w:rsidRPr="00BE056E" w:rsidTr="005139AD">
        <w:tc>
          <w:tcPr>
            <w:tcW w:w="929" w:type="pct"/>
            <w:tcBorders>
              <w:top w:val="single" w:sz="4" w:space="0" w:color="auto"/>
              <w:left w:val="single" w:sz="4" w:space="0" w:color="auto"/>
              <w:bottom w:val="single" w:sz="4" w:space="0" w:color="auto"/>
              <w:right w:val="single" w:sz="4" w:space="0" w:color="auto"/>
            </w:tcBorders>
            <w:hideMark/>
          </w:tcPr>
          <w:p w:rsidR="00C31220" w:rsidRPr="00BE056E" w:rsidRDefault="00C31220" w:rsidP="00750CE1">
            <w:pPr>
              <w:pStyle w:val="TableText"/>
              <w:keepNext/>
              <w:keepLines/>
              <w:spacing w:before="0" w:after="0" w:line="240" w:lineRule="auto"/>
              <w:rPr>
                <w:iCs/>
              </w:rPr>
            </w:pPr>
            <w:r w:rsidRPr="00BE056E">
              <w:rPr>
                <w:iCs/>
              </w:rPr>
              <w:t>Prognostic evidence</w:t>
            </w:r>
          </w:p>
        </w:tc>
        <w:tc>
          <w:tcPr>
            <w:tcW w:w="3235" w:type="pct"/>
            <w:tcBorders>
              <w:top w:val="single" w:sz="4" w:space="0" w:color="auto"/>
              <w:left w:val="single" w:sz="4" w:space="0" w:color="auto"/>
              <w:bottom w:val="single" w:sz="4" w:space="0" w:color="auto"/>
              <w:right w:val="single" w:sz="4" w:space="0" w:color="auto"/>
            </w:tcBorders>
            <w:hideMark/>
          </w:tcPr>
          <w:p w:rsidR="00C31220" w:rsidRPr="000F2527" w:rsidRDefault="00C31220" w:rsidP="00750CE1">
            <w:pPr>
              <w:pStyle w:val="TableText"/>
              <w:keepNext/>
              <w:keepLines/>
              <w:spacing w:before="0" w:after="0" w:line="240" w:lineRule="auto"/>
            </w:pPr>
            <w:r w:rsidRPr="000F2527">
              <w:t>Comparison of outcomes in patients receiving usual care conditioned on the presence or absence of biomarker positive status</w:t>
            </w:r>
            <w:r w:rsidR="00A13627" w:rsidRPr="000F2527">
              <w:t>.</w:t>
            </w:r>
          </w:p>
        </w:tc>
        <w:tc>
          <w:tcPr>
            <w:tcW w:w="836" w:type="pct"/>
            <w:tcBorders>
              <w:top w:val="single" w:sz="4" w:space="0" w:color="auto"/>
              <w:left w:val="single" w:sz="4" w:space="0" w:color="auto"/>
              <w:bottom w:val="single" w:sz="4" w:space="0" w:color="auto"/>
              <w:right w:val="single" w:sz="4" w:space="0" w:color="auto"/>
            </w:tcBorders>
            <w:hideMark/>
          </w:tcPr>
          <w:p w:rsidR="00C31220" w:rsidRPr="000F2527" w:rsidRDefault="009963BB" w:rsidP="00750CE1">
            <w:pPr>
              <w:pStyle w:val="TableText"/>
              <w:keepNext/>
              <w:keepLines/>
              <w:spacing w:before="0" w:after="0" w:line="240" w:lineRule="auto"/>
            </w:pPr>
            <w:sdt>
              <w:sdtPr>
                <w:id w:val="1114794880"/>
                <w14:checkbox>
                  <w14:checked w14:val="1"/>
                  <w14:checkedState w14:val="2612" w14:font="MS Gothic"/>
                  <w14:uncheckedState w14:val="2610" w14:font="MS Gothic"/>
                </w14:checkbox>
              </w:sdtPr>
              <w:sdtEndPr/>
              <w:sdtContent>
                <w:r w:rsidR="00C31220" w:rsidRPr="000F2527">
                  <w:rPr>
                    <w:rFonts w:ascii="MS Gothic" w:eastAsia="MS Gothic" w:hAnsi="MS Gothic"/>
                  </w:rPr>
                  <w:t>☒</w:t>
                </w:r>
              </w:sdtContent>
            </w:sdt>
            <w:r w:rsidR="00C31220" w:rsidRPr="000F2527">
              <w:tab/>
              <w:t>k=2</w:t>
            </w:r>
            <w:r w:rsidR="00C31220" w:rsidRPr="000F2527">
              <w:tab/>
              <w:t>n=13,369</w:t>
            </w:r>
          </w:p>
        </w:tc>
      </w:tr>
      <w:tr w:rsidR="00C31220" w:rsidRPr="00BE056E" w:rsidTr="005139AD">
        <w:tc>
          <w:tcPr>
            <w:tcW w:w="929" w:type="pct"/>
            <w:tcBorders>
              <w:top w:val="single" w:sz="4" w:space="0" w:color="auto"/>
              <w:left w:val="single" w:sz="4" w:space="0" w:color="auto"/>
              <w:bottom w:val="single" w:sz="4" w:space="0" w:color="auto"/>
              <w:right w:val="single" w:sz="4" w:space="0" w:color="auto"/>
            </w:tcBorders>
          </w:tcPr>
          <w:p w:rsidR="00C31220" w:rsidRPr="00BE056E" w:rsidRDefault="00C31220" w:rsidP="00750CE1">
            <w:pPr>
              <w:pStyle w:val="TableText"/>
              <w:keepNext/>
              <w:keepLines/>
              <w:spacing w:before="0" w:after="0" w:line="240" w:lineRule="auto"/>
              <w:rPr>
                <w:iCs/>
              </w:rPr>
            </w:pPr>
            <w:r w:rsidRPr="00BE056E">
              <w:rPr>
                <w:iCs/>
              </w:rPr>
              <w:t>Clinical utility of the test</w:t>
            </w:r>
          </w:p>
        </w:tc>
        <w:tc>
          <w:tcPr>
            <w:tcW w:w="3235" w:type="pct"/>
            <w:tcBorders>
              <w:top w:val="single" w:sz="4" w:space="0" w:color="auto"/>
              <w:left w:val="single" w:sz="4" w:space="0" w:color="auto"/>
              <w:bottom w:val="single" w:sz="4" w:space="0" w:color="auto"/>
              <w:right w:val="single" w:sz="4" w:space="0" w:color="auto"/>
            </w:tcBorders>
          </w:tcPr>
          <w:p w:rsidR="00C31220" w:rsidRPr="000F2527" w:rsidRDefault="00B464F2" w:rsidP="00750CE1">
            <w:pPr>
              <w:pStyle w:val="TableText"/>
              <w:keepNext/>
              <w:keepLines/>
              <w:spacing w:before="0" w:after="0" w:line="240" w:lineRule="auto"/>
            </w:pPr>
            <w:r w:rsidRPr="000F2527">
              <w:t xml:space="preserve">The submission did not compare outcomes in patients with and without </w:t>
            </w:r>
            <w:r w:rsidRPr="00F00AC5">
              <w:rPr>
                <w:i/>
              </w:rPr>
              <w:t>BRCA1/2</w:t>
            </w:r>
            <w:r w:rsidRPr="000F2527">
              <w:t xml:space="preserve"> pathogenic variants who received </w:t>
            </w:r>
            <w:proofErr w:type="spellStart"/>
            <w:r w:rsidRPr="000F2527">
              <w:t>olaparib</w:t>
            </w:r>
            <w:proofErr w:type="spellEnd"/>
            <w:r w:rsidRPr="000F2527">
              <w:t xml:space="preserve"> or NHA. </w:t>
            </w:r>
            <w:r w:rsidR="00940919" w:rsidRPr="000F2527">
              <w:t>T</w:t>
            </w:r>
            <w:r w:rsidRPr="000F2527">
              <w:t xml:space="preserve">his information is available from the </w:t>
            </w:r>
            <w:proofErr w:type="spellStart"/>
            <w:r w:rsidRPr="000F2527">
              <w:t>PROfound</w:t>
            </w:r>
            <w:proofErr w:type="spellEnd"/>
            <w:r w:rsidRPr="000F2527">
              <w:t xml:space="preserve"> trial, with patients without </w:t>
            </w:r>
            <w:r w:rsidRPr="00F00AC5">
              <w:rPr>
                <w:i/>
              </w:rPr>
              <w:t>BRCA1/2</w:t>
            </w:r>
            <w:r w:rsidRPr="000F2527">
              <w:t xml:space="preserve"> pathogenic variants forming the complement.</w:t>
            </w:r>
          </w:p>
        </w:tc>
        <w:tc>
          <w:tcPr>
            <w:tcW w:w="836" w:type="pct"/>
            <w:tcBorders>
              <w:top w:val="single" w:sz="4" w:space="0" w:color="auto"/>
              <w:left w:val="single" w:sz="4" w:space="0" w:color="auto"/>
              <w:bottom w:val="single" w:sz="4" w:space="0" w:color="auto"/>
              <w:right w:val="single" w:sz="4" w:space="0" w:color="auto"/>
            </w:tcBorders>
          </w:tcPr>
          <w:p w:rsidR="00C31220" w:rsidRPr="000F2527" w:rsidRDefault="009963BB" w:rsidP="00750CE1">
            <w:pPr>
              <w:pStyle w:val="TableText"/>
              <w:keepNext/>
              <w:keepLines/>
              <w:spacing w:before="0" w:after="0" w:line="240" w:lineRule="auto"/>
            </w:pPr>
            <w:sdt>
              <w:sdtPr>
                <w:id w:val="1976168101"/>
                <w14:checkbox>
                  <w14:checked w14:val="0"/>
                  <w14:checkedState w14:val="2612" w14:font="MS Gothic"/>
                  <w14:uncheckedState w14:val="2610" w14:font="MS Gothic"/>
                </w14:checkbox>
              </w:sdtPr>
              <w:sdtEndPr/>
              <w:sdtContent>
                <w:r w:rsidR="00C31220" w:rsidRPr="000F2527">
                  <w:rPr>
                    <w:rFonts w:ascii="Segoe UI Symbol" w:hAnsi="Segoe UI Symbol" w:cs="Segoe UI Symbol"/>
                  </w:rPr>
                  <w:t>☐</w:t>
                </w:r>
              </w:sdtContent>
            </w:sdt>
            <w:r w:rsidR="00C31220" w:rsidRPr="000F2527">
              <w:tab/>
              <w:t>k=0</w:t>
            </w:r>
          </w:p>
        </w:tc>
      </w:tr>
      <w:tr w:rsidR="00C31220" w:rsidRPr="00BE056E" w:rsidTr="005139AD">
        <w:tc>
          <w:tcPr>
            <w:tcW w:w="929" w:type="pct"/>
            <w:tcBorders>
              <w:top w:val="single" w:sz="4" w:space="0" w:color="auto"/>
              <w:left w:val="single" w:sz="4" w:space="0" w:color="auto"/>
              <w:bottom w:val="single" w:sz="4" w:space="0" w:color="auto"/>
              <w:right w:val="single" w:sz="4" w:space="0" w:color="auto"/>
            </w:tcBorders>
            <w:hideMark/>
          </w:tcPr>
          <w:p w:rsidR="00C31220" w:rsidRPr="00BE056E" w:rsidRDefault="000355B3" w:rsidP="00750CE1">
            <w:pPr>
              <w:pStyle w:val="TableText"/>
              <w:keepNext/>
              <w:keepLines/>
              <w:spacing w:before="0" w:after="0" w:line="240" w:lineRule="auto"/>
              <w:rPr>
                <w:iCs/>
              </w:rPr>
            </w:pPr>
            <w:r>
              <w:rPr>
                <w:iCs/>
              </w:rPr>
              <w:t>Change in patient management</w:t>
            </w:r>
          </w:p>
        </w:tc>
        <w:tc>
          <w:tcPr>
            <w:tcW w:w="3235" w:type="pct"/>
            <w:tcBorders>
              <w:top w:val="single" w:sz="4" w:space="0" w:color="auto"/>
              <w:left w:val="single" w:sz="4" w:space="0" w:color="auto"/>
              <w:bottom w:val="single" w:sz="4" w:space="0" w:color="auto"/>
              <w:right w:val="single" w:sz="4" w:space="0" w:color="auto"/>
            </w:tcBorders>
            <w:hideMark/>
          </w:tcPr>
          <w:p w:rsidR="00C31220" w:rsidRPr="000F2527" w:rsidRDefault="00C31220" w:rsidP="00750CE1">
            <w:pPr>
              <w:pStyle w:val="TableText"/>
              <w:keepNext/>
              <w:keepLines/>
              <w:spacing w:before="0" w:after="0" w:line="240" w:lineRule="auto"/>
            </w:pPr>
            <w:r w:rsidRPr="000F2527">
              <w:t>No evidence was provided to show that biomarker determination guides decisions about treatment with the medicine</w:t>
            </w:r>
            <w:r w:rsidR="00A13627" w:rsidRPr="000F2527">
              <w:t>.</w:t>
            </w:r>
          </w:p>
        </w:tc>
        <w:tc>
          <w:tcPr>
            <w:tcW w:w="836" w:type="pct"/>
            <w:tcBorders>
              <w:top w:val="single" w:sz="4" w:space="0" w:color="auto"/>
              <w:left w:val="single" w:sz="4" w:space="0" w:color="auto"/>
              <w:bottom w:val="single" w:sz="4" w:space="0" w:color="auto"/>
              <w:right w:val="single" w:sz="4" w:space="0" w:color="auto"/>
            </w:tcBorders>
            <w:hideMark/>
          </w:tcPr>
          <w:p w:rsidR="00C31220" w:rsidRPr="000F2527" w:rsidRDefault="009963BB" w:rsidP="00750CE1">
            <w:pPr>
              <w:pStyle w:val="TableText"/>
              <w:keepNext/>
              <w:keepLines/>
              <w:spacing w:before="0" w:after="0" w:line="240" w:lineRule="auto"/>
            </w:pPr>
            <w:sdt>
              <w:sdtPr>
                <w:id w:val="-1450006572"/>
                <w14:checkbox>
                  <w14:checked w14:val="0"/>
                  <w14:checkedState w14:val="2612" w14:font="MS Gothic"/>
                  <w14:uncheckedState w14:val="2610" w14:font="MS Gothic"/>
                </w14:checkbox>
              </w:sdtPr>
              <w:sdtEndPr/>
              <w:sdtContent>
                <w:r w:rsidR="00C31220" w:rsidRPr="000F2527">
                  <w:rPr>
                    <w:rFonts w:ascii="Segoe UI Symbol" w:hAnsi="Segoe UI Symbol" w:cs="Segoe UI Symbol"/>
                  </w:rPr>
                  <w:t>☐</w:t>
                </w:r>
              </w:sdtContent>
            </w:sdt>
            <w:r w:rsidR="00C31220" w:rsidRPr="000F2527">
              <w:tab/>
              <w:t>k=0</w:t>
            </w:r>
          </w:p>
        </w:tc>
      </w:tr>
      <w:tr w:rsidR="00C31220" w:rsidRPr="00BE056E" w:rsidTr="005139AD">
        <w:tc>
          <w:tcPr>
            <w:tcW w:w="929" w:type="pct"/>
            <w:tcBorders>
              <w:top w:val="single" w:sz="4" w:space="0" w:color="auto"/>
              <w:left w:val="single" w:sz="4" w:space="0" w:color="auto"/>
              <w:right w:val="single" w:sz="4" w:space="0" w:color="auto"/>
            </w:tcBorders>
          </w:tcPr>
          <w:p w:rsidR="00C31220" w:rsidRPr="00BE056E" w:rsidRDefault="000355B3" w:rsidP="00750CE1">
            <w:pPr>
              <w:pStyle w:val="TableText"/>
              <w:keepNext/>
              <w:keepLines/>
              <w:spacing w:before="0" w:after="0" w:line="240" w:lineRule="auto"/>
              <w:rPr>
                <w:iCs/>
              </w:rPr>
            </w:pPr>
            <w:r>
              <w:rPr>
                <w:iCs/>
              </w:rPr>
              <w:t>Treatment effectiveness</w:t>
            </w:r>
          </w:p>
        </w:tc>
        <w:tc>
          <w:tcPr>
            <w:tcW w:w="3235" w:type="pct"/>
            <w:tcBorders>
              <w:top w:val="single" w:sz="4" w:space="0" w:color="auto"/>
              <w:left w:val="single" w:sz="4" w:space="0" w:color="auto"/>
              <w:bottom w:val="single" w:sz="4" w:space="0" w:color="auto"/>
              <w:right w:val="single" w:sz="4" w:space="0" w:color="auto"/>
            </w:tcBorders>
          </w:tcPr>
          <w:p w:rsidR="00C31220" w:rsidRPr="000F2527" w:rsidRDefault="00C31220" w:rsidP="00750CE1">
            <w:pPr>
              <w:pStyle w:val="TableText"/>
              <w:keepNext/>
              <w:keepLines/>
              <w:spacing w:before="0" w:after="0" w:line="240" w:lineRule="auto"/>
            </w:pPr>
            <w:proofErr w:type="spellStart"/>
            <w:r w:rsidRPr="000F2527">
              <w:t>PROfound</w:t>
            </w:r>
            <w:proofErr w:type="spellEnd"/>
            <w:r w:rsidRPr="000F2527">
              <w:t xml:space="preserve"> trial: open label, randomised, phase 3 study of </w:t>
            </w:r>
            <w:proofErr w:type="spellStart"/>
            <w:r w:rsidRPr="000F2527">
              <w:t>olaparib</w:t>
            </w:r>
            <w:proofErr w:type="spellEnd"/>
            <w:r w:rsidRPr="000F2527">
              <w:t xml:space="preserve"> v</w:t>
            </w:r>
            <w:r w:rsidR="005139AD">
              <w:t>ersu</w:t>
            </w:r>
            <w:r w:rsidRPr="000F2527">
              <w:t xml:space="preserve">s enzalutamide or abiraterone in </w:t>
            </w:r>
            <w:proofErr w:type="spellStart"/>
            <w:r w:rsidRPr="000F2527">
              <w:t>mCRPC</w:t>
            </w:r>
            <w:proofErr w:type="spellEnd"/>
            <w:r w:rsidRPr="000F2527">
              <w:t xml:space="preserve"> with HRR alterations and a subpopulation with </w:t>
            </w:r>
            <w:r w:rsidRPr="00F00AC5">
              <w:rPr>
                <w:i/>
              </w:rPr>
              <w:t>BRCA1/2</w:t>
            </w:r>
            <w:r w:rsidRPr="000F2527">
              <w:t xml:space="preserve"> pathogenic gene variants</w:t>
            </w:r>
            <w:r w:rsidR="00A13627" w:rsidRPr="000F2527">
              <w:t>.</w:t>
            </w:r>
          </w:p>
        </w:tc>
        <w:tc>
          <w:tcPr>
            <w:tcW w:w="836" w:type="pct"/>
            <w:tcBorders>
              <w:top w:val="single" w:sz="4" w:space="0" w:color="auto"/>
              <w:left w:val="single" w:sz="4" w:space="0" w:color="auto"/>
              <w:bottom w:val="single" w:sz="4" w:space="0" w:color="auto"/>
              <w:right w:val="single" w:sz="4" w:space="0" w:color="auto"/>
            </w:tcBorders>
          </w:tcPr>
          <w:p w:rsidR="00C31220" w:rsidRPr="000F2527" w:rsidRDefault="009963BB" w:rsidP="00750CE1">
            <w:pPr>
              <w:pStyle w:val="TableText"/>
              <w:keepNext/>
              <w:keepLines/>
              <w:spacing w:before="0" w:after="0" w:line="240" w:lineRule="auto"/>
            </w:pPr>
            <w:sdt>
              <w:sdtPr>
                <w:id w:val="-877475776"/>
                <w14:checkbox>
                  <w14:checked w14:val="1"/>
                  <w14:checkedState w14:val="2612" w14:font="MS Gothic"/>
                  <w14:uncheckedState w14:val="2610" w14:font="MS Gothic"/>
                </w14:checkbox>
              </w:sdtPr>
              <w:sdtEndPr/>
              <w:sdtContent>
                <w:r w:rsidR="00C31220" w:rsidRPr="000F2527">
                  <w:rPr>
                    <w:rFonts w:ascii="MS Gothic" w:eastAsia="MS Gothic" w:hAnsi="MS Gothic"/>
                  </w:rPr>
                  <w:t>☒</w:t>
                </w:r>
              </w:sdtContent>
            </w:sdt>
            <w:r w:rsidR="00C31220" w:rsidRPr="000F2527">
              <w:tab/>
              <w:t>k=1</w:t>
            </w:r>
            <w:r w:rsidR="00C31220" w:rsidRPr="000F2527">
              <w:tab/>
              <w:t>n=</w:t>
            </w:r>
            <w:r w:rsidR="00C31220" w:rsidRPr="000F2527">
              <w:rPr>
                <w:iCs/>
              </w:rPr>
              <w:t>245</w:t>
            </w:r>
          </w:p>
        </w:tc>
      </w:tr>
    </w:tbl>
    <w:p w:rsidR="00C31220" w:rsidRPr="00750CE1" w:rsidRDefault="00C31220" w:rsidP="00C31220">
      <w:pPr>
        <w:pStyle w:val="TableFooter"/>
        <w:keepNext/>
        <w:keepLines/>
      </w:pPr>
      <w:r w:rsidRPr="00750CE1">
        <w:t>Source: Constructed during the evaluation</w:t>
      </w:r>
      <w:r w:rsidR="009528FB">
        <w:t>.</w:t>
      </w:r>
    </w:p>
    <w:p w:rsidR="00C31220" w:rsidRPr="00BE056E" w:rsidRDefault="005139AD" w:rsidP="00C31220">
      <w:pPr>
        <w:pStyle w:val="TableFooter"/>
        <w:keepNext/>
        <w:keepLines/>
        <w:rPr>
          <w:i/>
        </w:rPr>
      </w:pPr>
      <w:r w:rsidRPr="005139AD">
        <w:rPr>
          <w:i/>
          <w:iCs/>
        </w:rPr>
        <w:t>BRCA1/2</w:t>
      </w:r>
      <w:r>
        <w:rPr>
          <w:iCs/>
        </w:rPr>
        <w:t xml:space="preserve"> = breast cancer genes 1 and 2; </w:t>
      </w:r>
      <w:r w:rsidR="00C31220" w:rsidRPr="00BE056E">
        <w:rPr>
          <w:iCs/>
        </w:rPr>
        <w:t>CCP</w:t>
      </w:r>
      <w:r>
        <w:rPr>
          <w:iCs/>
        </w:rPr>
        <w:t xml:space="preserve"> </w:t>
      </w:r>
      <w:r w:rsidR="00C31220" w:rsidRPr="00BE056E">
        <w:rPr>
          <w:iCs/>
        </w:rPr>
        <w:t>=</w:t>
      </w:r>
      <w:r>
        <w:rPr>
          <w:iCs/>
        </w:rPr>
        <w:t xml:space="preserve"> </w:t>
      </w:r>
      <w:r w:rsidR="00C31220" w:rsidRPr="00BE056E">
        <w:rPr>
          <w:iCs/>
        </w:rPr>
        <w:t xml:space="preserve">Comprehensive Cancer Capture Panel; </w:t>
      </w:r>
      <w:proofErr w:type="spellStart"/>
      <w:r w:rsidR="00C31220" w:rsidRPr="00BE056E">
        <w:rPr>
          <w:iCs/>
        </w:rPr>
        <w:t>evNGS</w:t>
      </w:r>
      <w:proofErr w:type="spellEnd"/>
      <w:r>
        <w:rPr>
          <w:iCs/>
        </w:rPr>
        <w:t xml:space="preserve"> </w:t>
      </w:r>
      <w:r w:rsidR="00C31220" w:rsidRPr="00BE056E">
        <w:rPr>
          <w:iCs/>
        </w:rPr>
        <w:t>=</w:t>
      </w:r>
      <w:r>
        <w:rPr>
          <w:iCs/>
        </w:rPr>
        <w:t xml:space="preserve"> </w:t>
      </w:r>
      <w:r w:rsidR="00C31220" w:rsidRPr="00BE056E">
        <w:rPr>
          <w:iCs/>
        </w:rPr>
        <w:t>externally validated NGS assay; F1CDx</w:t>
      </w:r>
      <w:r>
        <w:rPr>
          <w:iCs/>
        </w:rPr>
        <w:t xml:space="preserve"> </w:t>
      </w:r>
      <w:r w:rsidR="00C31220" w:rsidRPr="00BE056E">
        <w:rPr>
          <w:iCs/>
        </w:rPr>
        <w:t>=</w:t>
      </w:r>
      <w:r>
        <w:rPr>
          <w:iCs/>
        </w:rPr>
        <w:t xml:space="preserve"> </w:t>
      </w:r>
      <w:proofErr w:type="spellStart"/>
      <w:r w:rsidR="00C31220" w:rsidRPr="00BE056E">
        <w:rPr>
          <w:iCs/>
        </w:rPr>
        <w:t>FoundationOne®CDx</w:t>
      </w:r>
      <w:proofErr w:type="spellEnd"/>
      <w:r w:rsidR="00C31220" w:rsidRPr="00BE056E">
        <w:rPr>
          <w:iCs/>
        </w:rPr>
        <w:t>; F1LTD</w:t>
      </w:r>
      <w:r>
        <w:rPr>
          <w:iCs/>
        </w:rPr>
        <w:t xml:space="preserve"> </w:t>
      </w:r>
      <w:r w:rsidR="00C31220" w:rsidRPr="00BE056E">
        <w:rPr>
          <w:iCs/>
        </w:rPr>
        <w:t>=</w:t>
      </w:r>
      <w:r>
        <w:rPr>
          <w:iCs/>
        </w:rPr>
        <w:t xml:space="preserve"> </w:t>
      </w:r>
      <w:proofErr w:type="spellStart"/>
      <w:r w:rsidR="00C31220" w:rsidRPr="00BE056E">
        <w:rPr>
          <w:iCs/>
        </w:rPr>
        <w:t>FoundationOne</w:t>
      </w:r>
      <w:proofErr w:type="spellEnd"/>
      <w:r w:rsidR="00C31220" w:rsidRPr="00BE056E">
        <w:rPr>
          <w:iCs/>
        </w:rPr>
        <w:t xml:space="preserve"> laboratory developed test; FRCP</w:t>
      </w:r>
      <w:r>
        <w:rPr>
          <w:iCs/>
        </w:rPr>
        <w:t xml:space="preserve"> </w:t>
      </w:r>
      <w:r w:rsidR="00C31220" w:rsidRPr="00BE056E">
        <w:rPr>
          <w:iCs/>
        </w:rPr>
        <w:t>=</w:t>
      </w:r>
      <w:r>
        <w:rPr>
          <w:iCs/>
        </w:rPr>
        <w:t xml:space="preserve"> </w:t>
      </w:r>
      <w:r w:rsidR="00C31220" w:rsidRPr="00BE056E">
        <w:rPr>
          <w:iCs/>
        </w:rPr>
        <w:t>Familial Risk Cancer Panel; HRR</w:t>
      </w:r>
      <w:r>
        <w:rPr>
          <w:iCs/>
        </w:rPr>
        <w:t xml:space="preserve"> </w:t>
      </w:r>
      <w:r w:rsidR="00C31220" w:rsidRPr="00BE056E">
        <w:rPr>
          <w:iCs/>
        </w:rPr>
        <w:t>=</w:t>
      </w:r>
      <w:r>
        <w:rPr>
          <w:iCs/>
        </w:rPr>
        <w:t xml:space="preserve"> </w:t>
      </w:r>
      <w:r w:rsidR="00C31220" w:rsidRPr="00BE056E">
        <w:rPr>
          <w:iCs/>
        </w:rPr>
        <w:t>homologous recombination repair; k</w:t>
      </w:r>
      <w:r>
        <w:rPr>
          <w:iCs/>
        </w:rPr>
        <w:t xml:space="preserve"> </w:t>
      </w:r>
      <w:r w:rsidR="00C31220" w:rsidRPr="00BE056E">
        <w:rPr>
          <w:iCs/>
        </w:rPr>
        <w:t>=</w:t>
      </w:r>
      <w:r>
        <w:rPr>
          <w:iCs/>
        </w:rPr>
        <w:t xml:space="preserve"> </w:t>
      </w:r>
      <w:r w:rsidR="00C31220" w:rsidRPr="00BE056E">
        <w:rPr>
          <w:iCs/>
        </w:rPr>
        <w:t xml:space="preserve">number of studies; </w:t>
      </w:r>
      <w:proofErr w:type="spellStart"/>
      <w:r w:rsidR="00C31220" w:rsidRPr="00BE056E">
        <w:rPr>
          <w:iCs/>
        </w:rPr>
        <w:t>mCRPC</w:t>
      </w:r>
      <w:proofErr w:type="spellEnd"/>
      <w:r>
        <w:rPr>
          <w:iCs/>
        </w:rPr>
        <w:t xml:space="preserve"> </w:t>
      </w:r>
      <w:r w:rsidR="00C31220" w:rsidRPr="00BE056E">
        <w:rPr>
          <w:iCs/>
        </w:rPr>
        <w:t>=</w:t>
      </w:r>
      <w:r>
        <w:rPr>
          <w:iCs/>
        </w:rPr>
        <w:t xml:space="preserve"> </w:t>
      </w:r>
      <w:r w:rsidR="00C31220" w:rsidRPr="00BE056E">
        <w:rPr>
          <w:iCs/>
        </w:rPr>
        <w:t>metastatic castration resistant prostate cancer; n</w:t>
      </w:r>
      <w:r>
        <w:rPr>
          <w:iCs/>
        </w:rPr>
        <w:t xml:space="preserve"> </w:t>
      </w:r>
      <w:r w:rsidR="00C31220" w:rsidRPr="00BE056E">
        <w:rPr>
          <w:iCs/>
        </w:rPr>
        <w:t>=</w:t>
      </w:r>
      <w:r>
        <w:rPr>
          <w:iCs/>
        </w:rPr>
        <w:t xml:space="preserve"> </w:t>
      </w:r>
      <w:r w:rsidR="00C31220" w:rsidRPr="00BE056E">
        <w:rPr>
          <w:iCs/>
        </w:rPr>
        <w:t>number of patients; NGS</w:t>
      </w:r>
      <w:r>
        <w:rPr>
          <w:iCs/>
        </w:rPr>
        <w:t xml:space="preserve"> </w:t>
      </w:r>
      <w:r w:rsidR="00C31220" w:rsidRPr="00BE056E">
        <w:rPr>
          <w:iCs/>
        </w:rPr>
        <w:t>=</w:t>
      </w:r>
      <w:r>
        <w:rPr>
          <w:iCs/>
        </w:rPr>
        <w:t xml:space="preserve"> </w:t>
      </w:r>
      <w:r w:rsidR="00C31220" w:rsidRPr="00BE056E">
        <w:rPr>
          <w:iCs/>
        </w:rPr>
        <w:t>next generation sequencing; NHA</w:t>
      </w:r>
      <w:r>
        <w:rPr>
          <w:iCs/>
        </w:rPr>
        <w:t xml:space="preserve"> </w:t>
      </w:r>
      <w:r w:rsidR="00C31220" w:rsidRPr="00BE056E">
        <w:rPr>
          <w:iCs/>
        </w:rPr>
        <w:t>=</w:t>
      </w:r>
      <w:r>
        <w:rPr>
          <w:iCs/>
        </w:rPr>
        <w:t xml:space="preserve"> </w:t>
      </w:r>
      <w:r w:rsidR="00C31220" w:rsidRPr="00BE056E">
        <w:rPr>
          <w:iCs/>
        </w:rPr>
        <w:t>novel hormonal agent</w:t>
      </w:r>
      <w:r w:rsidR="00F80A08">
        <w:rPr>
          <w:iCs/>
        </w:rPr>
        <w:t>.</w:t>
      </w:r>
    </w:p>
    <w:p w:rsidR="00A532E5" w:rsidRDefault="00A532E5">
      <w:pPr>
        <w:spacing w:before="0" w:line="259" w:lineRule="auto"/>
        <w:jc w:val="left"/>
      </w:pPr>
      <w:r>
        <w:br w:type="page"/>
      </w:r>
    </w:p>
    <w:p w:rsidR="00C31220" w:rsidRPr="000355B3" w:rsidRDefault="00C31220" w:rsidP="00C31220">
      <w:pPr>
        <w:pStyle w:val="ListParagraph"/>
        <w:rPr>
          <w:iCs/>
          <w:color w:val="auto"/>
        </w:rPr>
      </w:pPr>
      <w:r w:rsidRPr="00BE056E">
        <w:rPr>
          <w:color w:val="auto"/>
        </w:rPr>
        <w:lastRenderedPageBreak/>
        <w:t>The following table outlines the data that were available to address the comparisons.</w:t>
      </w:r>
    </w:p>
    <w:p w:rsidR="00C31220" w:rsidRPr="00BE056E" w:rsidRDefault="00C31220" w:rsidP="00C31220">
      <w:pPr>
        <w:spacing w:after="0"/>
        <w:rPr>
          <w:rStyle w:val="CommentReference"/>
        </w:rPr>
      </w:pPr>
      <w:r w:rsidRPr="00BE056E">
        <w:rPr>
          <w:rStyle w:val="CommentReference"/>
        </w:rPr>
        <w:t>Table</w:t>
      </w:r>
      <w:r w:rsidR="00F80A08">
        <w:rPr>
          <w:rStyle w:val="CommentReference"/>
        </w:rPr>
        <w:t xml:space="preserve"> </w:t>
      </w:r>
      <w:r w:rsidR="00CD4B9C">
        <w:rPr>
          <w:rStyle w:val="CommentReference"/>
          <w:noProof/>
        </w:rPr>
        <w:t>4</w:t>
      </w:r>
      <w:r w:rsidR="0073766D">
        <w:rPr>
          <w:rStyle w:val="CommentReference"/>
        </w:rPr>
        <w:t>:</w:t>
      </w:r>
      <w:r w:rsidRPr="00BE056E">
        <w:rPr>
          <w:rStyle w:val="CommentReference"/>
        </w:rPr>
        <w:tab/>
        <w:t>Summary of the linked evidence approach</w:t>
      </w:r>
    </w:p>
    <w:tbl>
      <w:tblPr>
        <w:tblW w:w="49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2851"/>
        <w:gridCol w:w="3177"/>
      </w:tblGrid>
      <w:tr w:rsidR="00C31220" w:rsidRPr="00BE056E" w:rsidTr="005139AD">
        <w:tc>
          <w:tcPr>
            <w:tcW w:w="1651" w:type="pct"/>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pPr>
            <w:r w:rsidRPr="00BE056E">
              <w:t>Proposed test v</w:t>
            </w:r>
            <w:r w:rsidR="005139AD">
              <w:t>ersu</w:t>
            </w:r>
            <w:r w:rsidRPr="00BE056E">
              <w:t>s no test</w:t>
            </w:r>
          </w:p>
        </w:tc>
        <w:tc>
          <w:tcPr>
            <w:tcW w:w="3349" w:type="pct"/>
            <w:gridSpan w:val="2"/>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rPr>
                <w:b/>
              </w:rPr>
            </w:pPr>
            <w:r w:rsidRPr="00BE056E">
              <w:t>No evidence presented</w:t>
            </w:r>
          </w:p>
        </w:tc>
      </w:tr>
      <w:tr w:rsidR="00C31220" w:rsidRPr="00BE056E" w:rsidTr="005139AD">
        <w:tc>
          <w:tcPr>
            <w:tcW w:w="1651" w:type="pct"/>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pPr>
            <w:r w:rsidRPr="00BE056E">
              <w:t>Proposed test v</w:t>
            </w:r>
            <w:r w:rsidR="005139AD">
              <w:t>ersu</w:t>
            </w:r>
            <w:r w:rsidRPr="00BE056E">
              <w:t>s alternative test</w:t>
            </w:r>
          </w:p>
        </w:tc>
        <w:tc>
          <w:tcPr>
            <w:tcW w:w="3349" w:type="pct"/>
            <w:gridSpan w:val="2"/>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rPr>
                <w:b/>
              </w:rPr>
            </w:pPr>
            <w:r w:rsidRPr="00BE056E">
              <w:t>No evidence presented</w:t>
            </w:r>
          </w:p>
        </w:tc>
      </w:tr>
      <w:tr w:rsidR="00C31220" w:rsidRPr="00BE056E" w:rsidTr="005139AD">
        <w:tc>
          <w:tcPr>
            <w:tcW w:w="1651" w:type="pct"/>
            <w:tcBorders>
              <w:top w:val="single" w:sz="4" w:space="0" w:color="000000"/>
              <w:left w:val="single" w:sz="4" w:space="0" w:color="000000"/>
              <w:bottom w:val="single" w:sz="4" w:space="0" w:color="000000"/>
              <w:right w:val="single" w:sz="4" w:space="0" w:color="000000"/>
            </w:tcBorders>
          </w:tcPr>
          <w:p w:rsidR="00C31220" w:rsidRPr="00BE056E" w:rsidRDefault="00C31220" w:rsidP="00B73CEE">
            <w:pPr>
              <w:pStyle w:val="TableText"/>
              <w:spacing w:before="0" w:after="0" w:line="240" w:lineRule="auto"/>
            </w:pPr>
          </w:p>
        </w:tc>
        <w:tc>
          <w:tcPr>
            <w:tcW w:w="1584" w:type="pct"/>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jc w:val="center"/>
              <w:rPr>
                <w:b/>
                <w:bCs/>
              </w:rPr>
            </w:pPr>
            <w:proofErr w:type="spellStart"/>
            <w:r w:rsidRPr="00BE056E">
              <w:rPr>
                <w:b/>
                <w:bCs/>
              </w:rPr>
              <w:t>Olaparib</w:t>
            </w:r>
            <w:proofErr w:type="spellEnd"/>
          </w:p>
        </w:tc>
        <w:tc>
          <w:tcPr>
            <w:tcW w:w="1765" w:type="pct"/>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jc w:val="center"/>
              <w:rPr>
                <w:b/>
                <w:bCs/>
              </w:rPr>
            </w:pPr>
            <w:r w:rsidRPr="00BE056E">
              <w:rPr>
                <w:b/>
                <w:bCs/>
              </w:rPr>
              <w:t>NHA</w:t>
            </w:r>
          </w:p>
        </w:tc>
      </w:tr>
      <w:tr w:rsidR="00C31220" w:rsidRPr="00BE056E" w:rsidTr="005139AD">
        <w:tc>
          <w:tcPr>
            <w:tcW w:w="1651" w:type="pct"/>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pPr>
            <w:r w:rsidRPr="00BE056E">
              <w:t>Biomarker test positive</w:t>
            </w:r>
          </w:p>
        </w:tc>
        <w:tc>
          <w:tcPr>
            <w:tcW w:w="1584" w:type="pct"/>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pPr>
            <w:proofErr w:type="spellStart"/>
            <w:r w:rsidRPr="00BE056E">
              <w:t>PROfound</w:t>
            </w:r>
            <w:proofErr w:type="spellEnd"/>
          </w:p>
        </w:tc>
        <w:tc>
          <w:tcPr>
            <w:tcW w:w="1765" w:type="pct"/>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pPr>
            <w:proofErr w:type="spellStart"/>
            <w:r w:rsidRPr="00BE056E">
              <w:t>PROfound</w:t>
            </w:r>
            <w:proofErr w:type="spellEnd"/>
          </w:p>
        </w:tc>
      </w:tr>
      <w:tr w:rsidR="00C31220" w:rsidRPr="00BE056E" w:rsidTr="005139AD">
        <w:tc>
          <w:tcPr>
            <w:tcW w:w="1651" w:type="pct"/>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pPr>
            <w:r w:rsidRPr="00BE056E">
              <w:t>Biomarker test negative</w:t>
            </w:r>
            <w:r w:rsidRPr="00BE056E">
              <w:rPr>
                <w:b/>
              </w:rPr>
              <w:t xml:space="preserve"> </w:t>
            </w:r>
          </w:p>
        </w:tc>
        <w:tc>
          <w:tcPr>
            <w:tcW w:w="1584" w:type="pct"/>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pPr>
            <w:r w:rsidRPr="00BE056E">
              <w:t>No evidence presented</w:t>
            </w:r>
          </w:p>
        </w:tc>
        <w:tc>
          <w:tcPr>
            <w:tcW w:w="1765" w:type="pct"/>
            <w:tcBorders>
              <w:top w:val="single" w:sz="4" w:space="0" w:color="000000"/>
              <w:left w:val="single" w:sz="4" w:space="0" w:color="000000"/>
              <w:bottom w:val="single" w:sz="4" w:space="0" w:color="000000"/>
              <w:right w:val="single" w:sz="4" w:space="0" w:color="000000"/>
            </w:tcBorders>
            <w:hideMark/>
          </w:tcPr>
          <w:p w:rsidR="00C31220" w:rsidRPr="00BE056E" w:rsidRDefault="00C31220" w:rsidP="00B73CEE">
            <w:pPr>
              <w:pStyle w:val="TableText"/>
              <w:spacing w:before="0" w:after="0" w:line="240" w:lineRule="auto"/>
            </w:pPr>
            <w:r w:rsidRPr="00BE056E">
              <w:t>No evidence presented</w:t>
            </w:r>
          </w:p>
        </w:tc>
      </w:tr>
    </w:tbl>
    <w:p w:rsidR="00C31220" w:rsidRPr="00BE056E" w:rsidRDefault="00C31220" w:rsidP="00C31220">
      <w:pPr>
        <w:pStyle w:val="TableFooter"/>
        <w:spacing w:after="0"/>
        <w:rPr>
          <w:szCs w:val="18"/>
        </w:rPr>
      </w:pPr>
      <w:r w:rsidRPr="00BE056E">
        <w:rPr>
          <w:szCs w:val="18"/>
        </w:rPr>
        <w:t>Source: Compiled during the evaluation</w:t>
      </w:r>
      <w:r w:rsidR="009528FB">
        <w:rPr>
          <w:szCs w:val="18"/>
        </w:rPr>
        <w:t>.</w:t>
      </w:r>
    </w:p>
    <w:p w:rsidR="00C31220" w:rsidRPr="00BE056E" w:rsidRDefault="00C31220" w:rsidP="00C31220">
      <w:pPr>
        <w:spacing w:before="0" w:after="120"/>
      </w:pPr>
      <w:r w:rsidRPr="00BE056E">
        <w:rPr>
          <w:rFonts w:ascii="Arial Narrow" w:hAnsi="Arial Narrow"/>
          <w:sz w:val="18"/>
          <w:szCs w:val="18"/>
        </w:rPr>
        <w:t>NHA</w:t>
      </w:r>
      <w:r w:rsidR="005139AD">
        <w:rPr>
          <w:rFonts w:ascii="Arial Narrow" w:hAnsi="Arial Narrow"/>
          <w:sz w:val="18"/>
          <w:szCs w:val="18"/>
        </w:rPr>
        <w:t xml:space="preserve"> </w:t>
      </w:r>
      <w:r w:rsidRPr="00BE056E">
        <w:rPr>
          <w:rFonts w:ascii="Arial Narrow" w:hAnsi="Arial Narrow"/>
          <w:sz w:val="18"/>
          <w:szCs w:val="18"/>
        </w:rPr>
        <w:t>=</w:t>
      </w:r>
      <w:r w:rsidR="005139AD">
        <w:rPr>
          <w:rFonts w:ascii="Arial Narrow" w:hAnsi="Arial Narrow"/>
          <w:sz w:val="18"/>
          <w:szCs w:val="18"/>
        </w:rPr>
        <w:t xml:space="preserve"> </w:t>
      </w:r>
      <w:r w:rsidRPr="00BE056E">
        <w:rPr>
          <w:rFonts w:ascii="Arial Narrow" w:hAnsi="Arial Narrow"/>
          <w:sz w:val="18"/>
          <w:szCs w:val="18"/>
        </w:rPr>
        <w:t>novel hormonal agent</w:t>
      </w:r>
      <w:r w:rsidR="00F80A08">
        <w:rPr>
          <w:rFonts w:ascii="Arial Narrow" w:hAnsi="Arial Narrow"/>
          <w:sz w:val="18"/>
          <w:szCs w:val="18"/>
        </w:rPr>
        <w:t>.</w:t>
      </w:r>
    </w:p>
    <w:p w:rsidR="004C059D" w:rsidRPr="000F2527" w:rsidRDefault="00C31220" w:rsidP="00C31220">
      <w:pPr>
        <w:pStyle w:val="ListParagraph"/>
        <w:rPr>
          <w:iCs/>
          <w:color w:val="auto"/>
        </w:rPr>
      </w:pPr>
      <w:r w:rsidRPr="00BE056E">
        <w:t xml:space="preserve">In regard to the open-label design of the </w:t>
      </w:r>
      <w:proofErr w:type="spellStart"/>
      <w:proofErr w:type="gramStart"/>
      <w:r w:rsidRPr="00BE056E">
        <w:t>PROfound</w:t>
      </w:r>
      <w:proofErr w:type="spellEnd"/>
      <w:proofErr w:type="gramEnd"/>
      <w:r w:rsidRPr="00BE056E">
        <w:t xml:space="preserve"> trial, the submission stated that </w:t>
      </w:r>
      <w:r w:rsidR="00E16C5B" w:rsidRPr="00BE056E">
        <w:t xml:space="preserve">blinded independent central review (BICR) of all scans </w:t>
      </w:r>
      <w:r w:rsidRPr="00BE056E">
        <w:t xml:space="preserve">was used to ensure </w:t>
      </w:r>
      <w:r w:rsidR="00E16C5B" w:rsidRPr="00BE056E">
        <w:t xml:space="preserve">the </w:t>
      </w:r>
      <w:r w:rsidRPr="00BE056E">
        <w:t>robustness of the primary endpoint</w:t>
      </w:r>
      <w:r w:rsidR="007A557D" w:rsidRPr="00BE056E">
        <w:t>,</w:t>
      </w:r>
      <w:r w:rsidR="00E16C5B" w:rsidRPr="00BE056E">
        <w:t xml:space="preserve"> which was</w:t>
      </w:r>
      <w:r w:rsidRPr="00BE056E">
        <w:t xml:space="preserve"> assessment with analysis of </w:t>
      </w:r>
      <w:r w:rsidR="007A557D" w:rsidRPr="00BE056E">
        <w:t>radiological progression-free survival (</w:t>
      </w:r>
      <w:proofErr w:type="spellStart"/>
      <w:r w:rsidRPr="00BE056E">
        <w:t>rPFS</w:t>
      </w:r>
      <w:proofErr w:type="spellEnd"/>
      <w:r w:rsidR="007A557D" w:rsidRPr="00BE056E">
        <w:t>)</w:t>
      </w:r>
      <w:r w:rsidRPr="00BE056E">
        <w:t xml:space="preserve">. </w:t>
      </w:r>
      <w:r w:rsidR="0032010D">
        <w:t xml:space="preserve">As such </w:t>
      </w:r>
      <w:r w:rsidR="0032010D" w:rsidRPr="000F2527">
        <w:rPr>
          <w:iCs/>
        </w:rPr>
        <w:t xml:space="preserve">the risk of bias with the </w:t>
      </w:r>
      <w:proofErr w:type="spellStart"/>
      <w:proofErr w:type="gramStart"/>
      <w:r w:rsidR="0032010D" w:rsidRPr="000F2527">
        <w:rPr>
          <w:iCs/>
        </w:rPr>
        <w:t>PROfound</w:t>
      </w:r>
      <w:proofErr w:type="spellEnd"/>
      <w:proofErr w:type="gramEnd"/>
      <w:r w:rsidR="0032010D" w:rsidRPr="000F2527">
        <w:rPr>
          <w:iCs/>
        </w:rPr>
        <w:t xml:space="preserve"> trial can be considered low in regard to outcome assessment</w:t>
      </w:r>
      <w:r w:rsidR="0032010D">
        <w:rPr>
          <w:iCs/>
        </w:rPr>
        <w:t>.</w:t>
      </w:r>
    </w:p>
    <w:p w:rsidR="00C31220" w:rsidRPr="000F2527" w:rsidRDefault="004C059D" w:rsidP="00C31220">
      <w:pPr>
        <w:pStyle w:val="ListParagraph"/>
        <w:rPr>
          <w:iCs/>
          <w:color w:val="auto"/>
        </w:rPr>
      </w:pPr>
      <w:r w:rsidRPr="000F2527">
        <w:rPr>
          <w:iCs/>
        </w:rPr>
        <w:t>T</w:t>
      </w:r>
      <w:r w:rsidR="00C31220" w:rsidRPr="000F2527">
        <w:rPr>
          <w:iCs/>
        </w:rPr>
        <w:t xml:space="preserve">he submission did not consider the potential for bias </w:t>
      </w:r>
      <w:r w:rsidRPr="000F2527">
        <w:rPr>
          <w:iCs/>
        </w:rPr>
        <w:t xml:space="preserve">relating </w:t>
      </w:r>
      <w:r w:rsidR="00C31220" w:rsidRPr="000F2527">
        <w:rPr>
          <w:iCs/>
        </w:rPr>
        <w:t xml:space="preserve">to </w:t>
      </w:r>
      <w:r w:rsidRPr="000F2527">
        <w:rPr>
          <w:iCs/>
        </w:rPr>
        <w:t xml:space="preserve">the </w:t>
      </w:r>
      <w:r w:rsidR="00C31220" w:rsidRPr="000F2527">
        <w:rPr>
          <w:iCs/>
        </w:rPr>
        <w:t xml:space="preserve">use of subgroup </w:t>
      </w:r>
      <w:r w:rsidR="00360E8C" w:rsidRPr="000F2527">
        <w:rPr>
          <w:iCs/>
        </w:rPr>
        <w:t xml:space="preserve">results </w:t>
      </w:r>
      <w:r w:rsidR="00C31220" w:rsidRPr="000F2527">
        <w:rPr>
          <w:iCs/>
        </w:rPr>
        <w:t>for the key outcomes</w:t>
      </w:r>
      <w:r w:rsidRPr="000F2527">
        <w:rPr>
          <w:iCs/>
        </w:rPr>
        <w:t>. T</w:t>
      </w:r>
      <w:r w:rsidR="00C31220" w:rsidRPr="000F2527">
        <w:rPr>
          <w:iCs/>
        </w:rPr>
        <w:t xml:space="preserve">he CSR noted that </w:t>
      </w:r>
      <w:proofErr w:type="spellStart"/>
      <w:r w:rsidR="00C31220" w:rsidRPr="000F2527">
        <w:rPr>
          <w:iCs/>
        </w:rPr>
        <w:t>PROfound</w:t>
      </w:r>
      <w:proofErr w:type="spellEnd"/>
      <w:r w:rsidR="00C31220" w:rsidRPr="000F2527">
        <w:rPr>
          <w:iCs/>
        </w:rPr>
        <w:t xml:space="preserve"> was not powered to assess </w:t>
      </w:r>
      <w:r w:rsidR="00C31220" w:rsidRPr="000F2527">
        <w:rPr>
          <w:rFonts w:ascii="Calibri" w:hAnsi="Calibri" w:cs="Calibri"/>
          <w:iCs/>
        </w:rPr>
        <w:t>efficacy within individual subgroups and due to the multiple testing, the subgroup analyses should be interpreted with caution.</w:t>
      </w:r>
    </w:p>
    <w:p w:rsidR="00C31220" w:rsidRPr="000F2527" w:rsidRDefault="00C31220" w:rsidP="00C31220">
      <w:pPr>
        <w:pStyle w:val="ListParagraph"/>
        <w:rPr>
          <w:iCs/>
          <w:color w:val="auto"/>
        </w:rPr>
      </w:pPr>
      <w:r w:rsidRPr="000F2527">
        <w:t>There is also potential for bias given th</w:t>
      </w:r>
      <w:r w:rsidR="00360E8C" w:rsidRPr="000F2527">
        <w:t xml:space="preserve">at patients in the </w:t>
      </w:r>
      <w:r w:rsidRPr="000F2527">
        <w:t xml:space="preserve">comparator </w:t>
      </w:r>
      <w:r w:rsidR="00360E8C" w:rsidRPr="000F2527">
        <w:t>arm of</w:t>
      </w:r>
      <w:r w:rsidRPr="000F2527">
        <w:t xml:space="preserve"> </w:t>
      </w:r>
      <w:proofErr w:type="spellStart"/>
      <w:r w:rsidRPr="000F2527">
        <w:t>PROfound</w:t>
      </w:r>
      <w:proofErr w:type="spellEnd"/>
      <w:r w:rsidRPr="000F2527">
        <w:t xml:space="preserve"> </w:t>
      </w:r>
      <w:r w:rsidR="00360E8C" w:rsidRPr="000F2527">
        <w:t>were receiving sequential NHA treatments</w:t>
      </w:r>
      <w:r w:rsidRPr="000F2527">
        <w:t xml:space="preserve">. This </w:t>
      </w:r>
      <w:r w:rsidR="004C059D" w:rsidRPr="000F2527">
        <w:t>c</w:t>
      </w:r>
      <w:r w:rsidRPr="000F2527">
        <w:t xml:space="preserve">ould </w:t>
      </w:r>
      <w:r w:rsidR="00360E8C" w:rsidRPr="000F2527">
        <w:t xml:space="preserve">potentially </w:t>
      </w:r>
      <w:r w:rsidRPr="000F2527">
        <w:t xml:space="preserve">favour </w:t>
      </w:r>
      <w:proofErr w:type="spellStart"/>
      <w:r w:rsidRPr="000F2527">
        <w:t>olaparib</w:t>
      </w:r>
      <w:proofErr w:type="spellEnd"/>
      <w:r w:rsidRPr="000F2527">
        <w:t xml:space="preserve">, as </w:t>
      </w:r>
      <w:r w:rsidR="00141D43" w:rsidRPr="000F2527">
        <w:t>treatment in the comparator arm is likely to be an inferior treatment option</w:t>
      </w:r>
      <w:r w:rsidR="004C059D" w:rsidRPr="000F2527">
        <w:t xml:space="preserve"> </w:t>
      </w:r>
      <w:r w:rsidR="00141D43" w:rsidRPr="000F2527">
        <w:t xml:space="preserve">compared with clinical practice, </w:t>
      </w:r>
      <w:r w:rsidR="004C059D" w:rsidRPr="000F2527">
        <w:t xml:space="preserve">due to </w:t>
      </w:r>
      <w:r w:rsidR="00141D43" w:rsidRPr="000F2527">
        <w:t xml:space="preserve">the potential for </w:t>
      </w:r>
      <w:r w:rsidR="004C059D" w:rsidRPr="000F2527">
        <w:t>cross-resistance</w:t>
      </w:r>
      <w:r w:rsidR="00141D43" w:rsidRPr="000F2527">
        <w:t xml:space="preserve"> with sequential NHA treatments</w:t>
      </w:r>
      <w:r w:rsidRPr="000F2527">
        <w:t>.</w:t>
      </w:r>
    </w:p>
    <w:p w:rsidR="00A532E5" w:rsidRDefault="00A532E5">
      <w:pPr>
        <w:spacing w:before="0" w:line="259" w:lineRule="auto"/>
        <w:jc w:val="left"/>
        <w:rPr>
          <w:color w:val="000000" w:themeColor="text1"/>
        </w:rPr>
      </w:pPr>
      <w:r>
        <w:br w:type="page"/>
      </w:r>
    </w:p>
    <w:p w:rsidR="00C31220" w:rsidRPr="00BE056E" w:rsidRDefault="00C31220" w:rsidP="00C31220">
      <w:pPr>
        <w:pStyle w:val="ListParagraph"/>
      </w:pPr>
      <w:r w:rsidRPr="00BE056E">
        <w:lastRenderedPageBreak/>
        <w:t>Details of the trial presented in the submission ar</w:t>
      </w:r>
      <w:r w:rsidR="000355B3">
        <w:t>e provided in the tables below.</w:t>
      </w:r>
    </w:p>
    <w:p w:rsidR="00C31220" w:rsidRPr="00BE056E" w:rsidRDefault="00C31220" w:rsidP="00781284">
      <w:pPr>
        <w:pStyle w:val="Caption"/>
      </w:pPr>
      <w:r w:rsidRPr="00BE056E">
        <w:t xml:space="preserve">Table </w:t>
      </w:r>
      <w:r w:rsidR="00CD4B9C">
        <w:rPr>
          <w:noProof/>
        </w:rPr>
        <w:t>5</w:t>
      </w:r>
      <w:r w:rsidR="0073766D">
        <w:rPr>
          <w:noProof/>
        </w:rPr>
        <w:t>:</w:t>
      </w:r>
      <w:r w:rsidR="00F80A08">
        <w:rPr>
          <w:noProof/>
        </w:rPr>
        <w:tab/>
      </w:r>
      <w:r w:rsidRPr="00BE056E">
        <w:t>Trials and associated reports presented in the submission</w:t>
      </w:r>
    </w:p>
    <w:tbl>
      <w:tblPr>
        <w:tblStyle w:val="PBACTableStyle"/>
        <w:tblW w:w="5000" w:type="pct"/>
        <w:tblCellMar>
          <w:left w:w="28" w:type="dxa"/>
          <w:right w:w="28" w:type="dxa"/>
        </w:tblCellMar>
        <w:tblLook w:val="01E0" w:firstRow="1" w:lastRow="1" w:firstColumn="1" w:lastColumn="1" w:noHBand="0" w:noVBand="0"/>
        <w:tblCaption w:val="Table 5: Trials and associated reports presented in the submission"/>
      </w:tblPr>
      <w:tblGrid>
        <w:gridCol w:w="1426"/>
        <w:gridCol w:w="5417"/>
        <w:gridCol w:w="2173"/>
      </w:tblGrid>
      <w:tr w:rsidR="00C31220" w:rsidRPr="00BE056E" w:rsidTr="0088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auto"/>
              <w:left w:val="single" w:sz="4" w:space="0" w:color="auto"/>
              <w:bottom w:val="single" w:sz="4" w:space="0" w:color="auto"/>
              <w:right w:val="single" w:sz="4" w:space="0" w:color="auto"/>
            </w:tcBorders>
            <w:vAlign w:val="top"/>
            <w:hideMark/>
          </w:tcPr>
          <w:p w:rsidR="00C31220" w:rsidRPr="00BE056E" w:rsidRDefault="00C31220" w:rsidP="00750CE1">
            <w:pPr>
              <w:pStyle w:val="TableText"/>
              <w:spacing w:before="0" w:after="0" w:line="240" w:lineRule="auto"/>
            </w:pPr>
            <w:r w:rsidRPr="00BE056E">
              <w:t>Trial ID</w:t>
            </w:r>
          </w:p>
        </w:tc>
        <w:tc>
          <w:tcPr>
            <w:tcW w:w="3004" w:type="pct"/>
            <w:tcBorders>
              <w:top w:val="single" w:sz="4" w:space="0" w:color="auto"/>
              <w:left w:val="single" w:sz="4" w:space="0" w:color="auto"/>
              <w:bottom w:val="single" w:sz="4" w:space="0" w:color="auto"/>
              <w:right w:val="single" w:sz="4" w:space="0" w:color="auto"/>
            </w:tcBorders>
            <w:vAlign w:val="top"/>
            <w:hideMark/>
          </w:tcPr>
          <w:p w:rsidR="00C31220" w:rsidRPr="00BE056E" w:rsidRDefault="00C31220" w:rsidP="00750CE1">
            <w:pPr>
              <w:pStyle w:val="TableText"/>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BE056E">
              <w:t>Protocol title/ Publication title</w:t>
            </w:r>
          </w:p>
        </w:tc>
        <w:tc>
          <w:tcPr>
            <w:cnfStyle w:val="000100000000" w:firstRow="0" w:lastRow="0" w:firstColumn="0" w:lastColumn="1" w:oddVBand="0" w:evenVBand="0" w:oddHBand="0" w:evenHBand="0" w:firstRowFirstColumn="0" w:firstRowLastColumn="0" w:lastRowFirstColumn="0" w:lastRowLastColumn="0"/>
            <w:tcW w:w="1205" w:type="pct"/>
            <w:vAlign w:val="top"/>
            <w:hideMark/>
          </w:tcPr>
          <w:p w:rsidR="00C31220" w:rsidRPr="00BE056E" w:rsidRDefault="00C31220" w:rsidP="00750CE1">
            <w:pPr>
              <w:pStyle w:val="TableText"/>
              <w:spacing w:before="0" w:after="0" w:line="240" w:lineRule="auto"/>
              <w:jc w:val="center"/>
              <w:rPr>
                <w:i w:val="0"/>
                <w:iCs w:val="0"/>
              </w:rPr>
            </w:pPr>
            <w:r w:rsidRPr="00BE056E">
              <w:rPr>
                <w:i w:val="0"/>
                <w:iCs w:val="0"/>
              </w:rPr>
              <w:t>Publication citation</w:t>
            </w:r>
          </w:p>
        </w:tc>
      </w:tr>
      <w:tr w:rsidR="00C31220" w:rsidRPr="00BE056E" w:rsidTr="0088177D">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tcBorders>
            <w:vAlign w:val="top"/>
            <w:hideMark/>
          </w:tcPr>
          <w:p w:rsidR="00C31220" w:rsidRPr="00BE056E" w:rsidRDefault="00C31220" w:rsidP="00750CE1">
            <w:pPr>
              <w:pStyle w:val="TableText"/>
              <w:spacing w:before="0" w:after="0" w:line="240" w:lineRule="auto"/>
            </w:pPr>
            <w:r w:rsidRPr="00BE056E">
              <w:t>Direct randomised trial</w:t>
            </w:r>
          </w:p>
        </w:tc>
      </w:tr>
      <w:tr w:rsidR="00C31220" w:rsidRPr="00BE056E" w:rsidTr="0088177D">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auto"/>
              <w:left w:val="single" w:sz="4" w:space="0" w:color="auto"/>
              <w:bottom w:val="nil"/>
              <w:right w:val="single" w:sz="4" w:space="0" w:color="auto"/>
            </w:tcBorders>
            <w:vAlign w:val="top"/>
            <w:hideMark/>
          </w:tcPr>
          <w:p w:rsidR="00C31220" w:rsidRPr="00BE056E" w:rsidRDefault="00C31220" w:rsidP="00750CE1">
            <w:pPr>
              <w:pStyle w:val="TableText"/>
              <w:spacing w:before="0" w:after="0" w:line="240" w:lineRule="auto"/>
            </w:pPr>
          </w:p>
        </w:tc>
        <w:tc>
          <w:tcPr>
            <w:tcW w:w="3004" w:type="pct"/>
            <w:tcBorders>
              <w:top w:val="single" w:sz="4" w:space="0" w:color="auto"/>
              <w:left w:val="single" w:sz="4" w:space="0" w:color="auto"/>
              <w:bottom w:val="nil"/>
              <w:right w:val="single" w:sz="4" w:space="0" w:color="auto"/>
            </w:tcBorders>
            <w:vAlign w:val="top"/>
            <w:hideMark/>
          </w:tcPr>
          <w:p w:rsidR="00C31220" w:rsidRPr="00BE056E" w:rsidRDefault="00C31220" w:rsidP="00750CE1">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r w:rsidRPr="00BE056E">
              <w:rPr>
                <w:rFonts w:eastAsia="TimesNewRoman,Bold"/>
              </w:rPr>
              <w:t xml:space="preserve">A Phase III, Open Label, Randomized Study to Assess the Efficacy and Safety of </w:t>
            </w:r>
            <w:proofErr w:type="spellStart"/>
            <w:r w:rsidRPr="00BE056E">
              <w:rPr>
                <w:rFonts w:eastAsia="TimesNewRoman,Bold"/>
              </w:rPr>
              <w:t>Olaparib</w:t>
            </w:r>
            <w:proofErr w:type="spellEnd"/>
            <w:r w:rsidRPr="00BE056E">
              <w:rPr>
                <w:rFonts w:eastAsia="TimesNewRoman,Bold"/>
              </w:rPr>
              <w:t xml:space="preserve"> (</w:t>
            </w:r>
            <w:proofErr w:type="spellStart"/>
            <w:r w:rsidRPr="00BE056E">
              <w:rPr>
                <w:rFonts w:eastAsia="TimesNewRoman,Bold"/>
              </w:rPr>
              <w:t>Lynparza</w:t>
            </w:r>
            <w:r w:rsidRPr="00BE056E">
              <w:rPr>
                <w:rFonts w:eastAsia="TimesNewRoman,Bold"/>
                <w:vertAlign w:val="superscript"/>
              </w:rPr>
              <w:t>TM</w:t>
            </w:r>
            <w:proofErr w:type="spellEnd"/>
            <w:r w:rsidRPr="00BE056E">
              <w:rPr>
                <w:rFonts w:eastAsia="TimesNewRoman,Bold"/>
              </w:rPr>
              <w:t>) Versus Enzalutamide or Abiraterone Acetate in Men with Metastatic Castration-Resistant Prostate Cancer Who Have Failed Prior Treatment with a New Hormonal Agent and Have Homologous Recombination Repair Gene Mutations (</w:t>
            </w:r>
            <w:proofErr w:type="spellStart"/>
            <w:r w:rsidRPr="00BE056E">
              <w:rPr>
                <w:rFonts w:eastAsia="TimesNewRoman,Bold"/>
              </w:rPr>
              <w:t>PROfound</w:t>
            </w:r>
            <w:proofErr w:type="spellEnd"/>
            <w:r w:rsidRPr="00BE056E">
              <w:rPr>
                <w:rFonts w:eastAsia="TimesNewRoman,Bold"/>
              </w:rPr>
              <w:t>).</w:t>
            </w:r>
          </w:p>
        </w:tc>
        <w:tc>
          <w:tcPr>
            <w:cnfStyle w:val="000100000000" w:firstRow="0" w:lastRow="0" w:firstColumn="0" w:lastColumn="1" w:oddVBand="0" w:evenVBand="0" w:oddHBand="0" w:evenHBand="0" w:firstRowFirstColumn="0" w:firstRowLastColumn="0" w:lastRowFirstColumn="0" w:lastRowLastColumn="0"/>
            <w:tcW w:w="1205" w:type="pct"/>
            <w:tcBorders>
              <w:bottom w:val="nil"/>
            </w:tcBorders>
            <w:vAlign w:val="top"/>
            <w:hideMark/>
          </w:tcPr>
          <w:p w:rsidR="00C31220" w:rsidRPr="00BE056E" w:rsidRDefault="00C31220" w:rsidP="00750CE1">
            <w:pPr>
              <w:pStyle w:val="TableText"/>
              <w:spacing w:before="0" w:after="0" w:line="240" w:lineRule="auto"/>
              <w:rPr>
                <w:i w:val="0"/>
              </w:rPr>
            </w:pPr>
            <w:r w:rsidRPr="00BE056E">
              <w:rPr>
                <w:i w:val="0"/>
              </w:rPr>
              <w:t>October 2019</w:t>
            </w:r>
          </w:p>
        </w:tc>
      </w:tr>
      <w:tr w:rsidR="00C31220" w:rsidRPr="00BE056E" w:rsidTr="0088177D">
        <w:tc>
          <w:tcPr>
            <w:cnfStyle w:val="001000000000" w:firstRow="0" w:lastRow="0" w:firstColumn="1" w:lastColumn="0" w:oddVBand="0" w:evenVBand="0" w:oddHBand="0" w:evenHBand="0" w:firstRowFirstColumn="0" w:firstRowLastColumn="0" w:lastRowFirstColumn="0" w:lastRowLastColumn="0"/>
            <w:tcW w:w="791" w:type="pct"/>
            <w:tcBorders>
              <w:top w:val="nil"/>
              <w:left w:val="single" w:sz="4" w:space="0" w:color="auto"/>
              <w:bottom w:val="nil"/>
              <w:right w:val="single" w:sz="4" w:space="0" w:color="auto"/>
            </w:tcBorders>
            <w:vAlign w:val="top"/>
            <w:hideMark/>
          </w:tcPr>
          <w:p w:rsidR="00C31220" w:rsidRPr="00BE056E" w:rsidRDefault="00C31220" w:rsidP="00750CE1">
            <w:pPr>
              <w:pStyle w:val="TableText"/>
              <w:spacing w:before="0" w:after="0" w:line="240" w:lineRule="auto"/>
            </w:pPr>
            <w:proofErr w:type="spellStart"/>
            <w:r w:rsidRPr="00BE056E">
              <w:t>PROfound</w:t>
            </w:r>
            <w:proofErr w:type="spellEnd"/>
          </w:p>
        </w:tc>
        <w:tc>
          <w:tcPr>
            <w:tcW w:w="3004" w:type="pct"/>
            <w:tcBorders>
              <w:top w:val="nil"/>
              <w:left w:val="single" w:sz="4" w:space="0" w:color="auto"/>
              <w:bottom w:val="nil"/>
              <w:right w:val="single" w:sz="4" w:space="0" w:color="auto"/>
            </w:tcBorders>
            <w:vAlign w:val="top"/>
            <w:hideMark/>
          </w:tcPr>
          <w:p w:rsidR="00C31220" w:rsidRPr="00BE056E" w:rsidRDefault="00C31220" w:rsidP="00750CE1">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r w:rsidRPr="00DC6F1E">
              <w:rPr>
                <w:lang w:val="es-ES"/>
              </w:rPr>
              <w:t xml:space="preserve">de Bono J, Mateo J, </w:t>
            </w:r>
            <w:proofErr w:type="spellStart"/>
            <w:r w:rsidRPr="00DC6F1E">
              <w:rPr>
                <w:lang w:val="es-ES"/>
              </w:rPr>
              <w:t>Fizazi</w:t>
            </w:r>
            <w:proofErr w:type="spellEnd"/>
            <w:r w:rsidRPr="00DC6F1E">
              <w:rPr>
                <w:lang w:val="es-ES"/>
              </w:rPr>
              <w:t xml:space="preserve"> K et al. </w:t>
            </w:r>
            <w:proofErr w:type="spellStart"/>
            <w:r w:rsidRPr="00BE056E">
              <w:t>Olaparib</w:t>
            </w:r>
            <w:proofErr w:type="spellEnd"/>
            <w:r w:rsidRPr="00BE056E">
              <w:t xml:space="preserve"> for metastatic castra</w:t>
            </w:r>
            <w:r w:rsidR="00781284">
              <w:t>tion-resistant prostate cancer.</w:t>
            </w:r>
          </w:p>
        </w:tc>
        <w:tc>
          <w:tcPr>
            <w:cnfStyle w:val="000100000000" w:firstRow="0" w:lastRow="0" w:firstColumn="0" w:lastColumn="1" w:oddVBand="0" w:evenVBand="0" w:oddHBand="0" w:evenHBand="0" w:firstRowFirstColumn="0" w:firstRowLastColumn="0" w:lastRowFirstColumn="0" w:lastRowLastColumn="0"/>
            <w:tcW w:w="1205" w:type="pct"/>
            <w:tcBorders>
              <w:top w:val="nil"/>
              <w:bottom w:val="nil"/>
            </w:tcBorders>
            <w:vAlign w:val="top"/>
            <w:hideMark/>
          </w:tcPr>
          <w:p w:rsidR="00C31220" w:rsidRPr="00BE056E" w:rsidRDefault="00C31220" w:rsidP="00750CE1">
            <w:pPr>
              <w:pStyle w:val="TableText"/>
              <w:spacing w:before="0" w:after="0" w:line="240" w:lineRule="auto"/>
              <w:rPr>
                <w:i w:val="0"/>
              </w:rPr>
            </w:pPr>
            <w:r w:rsidRPr="00BE056E">
              <w:rPr>
                <w:i w:val="0"/>
              </w:rPr>
              <w:t>NEJM 2020; 382(22): 2091-2102</w:t>
            </w:r>
          </w:p>
        </w:tc>
      </w:tr>
      <w:tr w:rsidR="00C31220" w:rsidRPr="00BE056E" w:rsidTr="0088177D">
        <w:tc>
          <w:tcPr>
            <w:cnfStyle w:val="001000000000" w:firstRow="0" w:lastRow="0" w:firstColumn="1" w:lastColumn="0" w:oddVBand="0" w:evenVBand="0" w:oddHBand="0" w:evenHBand="0" w:firstRowFirstColumn="0" w:firstRowLastColumn="0" w:lastRowFirstColumn="0" w:lastRowLastColumn="0"/>
            <w:tcW w:w="791" w:type="pct"/>
            <w:tcBorders>
              <w:top w:val="nil"/>
              <w:left w:val="single" w:sz="4" w:space="0" w:color="auto"/>
              <w:bottom w:val="nil"/>
              <w:right w:val="single" w:sz="4" w:space="0" w:color="auto"/>
            </w:tcBorders>
            <w:vAlign w:val="top"/>
            <w:hideMark/>
          </w:tcPr>
          <w:p w:rsidR="00C31220" w:rsidRPr="00BE056E" w:rsidRDefault="00C31220" w:rsidP="00750CE1">
            <w:pPr>
              <w:pStyle w:val="TableText"/>
              <w:spacing w:before="0" w:after="0" w:line="240" w:lineRule="auto"/>
            </w:pPr>
          </w:p>
        </w:tc>
        <w:tc>
          <w:tcPr>
            <w:tcW w:w="3004" w:type="pct"/>
            <w:tcBorders>
              <w:top w:val="nil"/>
              <w:left w:val="single" w:sz="4" w:space="0" w:color="auto"/>
              <w:bottom w:val="nil"/>
              <w:right w:val="single" w:sz="4" w:space="0" w:color="auto"/>
            </w:tcBorders>
            <w:vAlign w:val="top"/>
          </w:tcPr>
          <w:p w:rsidR="00C31220" w:rsidRPr="00BE056E" w:rsidRDefault="00C31220" w:rsidP="00750CE1">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proofErr w:type="gramStart"/>
            <w:r w:rsidRPr="00BE056E">
              <w:t>de</w:t>
            </w:r>
            <w:proofErr w:type="gramEnd"/>
            <w:r w:rsidRPr="00BE056E">
              <w:t xml:space="preserve"> Bono J, Hussain M, </w:t>
            </w:r>
            <w:proofErr w:type="spellStart"/>
            <w:r w:rsidRPr="00BE056E">
              <w:t>Thiery-Vuillemin</w:t>
            </w:r>
            <w:proofErr w:type="spellEnd"/>
            <w:r w:rsidRPr="00BE056E">
              <w:t xml:space="preserve"> A et al. </w:t>
            </w:r>
            <w:proofErr w:type="spellStart"/>
            <w:r w:rsidRPr="00BE056E">
              <w:t>PROfound</w:t>
            </w:r>
            <w:proofErr w:type="spellEnd"/>
            <w:r w:rsidRPr="00BE056E">
              <w:t xml:space="preserve">: a randomized phase III trial evaluating </w:t>
            </w:r>
            <w:proofErr w:type="spellStart"/>
            <w:r w:rsidRPr="00BE056E">
              <w:t>olaparib</w:t>
            </w:r>
            <w:proofErr w:type="spellEnd"/>
            <w:r w:rsidRPr="00BE056E">
              <w:t xml:space="preserve"> in patients with metastatic castration-resistant prostate cancer and a deleterious homologous recombination DNA repair </w:t>
            </w:r>
            <w:proofErr w:type="spellStart"/>
            <w:r w:rsidRPr="00BE056E">
              <w:t>aberration</w:t>
            </w:r>
            <w:r w:rsidRPr="00BE056E">
              <w:rPr>
                <w:vertAlign w:val="superscript"/>
              </w:rPr>
              <w:t>a</w:t>
            </w:r>
            <w:proofErr w:type="spellEnd"/>
            <w:r w:rsidRPr="00BE056E">
              <w:t>.</w:t>
            </w:r>
          </w:p>
        </w:tc>
        <w:tc>
          <w:tcPr>
            <w:cnfStyle w:val="000100000000" w:firstRow="0" w:lastRow="0" w:firstColumn="0" w:lastColumn="1" w:oddVBand="0" w:evenVBand="0" w:oddHBand="0" w:evenHBand="0" w:firstRowFirstColumn="0" w:firstRowLastColumn="0" w:lastRowFirstColumn="0" w:lastRowLastColumn="0"/>
            <w:tcW w:w="1205" w:type="pct"/>
            <w:tcBorders>
              <w:top w:val="nil"/>
              <w:bottom w:val="nil"/>
            </w:tcBorders>
            <w:vAlign w:val="top"/>
          </w:tcPr>
          <w:p w:rsidR="00C31220" w:rsidRPr="00BE056E" w:rsidRDefault="00C31220" w:rsidP="00750CE1">
            <w:pPr>
              <w:pStyle w:val="TableText"/>
              <w:spacing w:before="0" w:after="0" w:line="240" w:lineRule="auto"/>
              <w:rPr>
                <w:i w:val="0"/>
              </w:rPr>
            </w:pPr>
            <w:r w:rsidRPr="00BE056E">
              <w:rPr>
                <w:i w:val="0"/>
              </w:rPr>
              <w:t xml:space="preserve">J </w:t>
            </w:r>
            <w:proofErr w:type="spellStart"/>
            <w:r w:rsidRPr="00BE056E">
              <w:rPr>
                <w:i w:val="0"/>
              </w:rPr>
              <w:t>Clin</w:t>
            </w:r>
            <w:proofErr w:type="spellEnd"/>
            <w:r w:rsidRPr="00BE056E">
              <w:rPr>
                <w:i w:val="0"/>
              </w:rPr>
              <w:t xml:space="preserve"> </w:t>
            </w:r>
            <w:proofErr w:type="spellStart"/>
            <w:r w:rsidRPr="00BE056E">
              <w:rPr>
                <w:i w:val="0"/>
              </w:rPr>
              <w:t>Oncol</w:t>
            </w:r>
            <w:proofErr w:type="spellEnd"/>
            <w:r w:rsidRPr="00BE056E">
              <w:rPr>
                <w:i w:val="0"/>
              </w:rPr>
              <w:t xml:space="preserve"> 2018; 35(15 </w:t>
            </w:r>
            <w:proofErr w:type="spellStart"/>
            <w:r w:rsidRPr="00BE056E">
              <w:rPr>
                <w:i w:val="0"/>
              </w:rPr>
              <w:t>suppl</w:t>
            </w:r>
            <w:proofErr w:type="spellEnd"/>
            <w:r w:rsidRPr="00BE056E">
              <w:rPr>
                <w:i w:val="0"/>
              </w:rPr>
              <w:t>): abstract TPS5091</w:t>
            </w:r>
            <w:r w:rsidRPr="00BE056E">
              <w:rPr>
                <w:i w:val="0"/>
                <w:vertAlign w:val="superscript"/>
              </w:rPr>
              <w:t>a</w:t>
            </w:r>
          </w:p>
        </w:tc>
      </w:tr>
      <w:tr w:rsidR="00C31220" w:rsidRPr="00BE056E" w:rsidTr="0088177D">
        <w:tc>
          <w:tcPr>
            <w:cnfStyle w:val="001000000000" w:firstRow="0" w:lastRow="0" w:firstColumn="1" w:lastColumn="0" w:oddVBand="0" w:evenVBand="0" w:oddHBand="0" w:evenHBand="0" w:firstRowFirstColumn="0" w:firstRowLastColumn="0" w:lastRowFirstColumn="0" w:lastRowLastColumn="0"/>
            <w:tcW w:w="791" w:type="pct"/>
            <w:tcBorders>
              <w:top w:val="nil"/>
              <w:left w:val="single" w:sz="4" w:space="0" w:color="auto"/>
              <w:bottom w:val="single" w:sz="4" w:space="0" w:color="auto"/>
              <w:right w:val="single" w:sz="4" w:space="0" w:color="auto"/>
            </w:tcBorders>
            <w:vAlign w:val="top"/>
            <w:hideMark/>
          </w:tcPr>
          <w:p w:rsidR="00C31220" w:rsidRPr="00BE056E" w:rsidRDefault="00C31220" w:rsidP="00750CE1">
            <w:pPr>
              <w:pStyle w:val="TableText"/>
              <w:spacing w:before="0" w:after="0" w:line="240" w:lineRule="auto"/>
            </w:pPr>
          </w:p>
        </w:tc>
        <w:tc>
          <w:tcPr>
            <w:tcW w:w="3004" w:type="pct"/>
            <w:tcBorders>
              <w:top w:val="nil"/>
              <w:left w:val="single" w:sz="4" w:space="0" w:color="auto"/>
              <w:bottom w:val="single" w:sz="4" w:space="0" w:color="auto"/>
              <w:right w:val="single" w:sz="4" w:space="0" w:color="auto"/>
            </w:tcBorders>
            <w:vAlign w:val="top"/>
            <w:hideMark/>
          </w:tcPr>
          <w:p w:rsidR="00C31220" w:rsidRPr="00BE056E" w:rsidRDefault="00C31220" w:rsidP="00750CE1">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r w:rsidRPr="00BE056E">
              <w:t xml:space="preserve">Sandhu SK, Hussain M et al. </w:t>
            </w:r>
            <w:proofErr w:type="spellStart"/>
            <w:r w:rsidRPr="00BE056E">
              <w:t>PROfound</w:t>
            </w:r>
            <w:proofErr w:type="spellEnd"/>
            <w:r w:rsidRPr="00BE056E">
              <w:t xml:space="preserve">: Phase III study of </w:t>
            </w:r>
            <w:proofErr w:type="spellStart"/>
            <w:r w:rsidRPr="00BE056E">
              <w:t>olaparib</w:t>
            </w:r>
            <w:proofErr w:type="spellEnd"/>
            <w:r w:rsidRPr="00BE056E">
              <w:t xml:space="preserve"> versus enzalutamide or abiraterone for metastatic castration-resistant prostate cancer (</w:t>
            </w:r>
            <w:proofErr w:type="spellStart"/>
            <w:r w:rsidRPr="00BE056E">
              <w:t>mCRPC</w:t>
            </w:r>
            <w:proofErr w:type="spellEnd"/>
            <w:r w:rsidRPr="00BE056E">
              <w:t>) with homologous recombination</w:t>
            </w:r>
            <w:r w:rsidR="00781284">
              <w:t xml:space="preserve"> repair (HRR) gene alterations.</w:t>
            </w:r>
          </w:p>
        </w:tc>
        <w:tc>
          <w:tcPr>
            <w:cnfStyle w:val="000100000000" w:firstRow="0" w:lastRow="0" w:firstColumn="0" w:lastColumn="1" w:oddVBand="0" w:evenVBand="0" w:oddHBand="0" w:evenHBand="0" w:firstRowFirstColumn="0" w:firstRowLastColumn="0" w:lastRowFirstColumn="0" w:lastRowLastColumn="0"/>
            <w:tcW w:w="1205" w:type="pct"/>
            <w:tcBorders>
              <w:top w:val="nil"/>
            </w:tcBorders>
            <w:vAlign w:val="top"/>
            <w:hideMark/>
          </w:tcPr>
          <w:p w:rsidR="00C31220" w:rsidRPr="00BE056E" w:rsidRDefault="00C31220" w:rsidP="00750CE1">
            <w:pPr>
              <w:pStyle w:val="TableText"/>
              <w:spacing w:before="0" w:after="0" w:line="240" w:lineRule="auto"/>
              <w:rPr>
                <w:i w:val="0"/>
              </w:rPr>
            </w:pPr>
            <w:r w:rsidRPr="00BE056E">
              <w:rPr>
                <w:i w:val="0"/>
              </w:rPr>
              <w:t xml:space="preserve">Ann </w:t>
            </w:r>
            <w:proofErr w:type="spellStart"/>
            <w:r w:rsidRPr="00BE056E">
              <w:rPr>
                <w:i w:val="0"/>
              </w:rPr>
              <w:t>Oncol</w:t>
            </w:r>
            <w:proofErr w:type="spellEnd"/>
            <w:r w:rsidRPr="00BE056E">
              <w:rPr>
                <w:i w:val="0"/>
              </w:rPr>
              <w:t xml:space="preserve"> 2019; 30(</w:t>
            </w:r>
            <w:proofErr w:type="spellStart"/>
            <w:r w:rsidRPr="00BE056E">
              <w:rPr>
                <w:i w:val="0"/>
              </w:rPr>
              <w:t>suppl</w:t>
            </w:r>
            <w:proofErr w:type="spellEnd"/>
            <w:r w:rsidRPr="00BE056E">
              <w:rPr>
                <w:i w:val="0"/>
              </w:rPr>
              <w:t xml:space="preserve"> 5): v851-v934</w:t>
            </w:r>
          </w:p>
        </w:tc>
      </w:tr>
      <w:tr w:rsidR="00C31220" w:rsidRPr="00BE056E" w:rsidTr="0088177D">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auto"/>
              <w:left w:val="single" w:sz="4" w:space="0" w:color="auto"/>
              <w:bottom w:val="nil"/>
              <w:right w:val="single" w:sz="4" w:space="0" w:color="auto"/>
            </w:tcBorders>
            <w:vAlign w:val="top"/>
            <w:hideMark/>
          </w:tcPr>
          <w:p w:rsidR="00C31220" w:rsidRPr="00BE056E" w:rsidRDefault="000355B3" w:rsidP="00750CE1">
            <w:pPr>
              <w:pStyle w:val="TableText"/>
              <w:spacing w:before="0" w:after="0" w:line="240" w:lineRule="auto"/>
            </w:pPr>
            <w:proofErr w:type="spellStart"/>
            <w:r>
              <w:t>PROfound</w:t>
            </w:r>
            <w:proofErr w:type="spellEnd"/>
          </w:p>
          <w:p w:rsidR="00C31220" w:rsidRPr="00BE056E" w:rsidRDefault="00C31220" w:rsidP="00750CE1">
            <w:pPr>
              <w:pStyle w:val="TableText"/>
              <w:spacing w:before="0" w:after="0" w:line="240" w:lineRule="auto"/>
            </w:pPr>
            <w:r w:rsidRPr="00BE056E">
              <w:t>final analysis</w:t>
            </w:r>
          </w:p>
        </w:tc>
        <w:tc>
          <w:tcPr>
            <w:tcW w:w="3004" w:type="pct"/>
            <w:tcBorders>
              <w:top w:val="single" w:sz="4" w:space="0" w:color="auto"/>
              <w:left w:val="single" w:sz="4" w:space="0" w:color="auto"/>
              <w:bottom w:val="nil"/>
              <w:right w:val="single" w:sz="4" w:space="0" w:color="auto"/>
            </w:tcBorders>
            <w:vAlign w:val="top"/>
            <w:hideMark/>
          </w:tcPr>
          <w:p w:rsidR="00C31220" w:rsidRPr="00BE056E" w:rsidRDefault="00C31220" w:rsidP="00750CE1">
            <w:pPr>
              <w:spacing w:before="0"/>
              <w:cnfStyle w:val="000000000000" w:firstRow="0" w:lastRow="0" w:firstColumn="0" w:lastColumn="0" w:oddVBand="0" w:evenVBand="0" w:oddHBand="0" w:evenHBand="0" w:firstRowFirstColumn="0" w:firstRowLastColumn="0" w:lastRowFirstColumn="0" w:lastRowLastColumn="0"/>
              <w:rPr>
                <w:rFonts w:eastAsia="TimesNewRoman,Bold" w:cs="TimesNewRoman,Bold"/>
                <w:sz w:val="20"/>
              </w:rPr>
            </w:pPr>
            <w:r w:rsidRPr="00BE056E">
              <w:rPr>
                <w:rFonts w:eastAsia="TimesNewRoman,Bold" w:cs="TimesNewRoman,Bold"/>
                <w:sz w:val="20"/>
              </w:rPr>
              <w:t xml:space="preserve">A Phase III, Open Label, Randomized Study to Assess the Efficacy and Safety of </w:t>
            </w:r>
            <w:proofErr w:type="spellStart"/>
            <w:r w:rsidRPr="00BE056E">
              <w:rPr>
                <w:rFonts w:eastAsia="TimesNewRoman,Bold" w:cs="TimesNewRoman,Bold"/>
                <w:sz w:val="20"/>
              </w:rPr>
              <w:t>Olaparib</w:t>
            </w:r>
            <w:proofErr w:type="spellEnd"/>
            <w:r w:rsidRPr="00BE056E">
              <w:rPr>
                <w:rFonts w:eastAsia="TimesNewRoman,Bold" w:cs="TimesNewRoman,Bold"/>
                <w:sz w:val="20"/>
              </w:rPr>
              <w:t xml:space="preserve"> (</w:t>
            </w:r>
            <w:proofErr w:type="spellStart"/>
            <w:r w:rsidRPr="00BE056E">
              <w:rPr>
                <w:rFonts w:eastAsia="TimesNewRoman,Bold" w:cs="TimesNewRoman,Bold"/>
                <w:sz w:val="20"/>
              </w:rPr>
              <w:t>LynparzaTM</w:t>
            </w:r>
            <w:proofErr w:type="spellEnd"/>
            <w:r w:rsidRPr="00BE056E">
              <w:rPr>
                <w:rFonts w:eastAsia="TimesNewRoman,Bold" w:cs="TimesNewRoman,Bold"/>
                <w:sz w:val="20"/>
              </w:rPr>
              <w:t>) Versus Enzalutamide or Abiraterone Acetate in Men with Metastatic Castration-Resistant Prostate Cancer Who Have Failed Prior Treatment with a New Hormonal Agent and Have Homologous Recombination Repair Gene Mutations (</w:t>
            </w:r>
            <w:proofErr w:type="spellStart"/>
            <w:r w:rsidRPr="00BE056E">
              <w:rPr>
                <w:rFonts w:eastAsia="TimesNewRoman,Bold" w:cs="TimesNewRoman,Bold"/>
                <w:sz w:val="20"/>
              </w:rPr>
              <w:t>PROfound</w:t>
            </w:r>
            <w:proofErr w:type="spellEnd"/>
            <w:r w:rsidRPr="00BE056E">
              <w:rPr>
                <w:rFonts w:eastAsia="TimesNewRoman,Bold" w:cs="TimesNewRoman,Bold"/>
                <w:sz w:val="20"/>
              </w:rPr>
              <w:t>)</w:t>
            </w:r>
            <w:r w:rsidR="00781284">
              <w:rPr>
                <w:rFonts w:eastAsia="TimesNewRoman,Bold" w:cs="TimesNewRoman,Bold"/>
                <w:sz w:val="20"/>
              </w:rPr>
              <w:t>.</w:t>
            </w:r>
          </w:p>
          <w:p w:rsidR="00C31220" w:rsidRPr="00BE056E" w:rsidRDefault="00C31220" w:rsidP="00750CE1">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r w:rsidRPr="00BE056E">
              <w:rPr>
                <w:rFonts w:eastAsia="TimesNewRoman,Bold" w:cs="TimesNewRoman,Bold"/>
              </w:rPr>
              <w:t>Final Analysis of Overall Survival and Safety Update</w:t>
            </w:r>
            <w:r w:rsidR="00781284">
              <w:t>.</w:t>
            </w:r>
          </w:p>
        </w:tc>
        <w:tc>
          <w:tcPr>
            <w:cnfStyle w:val="000100000000" w:firstRow="0" w:lastRow="0" w:firstColumn="0" w:lastColumn="1" w:oddVBand="0" w:evenVBand="0" w:oddHBand="0" w:evenHBand="0" w:firstRowFirstColumn="0" w:firstRowLastColumn="0" w:lastRowFirstColumn="0" w:lastRowLastColumn="0"/>
            <w:tcW w:w="1205" w:type="pct"/>
            <w:tcBorders>
              <w:bottom w:val="nil"/>
            </w:tcBorders>
            <w:vAlign w:val="top"/>
            <w:hideMark/>
          </w:tcPr>
          <w:p w:rsidR="00C31220" w:rsidRPr="00BE056E" w:rsidRDefault="00C31220" w:rsidP="00750CE1">
            <w:pPr>
              <w:pStyle w:val="TableText"/>
              <w:spacing w:before="0" w:after="0" w:line="240" w:lineRule="auto"/>
              <w:rPr>
                <w:i w:val="0"/>
              </w:rPr>
            </w:pPr>
            <w:r w:rsidRPr="00BE056E">
              <w:rPr>
                <w:i w:val="0"/>
              </w:rPr>
              <w:t>July 2020</w:t>
            </w:r>
          </w:p>
        </w:tc>
      </w:tr>
      <w:tr w:rsidR="00C31220" w:rsidRPr="00BE056E" w:rsidTr="0088177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pct"/>
            <w:tcBorders>
              <w:top w:val="nil"/>
              <w:left w:val="single" w:sz="4" w:space="0" w:color="auto"/>
              <w:bottom w:val="single" w:sz="4" w:space="0" w:color="auto"/>
              <w:right w:val="single" w:sz="4" w:space="0" w:color="auto"/>
            </w:tcBorders>
            <w:vAlign w:val="top"/>
            <w:hideMark/>
          </w:tcPr>
          <w:p w:rsidR="00C31220" w:rsidRPr="00BE056E" w:rsidRDefault="00C31220" w:rsidP="00750CE1">
            <w:pPr>
              <w:pStyle w:val="TableText"/>
              <w:spacing w:before="0" w:after="0" w:line="240" w:lineRule="auto"/>
            </w:pPr>
          </w:p>
        </w:tc>
        <w:tc>
          <w:tcPr>
            <w:tcW w:w="3004" w:type="pct"/>
            <w:tcBorders>
              <w:top w:val="nil"/>
              <w:left w:val="single" w:sz="4" w:space="0" w:color="auto"/>
              <w:bottom w:val="single" w:sz="4" w:space="0" w:color="auto"/>
              <w:right w:val="single" w:sz="4" w:space="0" w:color="auto"/>
            </w:tcBorders>
            <w:vAlign w:val="top"/>
          </w:tcPr>
          <w:p w:rsidR="00C31220" w:rsidRPr="00662365" w:rsidRDefault="00C31220" w:rsidP="00750CE1">
            <w:pPr>
              <w:pStyle w:val="TableText"/>
              <w:spacing w:before="0" w:after="0" w:line="240" w:lineRule="auto"/>
              <w:cnfStyle w:val="010000000000" w:firstRow="0" w:lastRow="1" w:firstColumn="0" w:lastColumn="0" w:oddVBand="0" w:evenVBand="0" w:oddHBand="0" w:evenHBand="0" w:firstRowFirstColumn="0" w:firstRowLastColumn="0" w:lastRowFirstColumn="0" w:lastRowLastColumn="0"/>
              <w:rPr>
                <w:i w:val="0"/>
              </w:rPr>
            </w:pPr>
            <w:r w:rsidRPr="00662365">
              <w:rPr>
                <w:i w:val="0"/>
              </w:rPr>
              <w:t xml:space="preserve">Hussain M, Mateo J, </w:t>
            </w:r>
            <w:proofErr w:type="spellStart"/>
            <w:r w:rsidRPr="00662365">
              <w:rPr>
                <w:i w:val="0"/>
              </w:rPr>
              <w:t>Fizazi</w:t>
            </w:r>
            <w:proofErr w:type="spellEnd"/>
            <w:r w:rsidRPr="00662365">
              <w:rPr>
                <w:i w:val="0"/>
              </w:rPr>
              <w:t xml:space="preserve"> K et al. Survival with </w:t>
            </w:r>
            <w:proofErr w:type="spellStart"/>
            <w:r w:rsidRPr="00662365">
              <w:rPr>
                <w:i w:val="0"/>
              </w:rPr>
              <w:t>olaparib</w:t>
            </w:r>
            <w:proofErr w:type="spellEnd"/>
            <w:r w:rsidRPr="00662365">
              <w:rPr>
                <w:i w:val="0"/>
              </w:rPr>
              <w:t xml:space="preserve"> in metastatic castration-resistant prostate cancer. NEJM 2020. (Online ahead of print).</w:t>
            </w:r>
          </w:p>
        </w:tc>
        <w:tc>
          <w:tcPr>
            <w:cnfStyle w:val="000100000000" w:firstRow="0" w:lastRow="0" w:firstColumn="0" w:lastColumn="1" w:oddVBand="0" w:evenVBand="0" w:oddHBand="0" w:evenHBand="0" w:firstRowFirstColumn="0" w:firstRowLastColumn="0" w:lastRowFirstColumn="0" w:lastRowLastColumn="0"/>
            <w:tcW w:w="1205" w:type="pct"/>
            <w:tcBorders>
              <w:top w:val="nil"/>
            </w:tcBorders>
            <w:vAlign w:val="top"/>
          </w:tcPr>
          <w:p w:rsidR="00C31220" w:rsidRPr="00BE056E" w:rsidRDefault="00C31220" w:rsidP="00750CE1">
            <w:pPr>
              <w:pStyle w:val="TableText"/>
              <w:spacing w:before="0" w:after="0" w:line="240" w:lineRule="auto"/>
              <w:rPr>
                <w:i w:val="0"/>
              </w:rPr>
            </w:pPr>
            <w:r w:rsidRPr="00BE056E">
              <w:rPr>
                <w:i w:val="0"/>
              </w:rPr>
              <w:t xml:space="preserve">NEJM 2020. </w:t>
            </w:r>
            <w:r w:rsidRPr="00BE056E">
              <w:rPr>
                <w:i w:val="0"/>
                <w:shd w:val="clear" w:color="auto" w:fill="FFFFFF"/>
              </w:rPr>
              <w:t>DOI: 10.1056/NEJMoa2022485</w:t>
            </w:r>
          </w:p>
        </w:tc>
      </w:tr>
    </w:tbl>
    <w:p w:rsidR="00C31220" w:rsidRPr="00BE056E" w:rsidRDefault="00C31220" w:rsidP="00C31220">
      <w:pPr>
        <w:pStyle w:val="TableFooter"/>
      </w:pPr>
      <w:r w:rsidRPr="00BE056E">
        <w:t>Source: Table 2-3, p64 of the submission.</w:t>
      </w:r>
    </w:p>
    <w:p w:rsidR="00C31220" w:rsidRPr="00BE056E" w:rsidRDefault="00C31220" w:rsidP="00C31220">
      <w:pPr>
        <w:pStyle w:val="TableFooter"/>
        <w:tabs>
          <w:tab w:val="left" w:pos="142"/>
        </w:tabs>
        <w:ind w:left="142" w:hanging="142"/>
      </w:pPr>
      <w:proofErr w:type="spellStart"/>
      <w:proofErr w:type="gramStart"/>
      <w:r w:rsidRPr="00BE056E">
        <w:rPr>
          <w:vertAlign w:val="superscript"/>
        </w:rPr>
        <w:t>a</w:t>
      </w:r>
      <w:proofErr w:type="spellEnd"/>
      <w:proofErr w:type="gramEnd"/>
      <w:r w:rsidRPr="00BE056E">
        <w:tab/>
      </w:r>
      <w:r w:rsidRPr="000F2527">
        <w:rPr>
          <w:iCs/>
        </w:rPr>
        <w:t xml:space="preserve">The submission provided an incorrect journal source for this abstract (Oncology Research and Treatment), and the correct source has been provided. The submission also cited another abstract by </w:t>
      </w:r>
      <w:proofErr w:type="spellStart"/>
      <w:r w:rsidRPr="000F2527">
        <w:rPr>
          <w:iCs/>
        </w:rPr>
        <w:t>Feyerabend</w:t>
      </w:r>
      <w:proofErr w:type="spellEnd"/>
      <w:r w:rsidRPr="000F2527">
        <w:rPr>
          <w:iCs/>
        </w:rPr>
        <w:t xml:space="preserve"> S et al (2020), also in Oncology Research and Treatment, but this article could not be sourced, nor could any relevant article by the named author be identified. The submission did not provide either abstract.</w:t>
      </w:r>
    </w:p>
    <w:p w:rsidR="00C31220" w:rsidRPr="00BE056E" w:rsidRDefault="00C31220" w:rsidP="00781284">
      <w:pPr>
        <w:pStyle w:val="Caption"/>
      </w:pPr>
      <w:r w:rsidRPr="00BE056E">
        <w:t xml:space="preserve">Table </w:t>
      </w:r>
      <w:r w:rsidR="00CD4B9C">
        <w:rPr>
          <w:noProof/>
        </w:rPr>
        <w:t>6</w:t>
      </w:r>
      <w:r w:rsidR="0073766D">
        <w:rPr>
          <w:noProof/>
        </w:rPr>
        <w:t>:</w:t>
      </w:r>
      <w:r w:rsidR="00F80A08">
        <w:rPr>
          <w:noProof/>
        </w:rPr>
        <w:tab/>
      </w:r>
      <w:r w:rsidRPr="00BE056E">
        <w:t>Key features of the included evi</w:t>
      </w:r>
      <w:r w:rsidR="007A557D" w:rsidRPr="00BE056E">
        <w:t>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8"/>
        <w:gridCol w:w="571"/>
        <w:gridCol w:w="1003"/>
        <w:gridCol w:w="3147"/>
        <w:gridCol w:w="1430"/>
        <w:gridCol w:w="1297"/>
      </w:tblGrid>
      <w:tr w:rsidR="00C31220" w:rsidRPr="00BE056E" w:rsidTr="0088177D">
        <w:trPr>
          <w:tblHeader/>
        </w:trPr>
        <w:tc>
          <w:tcPr>
            <w:tcW w:w="870"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rPr>
                <w:b/>
              </w:rPr>
            </w:pPr>
            <w:r w:rsidRPr="00BE056E">
              <w:rPr>
                <w:b/>
              </w:rPr>
              <w:t>Trial</w:t>
            </w:r>
          </w:p>
        </w:tc>
        <w:tc>
          <w:tcPr>
            <w:tcW w:w="317"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rPr>
                <w:b/>
              </w:rPr>
            </w:pPr>
            <w:r w:rsidRPr="00BE056E">
              <w:rPr>
                <w:b/>
              </w:rPr>
              <w:t>N</w:t>
            </w:r>
          </w:p>
        </w:tc>
        <w:tc>
          <w:tcPr>
            <w:tcW w:w="556"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rPr>
                <w:b/>
              </w:rPr>
            </w:pPr>
            <w:r w:rsidRPr="00BE056E">
              <w:rPr>
                <w:b/>
              </w:rPr>
              <w:t>Design</w:t>
            </w:r>
          </w:p>
        </w:tc>
        <w:tc>
          <w:tcPr>
            <w:tcW w:w="1745"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rPr>
                <w:b/>
              </w:rPr>
            </w:pPr>
            <w:r w:rsidRPr="00BE056E">
              <w:rPr>
                <w:b/>
              </w:rPr>
              <w:t>Patient population</w:t>
            </w:r>
          </w:p>
        </w:tc>
        <w:tc>
          <w:tcPr>
            <w:tcW w:w="793" w:type="pct"/>
            <w:tcBorders>
              <w:top w:val="single" w:sz="4" w:space="0" w:color="auto"/>
              <w:left w:val="single" w:sz="4" w:space="0" w:color="auto"/>
              <w:bottom w:val="single" w:sz="4" w:space="0" w:color="auto"/>
              <w:right w:val="single" w:sz="4" w:space="0" w:color="auto"/>
            </w:tcBorders>
            <w:vAlign w:val="center"/>
            <w:hideMark/>
          </w:tcPr>
          <w:p w:rsidR="00F03F93" w:rsidRPr="003F66E1" w:rsidRDefault="00C31220" w:rsidP="00662365">
            <w:pPr>
              <w:pStyle w:val="TableText"/>
              <w:keepNext/>
              <w:spacing w:before="0" w:after="0" w:line="240" w:lineRule="auto"/>
              <w:jc w:val="center"/>
              <w:rPr>
                <w:b/>
              </w:rPr>
            </w:pPr>
            <w:r w:rsidRPr="00BE056E">
              <w:rPr>
                <w:b/>
              </w:rPr>
              <w:t>Key outcomes</w:t>
            </w:r>
            <w:r w:rsidR="00D036FF">
              <w:rPr>
                <w:b/>
              </w:rPr>
              <w:t xml:space="preserve"> reported in </w:t>
            </w:r>
            <w:r w:rsidR="00047EA8">
              <w:rPr>
                <w:b/>
              </w:rPr>
              <w:t xml:space="preserve">the </w:t>
            </w:r>
            <w:r w:rsidR="00D036FF">
              <w:rPr>
                <w:b/>
              </w:rPr>
              <w:t>submission</w:t>
            </w:r>
          </w:p>
        </w:tc>
        <w:tc>
          <w:tcPr>
            <w:tcW w:w="719"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rPr>
                <w:b/>
              </w:rPr>
            </w:pPr>
            <w:r w:rsidRPr="00BE056E">
              <w:rPr>
                <w:b/>
              </w:rPr>
              <w:t>Use in modelled evaluation</w:t>
            </w:r>
          </w:p>
        </w:tc>
      </w:tr>
      <w:tr w:rsidR="00C31220" w:rsidRPr="00662365" w:rsidTr="0088177D">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31220" w:rsidRPr="00662365" w:rsidRDefault="00C31220" w:rsidP="00750CE1">
            <w:pPr>
              <w:pStyle w:val="TableText"/>
              <w:keepNext/>
              <w:spacing w:before="0" w:after="0" w:line="240" w:lineRule="auto"/>
              <w:rPr>
                <w:b/>
              </w:rPr>
            </w:pPr>
            <w:proofErr w:type="spellStart"/>
            <w:r w:rsidRPr="00662365">
              <w:rPr>
                <w:b/>
              </w:rPr>
              <w:t>Olaparib</w:t>
            </w:r>
            <w:proofErr w:type="spellEnd"/>
            <w:r w:rsidRPr="00662365">
              <w:rPr>
                <w:b/>
              </w:rPr>
              <w:t xml:space="preserve"> vs. NHA</w:t>
            </w:r>
          </w:p>
        </w:tc>
      </w:tr>
      <w:tr w:rsidR="00C31220" w:rsidRPr="00BE056E" w:rsidTr="0088177D">
        <w:trPr>
          <w:trHeight w:val="404"/>
        </w:trPr>
        <w:tc>
          <w:tcPr>
            <w:tcW w:w="870"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750CE1">
            <w:pPr>
              <w:pStyle w:val="TableText"/>
              <w:keepNext/>
              <w:spacing w:before="0" w:after="0" w:line="240" w:lineRule="auto"/>
            </w:pPr>
            <w:proofErr w:type="spellStart"/>
            <w:r w:rsidRPr="00BE056E">
              <w:t>PROfound</w:t>
            </w:r>
            <w:proofErr w:type="spellEnd"/>
            <w:r w:rsidRPr="00BE056E">
              <w:t xml:space="preserve"> Cohort A+B</w:t>
            </w:r>
          </w:p>
        </w:tc>
        <w:tc>
          <w:tcPr>
            <w:tcW w:w="317"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750CE1">
            <w:pPr>
              <w:pStyle w:val="TableText"/>
              <w:keepNext/>
              <w:spacing w:before="0" w:after="0" w:line="240" w:lineRule="auto"/>
              <w:jc w:val="center"/>
            </w:pPr>
            <w:r w:rsidRPr="00BE056E">
              <w:t>386</w:t>
            </w:r>
          </w:p>
        </w:tc>
        <w:tc>
          <w:tcPr>
            <w:tcW w:w="556"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pPr>
            <w:r w:rsidRPr="00BE056E">
              <w:t>R, OL, MC</w:t>
            </w:r>
          </w:p>
        </w:tc>
        <w:tc>
          <w:tcPr>
            <w:tcW w:w="1745"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pPr>
            <w:r w:rsidRPr="00BE056E">
              <w:rPr>
                <w:i/>
                <w:iCs/>
              </w:rPr>
              <w:t xml:space="preserve">BRCA1/2, ATM, </w:t>
            </w:r>
            <w:r w:rsidRPr="00BE056E">
              <w:rPr>
                <w:rFonts w:cs="Calibri"/>
                <w:i/>
                <w:iCs/>
              </w:rPr>
              <w:t>BARD1, BRIP1, CDK12, CHEK1, CHEK2, FANCL, PALB2, PPP2R2A, RAD51B, RAD51C, RAD51D, RAD54L</w:t>
            </w:r>
            <w:r w:rsidRPr="00BE056E">
              <w:rPr>
                <w:rFonts w:ascii="Calibri" w:hAnsi="Calibri" w:cs="Calibri"/>
                <w:i/>
                <w:iCs/>
              </w:rPr>
              <w:t xml:space="preserve"> </w:t>
            </w:r>
            <w:r w:rsidRPr="00BE056E">
              <w:t>pathogenic gene variants</w:t>
            </w:r>
          </w:p>
        </w:tc>
        <w:tc>
          <w:tcPr>
            <w:tcW w:w="793" w:type="pct"/>
            <w:tcBorders>
              <w:top w:val="single" w:sz="4" w:space="0" w:color="auto"/>
              <w:left w:val="single" w:sz="4" w:space="0" w:color="auto"/>
              <w:bottom w:val="single" w:sz="4" w:space="0" w:color="auto"/>
              <w:right w:val="single" w:sz="4" w:space="0" w:color="auto"/>
            </w:tcBorders>
            <w:vAlign w:val="center"/>
            <w:hideMark/>
          </w:tcPr>
          <w:p w:rsidR="00D036FF" w:rsidRPr="00BE056E" w:rsidRDefault="00C31220" w:rsidP="00662365">
            <w:pPr>
              <w:pStyle w:val="TableText"/>
              <w:keepNext/>
              <w:spacing w:before="0" w:after="0" w:line="240" w:lineRule="auto"/>
              <w:jc w:val="center"/>
            </w:pPr>
            <w:r w:rsidRPr="00BE056E">
              <w:t>Safety</w:t>
            </w:r>
          </w:p>
        </w:tc>
        <w:tc>
          <w:tcPr>
            <w:tcW w:w="719"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pPr>
            <w:r w:rsidRPr="00BE056E">
              <w:t>Selected safety outcomes</w:t>
            </w:r>
          </w:p>
        </w:tc>
      </w:tr>
      <w:tr w:rsidR="00C31220" w:rsidRPr="00BE056E" w:rsidTr="0088177D">
        <w:tc>
          <w:tcPr>
            <w:tcW w:w="870"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750CE1">
            <w:pPr>
              <w:pStyle w:val="TableText"/>
              <w:keepNext/>
              <w:spacing w:before="0" w:after="0" w:line="240" w:lineRule="auto"/>
            </w:pPr>
            <w:proofErr w:type="spellStart"/>
            <w:r w:rsidRPr="00BE056E">
              <w:t>PROfound</w:t>
            </w:r>
            <w:proofErr w:type="spellEnd"/>
            <w:r w:rsidRPr="00BE056E">
              <w:t xml:space="preserve"> Cohort A</w:t>
            </w:r>
            <w:r w:rsidR="00D76330">
              <w:t xml:space="preserve"> (ITT)</w:t>
            </w:r>
          </w:p>
        </w:tc>
        <w:tc>
          <w:tcPr>
            <w:tcW w:w="317"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750CE1">
            <w:pPr>
              <w:pStyle w:val="TableText"/>
              <w:keepNext/>
              <w:spacing w:before="0" w:after="0" w:line="240" w:lineRule="auto"/>
              <w:jc w:val="center"/>
            </w:pPr>
            <w:r w:rsidRPr="00BE056E">
              <w:t>245</w:t>
            </w:r>
          </w:p>
        </w:tc>
        <w:tc>
          <w:tcPr>
            <w:tcW w:w="556"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pPr>
            <w:r w:rsidRPr="00BE056E">
              <w:t>R, OL, MC</w:t>
            </w:r>
          </w:p>
        </w:tc>
        <w:tc>
          <w:tcPr>
            <w:tcW w:w="1745"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pPr>
            <w:r w:rsidRPr="00BE056E">
              <w:rPr>
                <w:i/>
                <w:iCs/>
              </w:rPr>
              <w:t>BRCA1/2</w:t>
            </w:r>
            <w:r w:rsidRPr="00BE056E">
              <w:t xml:space="preserve">, </w:t>
            </w:r>
            <w:r w:rsidRPr="00B964C8">
              <w:rPr>
                <w:i/>
                <w:iCs/>
              </w:rPr>
              <w:t xml:space="preserve">ATM </w:t>
            </w:r>
            <w:r w:rsidRPr="00BE056E">
              <w:t>pathogenic gene variants</w:t>
            </w:r>
          </w:p>
        </w:tc>
        <w:tc>
          <w:tcPr>
            <w:tcW w:w="793"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pPr>
            <w:proofErr w:type="spellStart"/>
            <w:r w:rsidRPr="00BE056E">
              <w:t>rPFS</w:t>
            </w:r>
            <w:proofErr w:type="spellEnd"/>
            <w:r w:rsidR="00A00978">
              <w:t>*</w:t>
            </w:r>
            <w:r w:rsidRPr="00BE056E">
              <w:t>, OS, safety</w:t>
            </w:r>
          </w:p>
        </w:tc>
        <w:tc>
          <w:tcPr>
            <w:tcW w:w="719"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pPr>
            <w:r w:rsidRPr="00BE056E">
              <w:t>EQ-5D-5L outcomes</w:t>
            </w:r>
          </w:p>
        </w:tc>
      </w:tr>
      <w:tr w:rsidR="00C31220" w:rsidRPr="00BE056E" w:rsidTr="0088177D">
        <w:tc>
          <w:tcPr>
            <w:tcW w:w="870"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750CE1">
            <w:pPr>
              <w:pStyle w:val="TableText"/>
              <w:keepNext/>
              <w:spacing w:before="0" w:after="0" w:line="240" w:lineRule="auto"/>
            </w:pPr>
            <w:proofErr w:type="spellStart"/>
            <w:r w:rsidRPr="00BE056E">
              <w:t>PROfound</w:t>
            </w:r>
            <w:proofErr w:type="spellEnd"/>
            <w:r w:rsidRPr="00BE056E">
              <w:t xml:space="preserve"> </w:t>
            </w:r>
            <w:r w:rsidRPr="00BE056E">
              <w:rPr>
                <w:i/>
                <w:iCs/>
              </w:rPr>
              <w:t>BRCA1/2</w:t>
            </w:r>
            <w:r w:rsidR="00A00978">
              <w:rPr>
                <w:i/>
                <w:iCs/>
              </w:rPr>
              <w:t xml:space="preserve"> </w:t>
            </w:r>
            <w:r w:rsidR="00A00978" w:rsidRPr="00662365">
              <w:rPr>
                <w:iCs/>
              </w:rPr>
              <w:t>subgroup</w:t>
            </w:r>
          </w:p>
        </w:tc>
        <w:tc>
          <w:tcPr>
            <w:tcW w:w="317"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750CE1">
            <w:pPr>
              <w:pStyle w:val="TableText"/>
              <w:keepNext/>
              <w:spacing w:before="0" w:after="0" w:line="240" w:lineRule="auto"/>
              <w:jc w:val="center"/>
            </w:pPr>
            <w:r w:rsidRPr="00BE056E">
              <w:t>160</w:t>
            </w:r>
            <w:r w:rsidR="00290F18">
              <w:t>^</w:t>
            </w:r>
          </w:p>
        </w:tc>
        <w:tc>
          <w:tcPr>
            <w:tcW w:w="556"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pPr>
            <w:r w:rsidRPr="00BE056E">
              <w:t>R, OL, MC</w:t>
            </w:r>
          </w:p>
        </w:tc>
        <w:tc>
          <w:tcPr>
            <w:tcW w:w="1745"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pPr>
            <w:r w:rsidRPr="00BE056E">
              <w:rPr>
                <w:i/>
                <w:iCs/>
              </w:rPr>
              <w:t>BRCA1/2</w:t>
            </w:r>
            <w:r w:rsidRPr="00BE056E">
              <w:t xml:space="preserve"> pathogenic gene variants</w:t>
            </w:r>
          </w:p>
        </w:tc>
        <w:tc>
          <w:tcPr>
            <w:tcW w:w="793"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pPr>
            <w:proofErr w:type="spellStart"/>
            <w:r w:rsidRPr="00BE056E">
              <w:t>rPFS</w:t>
            </w:r>
            <w:proofErr w:type="spellEnd"/>
            <w:r w:rsidRPr="00BE056E">
              <w:t>, OS</w:t>
            </w:r>
          </w:p>
        </w:tc>
        <w:tc>
          <w:tcPr>
            <w:tcW w:w="719" w:type="pct"/>
            <w:tcBorders>
              <w:top w:val="single" w:sz="4" w:space="0" w:color="auto"/>
              <w:left w:val="single" w:sz="4" w:space="0" w:color="auto"/>
              <w:bottom w:val="single" w:sz="4" w:space="0" w:color="auto"/>
              <w:right w:val="single" w:sz="4" w:space="0" w:color="auto"/>
            </w:tcBorders>
            <w:vAlign w:val="center"/>
            <w:hideMark/>
          </w:tcPr>
          <w:p w:rsidR="00C31220" w:rsidRPr="00BE056E" w:rsidRDefault="00C31220" w:rsidP="00662365">
            <w:pPr>
              <w:pStyle w:val="TableText"/>
              <w:keepNext/>
              <w:spacing w:before="0" w:after="0" w:line="240" w:lineRule="auto"/>
              <w:jc w:val="center"/>
            </w:pPr>
            <w:proofErr w:type="spellStart"/>
            <w:r w:rsidRPr="00BE056E">
              <w:t>rPFS</w:t>
            </w:r>
            <w:proofErr w:type="spellEnd"/>
            <w:r w:rsidRPr="00BE056E">
              <w:t>, OS (extrapolated)</w:t>
            </w:r>
          </w:p>
        </w:tc>
      </w:tr>
    </w:tbl>
    <w:p w:rsidR="00C31220" w:rsidRPr="00BE056E" w:rsidRDefault="00C31220" w:rsidP="00C31220">
      <w:pPr>
        <w:pStyle w:val="TableFooter"/>
      </w:pPr>
      <w:r w:rsidRPr="00BE056E">
        <w:t>Source: Table 2.4, p66 of the submission</w:t>
      </w:r>
      <w:r w:rsidR="009528FB">
        <w:t>.</w:t>
      </w:r>
    </w:p>
    <w:p w:rsidR="00A00978" w:rsidRDefault="005139AD" w:rsidP="00A00978">
      <w:pPr>
        <w:pStyle w:val="TableFooter"/>
      </w:pPr>
      <w:r w:rsidRPr="00BE056E">
        <w:t>ITT</w:t>
      </w:r>
      <w:r>
        <w:t xml:space="preserve"> </w:t>
      </w:r>
      <w:r w:rsidRPr="00BE056E">
        <w:t>=</w:t>
      </w:r>
      <w:r>
        <w:t xml:space="preserve"> </w:t>
      </w:r>
      <w:r w:rsidRPr="00BE056E">
        <w:t>intention to treat population</w:t>
      </w:r>
      <w:r>
        <w:t xml:space="preserve">; </w:t>
      </w:r>
      <w:r w:rsidR="00C31220" w:rsidRPr="00BE056E">
        <w:t>MC</w:t>
      </w:r>
      <w:r>
        <w:t xml:space="preserve"> </w:t>
      </w:r>
      <w:r w:rsidR="00C31220" w:rsidRPr="00BE056E">
        <w:t>=</w:t>
      </w:r>
      <w:r>
        <w:t xml:space="preserve"> </w:t>
      </w:r>
      <w:r w:rsidR="00C31220" w:rsidRPr="00BE056E">
        <w:t>multicentre; OL</w:t>
      </w:r>
      <w:r>
        <w:t xml:space="preserve"> </w:t>
      </w:r>
      <w:r w:rsidR="00C31220" w:rsidRPr="00BE056E">
        <w:t>=</w:t>
      </w:r>
      <w:r>
        <w:t xml:space="preserve"> </w:t>
      </w:r>
      <w:r w:rsidR="00C31220" w:rsidRPr="00BE056E">
        <w:t>open label; OS</w:t>
      </w:r>
      <w:r>
        <w:t xml:space="preserve"> </w:t>
      </w:r>
      <w:r w:rsidR="00C31220" w:rsidRPr="00BE056E">
        <w:t>=</w:t>
      </w:r>
      <w:r>
        <w:t xml:space="preserve"> </w:t>
      </w:r>
      <w:r w:rsidR="00C31220" w:rsidRPr="00BE056E">
        <w:t>overall survival; R</w:t>
      </w:r>
      <w:r>
        <w:t xml:space="preserve"> </w:t>
      </w:r>
      <w:r w:rsidR="00C31220" w:rsidRPr="00BE056E">
        <w:t>=</w:t>
      </w:r>
      <w:r>
        <w:t xml:space="preserve"> </w:t>
      </w:r>
      <w:r w:rsidR="00C31220" w:rsidRPr="00BE056E">
        <w:t xml:space="preserve">randomised; </w:t>
      </w:r>
      <w:proofErr w:type="spellStart"/>
      <w:r w:rsidR="00C31220" w:rsidRPr="00BE056E">
        <w:t>rPFS</w:t>
      </w:r>
      <w:proofErr w:type="spellEnd"/>
      <w:r>
        <w:t xml:space="preserve"> </w:t>
      </w:r>
      <w:r w:rsidR="00C31220" w:rsidRPr="00BE056E">
        <w:t>=</w:t>
      </w:r>
      <w:r>
        <w:t xml:space="preserve"> </w:t>
      </w:r>
      <w:r w:rsidR="00C31220" w:rsidRPr="00BE056E">
        <w:t>radiolo</w:t>
      </w:r>
      <w:r w:rsidR="00781284">
        <w:t>gical progression-free survival.</w:t>
      </w:r>
    </w:p>
    <w:p w:rsidR="00A00978" w:rsidRPr="000F2527" w:rsidRDefault="00A00978" w:rsidP="003F66E1">
      <w:pPr>
        <w:pStyle w:val="TableFooter"/>
        <w:ind w:left="165" w:hanging="165"/>
      </w:pPr>
      <w:r w:rsidRPr="003F66E1">
        <w:t>*</w:t>
      </w:r>
      <w:r w:rsidRPr="003F66E1">
        <w:tab/>
      </w:r>
      <w:r w:rsidRPr="000F2527">
        <w:t>trial primary outcome</w:t>
      </w:r>
      <w:r w:rsidR="00D036FF" w:rsidRPr="000F2527">
        <w:t xml:space="preserve">, </w:t>
      </w:r>
      <w:r w:rsidR="00B34D7C" w:rsidRPr="000F2527">
        <w:t xml:space="preserve">note </w:t>
      </w:r>
      <w:r w:rsidR="00D036FF" w:rsidRPr="000F2527">
        <w:t>o</w:t>
      </w:r>
      <w:r w:rsidR="00B34D7C" w:rsidRPr="000F2527">
        <w:t xml:space="preserve">ther predefined alpha controlled secondary outcomes in trial include: </w:t>
      </w:r>
      <w:r w:rsidR="00A63E7D" w:rsidRPr="000F2527">
        <w:t>confirmed</w:t>
      </w:r>
      <w:r w:rsidR="00B34D7C" w:rsidRPr="000F2527">
        <w:t xml:space="preserve"> overall response rate (ORR) in </w:t>
      </w:r>
      <w:r w:rsidR="009939E6" w:rsidRPr="000F2527">
        <w:t>C</w:t>
      </w:r>
      <w:r w:rsidR="00B34D7C" w:rsidRPr="000F2527">
        <w:t xml:space="preserve">ohort A, </w:t>
      </w:r>
      <w:proofErr w:type="spellStart"/>
      <w:r w:rsidR="009939E6" w:rsidRPr="000F2527">
        <w:t>rPFS</w:t>
      </w:r>
      <w:proofErr w:type="spellEnd"/>
      <w:r w:rsidR="009939E6" w:rsidRPr="000F2527">
        <w:t xml:space="preserve"> (BICR) Cohort</w:t>
      </w:r>
      <w:r w:rsidR="005139AD">
        <w:t>s</w:t>
      </w:r>
      <w:r w:rsidR="009939E6" w:rsidRPr="000F2527">
        <w:t xml:space="preserve"> A+B, time to pain progression in Cohort A and OS in Cohort A, interim and final.</w:t>
      </w:r>
    </w:p>
    <w:p w:rsidR="00C31220" w:rsidRPr="000F2527" w:rsidRDefault="00290F18" w:rsidP="00C31220">
      <w:pPr>
        <w:pStyle w:val="TableFooter"/>
      </w:pPr>
      <w:r w:rsidRPr="000F2527">
        <w:t>^</w:t>
      </w:r>
      <w:r w:rsidRPr="000F2527">
        <w:tab/>
        <w:t>Also includes 1 pat</w:t>
      </w:r>
      <w:r w:rsidR="00781284">
        <w:t>ient in each arm from Cohort B.</w:t>
      </w:r>
    </w:p>
    <w:p w:rsidR="007F72FC" w:rsidRPr="007F72FC" w:rsidRDefault="00C31220" w:rsidP="00C31220">
      <w:pPr>
        <w:pStyle w:val="ListParagraph"/>
        <w:rPr>
          <w:color w:val="auto"/>
        </w:rPr>
      </w:pPr>
      <w:r w:rsidRPr="00BE056E">
        <w:lastRenderedPageBreak/>
        <w:t xml:space="preserve">The </w:t>
      </w:r>
      <w:proofErr w:type="spellStart"/>
      <w:r w:rsidRPr="00BE056E">
        <w:t>PROfound</w:t>
      </w:r>
      <w:proofErr w:type="spellEnd"/>
      <w:r w:rsidRPr="00BE056E">
        <w:t xml:space="preserve"> trial was split into two cohorts, Cohort A</w:t>
      </w:r>
      <w:r w:rsidR="00360E8C" w:rsidRPr="00BE056E">
        <w:t xml:space="preserve"> which </w:t>
      </w:r>
      <w:r w:rsidRPr="00BE056E">
        <w:t>includ</w:t>
      </w:r>
      <w:r w:rsidR="00360E8C" w:rsidRPr="00BE056E">
        <w:t>ed</w:t>
      </w:r>
      <w:r w:rsidRPr="00BE056E">
        <w:t xml:space="preserve"> patients with </w:t>
      </w:r>
      <w:r w:rsidRPr="00BE056E">
        <w:rPr>
          <w:i/>
          <w:iCs/>
        </w:rPr>
        <w:t>BRCA1/2</w:t>
      </w:r>
      <w:r w:rsidRPr="00BE056E">
        <w:t xml:space="preserve"> or </w:t>
      </w:r>
      <w:r w:rsidRPr="00BE056E">
        <w:rPr>
          <w:i/>
        </w:rPr>
        <w:t>ATM</w:t>
      </w:r>
      <w:r w:rsidRPr="00BE056E">
        <w:t xml:space="preserve"> </w:t>
      </w:r>
      <w:r w:rsidR="00781284">
        <w:t>pathogenic</w:t>
      </w:r>
      <w:r w:rsidRPr="00BE056E">
        <w:t xml:space="preserve"> variants, and Cohort B</w:t>
      </w:r>
      <w:r w:rsidR="00360E8C" w:rsidRPr="00BE056E">
        <w:t xml:space="preserve"> which </w:t>
      </w:r>
      <w:r w:rsidRPr="00BE056E">
        <w:t>includ</w:t>
      </w:r>
      <w:r w:rsidR="00360E8C" w:rsidRPr="00BE056E">
        <w:t>ed</w:t>
      </w:r>
      <w:r w:rsidRPr="00BE056E">
        <w:t xml:space="preserve"> patients with one or more </w:t>
      </w:r>
      <w:r w:rsidR="00781284">
        <w:t xml:space="preserve">pathogenic variants in </w:t>
      </w:r>
      <w:r w:rsidRPr="00BE056E">
        <w:t xml:space="preserve">the </w:t>
      </w:r>
      <w:r w:rsidR="00360E8C" w:rsidRPr="00BE056E">
        <w:t xml:space="preserve">other </w:t>
      </w:r>
      <w:r w:rsidRPr="00BE056E">
        <w:t>12 gene</w:t>
      </w:r>
      <w:r w:rsidR="00781284">
        <w:t>s</w:t>
      </w:r>
      <w:r w:rsidRPr="00BE056E">
        <w:t xml:space="preserve"> (</w:t>
      </w:r>
      <w:r w:rsidRPr="00BE056E">
        <w:rPr>
          <w:rFonts w:ascii="Calibri" w:hAnsi="Calibri" w:cs="Calibri"/>
          <w:i/>
          <w:iCs/>
        </w:rPr>
        <w:t>BARD1, BRIP1, CDK12, CHEK1, CHEK2, FANCL, PALB2, PPP2R2A, RAD51B, RAD51C, RAD51D</w:t>
      </w:r>
      <w:r w:rsidRPr="00BE056E">
        <w:rPr>
          <w:rFonts w:ascii="Calibri" w:hAnsi="Calibri" w:cs="Calibri"/>
        </w:rPr>
        <w:t xml:space="preserve"> and </w:t>
      </w:r>
      <w:r w:rsidRPr="00BE056E">
        <w:rPr>
          <w:rFonts w:ascii="Calibri" w:hAnsi="Calibri" w:cs="Calibri"/>
          <w:i/>
          <w:iCs/>
        </w:rPr>
        <w:t>RAD54L</w:t>
      </w:r>
      <w:r w:rsidRPr="00BE056E">
        <w:rPr>
          <w:rFonts w:ascii="Calibri" w:hAnsi="Calibri" w:cs="Calibri"/>
        </w:rPr>
        <w:t>)</w:t>
      </w:r>
      <w:r w:rsidR="00047EA8">
        <w:rPr>
          <w:rFonts w:ascii="Calibri" w:hAnsi="Calibri" w:cs="Calibri"/>
        </w:rPr>
        <w:t>.</w:t>
      </w:r>
      <w:r w:rsidR="00732A10">
        <w:rPr>
          <w:rFonts w:ascii="Calibri" w:hAnsi="Calibri" w:cs="Calibri"/>
        </w:rPr>
        <w:t xml:space="preserve"> </w:t>
      </w:r>
      <w:r w:rsidR="00732A10" w:rsidRPr="007C7562">
        <w:rPr>
          <w:rFonts w:ascii="Calibri" w:hAnsi="Calibri" w:cs="Calibri"/>
        </w:rPr>
        <w:t xml:space="preserve">Cohort B also </w:t>
      </w:r>
      <w:r w:rsidR="00A63E7D" w:rsidRPr="007C7562">
        <w:rPr>
          <w:rFonts w:ascii="Calibri" w:hAnsi="Calibri" w:cs="Calibri"/>
        </w:rPr>
        <w:t>erroneously</w:t>
      </w:r>
      <w:r w:rsidR="00732A10" w:rsidRPr="007C7562">
        <w:rPr>
          <w:rFonts w:ascii="Calibri" w:hAnsi="Calibri" w:cs="Calibri"/>
        </w:rPr>
        <w:t xml:space="preserve"> enrolled two patients with </w:t>
      </w:r>
      <w:r w:rsidR="00732A10" w:rsidRPr="00F00AC5">
        <w:rPr>
          <w:rFonts w:ascii="Calibri" w:hAnsi="Calibri" w:cs="Calibri"/>
          <w:i/>
        </w:rPr>
        <w:t>BRCA1/2</w:t>
      </w:r>
      <w:r w:rsidR="00732A10" w:rsidRPr="007C7562">
        <w:rPr>
          <w:rFonts w:ascii="Calibri" w:hAnsi="Calibri" w:cs="Calibri"/>
        </w:rPr>
        <w:t xml:space="preserve"> pathogenic variants</w:t>
      </w:r>
      <w:r w:rsidR="00C36AA4" w:rsidRPr="007C7562">
        <w:rPr>
          <w:rFonts w:ascii="Calibri" w:hAnsi="Calibri" w:cs="Calibri"/>
        </w:rPr>
        <w:t xml:space="preserve">, these patients were included </w:t>
      </w:r>
      <w:r w:rsidR="00047EA8" w:rsidRPr="007C7562">
        <w:rPr>
          <w:rFonts w:ascii="Calibri" w:hAnsi="Calibri" w:cs="Calibri"/>
        </w:rPr>
        <w:t xml:space="preserve">in </w:t>
      </w:r>
      <w:r w:rsidR="00C36AA4" w:rsidRPr="007C7562">
        <w:rPr>
          <w:rFonts w:ascii="Calibri" w:hAnsi="Calibri" w:cs="Calibri"/>
        </w:rPr>
        <w:t>all</w:t>
      </w:r>
      <w:r w:rsidR="00C36AA4" w:rsidRPr="00C36AA4">
        <w:rPr>
          <w:rFonts w:ascii="Calibri" w:hAnsi="Calibri" w:cs="Calibri"/>
          <w:i/>
        </w:rPr>
        <w:t xml:space="preserve"> BRCA1/2 </w:t>
      </w:r>
      <w:r w:rsidR="00C36AA4" w:rsidRPr="007C7562">
        <w:rPr>
          <w:rFonts w:ascii="Calibri" w:hAnsi="Calibri" w:cs="Calibri"/>
        </w:rPr>
        <w:t>subgroup analyses</w:t>
      </w:r>
      <w:r w:rsidRPr="00C36AA4">
        <w:rPr>
          <w:i/>
        </w:rPr>
        <w:t>.</w:t>
      </w:r>
      <w:r w:rsidRPr="00BE056E">
        <w:t xml:space="preserve"> </w:t>
      </w:r>
      <w:r w:rsidRPr="00533562">
        <w:t xml:space="preserve">The </w:t>
      </w:r>
      <w:r w:rsidR="00220746" w:rsidRPr="00533562">
        <w:t xml:space="preserve">primary and key secondary outcomes of the trial were assessed for </w:t>
      </w:r>
      <w:r w:rsidRPr="00533562">
        <w:t>Cohort A</w:t>
      </w:r>
      <w:r w:rsidR="00220746" w:rsidRPr="00533562">
        <w:t xml:space="preserve"> (the ITT population). </w:t>
      </w:r>
      <w:proofErr w:type="spellStart"/>
      <w:proofErr w:type="gramStart"/>
      <w:r w:rsidRPr="00533562">
        <w:t>rPFS</w:t>
      </w:r>
      <w:proofErr w:type="spellEnd"/>
      <w:proofErr w:type="gramEnd"/>
      <w:r w:rsidRPr="00BE056E">
        <w:t xml:space="preserve"> and overall survival (OS) results </w:t>
      </w:r>
      <w:r w:rsidR="00220746" w:rsidRPr="00BE056E">
        <w:t xml:space="preserve">for the </w:t>
      </w:r>
      <w:r w:rsidRPr="00BE056E">
        <w:rPr>
          <w:i/>
        </w:rPr>
        <w:t>BRCA1/2</w:t>
      </w:r>
      <w:r w:rsidRPr="00BE056E">
        <w:t xml:space="preserve"> pathogenic gene variant</w:t>
      </w:r>
      <w:r w:rsidR="00220746" w:rsidRPr="00BE056E">
        <w:t xml:space="preserve"> population (a subgroup of Cohort A</w:t>
      </w:r>
      <w:r w:rsidR="006D78D4">
        <w:t xml:space="preserve"> and Cohort B</w:t>
      </w:r>
      <w:r w:rsidR="00220746" w:rsidRPr="00BE056E">
        <w:t>) w</w:t>
      </w:r>
      <w:r w:rsidR="003F66E1">
        <w:t>ere</w:t>
      </w:r>
      <w:r w:rsidR="00220746" w:rsidRPr="00BE056E">
        <w:t xml:space="preserve"> also reported</w:t>
      </w:r>
      <w:r w:rsidRPr="00BE056E">
        <w:t>. Safety outcomes were based on the combined Cohort A and Cohort B.</w:t>
      </w:r>
    </w:p>
    <w:p w:rsidR="00C31220" w:rsidRPr="000F2527" w:rsidRDefault="007F72FC" w:rsidP="00415220">
      <w:pPr>
        <w:pStyle w:val="ListParagraph"/>
        <w:rPr>
          <w:iCs/>
          <w:color w:val="auto"/>
        </w:rPr>
      </w:pPr>
      <w:r w:rsidRPr="000F2527">
        <w:rPr>
          <w:iCs/>
          <w:color w:val="auto"/>
        </w:rPr>
        <w:t xml:space="preserve">While the submission provided results for the </w:t>
      </w:r>
      <w:r w:rsidRPr="00F00AC5">
        <w:rPr>
          <w:i/>
          <w:iCs/>
          <w:color w:val="auto"/>
        </w:rPr>
        <w:t>BRCA1/2</w:t>
      </w:r>
      <w:r w:rsidRPr="000F2527">
        <w:rPr>
          <w:iCs/>
          <w:color w:val="auto"/>
        </w:rPr>
        <w:t xml:space="preserve"> subgroup for OS and </w:t>
      </w:r>
      <w:proofErr w:type="spellStart"/>
      <w:r w:rsidRPr="000F2527">
        <w:rPr>
          <w:iCs/>
          <w:color w:val="auto"/>
        </w:rPr>
        <w:t>rPFS</w:t>
      </w:r>
      <w:proofErr w:type="spellEnd"/>
      <w:r w:rsidRPr="000F2527">
        <w:rPr>
          <w:iCs/>
          <w:color w:val="auto"/>
        </w:rPr>
        <w:t xml:space="preserve"> outcomes, </w:t>
      </w:r>
      <w:r w:rsidRPr="002A2035">
        <w:rPr>
          <w:iCs/>
          <w:color w:val="auto"/>
        </w:rPr>
        <w:t>the</w:t>
      </w:r>
      <w:r w:rsidRPr="002A2035">
        <w:rPr>
          <w:i/>
          <w:iCs/>
          <w:color w:val="auto"/>
        </w:rPr>
        <w:t xml:space="preserve"> </w:t>
      </w:r>
      <w:r w:rsidRPr="000F2527">
        <w:rPr>
          <w:iCs/>
          <w:color w:val="auto"/>
        </w:rPr>
        <w:t xml:space="preserve">submission did not provide baseline demographic and disease characteristic information for the </w:t>
      </w:r>
      <w:r w:rsidRPr="00F00AC5">
        <w:rPr>
          <w:i/>
          <w:iCs/>
          <w:color w:val="auto"/>
        </w:rPr>
        <w:t>BRCA1/2</w:t>
      </w:r>
      <w:r w:rsidRPr="000F2527">
        <w:rPr>
          <w:iCs/>
          <w:color w:val="auto"/>
        </w:rPr>
        <w:t xml:space="preserve"> subgroup and its complement (as recommended in the PBAC Guidelines, p34). The subgroup results provided were also limited, with no results provided for the subgroup complement, or for the test fo</w:t>
      </w:r>
      <w:r w:rsidR="00F45005">
        <w:rPr>
          <w:iCs/>
          <w:color w:val="auto"/>
        </w:rPr>
        <w:t>r interaction of effectiveness.</w:t>
      </w:r>
      <w:r w:rsidR="00A230AC" w:rsidRPr="00A230AC">
        <w:rPr>
          <w:rFonts w:cs="Calibri"/>
          <w:bCs/>
          <w:iCs/>
          <w:color w:val="000000"/>
        </w:rPr>
        <w:t xml:space="preserve"> </w:t>
      </w:r>
      <w:r w:rsidR="00A230AC" w:rsidRPr="004F0D62">
        <w:rPr>
          <w:rFonts w:cs="Calibri"/>
          <w:bCs/>
          <w:iCs/>
          <w:color w:val="000000"/>
        </w:rPr>
        <w:t xml:space="preserve">The ESCs noted that patient demographics and baseline characteristics </w:t>
      </w:r>
      <w:r w:rsidR="00A230AC">
        <w:rPr>
          <w:rFonts w:cs="Calibri"/>
          <w:bCs/>
          <w:iCs/>
          <w:color w:val="000000"/>
        </w:rPr>
        <w:t>(provided</w:t>
      </w:r>
      <w:r w:rsidR="00A230AC" w:rsidRPr="004F0D62">
        <w:rPr>
          <w:rFonts w:cs="Calibri"/>
          <w:bCs/>
          <w:iCs/>
          <w:color w:val="000000"/>
        </w:rPr>
        <w:t xml:space="preserve"> with the PSCR</w:t>
      </w:r>
      <w:r w:rsidR="00A230AC">
        <w:rPr>
          <w:rFonts w:cs="Calibri"/>
          <w:bCs/>
          <w:iCs/>
          <w:color w:val="000000"/>
        </w:rPr>
        <w:t>)</w:t>
      </w:r>
      <w:r w:rsidR="00A230AC" w:rsidRPr="004F0D62">
        <w:rPr>
          <w:rFonts w:cs="Calibri"/>
          <w:bCs/>
          <w:iCs/>
          <w:color w:val="000000"/>
        </w:rPr>
        <w:t xml:space="preserve"> were broadly similar between the two arms of the</w:t>
      </w:r>
      <w:r w:rsidR="00A230AC" w:rsidRPr="00CE2CFC">
        <w:rPr>
          <w:rFonts w:cs="Calibri"/>
          <w:bCs/>
          <w:i/>
          <w:iCs/>
          <w:color w:val="000000"/>
        </w:rPr>
        <w:t xml:space="preserve"> BRCA1/2 </w:t>
      </w:r>
      <w:r w:rsidR="00A230AC" w:rsidRPr="004F0D62">
        <w:rPr>
          <w:rFonts w:cs="Calibri"/>
          <w:bCs/>
          <w:iCs/>
          <w:color w:val="000000"/>
        </w:rPr>
        <w:t>subgroup and to the whole of the Cohort A population.</w:t>
      </w:r>
    </w:p>
    <w:p w:rsidR="00A230AC" w:rsidRPr="00C51897" w:rsidRDefault="00A230AC" w:rsidP="00A230AC">
      <w:pPr>
        <w:pStyle w:val="ListParagraph"/>
        <w:rPr>
          <w:iCs/>
          <w:color w:val="auto"/>
        </w:rPr>
      </w:pPr>
      <w:r w:rsidRPr="004F0D62">
        <w:rPr>
          <w:rFonts w:cs="Calibri"/>
          <w:bCs/>
          <w:iCs/>
          <w:color w:val="000000"/>
        </w:rPr>
        <w:t>The PSCR stated that there is a clear lack of benefit in non-</w:t>
      </w:r>
      <w:r w:rsidRPr="00E40128">
        <w:rPr>
          <w:rFonts w:cs="Calibri"/>
          <w:bCs/>
          <w:i/>
          <w:iCs/>
          <w:color w:val="000000"/>
        </w:rPr>
        <w:t xml:space="preserve">BRCA1/2 </w:t>
      </w:r>
      <w:r w:rsidRPr="004F0D62">
        <w:rPr>
          <w:rFonts w:cs="Calibri"/>
          <w:bCs/>
          <w:iCs/>
          <w:color w:val="000000"/>
        </w:rPr>
        <w:t xml:space="preserve">subgroups. The HR for the secondary endpoint of PFS for the post hoc defined </w:t>
      </w:r>
      <w:r w:rsidRPr="00EF4F91">
        <w:rPr>
          <w:rFonts w:cs="Calibri"/>
          <w:bCs/>
          <w:i/>
          <w:iCs/>
          <w:color w:val="000000"/>
        </w:rPr>
        <w:t xml:space="preserve">BRCA1/2 </w:t>
      </w:r>
      <w:r w:rsidRPr="004F0D62">
        <w:rPr>
          <w:rFonts w:cs="Calibri"/>
          <w:bCs/>
          <w:iCs/>
          <w:color w:val="000000"/>
        </w:rPr>
        <w:t xml:space="preserve">positive subgroup in Cohort </w:t>
      </w:r>
      <w:proofErr w:type="gramStart"/>
      <w:r w:rsidRPr="004F0D62">
        <w:rPr>
          <w:rFonts w:cs="Calibri"/>
          <w:bCs/>
          <w:iCs/>
          <w:color w:val="000000"/>
        </w:rPr>
        <w:t>A</w:t>
      </w:r>
      <w:proofErr w:type="gramEnd"/>
      <w:r w:rsidRPr="004F0D62">
        <w:rPr>
          <w:rFonts w:cs="Calibri"/>
          <w:bCs/>
          <w:iCs/>
          <w:color w:val="000000"/>
        </w:rPr>
        <w:t xml:space="preserve"> of </w:t>
      </w:r>
      <w:proofErr w:type="spellStart"/>
      <w:r w:rsidRPr="004F0D62">
        <w:rPr>
          <w:rFonts w:cs="Calibri"/>
          <w:bCs/>
          <w:iCs/>
          <w:color w:val="000000"/>
        </w:rPr>
        <w:t>PRO</w:t>
      </w:r>
      <w:r>
        <w:rPr>
          <w:rFonts w:cs="Calibri"/>
          <w:bCs/>
          <w:iCs/>
          <w:color w:val="000000"/>
        </w:rPr>
        <w:t>found</w:t>
      </w:r>
      <w:proofErr w:type="spellEnd"/>
      <w:r w:rsidRPr="004F0D62">
        <w:rPr>
          <w:rFonts w:cs="Calibri"/>
          <w:bCs/>
          <w:iCs/>
          <w:color w:val="000000"/>
        </w:rPr>
        <w:t xml:space="preserve"> was 0.22 (95% CI: 0.15, 0.32); median </w:t>
      </w:r>
      <w:r w:rsidR="00C20845">
        <w:rPr>
          <w:rFonts w:cs="Calibri"/>
          <w:bCs/>
          <w:iCs/>
          <w:color w:val="000000"/>
        </w:rPr>
        <w:t>duration</w:t>
      </w:r>
      <w:r w:rsidRPr="004F0D62">
        <w:rPr>
          <w:rFonts w:cs="Calibri"/>
          <w:bCs/>
          <w:iCs/>
          <w:color w:val="000000"/>
        </w:rPr>
        <w:t xml:space="preserve">: 10 months versus 3 months. The HR for PFS for the complement </w:t>
      </w:r>
      <w:r w:rsidRPr="00EF4F91">
        <w:rPr>
          <w:rFonts w:cs="Calibri"/>
          <w:bCs/>
          <w:i/>
          <w:iCs/>
          <w:color w:val="000000"/>
        </w:rPr>
        <w:t xml:space="preserve">ATM </w:t>
      </w:r>
      <w:r w:rsidRPr="004F0D62">
        <w:rPr>
          <w:rFonts w:cs="Calibri"/>
          <w:bCs/>
          <w:iCs/>
          <w:color w:val="000000"/>
        </w:rPr>
        <w:t>positive subgroup was 1.04 (95% CI: 0.61, 1.87), with a test for interaction across the subgroups yielding a p-value of &lt;0.0001</w:t>
      </w:r>
      <w:r w:rsidRPr="00C51897">
        <w:rPr>
          <w:rFonts w:cs="Calibri"/>
          <w:bCs/>
          <w:iCs/>
          <w:color w:val="000000"/>
        </w:rPr>
        <w:t xml:space="preserve">. </w:t>
      </w:r>
      <w:r w:rsidR="00C51897" w:rsidRPr="004B1F86">
        <w:rPr>
          <w:rFonts w:cs="Calibri"/>
          <w:bCs/>
          <w:iCs/>
          <w:color w:val="000000"/>
        </w:rPr>
        <w:t>The</w:t>
      </w:r>
      <w:r w:rsidR="00C51897">
        <w:rPr>
          <w:rFonts w:cs="Calibri"/>
          <w:bCs/>
          <w:iCs/>
          <w:color w:val="000000"/>
        </w:rPr>
        <w:t xml:space="preserve"> PBAC </w:t>
      </w:r>
      <w:r w:rsidRPr="00C51897">
        <w:rPr>
          <w:rFonts w:cs="Calibri"/>
          <w:bCs/>
          <w:iCs/>
          <w:color w:val="000000"/>
        </w:rPr>
        <w:t>consider</w:t>
      </w:r>
      <w:r w:rsidR="00C51897" w:rsidRPr="004B1F86">
        <w:rPr>
          <w:rFonts w:cs="Calibri"/>
          <w:bCs/>
          <w:iCs/>
          <w:color w:val="000000"/>
        </w:rPr>
        <w:t>ed this was a reasonable basis on which to</w:t>
      </w:r>
      <w:r w:rsidRPr="00C51897">
        <w:rPr>
          <w:rFonts w:cs="Calibri"/>
          <w:bCs/>
          <w:iCs/>
          <w:color w:val="000000"/>
        </w:rPr>
        <w:t xml:space="preserve"> accept the</w:t>
      </w:r>
      <w:r w:rsidRPr="00C51897">
        <w:rPr>
          <w:rFonts w:cs="Calibri"/>
          <w:bCs/>
          <w:i/>
          <w:iCs/>
          <w:color w:val="000000"/>
        </w:rPr>
        <w:t xml:space="preserve"> BRCA1/2 </w:t>
      </w:r>
      <w:r w:rsidRPr="00C51897">
        <w:rPr>
          <w:rFonts w:cs="Calibri"/>
          <w:bCs/>
          <w:iCs/>
          <w:color w:val="000000"/>
        </w:rPr>
        <w:t xml:space="preserve">subgroup results over the ITT results from Cohort </w:t>
      </w:r>
      <w:proofErr w:type="gramStart"/>
      <w:r w:rsidRPr="00C51897">
        <w:rPr>
          <w:rFonts w:cs="Calibri"/>
          <w:bCs/>
          <w:iCs/>
          <w:color w:val="000000"/>
        </w:rPr>
        <w:t>A</w:t>
      </w:r>
      <w:proofErr w:type="gramEnd"/>
      <w:r w:rsidRPr="00C51897">
        <w:rPr>
          <w:rFonts w:cs="Calibri"/>
          <w:bCs/>
          <w:iCs/>
          <w:color w:val="000000"/>
        </w:rPr>
        <w:t xml:space="preserve"> of </w:t>
      </w:r>
      <w:proofErr w:type="spellStart"/>
      <w:r w:rsidRPr="00C51897">
        <w:rPr>
          <w:rFonts w:cs="Calibri"/>
          <w:bCs/>
          <w:iCs/>
          <w:color w:val="000000"/>
        </w:rPr>
        <w:t>PROfound</w:t>
      </w:r>
      <w:proofErr w:type="spellEnd"/>
      <w:r w:rsidRPr="00C51897">
        <w:rPr>
          <w:rFonts w:cs="Calibri"/>
          <w:bCs/>
          <w:iCs/>
          <w:color w:val="000000"/>
        </w:rPr>
        <w:t>.</w:t>
      </w:r>
    </w:p>
    <w:p w:rsidR="00A532E5" w:rsidRDefault="00A532E5">
      <w:pPr>
        <w:spacing w:before="0" w:line="259" w:lineRule="auto"/>
        <w:jc w:val="left"/>
        <w:rPr>
          <w:rFonts w:eastAsiaTheme="majorEastAsia" w:cstheme="minorHAnsi"/>
          <w:b/>
          <w:i/>
          <w:snapToGrid w:val="0"/>
          <w:sz w:val="28"/>
          <w:szCs w:val="28"/>
        </w:rPr>
      </w:pPr>
      <w:bookmarkStart w:id="24" w:name="_Toc62027842"/>
      <w:r>
        <w:rPr>
          <w:rFonts w:cstheme="minorHAnsi"/>
        </w:rPr>
        <w:br w:type="page"/>
      </w:r>
    </w:p>
    <w:p w:rsidR="004C059D" w:rsidRPr="004F0D62" w:rsidRDefault="000355B3" w:rsidP="00BE056E">
      <w:pPr>
        <w:pStyle w:val="PBACESHeading2"/>
        <w:rPr>
          <w:rFonts w:asciiTheme="minorHAnsi" w:hAnsiTheme="minorHAnsi" w:cstheme="minorHAnsi"/>
        </w:rPr>
      </w:pPr>
      <w:r w:rsidRPr="004F0D62">
        <w:rPr>
          <w:rFonts w:asciiTheme="minorHAnsi" w:hAnsiTheme="minorHAnsi" w:cstheme="minorHAnsi"/>
        </w:rPr>
        <w:lastRenderedPageBreak/>
        <w:t>Comparative effectiveness</w:t>
      </w:r>
      <w:bookmarkEnd w:id="24"/>
    </w:p>
    <w:p w:rsidR="00C31220" w:rsidRDefault="004B1F86">
      <w:pPr>
        <w:pStyle w:val="ListParagraph"/>
      </w:pPr>
      <w:r>
        <w:t>K</w:t>
      </w:r>
      <w:r w:rsidR="00C31220" w:rsidRPr="00241D21">
        <w:t xml:space="preserve">ey time-to-event outcomes </w:t>
      </w:r>
      <w:r w:rsidR="00B70F50" w:rsidRPr="00241D21">
        <w:t xml:space="preserve">from </w:t>
      </w:r>
      <w:proofErr w:type="spellStart"/>
      <w:r>
        <w:t>PROfound</w:t>
      </w:r>
      <w:proofErr w:type="spellEnd"/>
      <w:r w:rsidR="00937001" w:rsidRPr="00B73CEE">
        <w:t xml:space="preserve"> </w:t>
      </w:r>
      <w:r w:rsidR="00B70F50" w:rsidRPr="00BE056E">
        <w:t>are</w:t>
      </w:r>
      <w:r w:rsidR="00C31220" w:rsidRPr="00BE056E">
        <w:t xml:space="preserve"> </w:t>
      </w:r>
      <w:r w:rsidR="00937001">
        <w:t xml:space="preserve">summarised </w:t>
      </w:r>
      <w:r w:rsidR="00C31220" w:rsidRPr="00BE056E">
        <w:t>in the table below.</w:t>
      </w:r>
    </w:p>
    <w:p w:rsidR="00C75B03" w:rsidRPr="00C75B03" w:rsidRDefault="00C75B03" w:rsidP="00244A68">
      <w:pPr>
        <w:keepNext/>
        <w:spacing w:before="0" w:after="0"/>
        <w:rPr>
          <w:rFonts w:ascii="Arial Narrow" w:hAnsi="Arial Narrow"/>
          <w:b/>
          <w:sz w:val="19"/>
          <w:szCs w:val="19"/>
        </w:rPr>
      </w:pPr>
      <w:bookmarkStart w:id="25" w:name="_Ref497116463"/>
      <w:r w:rsidRPr="00C75B03">
        <w:rPr>
          <w:rFonts w:ascii="Arial Narrow" w:hAnsi="Arial Narrow"/>
          <w:b/>
          <w:sz w:val="19"/>
          <w:szCs w:val="19"/>
        </w:rPr>
        <w:t xml:space="preserve">Table </w:t>
      </w:r>
      <w:r w:rsidR="00CD4B9C">
        <w:rPr>
          <w:rFonts w:ascii="Arial Narrow" w:hAnsi="Arial Narrow"/>
          <w:b/>
          <w:noProof/>
          <w:sz w:val="19"/>
          <w:szCs w:val="19"/>
        </w:rPr>
        <w:t>7</w:t>
      </w:r>
      <w:bookmarkEnd w:id="25"/>
      <w:r w:rsidR="0073766D">
        <w:rPr>
          <w:rFonts w:ascii="Arial Narrow" w:hAnsi="Arial Narrow"/>
          <w:b/>
          <w:sz w:val="19"/>
          <w:szCs w:val="19"/>
        </w:rPr>
        <w:t>:</w:t>
      </w:r>
      <w:r w:rsidRPr="00C75B03">
        <w:rPr>
          <w:rFonts w:ascii="Arial Narrow" w:hAnsi="Arial Narrow"/>
          <w:b/>
          <w:sz w:val="19"/>
          <w:szCs w:val="19"/>
        </w:rPr>
        <w:tab/>
        <w:t xml:space="preserve">Summary of </w:t>
      </w:r>
      <w:proofErr w:type="spellStart"/>
      <w:r>
        <w:rPr>
          <w:rFonts w:ascii="Arial Narrow" w:hAnsi="Arial Narrow"/>
          <w:b/>
          <w:sz w:val="19"/>
          <w:szCs w:val="19"/>
        </w:rPr>
        <w:t>rPFS</w:t>
      </w:r>
      <w:proofErr w:type="spellEnd"/>
      <w:r>
        <w:rPr>
          <w:rFonts w:ascii="Arial Narrow" w:hAnsi="Arial Narrow"/>
          <w:b/>
          <w:sz w:val="19"/>
          <w:szCs w:val="19"/>
        </w:rPr>
        <w:t xml:space="preserve"> and OS reported </w:t>
      </w:r>
      <w:r w:rsidRPr="00C75B03">
        <w:rPr>
          <w:rFonts w:ascii="Arial Narrow" w:hAnsi="Arial Narrow"/>
          <w:b/>
          <w:sz w:val="19"/>
          <w:szCs w:val="19"/>
        </w:rPr>
        <w:t xml:space="preserve">in </w:t>
      </w:r>
      <w:proofErr w:type="spellStart"/>
      <w:r w:rsidRPr="00C75B03">
        <w:rPr>
          <w:rFonts w:ascii="Arial Narrow" w:hAnsi="Arial Narrow"/>
          <w:b/>
          <w:sz w:val="19"/>
          <w:szCs w:val="19"/>
        </w:rPr>
        <w:t>PROfound</w:t>
      </w:r>
      <w:proofErr w:type="spellEnd"/>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Summary of rPFS and OS reported in PROfound"/>
      </w:tblPr>
      <w:tblGrid>
        <w:gridCol w:w="2354"/>
        <w:gridCol w:w="1111"/>
        <w:gridCol w:w="1111"/>
        <w:gridCol w:w="1388"/>
        <w:gridCol w:w="1526"/>
        <w:gridCol w:w="1526"/>
      </w:tblGrid>
      <w:tr w:rsidR="00C75B03" w:rsidRPr="000F2527" w:rsidTr="004251C9">
        <w:trPr>
          <w:cnfStyle w:val="100000000000" w:firstRow="1" w:lastRow="0" w:firstColumn="0" w:lastColumn="0" w:oddVBand="0" w:evenVBand="0" w:oddHBand="0" w:evenHBand="0" w:firstRowFirstColumn="0" w:firstRowLastColumn="0" w:lastRowFirstColumn="0" w:lastRowLastColumn="0"/>
          <w:tblHeader/>
        </w:trPr>
        <w:tc>
          <w:tcPr>
            <w:tcW w:w="1306" w:type="pct"/>
            <w:vMerge w:val="restart"/>
            <w:shd w:val="clear" w:color="auto" w:fill="auto"/>
          </w:tcPr>
          <w:p w:rsidR="00C75B03" w:rsidRPr="000F2527" w:rsidRDefault="00C75B03" w:rsidP="00244A68">
            <w:pPr>
              <w:keepNext/>
              <w:spacing w:before="10" w:after="10"/>
              <w:rPr>
                <w:rFonts w:ascii="Arial Narrow" w:hAnsi="Arial Narrow"/>
                <w:sz w:val="19"/>
                <w:szCs w:val="19"/>
                <w:lang w:eastAsia="en-US"/>
              </w:rPr>
            </w:pPr>
          </w:p>
        </w:tc>
        <w:tc>
          <w:tcPr>
            <w:tcW w:w="1231" w:type="pct"/>
            <w:gridSpan w:val="2"/>
            <w:shd w:val="clear" w:color="auto" w:fill="auto"/>
            <w:vAlign w:val="center"/>
          </w:tcPr>
          <w:p w:rsidR="00C75B03" w:rsidRPr="000F2527" w:rsidRDefault="00694050"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Number of events/t</w:t>
            </w:r>
            <w:r w:rsidR="00C75B03" w:rsidRPr="000F2527">
              <w:rPr>
                <w:rFonts w:ascii="Arial Narrow" w:hAnsi="Arial Narrow"/>
                <w:sz w:val="19"/>
                <w:szCs w:val="19"/>
                <w:lang w:eastAsia="en-US"/>
              </w:rPr>
              <w:t xml:space="preserve">otal </w:t>
            </w:r>
            <w:r w:rsidRPr="000F2527">
              <w:rPr>
                <w:rFonts w:ascii="Arial Narrow" w:hAnsi="Arial Narrow"/>
                <w:sz w:val="19"/>
                <w:szCs w:val="19"/>
                <w:lang w:eastAsia="en-US"/>
              </w:rPr>
              <w:t>n</w:t>
            </w:r>
            <w:r w:rsidR="00C75B03" w:rsidRPr="000F2527">
              <w:rPr>
                <w:rFonts w:ascii="Arial Narrow" w:hAnsi="Arial Narrow"/>
                <w:sz w:val="19"/>
                <w:szCs w:val="19"/>
                <w:lang w:eastAsia="en-US"/>
              </w:rPr>
              <w:t>umber of patients (%)</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HR (95%</w:t>
            </w:r>
            <w:r w:rsidR="005A7F22" w:rsidRPr="000F2527">
              <w:rPr>
                <w:rFonts w:ascii="Arial Narrow" w:hAnsi="Arial Narrow"/>
                <w:sz w:val="19"/>
                <w:szCs w:val="19"/>
                <w:lang w:eastAsia="en-US"/>
              </w:rPr>
              <w:t xml:space="preserve"> </w:t>
            </w:r>
            <w:r w:rsidRPr="000F2527">
              <w:rPr>
                <w:rFonts w:ascii="Arial Narrow" w:hAnsi="Arial Narrow"/>
                <w:sz w:val="19"/>
                <w:szCs w:val="19"/>
                <w:lang w:eastAsia="en-US"/>
              </w:rPr>
              <w:t>CI)</w:t>
            </w:r>
          </w:p>
        </w:tc>
        <w:tc>
          <w:tcPr>
            <w:tcW w:w="1693" w:type="pct"/>
            <w:gridSpan w:val="2"/>
            <w:shd w:val="clear" w:color="auto" w:fill="auto"/>
            <w:vAlign w:val="center"/>
          </w:tcPr>
          <w:p w:rsidR="00C75B03" w:rsidRPr="000F2527" w:rsidRDefault="00C75B03" w:rsidP="00C20845">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 xml:space="preserve">Median </w:t>
            </w:r>
            <w:r w:rsidR="00C20845">
              <w:rPr>
                <w:rFonts w:ascii="Arial Narrow" w:hAnsi="Arial Narrow"/>
                <w:sz w:val="19"/>
                <w:szCs w:val="19"/>
                <w:lang w:eastAsia="en-US"/>
              </w:rPr>
              <w:t>duration</w:t>
            </w:r>
            <w:r w:rsidRPr="000F2527">
              <w:rPr>
                <w:rFonts w:ascii="Arial Narrow" w:hAnsi="Arial Narrow"/>
                <w:sz w:val="19"/>
                <w:szCs w:val="19"/>
                <w:lang w:eastAsia="en-US"/>
              </w:rPr>
              <w:t xml:space="preserve"> (95%</w:t>
            </w:r>
            <w:r w:rsidR="005A7F22" w:rsidRPr="000F2527">
              <w:rPr>
                <w:rFonts w:ascii="Arial Narrow" w:hAnsi="Arial Narrow"/>
                <w:sz w:val="19"/>
                <w:szCs w:val="19"/>
                <w:lang w:eastAsia="en-US"/>
              </w:rPr>
              <w:t xml:space="preserve"> </w:t>
            </w:r>
            <w:r w:rsidRPr="000F2527">
              <w:rPr>
                <w:rFonts w:ascii="Arial Narrow" w:hAnsi="Arial Narrow"/>
                <w:sz w:val="19"/>
                <w:szCs w:val="19"/>
                <w:lang w:eastAsia="en-US"/>
              </w:rPr>
              <w:t>CI)</w:t>
            </w:r>
            <w:r w:rsidR="00C20845">
              <w:rPr>
                <w:rFonts w:ascii="Arial Narrow" w:hAnsi="Arial Narrow"/>
                <w:sz w:val="19"/>
                <w:szCs w:val="19"/>
                <w:lang w:eastAsia="en-US"/>
              </w:rPr>
              <w:t>, months</w:t>
            </w:r>
          </w:p>
        </w:tc>
      </w:tr>
      <w:tr w:rsidR="00C75B03" w:rsidRPr="000F2527" w:rsidTr="004251C9">
        <w:trPr>
          <w:cnfStyle w:val="100000000000" w:firstRow="1" w:lastRow="0" w:firstColumn="0" w:lastColumn="0" w:oddVBand="0" w:evenVBand="0" w:oddHBand="0" w:evenHBand="0" w:firstRowFirstColumn="0" w:firstRowLastColumn="0" w:lastRowFirstColumn="0" w:lastRowLastColumn="0"/>
          <w:tblHeader/>
        </w:trPr>
        <w:tc>
          <w:tcPr>
            <w:tcW w:w="1306" w:type="pct"/>
            <w:vMerge/>
            <w:shd w:val="clear" w:color="auto" w:fill="auto"/>
          </w:tcPr>
          <w:p w:rsidR="00C75B03" w:rsidRPr="000F2527" w:rsidRDefault="00C75B03" w:rsidP="00244A68">
            <w:pPr>
              <w:keepNext/>
              <w:spacing w:before="10" w:after="10"/>
              <w:rPr>
                <w:rFonts w:ascii="Arial Narrow" w:hAnsi="Arial Narrow"/>
                <w:sz w:val="19"/>
                <w:szCs w:val="19"/>
                <w:lang w:eastAsia="en-US"/>
              </w:rPr>
            </w:pP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b w:val="0"/>
                <w:sz w:val="19"/>
                <w:szCs w:val="19"/>
                <w:lang w:eastAsia="en-US"/>
              </w:rPr>
            </w:pPr>
            <w:proofErr w:type="spellStart"/>
            <w:r w:rsidRPr="000F2527">
              <w:rPr>
                <w:rFonts w:ascii="Arial Narrow" w:hAnsi="Arial Narrow"/>
                <w:b w:val="0"/>
                <w:sz w:val="19"/>
                <w:szCs w:val="19"/>
                <w:lang w:eastAsia="en-US"/>
              </w:rPr>
              <w:t>Olaparib</w:t>
            </w:r>
            <w:proofErr w:type="spellEnd"/>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b w:val="0"/>
                <w:sz w:val="19"/>
                <w:szCs w:val="19"/>
                <w:lang w:eastAsia="en-US"/>
              </w:rPr>
            </w:pPr>
            <w:r w:rsidRPr="000F2527">
              <w:rPr>
                <w:rFonts w:ascii="Arial Narrow" w:hAnsi="Arial Narrow"/>
                <w:b w:val="0"/>
                <w:sz w:val="19"/>
                <w:szCs w:val="19"/>
                <w:lang w:eastAsia="en-US"/>
              </w:rPr>
              <w:t>NHA</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b w:val="0"/>
                <w:sz w:val="19"/>
                <w:szCs w:val="19"/>
                <w:lang w:eastAsia="en-US"/>
              </w:rPr>
            </w:pPr>
            <w:r w:rsidRPr="000F2527">
              <w:rPr>
                <w:rFonts w:ascii="Arial Narrow" w:hAnsi="Arial Narrow"/>
                <w:b w:val="0"/>
                <w:sz w:val="19"/>
                <w:szCs w:val="19"/>
                <w:lang w:eastAsia="en-US"/>
              </w:rPr>
              <w:t>HR</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b w:val="0"/>
                <w:sz w:val="19"/>
                <w:szCs w:val="19"/>
                <w:lang w:eastAsia="en-US"/>
              </w:rPr>
            </w:pPr>
            <w:proofErr w:type="spellStart"/>
            <w:r w:rsidRPr="000F2527">
              <w:rPr>
                <w:rFonts w:ascii="Arial Narrow" w:hAnsi="Arial Narrow"/>
                <w:b w:val="0"/>
                <w:sz w:val="19"/>
                <w:szCs w:val="19"/>
                <w:lang w:eastAsia="en-US"/>
              </w:rPr>
              <w:t>Olaparib</w:t>
            </w:r>
            <w:proofErr w:type="spellEnd"/>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b w:val="0"/>
                <w:sz w:val="19"/>
                <w:szCs w:val="19"/>
                <w:lang w:eastAsia="en-US"/>
              </w:rPr>
            </w:pPr>
            <w:r w:rsidRPr="000F2527">
              <w:rPr>
                <w:rFonts w:ascii="Arial Narrow" w:hAnsi="Arial Narrow"/>
                <w:b w:val="0"/>
                <w:sz w:val="19"/>
                <w:szCs w:val="19"/>
                <w:lang w:eastAsia="en-US"/>
              </w:rPr>
              <w:t>NHA</w:t>
            </w:r>
          </w:p>
        </w:tc>
      </w:tr>
      <w:tr w:rsidR="00C75B03" w:rsidRPr="000F2527" w:rsidTr="0088177D">
        <w:tc>
          <w:tcPr>
            <w:tcW w:w="5000" w:type="pct"/>
            <w:gridSpan w:val="6"/>
            <w:shd w:val="clear" w:color="auto" w:fill="auto"/>
            <w:vAlign w:val="center"/>
          </w:tcPr>
          <w:p w:rsidR="00C75B03" w:rsidRPr="000F2527" w:rsidRDefault="00C75B03" w:rsidP="00244A68">
            <w:pPr>
              <w:keepNext/>
              <w:spacing w:before="10" w:after="10"/>
              <w:jc w:val="left"/>
              <w:rPr>
                <w:rFonts w:ascii="Arial Narrow" w:hAnsi="Arial Narrow"/>
                <w:sz w:val="19"/>
                <w:szCs w:val="19"/>
                <w:lang w:eastAsia="en-US"/>
              </w:rPr>
            </w:pPr>
            <w:r w:rsidRPr="000F2527">
              <w:rPr>
                <w:rFonts w:ascii="Arial Narrow" w:hAnsi="Arial Narrow"/>
                <w:b/>
                <w:sz w:val="19"/>
                <w:szCs w:val="19"/>
                <w:lang w:val="en-AU"/>
              </w:rPr>
              <w:t>Radiological progression-free survival (</w:t>
            </w:r>
            <w:proofErr w:type="spellStart"/>
            <w:r w:rsidRPr="000F2527">
              <w:rPr>
                <w:rFonts w:ascii="Arial Narrow" w:hAnsi="Arial Narrow"/>
                <w:b/>
                <w:sz w:val="19"/>
                <w:szCs w:val="19"/>
                <w:lang w:val="en-AU"/>
              </w:rPr>
              <w:t>rPFS</w:t>
            </w:r>
            <w:proofErr w:type="spellEnd"/>
            <w:r w:rsidRPr="000F2527">
              <w:rPr>
                <w:rFonts w:ascii="Arial Narrow" w:hAnsi="Arial Narrow"/>
                <w:b/>
                <w:sz w:val="19"/>
                <w:szCs w:val="19"/>
                <w:lang w:val="en-AU"/>
              </w:rPr>
              <w:t>) – BICR assessed (data cut off: 4 June 2019)</w:t>
            </w:r>
          </w:p>
        </w:tc>
      </w:tr>
      <w:tr w:rsidR="00C75B03" w:rsidRPr="000F2527" w:rsidTr="0088177D">
        <w:tc>
          <w:tcPr>
            <w:tcW w:w="1306" w:type="pct"/>
            <w:shd w:val="clear" w:color="auto" w:fill="auto"/>
          </w:tcPr>
          <w:p w:rsidR="00C75B03" w:rsidRPr="000F2527" w:rsidRDefault="00C75B03" w:rsidP="00244A68">
            <w:pPr>
              <w:keepNext/>
              <w:spacing w:before="10" w:after="10"/>
              <w:rPr>
                <w:rFonts w:ascii="Arial Narrow" w:hAnsi="Arial Narrow"/>
                <w:sz w:val="19"/>
                <w:szCs w:val="19"/>
                <w:lang w:eastAsia="en-US"/>
              </w:rPr>
            </w:pPr>
            <w:r w:rsidRPr="000F2527">
              <w:rPr>
                <w:rFonts w:ascii="Arial Narrow" w:hAnsi="Arial Narrow"/>
                <w:sz w:val="19"/>
                <w:szCs w:val="19"/>
                <w:lang w:eastAsia="en-US"/>
              </w:rPr>
              <w:t>Cohort A (ITT)^ (</w:t>
            </w:r>
            <w:r w:rsidRPr="00F00AC5">
              <w:rPr>
                <w:rFonts w:ascii="Arial Narrow" w:hAnsi="Arial Narrow"/>
                <w:i/>
                <w:sz w:val="19"/>
                <w:szCs w:val="19"/>
                <w:lang w:eastAsia="en-US"/>
              </w:rPr>
              <w:t>BRCA1/2, ATM</w:t>
            </w:r>
            <w:r w:rsidRPr="000F2527">
              <w:rPr>
                <w:rFonts w:ascii="Arial Narrow" w:hAnsi="Arial Narrow"/>
                <w:sz w:val="19"/>
                <w:szCs w:val="19"/>
                <w:lang w:eastAsia="en-US"/>
              </w:rPr>
              <w:t>)</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106/162 (65.4)</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68/83 (81.9)</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b/>
                <w:bCs/>
                <w:sz w:val="19"/>
                <w:szCs w:val="19"/>
                <w:lang w:val="en-AU"/>
              </w:rPr>
              <w:t>0.34 (0.25, 0.47)</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val="en-AU"/>
              </w:rPr>
            </w:pPr>
            <w:r w:rsidRPr="000F2527">
              <w:rPr>
                <w:rFonts w:ascii="Arial Narrow" w:hAnsi="Arial Narrow"/>
                <w:sz w:val="19"/>
                <w:szCs w:val="19"/>
                <w:lang w:val="en-AU"/>
              </w:rPr>
              <w:t>7.39 (6.24, 9.33)</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val="en-AU"/>
              </w:rPr>
              <w:t>3.55 (1.91, 3.71)</w:t>
            </w:r>
          </w:p>
        </w:tc>
      </w:tr>
      <w:tr w:rsidR="00C75B03" w:rsidRPr="000F2527" w:rsidTr="0088177D">
        <w:tc>
          <w:tcPr>
            <w:tcW w:w="1306" w:type="pct"/>
            <w:shd w:val="clear" w:color="auto" w:fill="auto"/>
          </w:tcPr>
          <w:p w:rsidR="00C75B03" w:rsidRPr="000F2527" w:rsidRDefault="00C75B03" w:rsidP="00244A68">
            <w:pPr>
              <w:keepNext/>
              <w:spacing w:before="10" w:after="10"/>
              <w:rPr>
                <w:rFonts w:ascii="Arial Narrow" w:hAnsi="Arial Narrow"/>
                <w:sz w:val="19"/>
                <w:szCs w:val="19"/>
                <w:lang w:eastAsia="en-US"/>
              </w:rPr>
            </w:pPr>
            <w:r w:rsidRPr="000F2527">
              <w:rPr>
                <w:rFonts w:ascii="Arial Narrow" w:hAnsi="Arial Narrow"/>
                <w:sz w:val="19"/>
                <w:szCs w:val="19"/>
                <w:lang w:eastAsia="en-US"/>
              </w:rPr>
              <w:t>Cohort A+B</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180/256 (70.3)</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99/131 (75.6)</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b/>
                <w:sz w:val="19"/>
                <w:szCs w:val="19"/>
                <w:lang w:eastAsia="en-US"/>
              </w:rPr>
            </w:pPr>
            <w:r w:rsidRPr="000F2527">
              <w:rPr>
                <w:rFonts w:ascii="Arial Narrow" w:hAnsi="Arial Narrow"/>
                <w:b/>
                <w:sz w:val="19"/>
                <w:szCs w:val="19"/>
                <w:lang w:eastAsia="en-US"/>
              </w:rPr>
              <w:t>0.49 (0.38, 0.63)</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5.82 (5.52, 7.36)</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3.52 (2.20, 3.65)</w:t>
            </w:r>
          </w:p>
        </w:tc>
      </w:tr>
      <w:tr w:rsidR="00C75B03" w:rsidRPr="000F2527" w:rsidTr="0088177D">
        <w:tc>
          <w:tcPr>
            <w:tcW w:w="1306" w:type="pct"/>
            <w:shd w:val="clear" w:color="auto" w:fill="auto"/>
          </w:tcPr>
          <w:p w:rsidR="00C75B03" w:rsidRPr="000F2527" w:rsidRDefault="00C75B03" w:rsidP="00244A68">
            <w:pPr>
              <w:keepNext/>
              <w:spacing w:before="10" w:after="10"/>
              <w:ind w:left="107"/>
              <w:rPr>
                <w:rFonts w:ascii="Arial Narrow" w:hAnsi="Arial Narrow"/>
                <w:sz w:val="19"/>
                <w:szCs w:val="19"/>
                <w:lang w:eastAsia="en-US"/>
              </w:rPr>
            </w:pPr>
            <w:r w:rsidRPr="000F2527">
              <w:rPr>
                <w:rFonts w:ascii="Arial Narrow" w:hAnsi="Arial Narrow"/>
                <w:sz w:val="19"/>
                <w:szCs w:val="19"/>
                <w:lang w:eastAsia="en-US"/>
              </w:rPr>
              <w:t>Cohort A + B (</w:t>
            </w:r>
            <w:r w:rsidRPr="00F00AC5">
              <w:rPr>
                <w:rFonts w:ascii="Arial Narrow" w:hAnsi="Arial Narrow"/>
                <w:i/>
                <w:sz w:val="19"/>
                <w:szCs w:val="19"/>
                <w:lang w:eastAsia="en-US"/>
              </w:rPr>
              <w:t>BRCA1/2</w:t>
            </w:r>
            <w:r w:rsidRPr="000F2527">
              <w:rPr>
                <w:rFonts w:ascii="Arial Narrow" w:hAnsi="Arial Narrow"/>
                <w:sz w:val="19"/>
                <w:szCs w:val="19"/>
                <w:lang w:eastAsia="en-US"/>
              </w:rPr>
              <w:t>)</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62/102 (60.8)</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51/58 (87.9)</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b/>
                <w:sz w:val="19"/>
                <w:szCs w:val="19"/>
                <w:lang w:eastAsia="en-US"/>
              </w:rPr>
            </w:pPr>
            <w:r w:rsidRPr="000F2527">
              <w:rPr>
                <w:rFonts w:ascii="Arial Narrow" w:hAnsi="Arial Narrow"/>
                <w:b/>
                <w:sz w:val="19"/>
                <w:szCs w:val="19"/>
                <w:lang w:eastAsia="en-US"/>
              </w:rPr>
              <w:t>0.22 (0.15, 0.32)</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9.79 (7.62, 11.30</w:t>
            </w:r>
            <w:r w:rsidRPr="000F2527">
              <w:rPr>
                <w:rFonts w:ascii="Arial Narrow" w:hAnsi="Arial Narrow"/>
                <w:sz w:val="19"/>
                <w:szCs w:val="19"/>
                <w:vertAlign w:val="superscript"/>
                <w:lang w:eastAsia="en-US"/>
              </w:rPr>
              <w:t>a</w:t>
            </w:r>
            <w:r w:rsidRPr="000F2527">
              <w:rPr>
                <w:rFonts w:ascii="Arial Narrow" w:hAnsi="Arial Narrow"/>
                <w:sz w:val="19"/>
                <w:szCs w:val="19"/>
                <w:lang w:eastAsia="en-US"/>
              </w:rPr>
              <w:t>)</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2.96 (1.81, 3.55)</w:t>
            </w:r>
          </w:p>
        </w:tc>
      </w:tr>
      <w:tr w:rsidR="00C75B03" w:rsidRPr="000F2527" w:rsidTr="0088177D">
        <w:tc>
          <w:tcPr>
            <w:tcW w:w="1306" w:type="pct"/>
            <w:shd w:val="clear" w:color="auto" w:fill="auto"/>
          </w:tcPr>
          <w:p w:rsidR="00C75B03" w:rsidRPr="000F2527" w:rsidRDefault="00C75B03" w:rsidP="00244A68">
            <w:pPr>
              <w:keepNext/>
              <w:spacing w:before="10" w:after="10"/>
              <w:ind w:left="107"/>
              <w:rPr>
                <w:rFonts w:ascii="Arial Narrow" w:hAnsi="Arial Narrow"/>
                <w:sz w:val="19"/>
                <w:szCs w:val="19"/>
                <w:vertAlign w:val="superscript"/>
                <w:lang w:eastAsia="en-US"/>
              </w:rPr>
            </w:pPr>
            <w:r w:rsidRPr="000F2527">
              <w:rPr>
                <w:rFonts w:ascii="Arial Narrow" w:hAnsi="Arial Narrow"/>
                <w:sz w:val="19"/>
                <w:szCs w:val="19"/>
                <w:lang w:eastAsia="en-US"/>
              </w:rPr>
              <w:t>Cohort A + B (</w:t>
            </w:r>
            <w:r w:rsidRPr="00F00AC5">
              <w:rPr>
                <w:rFonts w:ascii="Arial Narrow" w:hAnsi="Arial Narrow"/>
                <w:i/>
                <w:sz w:val="19"/>
                <w:szCs w:val="19"/>
                <w:lang w:eastAsia="en-US"/>
              </w:rPr>
              <w:t>BRCA1/2, ATM</w:t>
            </w:r>
            <w:r w:rsidRPr="000F2527">
              <w:rPr>
                <w:rFonts w:ascii="Arial Narrow" w:hAnsi="Arial Narrow"/>
                <w:sz w:val="19"/>
                <w:szCs w:val="19"/>
                <w:lang w:eastAsia="en-US"/>
              </w:rPr>
              <w:t>)</w:t>
            </w:r>
            <w:r w:rsidRPr="000F2527">
              <w:rPr>
                <w:rFonts w:ascii="Arial Narrow" w:hAnsi="Arial Narrow"/>
                <w:sz w:val="19"/>
                <w:szCs w:val="19"/>
                <w:vertAlign w:val="superscript"/>
                <w:lang w:eastAsia="en-US"/>
              </w:rPr>
              <w:t>b</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108/165 (65.5)</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69/84 (82.1)</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b/>
                <w:sz w:val="19"/>
                <w:szCs w:val="19"/>
                <w:lang w:eastAsia="en-US"/>
              </w:rPr>
            </w:pPr>
            <w:r w:rsidRPr="000F2527">
              <w:rPr>
                <w:rFonts w:ascii="Arial Narrow" w:hAnsi="Arial Narrow"/>
                <w:b/>
                <w:sz w:val="19"/>
                <w:szCs w:val="19"/>
                <w:lang w:eastAsia="en-US"/>
              </w:rPr>
              <w:t>0.38 (0.28, 0.52)</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7.39 (6.87, 9.33)</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3.52 (1.87, 3.65)</w:t>
            </w:r>
          </w:p>
        </w:tc>
      </w:tr>
      <w:tr w:rsidR="00C75B03" w:rsidRPr="000F2527" w:rsidTr="0088177D">
        <w:tc>
          <w:tcPr>
            <w:tcW w:w="1306" w:type="pct"/>
            <w:shd w:val="clear" w:color="auto" w:fill="auto"/>
          </w:tcPr>
          <w:p w:rsidR="00C75B03" w:rsidRPr="000F2527" w:rsidRDefault="00CD362C" w:rsidP="00244A68">
            <w:pPr>
              <w:keepNext/>
              <w:spacing w:before="10" w:after="10"/>
              <w:ind w:left="107"/>
              <w:rPr>
                <w:rFonts w:ascii="Arial Narrow" w:hAnsi="Arial Narrow"/>
                <w:sz w:val="19"/>
                <w:szCs w:val="19"/>
                <w:vertAlign w:val="superscript"/>
                <w:lang w:eastAsia="en-US"/>
              </w:rPr>
            </w:pPr>
            <w:r w:rsidRPr="000F2527">
              <w:rPr>
                <w:rFonts w:ascii="Arial Narrow" w:hAnsi="Arial Narrow"/>
                <w:sz w:val="19"/>
                <w:szCs w:val="19"/>
                <w:lang w:eastAsia="en-US"/>
              </w:rPr>
              <w:t xml:space="preserve">Cohort </w:t>
            </w:r>
            <w:r w:rsidR="00C75B03" w:rsidRPr="000F2527">
              <w:rPr>
                <w:rFonts w:ascii="Arial Narrow" w:hAnsi="Arial Narrow"/>
                <w:sz w:val="19"/>
                <w:szCs w:val="19"/>
                <w:lang w:eastAsia="en-US"/>
              </w:rPr>
              <w:t xml:space="preserve">B </w:t>
            </w:r>
            <w:proofErr w:type="spellStart"/>
            <w:r w:rsidR="00C75B03" w:rsidRPr="000F2527">
              <w:rPr>
                <w:rFonts w:ascii="Arial Narrow" w:hAnsi="Arial Narrow"/>
                <w:sz w:val="19"/>
                <w:szCs w:val="19"/>
                <w:lang w:eastAsia="en-US"/>
              </w:rPr>
              <w:t>genes</w:t>
            </w:r>
            <w:r w:rsidR="00C75B03" w:rsidRPr="000F2527">
              <w:rPr>
                <w:rFonts w:ascii="Arial Narrow" w:hAnsi="Arial Narrow"/>
                <w:sz w:val="19"/>
                <w:szCs w:val="19"/>
                <w:vertAlign w:val="superscript"/>
                <w:lang w:eastAsia="en-US"/>
              </w:rPr>
              <w:t>c</w:t>
            </w:r>
            <w:proofErr w:type="spellEnd"/>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30/39 (76.9)</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16/24 (66.7)</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1.00 (0.55, 1.88)</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3.91 (2.00, 7.20)</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3.71 (1.87, 5.75)</w:t>
            </w:r>
          </w:p>
        </w:tc>
      </w:tr>
      <w:tr w:rsidR="00C75B03" w:rsidRPr="000F2527" w:rsidTr="0088177D">
        <w:tc>
          <w:tcPr>
            <w:tcW w:w="1306" w:type="pct"/>
            <w:shd w:val="clear" w:color="auto" w:fill="auto"/>
          </w:tcPr>
          <w:p w:rsidR="00C75B03" w:rsidRPr="000F2527" w:rsidRDefault="00C75B03" w:rsidP="00244A68">
            <w:pPr>
              <w:keepNext/>
              <w:spacing w:before="10" w:after="10"/>
              <w:ind w:left="107"/>
              <w:rPr>
                <w:rFonts w:ascii="Arial Narrow" w:hAnsi="Arial Narrow"/>
                <w:sz w:val="19"/>
                <w:szCs w:val="19"/>
                <w:vertAlign w:val="superscript"/>
                <w:lang w:eastAsia="en-US"/>
              </w:rPr>
            </w:pPr>
            <w:r w:rsidRPr="000F2527">
              <w:rPr>
                <w:rFonts w:ascii="Arial Narrow" w:hAnsi="Arial Narrow"/>
                <w:sz w:val="19"/>
                <w:szCs w:val="19"/>
                <w:lang w:eastAsia="en-US"/>
              </w:rPr>
              <w:t xml:space="preserve">Any single HRR </w:t>
            </w:r>
            <w:proofErr w:type="spellStart"/>
            <w:r w:rsidRPr="000F2527">
              <w:rPr>
                <w:rFonts w:ascii="Arial Narrow" w:hAnsi="Arial Narrow"/>
                <w:sz w:val="19"/>
                <w:szCs w:val="19"/>
                <w:lang w:eastAsia="en-US"/>
              </w:rPr>
              <w:t>gene</w:t>
            </w:r>
            <w:r w:rsidRPr="000F2527">
              <w:rPr>
                <w:rFonts w:ascii="Arial Narrow" w:hAnsi="Arial Narrow"/>
                <w:sz w:val="19"/>
                <w:szCs w:val="19"/>
                <w:vertAlign w:val="superscript"/>
                <w:lang w:eastAsia="en-US"/>
              </w:rPr>
              <w:t>d</w:t>
            </w:r>
            <w:proofErr w:type="spellEnd"/>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169/239 (70.7)</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91/120 (75.8)</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b/>
                <w:sz w:val="19"/>
                <w:szCs w:val="19"/>
                <w:lang w:eastAsia="en-US"/>
              </w:rPr>
            </w:pPr>
            <w:r w:rsidRPr="000F2527">
              <w:rPr>
                <w:rFonts w:ascii="Arial Narrow" w:hAnsi="Arial Narrow"/>
                <w:b/>
                <w:sz w:val="19"/>
                <w:szCs w:val="19"/>
                <w:lang w:eastAsia="en-US"/>
              </w:rPr>
              <w:t>0.53 (0.41, 0.69)</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6.08 (5.52, 7.36)</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3.52 (1.97, 3.71)</w:t>
            </w:r>
          </w:p>
        </w:tc>
      </w:tr>
      <w:tr w:rsidR="00C75B03" w:rsidRPr="000F2527" w:rsidTr="0088177D">
        <w:tc>
          <w:tcPr>
            <w:tcW w:w="1306" w:type="pct"/>
            <w:shd w:val="clear" w:color="auto" w:fill="auto"/>
          </w:tcPr>
          <w:p w:rsidR="00C75B03" w:rsidRPr="000F2527" w:rsidRDefault="00C75B03" w:rsidP="00244A68">
            <w:pPr>
              <w:keepNext/>
              <w:spacing w:before="10" w:after="10"/>
              <w:jc w:val="right"/>
              <w:rPr>
                <w:rFonts w:ascii="Arial Narrow" w:hAnsi="Arial Narrow"/>
                <w:sz w:val="19"/>
                <w:szCs w:val="19"/>
                <w:vertAlign w:val="superscript"/>
                <w:lang w:eastAsia="en-US"/>
              </w:rPr>
            </w:pPr>
            <w:r w:rsidRPr="00F00AC5">
              <w:rPr>
                <w:rFonts w:ascii="Arial Narrow" w:hAnsi="Arial Narrow"/>
                <w:i/>
                <w:sz w:val="19"/>
                <w:szCs w:val="19"/>
                <w:lang w:eastAsia="en-US"/>
              </w:rPr>
              <w:t>BRCA1</w:t>
            </w:r>
            <w:r w:rsidRPr="000F2527">
              <w:rPr>
                <w:rFonts w:ascii="Arial Narrow" w:hAnsi="Arial Narrow"/>
                <w:sz w:val="19"/>
                <w:szCs w:val="19"/>
                <w:vertAlign w:val="superscript"/>
                <w:lang w:eastAsia="en-US"/>
              </w:rPr>
              <w:t>d</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7/8 (87.5)</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5/5</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(100)</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0.41 (0.13, 1.39)</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2.07 (1.38, 5.52)</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1.84 (1.71, 3.71)</w:t>
            </w:r>
          </w:p>
        </w:tc>
      </w:tr>
      <w:tr w:rsidR="00C75B03" w:rsidRPr="000F2527" w:rsidTr="0088177D">
        <w:tc>
          <w:tcPr>
            <w:tcW w:w="1306" w:type="pct"/>
            <w:shd w:val="clear" w:color="auto" w:fill="auto"/>
          </w:tcPr>
          <w:p w:rsidR="00C75B03" w:rsidRPr="000F2527" w:rsidRDefault="00C75B03" w:rsidP="00244A68">
            <w:pPr>
              <w:keepNext/>
              <w:spacing w:before="10" w:after="10"/>
              <w:jc w:val="right"/>
              <w:rPr>
                <w:rFonts w:ascii="Arial Narrow" w:hAnsi="Arial Narrow"/>
                <w:sz w:val="19"/>
                <w:szCs w:val="19"/>
                <w:vertAlign w:val="superscript"/>
                <w:lang w:eastAsia="en-US"/>
              </w:rPr>
            </w:pPr>
            <w:r w:rsidRPr="00F00AC5">
              <w:rPr>
                <w:rFonts w:ascii="Arial Narrow" w:hAnsi="Arial Narrow"/>
                <w:i/>
                <w:sz w:val="19"/>
                <w:szCs w:val="19"/>
                <w:lang w:eastAsia="en-US"/>
              </w:rPr>
              <w:t>BRCA2</w:t>
            </w:r>
            <w:r w:rsidRPr="000F2527">
              <w:rPr>
                <w:rFonts w:ascii="Arial Narrow" w:hAnsi="Arial Narrow"/>
                <w:sz w:val="19"/>
                <w:szCs w:val="19"/>
                <w:vertAlign w:val="superscript"/>
                <w:lang w:eastAsia="en-US"/>
              </w:rPr>
              <w:t>d</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47/81 (58.0)</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40/47 (85.1)</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b/>
                <w:sz w:val="19"/>
                <w:szCs w:val="19"/>
                <w:lang w:eastAsia="en-US"/>
              </w:rPr>
            </w:pPr>
            <w:r w:rsidRPr="000F2527">
              <w:rPr>
                <w:rFonts w:ascii="Arial Narrow" w:hAnsi="Arial Narrow"/>
                <w:b/>
                <w:sz w:val="19"/>
                <w:szCs w:val="19"/>
                <w:lang w:eastAsia="en-US"/>
              </w:rPr>
              <w:t>0.21 (0.13, 0.32)</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10.84</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(9.17, 13.08)</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3.48 (1.74, 3.65)</w:t>
            </w:r>
          </w:p>
        </w:tc>
      </w:tr>
      <w:tr w:rsidR="00C75B03" w:rsidRPr="000F2527" w:rsidTr="0088177D">
        <w:tc>
          <w:tcPr>
            <w:tcW w:w="1306" w:type="pct"/>
            <w:shd w:val="clear" w:color="auto" w:fill="auto"/>
          </w:tcPr>
          <w:p w:rsidR="00C75B03" w:rsidRPr="000F2527" w:rsidRDefault="00C75B03" w:rsidP="00244A68">
            <w:pPr>
              <w:keepNext/>
              <w:spacing w:before="10" w:after="10"/>
              <w:jc w:val="right"/>
              <w:rPr>
                <w:rFonts w:ascii="Arial Narrow" w:hAnsi="Arial Narrow"/>
                <w:sz w:val="19"/>
                <w:szCs w:val="19"/>
                <w:vertAlign w:val="superscript"/>
                <w:lang w:eastAsia="en-US"/>
              </w:rPr>
            </w:pPr>
            <w:proofErr w:type="spellStart"/>
            <w:r w:rsidRPr="00F00AC5">
              <w:rPr>
                <w:rFonts w:ascii="Arial Narrow" w:hAnsi="Arial Narrow"/>
                <w:i/>
                <w:sz w:val="19"/>
                <w:szCs w:val="19"/>
                <w:lang w:eastAsia="en-US"/>
              </w:rPr>
              <w:t>ATM</w:t>
            </w:r>
            <w:r w:rsidRPr="000F2527">
              <w:rPr>
                <w:rFonts w:ascii="Arial Narrow" w:hAnsi="Arial Narrow"/>
                <w:sz w:val="19"/>
                <w:szCs w:val="19"/>
                <w:vertAlign w:val="superscript"/>
                <w:lang w:eastAsia="en-US"/>
              </w:rPr>
              <w:t>d</w:t>
            </w:r>
            <w:proofErr w:type="spellEnd"/>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46/62 (74.2)</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17/24 (70.8)</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1.04 (0.61, 1.87)</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5.36 (3.61, 6.21)</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4.70 (1.84, 7.26)</w:t>
            </w:r>
          </w:p>
        </w:tc>
      </w:tr>
      <w:tr w:rsidR="00C75B03" w:rsidRPr="000F2527" w:rsidTr="0088177D">
        <w:tc>
          <w:tcPr>
            <w:tcW w:w="1306" w:type="pct"/>
            <w:shd w:val="clear" w:color="auto" w:fill="auto"/>
          </w:tcPr>
          <w:p w:rsidR="00C75B03" w:rsidRPr="000F2527" w:rsidRDefault="00C75B03" w:rsidP="00244A68">
            <w:pPr>
              <w:keepNext/>
              <w:spacing w:before="10" w:after="10"/>
              <w:jc w:val="right"/>
              <w:rPr>
                <w:rFonts w:ascii="Arial Narrow" w:hAnsi="Arial Narrow"/>
                <w:sz w:val="19"/>
                <w:szCs w:val="19"/>
                <w:vertAlign w:val="superscript"/>
                <w:lang w:eastAsia="en-US"/>
              </w:rPr>
            </w:pPr>
            <w:r w:rsidRPr="00F00AC5">
              <w:rPr>
                <w:rFonts w:ascii="Arial Narrow" w:hAnsi="Arial Narrow"/>
                <w:i/>
                <w:sz w:val="19"/>
                <w:szCs w:val="19"/>
                <w:lang w:eastAsia="en-US"/>
              </w:rPr>
              <w:t>CDK12</w:t>
            </w:r>
            <w:r w:rsidRPr="000F2527">
              <w:rPr>
                <w:rFonts w:ascii="Arial Narrow" w:hAnsi="Arial Narrow"/>
                <w:sz w:val="19"/>
                <w:szCs w:val="19"/>
                <w:vertAlign w:val="superscript"/>
                <w:lang w:eastAsia="en-US"/>
              </w:rPr>
              <w:t>d</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47/61 (77.0)</w:t>
            </w:r>
          </w:p>
        </w:tc>
        <w:tc>
          <w:tcPr>
            <w:tcW w:w="61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18/28 (64.3)</w:t>
            </w:r>
          </w:p>
        </w:tc>
        <w:tc>
          <w:tcPr>
            <w:tcW w:w="770"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0.74 (0.44, 1.31)</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5.09 (3.61, 5.52)</w:t>
            </w:r>
          </w:p>
        </w:tc>
        <w:tc>
          <w:tcPr>
            <w:tcW w:w="846" w:type="pct"/>
            <w:shd w:val="clear" w:color="auto" w:fill="auto"/>
            <w:vAlign w:val="center"/>
          </w:tcPr>
          <w:p w:rsidR="00C75B03" w:rsidRPr="000F2527" w:rsidRDefault="00C75B03" w:rsidP="00244A68">
            <w:pPr>
              <w:keepNext/>
              <w:spacing w:before="10" w:after="10"/>
              <w:jc w:val="center"/>
              <w:rPr>
                <w:rFonts w:ascii="Arial Narrow" w:hAnsi="Arial Narrow"/>
                <w:sz w:val="19"/>
                <w:szCs w:val="19"/>
                <w:lang w:eastAsia="en-US"/>
              </w:rPr>
            </w:pPr>
            <w:r w:rsidRPr="000F2527">
              <w:rPr>
                <w:rFonts w:ascii="Arial Narrow" w:hAnsi="Arial Narrow"/>
                <w:sz w:val="19"/>
                <w:szCs w:val="19"/>
                <w:lang w:eastAsia="en-US"/>
              </w:rPr>
              <w:t>2.20 (1.71, 4.83)</w:t>
            </w:r>
          </w:p>
        </w:tc>
      </w:tr>
      <w:tr w:rsidR="00C75B03" w:rsidRPr="000F2527" w:rsidTr="0088177D">
        <w:tc>
          <w:tcPr>
            <w:tcW w:w="5000" w:type="pct"/>
            <w:gridSpan w:val="6"/>
            <w:shd w:val="clear" w:color="auto" w:fill="auto"/>
          </w:tcPr>
          <w:p w:rsidR="00C75B03" w:rsidRPr="000F2527" w:rsidRDefault="00C75B03" w:rsidP="009B7C88">
            <w:pPr>
              <w:spacing w:before="10" w:after="10"/>
              <w:jc w:val="left"/>
              <w:rPr>
                <w:rFonts w:ascii="Arial Narrow" w:hAnsi="Arial Narrow"/>
                <w:b/>
                <w:sz w:val="19"/>
                <w:szCs w:val="19"/>
                <w:lang w:eastAsia="en-US"/>
              </w:rPr>
            </w:pPr>
            <w:r w:rsidRPr="000F2527">
              <w:rPr>
                <w:rFonts w:ascii="Arial Narrow" w:hAnsi="Arial Narrow"/>
                <w:b/>
                <w:sz w:val="19"/>
                <w:szCs w:val="19"/>
                <w:lang w:eastAsia="en-US"/>
              </w:rPr>
              <w:t>Overall survival (OS) (final analysis, data cut off 20 March 2020)</w:t>
            </w:r>
          </w:p>
        </w:tc>
      </w:tr>
      <w:tr w:rsidR="00C75B03" w:rsidRPr="000F2527" w:rsidTr="0088177D">
        <w:tc>
          <w:tcPr>
            <w:tcW w:w="1306" w:type="pct"/>
            <w:tcBorders>
              <w:bottom w:val="nil"/>
            </w:tcBorders>
            <w:shd w:val="clear" w:color="auto" w:fill="auto"/>
          </w:tcPr>
          <w:p w:rsidR="00C75B03" w:rsidRPr="000F2527" w:rsidRDefault="00C75B03" w:rsidP="009B7C88">
            <w:pPr>
              <w:spacing w:before="10" w:after="10"/>
              <w:rPr>
                <w:rFonts w:ascii="Arial Narrow" w:hAnsi="Arial Narrow"/>
                <w:sz w:val="19"/>
                <w:szCs w:val="19"/>
                <w:lang w:eastAsia="en-US"/>
              </w:rPr>
            </w:pPr>
            <w:r w:rsidRPr="000F2527">
              <w:rPr>
                <w:rFonts w:ascii="Arial Narrow" w:hAnsi="Arial Narrow"/>
                <w:sz w:val="19"/>
                <w:szCs w:val="19"/>
                <w:lang w:eastAsia="en-US"/>
              </w:rPr>
              <w:t>Cohort A (ITT)^ (</w:t>
            </w:r>
            <w:r w:rsidRPr="00F00AC5">
              <w:rPr>
                <w:rFonts w:ascii="Arial Narrow" w:hAnsi="Arial Narrow"/>
                <w:i/>
                <w:sz w:val="19"/>
                <w:szCs w:val="19"/>
                <w:lang w:eastAsia="en-US"/>
              </w:rPr>
              <w:t>BRCA1/2, ATM</w:t>
            </w:r>
            <w:r w:rsidRPr="000F2527">
              <w:rPr>
                <w:rFonts w:ascii="Arial Narrow" w:hAnsi="Arial Narrow"/>
                <w:sz w:val="19"/>
                <w:szCs w:val="19"/>
                <w:lang w:eastAsia="en-US"/>
              </w:rPr>
              <w:t>)</w:t>
            </w:r>
          </w:p>
        </w:tc>
        <w:tc>
          <w:tcPr>
            <w:tcW w:w="61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91/162 (56.2)</w:t>
            </w:r>
          </w:p>
        </w:tc>
        <w:tc>
          <w:tcPr>
            <w:tcW w:w="61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57/83 (68.7)</w:t>
            </w:r>
          </w:p>
        </w:tc>
        <w:tc>
          <w:tcPr>
            <w:tcW w:w="770"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b/>
                <w:bCs/>
                <w:sz w:val="19"/>
                <w:szCs w:val="19"/>
                <w:lang w:val="en-AU"/>
              </w:rPr>
              <w:t>0.69 (0.50, 0.97)</w:t>
            </w:r>
          </w:p>
        </w:tc>
        <w:tc>
          <w:tcPr>
            <w:tcW w:w="84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val="en-AU"/>
              </w:rPr>
              <w:t>19.09</w:t>
            </w:r>
            <w:r w:rsidR="00694050" w:rsidRPr="000F2527">
              <w:rPr>
                <w:rFonts w:ascii="Arial Narrow" w:hAnsi="Arial Narrow"/>
                <w:sz w:val="19"/>
                <w:szCs w:val="19"/>
                <w:lang w:val="en-AU"/>
              </w:rPr>
              <w:t xml:space="preserve"> </w:t>
            </w:r>
            <w:r w:rsidRPr="000F2527">
              <w:rPr>
                <w:rFonts w:ascii="Arial Narrow" w:hAnsi="Arial Narrow"/>
                <w:sz w:val="19"/>
                <w:szCs w:val="19"/>
                <w:lang w:val="en-AU"/>
              </w:rPr>
              <w:t>(17.35,</w:t>
            </w:r>
            <w:r w:rsidR="00694050" w:rsidRPr="000F2527">
              <w:rPr>
                <w:rFonts w:ascii="Arial Narrow" w:hAnsi="Arial Narrow"/>
                <w:sz w:val="19"/>
                <w:szCs w:val="19"/>
                <w:lang w:val="en-AU"/>
              </w:rPr>
              <w:t xml:space="preserve"> </w:t>
            </w:r>
            <w:r w:rsidRPr="000F2527">
              <w:rPr>
                <w:rFonts w:ascii="Arial Narrow" w:hAnsi="Arial Narrow"/>
                <w:sz w:val="19"/>
                <w:szCs w:val="19"/>
                <w:lang w:val="en-AU"/>
              </w:rPr>
              <w:t>23.43)</w:t>
            </w:r>
          </w:p>
        </w:tc>
        <w:tc>
          <w:tcPr>
            <w:tcW w:w="84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val="en-AU"/>
              </w:rPr>
              <w:t>14.69 (11.93,</w:t>
            </w:r>
            <w:r w:rsidR="00694050" w:rsidRPr="000F2527">
              <w:rPr>
                <w:rFonts w:ascii="Arial Narrow" w:hAnsi="Arial Narrow"/>
                <w:sz w:val="19"/>
                <w:szCs w:val="19"/>
                <w:lang w:val="en-AU"/>
              </w:rPr>
              <w:t xml:space="preserve"> </w:t>
            </w:r>
            <w:r w:rsidRPr="000F2527">
              <w:rPr>
                <w:rFonts w:ascii="Arial Narrow" w:hAnsi="Arial Narrow"/>
                <w:sz w:val="19"/>
                <w:szCs w:val="19"/>
                <w:lang w:val="en-AU"/>
              </w:rPr>
              <w:t>18.79)</w:t>
            </w:r>
          </w:p>
        </w:tc>
      </w:tr>
      <w:tr w:rsidR="00C75B03" w:rsidRPr="000F2527" w:rsidTr="0088177D">
        <w:tc>
          <w:tcPr>
            <w:tcW w:w="1306" w:type="pct"/>
            <w:tcBorders>
              <w:top w:val="nil"/>
            </w:tcBorders>
            <w:shd w:val="clear" w:color="auto" w:fill="auto"/>
            <w:vAlign w:val="center"/>
          </w:tcPr>
          <w:p w:rsidR="00C75B03" w:rsidRPr="000F2527" w:rsidRDefault="00C75B03" w:rsidP="00EB602F">
            <w:pPr>
              <w:spacing w:before="10" w:after="10"/>
              <w:jc w:val="right"/>
              <w:rPr>
                <w:rFonts w:ascii="Arial Narrow" w:hAnsi="Arial Narrow"/>
                <w:sz w:val="19"/>
                <w:szCs w:val="19"/>
                <w:lang w:eastAsia="en-US"/>
              </w:rPr>
            </w:pPr>
            <w:r w:rsidRPr="000F2527">
              <w:rPr>
                <w:rFonts w:ascii="Arial Narrow" w:hAnsi="Arial Narrow"/>
                <w:sz w:val="19"/>
                <w:szCs w:val="19"/>
                <w:lang w:eastAsia="en-US"/>
              </w:rPr>
              <w:t>-</w:t>
            </w:r>
            <w:proofErr w:type="spellStart"/>
            <w:r w:rsidRPr="000F2527">
              <w:rPr>
                <w:rFonts w:ascii="Arial Narrow" w:hAnsi="Arial Narrow"/>
                <w:sz w:val="19"/>
                <w:szCs w:val="19"/>
                <w:lang w:eastAsia="en-US"/>
              </w:rPr>
              <w:t>Adjusted</w:t>
            </w:r>
            <w:r w:rsidR="00744AE1" w:rsidRPr="000F2527">
              <w:rPr>
                <w:rFonts w:ascii="Arial Narrow" w:hAnsi="Arial Narrow"/>
                <w:sz w:val="19"/>
                <w:szCs w:val="19"/>
                <w:vertAlign w:val="superscript"/>
                <w:lang w:eastAsia="en-US"/>
              </w:rPr>
              <w:t>f</w:t>
            </w:r>
            <w:proofErr w:type="spellEnd"/>
            <w:r w:rsidRPr="000F2527">
              <w:rPr>
                <w:rFonts w:ascii="Arial Narrow" w:hAnsi="Arial Narrow"/>
                <w:sz w:val="19"/>
                <w:szCs w:val="19"/>
                <w:lang w:eastAsia="en-US"/>
              </w:rPr>
              <w:t xml:space="preserve"> for </w:t>
            </w:r>
            <w:r w:rsidR="00744AE1" w:rsidRPr="000F2527">
              <w:rPr>
                <w:rFonts w:ascii="Arial Narrow" w:hAnsi="Arial Narrow"/>
                <w:sz w:val="19"/>
                <w:szCs w:val="19"/>
                <w:lang w:eastAsia="en-US"/>
              </w:rPr>
              <w:t xml:space="preserve">67% </w:t>
            </w:r>
            <w:r w:rsidRPr="000F2527">
              <w:rPr>
                <w:rFonts w:ascii="Arial Narrow" w:hAnsi="Arial Narrow"/>
                <w:sz w:val="19"/>
                <w:szCs w:val="19"/>
                <w:lang w:eastAsia="en-US"/>
              </w:rPr>
              <w:t>cross</w:t>
            </w:r>
            <w:r w:rsidR="00744AE1" w:rsidRPr="000F2527">
              <w:rPr>
                <w:rFonts w:ascii="Arial Narrow" w:hAnsi="Arial Narrow"/>
                <w:sz w:val="19"/>
                <w:szCs w:val="19"/>
                <w:lang w:eastAsia="en-US"/>
              </w:rPr>
              <w:t>ed</w:t>
            </w:r>
            <w:r w:rsidRPr="000F2527">
              <w:rPr>
                <w:rFonts w:ascii="Arial Narrow" w:hAnsi="Arial Narrow"/>
                <w:sz w:val="19"/>
                <w:szCs w:val="19"/>
                <w:lang w:eastAsia="en-US"/>
              </w:rPr>
              <w:t xml:space="preserve"> over</w:t>
            </w:r>
          </w:p>
        </w:tc>
        <w:tc>
          <w:tcPr>
            <w:tcW w:w="616" w:type="pct"/>
            <w:tcBorders>
              <w:top w:val="nil"/>
            </w:tcBorders>
            <w:shd w:val="clear" w:color="auto" w:fill="auto"/>
            <w:vAlign w:val="center"/>
          </w:tcPr>
          <w:p w:rsidR="00C75B03" w:rsidRPr="000F2527" w:rsidRDefault="000761CF" w:rsidP="009B7C88">
            <w:pPr>
              <w:spacing w:before="10" w:after="10"/>
              <w:jc w:val="center"/>
              <w:rPr>
                <w:rFonts w:ascii="Arial Narrow" w:hAnsi="Arial Narrow"/>
                <w:sz w:val="19"/>
                <w:szCs w:val="19"/>
                <w:lang w:eastAsia="en-US"/>
              </w:rPr>
            </w:pPr>
            <w:r>
              <w:rPr>
                <w:rFonts w:ascii="Arial Narrow" w:hAnsi="Arial Narrow"/>
                <w:sz w:val="19"/>
                <w:szCs w:val="19"/>
                <w:lang w:eastAsia="en-US"/>
              </w:rPr>
              <w:t>-</w:t>
            </w:r>
          </w:p>
        </w:tc>
        <w:tc>
          <w:tcPr>
            <w:tcW w:w="616" w:type="pct"/>
            <w:tcBorders>
              <w:top w:val="nil"/>
            </w:tcBorders>
            <w:shd w:val="clear" w:color="auto" w:fill="auto"/>
            <w:vAlign w:val="center"/>
          </w:tcPr>
          <w:p w:rsidR="00C75B03" w:rsidRPr="000F2527" w:rsidRDefault="000761CF" w:rsidP="009B7C88">
            <w:pPr>
              <w:spacing w:before="10" w:after="10"/>
              <w:jc w:val="center"/>
              <w:rPr>
                <w:rFonts w:ascii="Arial Narrow" w:hAnsi="Arial Narrow"/>
                <w:sz w:val="19"/>
                <w:szCs w:val="19"/>
                <w:lang w:eastAsia="en-US"/>
              </w:rPr>
            </w:pPr>
            <w:r>
              <w:rPr>
                <w:rFonts w:ascii="Arial Narrow" w:hAnsi="Arial Narrow"/>
                <w:sz w:val="19"/>
                <w:szCs w:val="19"/>
                <w:lang w:eastAsia="en-US"/>
              </w:rPr>
              <w:t>-</w:t>
            </w:r>
          </w:p>
        </w:tc>
        <w:tc>
          <w:tcPr>
            <w:tcW w:w="770" w:type="pct"/>
            <w:tcBorders>
              <w:top w:val="nil"/>
            </w:tcBorders>
            <w:shd w:val="clear" w:color="auto" w:fill="auto"/>
            <w:vAlign w:val="center"/>
          </w:tcPr>
          <w:p w:rsidR="00C75B03" w:rsidRPr="00557D6B" w:rsidRDefault="00E60C03" w:rsidP="009B7C88">
            <w:pPr>
              <w:spacing w:before="10" w:after="10"/>
              <w:jc w:val="center"/>
              <w:rPr>
                <w:rFonts w:ascii="Arial Narrow" w:hAnsi="Arial Narrow"/>
                <w:b/>
                <w:bCs/>
                <w:sz w:val="19"/>
                <w:szCs w:val="19"/>
                <w:vertAlign w:val="superscript"/>
              </w:rPr>
            </w:pPr>
            <w:r>
              <w:rPr>
                <w:rFonts w:ascii="Arial Narrow" w:hAnsi="Arial Narrow"/>
                <w:b/>
                <w:bCs/>
                <w:noProof/>
                <w:color w:val="000000"/>
                <w:sz w:val="19"/>
                <w:szCs w:val="19"/>
                <w:highlight w:val="black"/>
              </w:rPr>
              <w:t>''''''''' '''''''''''' ''''''''''''''</w:t>
            </w:r>
          </w:p>
        </w:tc>
        <w:tc>
          <w:tcPr>
            <w:tcW w:w="846" w:type="pct"/>
            <w:tcBorders>
              <w:top w:val="nil"/>
            </w:tcBorders>
            <w:shd w:val="clear" w:color="auto" w:fill="auto"/>
            <w:vAlign w:val="center"/>
          </w:tcPr>
          <w:p w:rsidR="00C75B03" w:rsidRPr="000F2527" w:rsidRDefault="000761CF" w:rsidP="009B7C88">
            <w:pPr>
              <w:spacing w:before="10" w:after="10"/>
              <w:jc w:val="center"/>
              <w:rPr>
                <w:rFonts w:ascii="Arial Narrow" w:hAnsi="Arial Narrow"/>
                <w:sz w:val="19"/>
                <w:szCs w:val="19"/>
              </w:rPr>
            </w:pPr>
            <w:r>
              <w:rPr>
                <w:rFonts w:ascii="Arial Narrow" w:hAnsi="Arial Narrow"/>
                <w:sz w:val="19"/>
                <w:szCs w:val="19"/>
              </w:rPr>
              <w:t>-</w:t>
            </w:r>
          </w:p>
        </w:tc>
        <w:tc>
          <w:tcPr>
            <w:tcW w:w="846" w:type="pct"/>
            <w:tcBorders>
              <w:top w:val="nil"/>
            </w:tcBorders>
            <w:shd w:val="clear" w:color="auto" w:fill="auto"/>
            <w:vAlign w:val="center"/>
          </w:tcPr>
          <w:p w:rsidR="00C75B03" w:rsidRPr="000F2527" w:rsidRDefault="00C75B03" w:rsidP="009B7C88">
            <w:pPr>
              <w:spacing w:before="10" w:after="10"/>
              <w:jc w:val="center"/>
              <w:rPr>
                <w:rFonts w:ascii="Arial Narrow" w:hAnsi="Arial Narrow"/>
                <w:sz w:val="19"/>
                <w:szCs w:val="19"/>
                <w:vertAlign w:val="superscript"/>
              </w:rPr>
            </w:pPr>
            <w:r w:rsidRPr="000F2527">
              <w:rPr>
                <w:rFonts w:ascii="Arial Narrow" w:hAnsi="Arial Narrow"/>
                <w:sz w:val="19"/>
                <w:szCs w:val="19"/>
              </w:rPr>
              <w:t>11.73 (NR, NR)</w:t>
            </w:r>
          </w:p>
        </w:tc>
      </w:tr>
      <w:tr w:rsidR="00C75B03" w:rsidRPr="000F2527" w:rsidTr="0088177D">
        <w:tc>
          <w:tcPr>
            <w:tcW w:w="1306" w:type="pct"/>
            <w:shd w:val="clear" w:color="auto" w:fill="auto"/>
          </w:tcPr>
          <w:p w:rsidR="00C75B03" w:rsidRPr="000F2527" w:rsidRDefault="00C75B03" w:rsidP="009B7C88">
            <w:pPr>
              <w:spacing w:before="10" w:after="10"/>
              <w:rPr>
                <w:rFonts w:ascii="Arial Narrow" w:hAnsi="Arial Narrow"/>
                <w:sz w:val="19"/>
                <w:szCs w:val="19"/>
                <w:lang w:eastAsia="en-US"/>
              </w:rPr>
            </w:pPr>
            <w:r w:rsidRPr="000F2527">
              <w:rPr>
                <w:rFonts w:ascii="Arial Narrow" w:hAnsi="Arial Narrow"/>
                <w:sz w:val="19"/>
                <w:szCs w:val="19"/>
                <w:lang w:eastAsia="en-US"/>
              </w:rPr>
              <w:t>Cohort A+B</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160/256 (62.5)</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88/131 (67.2)</w:t>
            </w:r>
          </w:p>
        </w:tc>
        <w:tc>
          <w:tcPr>
            <w:tcW w:w="770"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0.79 (0.61,</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1.03)</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17.31 (15.47,</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18.63)</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14.00 (11.47,</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17.08)</w:t>
            </w:r>
          </w:p>
        </w:tc>
      </w:tr>
      <w:tr w:rsidR="00C75B03" w:rsidRPr="000F2527" w:rsidTr="0088177D">
        <w:tc>
          <w:tcPr>
            <w:tcW w:w="1306" w:type="pct"/>
            <w:tcBorders>
              <w:bottom w:val="nil"/>
            </w:tcBorders>
            <w:shd w:val="clear" w:color="auto" w:fill="auto"/>
          </w:tcPr>
          <w:p w:rsidR="00C75B03" w:rsidRPr="000F2527" w:rsidRDefault="00C75B03" w:rsidP="009B7C88">
            <w:pPr>
              <w:spacing w:before="10" w:after="10"/>
              <w:ind w:left="107"/>
              <w:rPr>
                <w:rFonts w:ascii="Arial Narrow" w:hAnsi="Arial Narrow"/>
                <w:sz w:val="19"/>
                <w:szCs w:val="19"/>
                <w:lang w:eastAsia="en-US"/>
              </w:rPr>
            </w:pPr>
            <w:r w:rsidRPr="000F2527">
              <w:rPr>
                <w:rFonts w:ascii="Arial Narrow" w:hAnsi="Arial Narrow"/>
                <w:sz w:val="19"/>
                <w:szCs w:val="19"/>
                <w:lang w:eastAsia="en-US"/>
              </w:rPr>
              <w:t>Cohort A + B (</w:t>
            </w:r>
            <w:r w:rsidRPr="00F00AC5">
              <w:rPr>
                <w:rFonts w:ascii="Arial Narrow" w:hAnsi="Arial Narrow"/>
                <w:i/>
                <w:sz w:val="19"/>
                <w:szCs w:val="19"/>
                <w:lang w:eastAsia="en-US"/>
              </w:rPr>
              <w:t>BRCA1/2</w:t>
            </w:r>
            <w:r w:rsidRPr="000F2527">
              <w:rPr>
                <w:rFonts w:ascii="Arial Narrow" w:hAnsi="Arial Narrow"/>
                <w:sz w:val="19"/>
                <w:szCs w:val="19"/>
                <w:lang w:eastAsia="en-US"/>
              </w:rPr>
              <w:t>)</w:t>
            </w:r>
          </w:p>
        </w:tc>
        <w:tc>
          <w:tcPr>
            <w:tcW w:w="61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vertAlign w:val="superscript"/>
                <w:lang w:eastAsia="en-US"/>
              </w:rPr>
            </w:pPr>
            <w:r w:rsidRPr="000F2527">
              <w:rPr>
                <w:rFonts w:ascii="Arial Narrow" w:hAnsi="Arial Narrow"/>
                <w:sz w:val="19"/>
                <w:szCs w:val="19"/>
                <w:lang w:eastAsia="en-US"/>
              </w:rPr>
              <w:t>53/102 (52.0)</w:t>
            </w:r>
            <w:r w:rsidRPr="000F2527">
              <w:rPr>
                <w:rFonts w:ascii="Arial Narrow" w:hAnsi="Arial Narrow"/>
                <w:sz w:val="19"/>
                <w:szCs w:val="19"/>
                <w:vertAlign w:val="superscript"/>
                <w:lang w:eastAsia="en-US"/>
              </w:rPr>
              <w:t>e</w:t>
            </w:r>
          </w:p>
        </w:tc>
        <w:tc>
          <w:tcPr>
            <w:tcW w:w="61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vertAlign w:val="superscript"/>
                <w:lang w:eastAsia="en-US"/>
              </w:rPr>
            </w:pPr>
            <w:r w:rsidRPr="000F2527">
              <w:rPr>
                <w:rFonts w:ascii="Arial Narrow" w:hAnsi="Arial Narrow"/>
                <w:sz w:val="19"/>
                <w:szCs w:val="19"/>
                <w:lang w:eastAsia="en-US"/>
              </w:rPr>
              <w:t>41/58 (70.7)</w:t>
            </w:r>
            <w:r w:rsidRPr="000F2527">
              <w:rPr>
                <w:rFonts w:ascii="Arial Narrow" w:hAnsi="Arial Narrow"/>
                <w:sz w:val="19"/>
                <w:szCs w:val="19"/>
                <w:vertAlign w:val="superscript"/>
                <w:lang w:eastAsia="en-US"/>
              </w:rPr>
              <w:t>e</w:t>
            </w:r>
          </w:p>
        </w:tc>
        <w:tc>
          <w:tcPr>
            <w:tcW w:w="770"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eastAsia="TimesNewRoman" w:hAnsi="Arial Narrow" w:cs="Arial"/>
                <w:b/>
                <w:sz w:val="19"/>
                <w:szCs w:val="19"/>
                <w:lang w:val="en-AU"/>
              </w:rPr>
              <w:t>0.63 (0.42, 0.95)</w:t>
            </w:r>
          </w:p>
        </w:tc>
        <w:tc>
          <w:tcPr>
            <w:tcW w:w="84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20.11 (17.35,</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26.81)</w:t>
            </w:r>
          </w:p>
        </w:tc>
        <w:tc>
          <w:tcPr>
            <w:tcW w:w="84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14.44 (10.71,</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18.89)</w:t>
            </w:r>
          </w:p>
        </w:tc>
      </w:tr>
      <w:tr w:rsidR="00C75B03" w:rsidRPr="000F2527" w:rsidTr="0088177D">
        <w:tc>
          <w:tcPr>
            <w:tcW w:w="1306" w:type="pct"/>
            <w:shd w:val="clear" w:color="auto" w:fill="auto"/>
          </w:tcPr>
          <w:p w:rsidR="00C75B03" w:rsidRPr="000F2527" w:rsidRDefault="00C75B03" w:rsidP="009B7C88">
            <w:pPr>
              <w:spacing w:before="10" w:after="10"/>
              <w:ind w:left="107"/>
              <w:rPr>
                <w:rFonts w:ascii="Arial Narrow" w:hAnsi="Arial Narrow"/>
                <w:sz w:val="19"/>
                <w:szCs w:val="19"/>
                <w:vertAlign w:val="superscript"/>
                <w:lang w:eastAsia="en-US"/>
              </w:rPr>
            </w:pPr>
            <w:r w:rsidRPr="000F2527">
              <w:rPr>
                <w:rFonts w:ascii="Arial Narrow" w:hAnsi="Arial Narrow"/>
                <w:sz w:val="19"/>
                <w:szCs w:val="19"/>
                <w:lang w:eastAsia="en-US"/>
              </w:rPr>
              <w:t>Cohort A + B (</w:t>
            </w:r>
            <w:r w:rsidRPr="00F00AC5">
              <w:rPr>
                <w:rFonts w:ascii="Arial Narrow" w:hAnsi="Arial Narrow"/>
                <w:i/>
                <w:sz w:val="19"/>
                <w:szCs w:val="19"/>
                <w:lang w:eastAsia="en-US"/>
              </w:rPr>
              <w:t>BRCA1/2, ATM</w:t>
            </w:r>
            <w:r w:rsidRPr="000F2527">
              <w:rPr>
                <w:rFonts w:ascii="Arial Narrow" w:hAnsi="Arial Narrow"/>
                <w:sz w:val="19"/>
                <w:szCs w:val="19"/>
                <w:lang w:eastAsia="en-US"/>
              </w:rPr>
              <w:t>)</w:t>
            </w:r>
            <w:r w:rsidRPr="000F2527">
              <w:rPr>
                <w:rFonts w:ascii="Arial Narrow" w:hAnsi="Arial Narrow"/>
                <w:sz w:val="19"/>
                <w:szCs w:val="19"/>
                <w:vertAlign w:val="superscript"/>
                <w:lang w:eastAsia="en-US"/>
              </w:rPr>
              <w:t>b</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93/165 (56.4)</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58/84 (69.0)</w:t>
            </w:r>
          </w:p>
        </w:tc>
        <w:tc>
          <w:tcPr>
            <w:tcW w:w="770" w:type="pct"/>
            <w:shd w:val="clear" w:color="auto" w:fill="auto"/>
            <w:vAlign w:val="center"/>
          </w:tcPr>
          <w:p w:rsidR="00C75B03" w:rsidRPr="000F2527" w:rsidRDefault="00C75B03" w:rsidP="009B7C88">
            <w:pPr>
              <w:spacing w:before="10" w:after="10"/>
              <w:jc w:val="center"/>
              <w:rPr>
                <w:rFonts w:ascii="Arial Narrow" w:hAnsi="Arial Narrow"/>
                <w:b/>
                <w:sz w:val="19"/>
                <w:szCs w:val="19"/>
                <w:lang w:eastAsia="en-US"/>
              </w:rPr>
            </w:pPr>
            <w:r w:rsidRPr="000F2527">
              <w:rPr>
                <w:rFonts w:ascii="Arial Narrow" w:hAnsi="Arial Narrow"/>
                <w:b/>
                <w:sz w:val="19"/>
                <w:szCs w:val="19"/>
                <w:lang w:eastAsia="en-US"/>
              </w:rPr>
              <w:t>0.70 (0.51,</w:t>
            </w:r>
            <w:r w:rsidR="00694050" w:rsidRPr="000F2527">
              <w:rPr>
                <w:rFonts w:ascii="Arial Narrow" w:hAnsi="Arial Narrow"/>
                <w:b/>
                <w:sz w:val="19"/>
                <w:szCs w:val="19"/>
                <w:lang w:eastAsia="en-US"/>
              </w:rPr>
              <w:t xml:space="preserve"> </w:t>
            </w:r>
            <w:r w:rsidRPr="000F2527">
              <w:rPr>
                <w:rFonts w:ascii="Arial Narrow" w:hAnsi="Arial Narrow"/>
                <w:b/>
                <w:sz w:val="19"/>
                <w:szCs w:val="19"/>
                <w:lang w:eastAsia="en-US"/>
              </w:rPr>
              <w:t>0.98)</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19.09 (17.35,</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23.43)</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14.62 (11.93,</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18.79)</w:t>
            </w:r>
          </w:p>
        </w:tc>
      </w:tr>
      <w:tr w:rsidR="00C75B03" w:rsidRPr="000F2527" w:rsidTr="0088177D">
        <w:tc>
          <w:tcPr>
            <w:tcW w:w="1306" w:type="pct"/>
            <w:shd w:val="clear" w:color="auto" w:fill="auto"/>
          </w:tcPr>
          <w:p w:rsidR="00C75B03" w:rsidRPr="000F2527" w:rsidRDefault="00C75B03" w:rsidP="009B7C88">
            <w:pPr>
              <w:spacing w:before="10" w:after="10"/>
              <w:ind w:left="107"/>
              <w:rPr>
                <w:rFonts w:ascii="Arial Narrow" w:hAnsi="Arial Narrow"/>
                <w:sz w:val="19"/>
                <w:szCs w:val="19"/>
                <w:vertAlign w:val="superscript"/>
                <w:lang w:eastAsia="en-US"/>
              </w:rPr>
            </w:pPr>
            <w:r w:rsidRPr="000F2527">
              <w:rPr>
                <w:rFonts w:ascii="Arial Narrow" w:hAnsi="Arial Narrow"/>
                <w:sz w:val="19"/>
                <w:szCs w:val="19"/>
                <w:lang w:eastAsia="en-US"/>
              </w:rPr>
              <w:t>Non-BRCA pathogenic variants</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107/154 (69.5)</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47/73 (64.4)</w:t>
            </w:r>
          </w:p>
        </w:tc>
        <w:tc>
          <w:tcPr>
            <w:tcW w:w="770"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0.95 (0.68,</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1.34)</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15.80 (13.86,</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17.31)</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13.34</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(11.17,</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17.74)</w:t>
            </w:r>
          </w:p>
        </w:tc>
      </w:tr>
      <w:tr w:rsidR="007F1EDE" w:rsidRPr="000F2527" w:rsidTr="0088177D">
        <w:tc>
          <w:tcPr>
            <w:tcW w:w="1306" w:type="pct"/>
            <w:tcBorders>
              <w:bottom w:val="nil"/>
            </w:tcBorders>
            <w:shd w:val="clear" w:color="auto" w:fill="auto"/>
          </w:tcPr>
          <w:p w:rsidR="007F1EDE" w:rsidRPr="000F2527" w:rsidRDefault="007F1EDE" w:rsidP="009B7C88">
            <w:pPr>
              <w:spacing w:before="10" w:after="10"/>
              <w:ind w:left="107"/>
              <w:rPr>
                <w:rFonts w:ascii="Arial Narrow" w:hAnsi="Arial Narrow"/>
                <w:sz w:val="19"/>
                <w:szCs w:val="19"/>
                <w:vertAlign w:val="superscript"/>
                <w:lang w:eastAsia="en-US"/>
              </w:rPr>
            </w:pPr>
            <w:r w:rsidRPr="000F2527">
              <w:rPr>
                <w:rFonts w:ascii="Arial Narrow" w:hAnsi="Arial Narrow"/>
                <w:sz w:val="19"/>
                <w:szCs w:val="19"/>
                <w:lang w:eastAsia="en-US"/>
              </w:rPr>
              <w:t xml:space="preserve">Cohort B </w:t>
            </w:r>
            <w:proofErr w:type="spellStart"/>
            <w:r w:rsidRPr="000F2527">
              <w:rPr>
                <w:rFonts w:ascii="Arial Narrow" w:hAnsi="Arial Narrow"/>
                <w:sz w:val="19"/>
                <w:szCs w:val="19"/>
                <w:lang w:eastAsia="en-US"/>
              </w:rPr>
              <w:t>genes</w:t>
            </w:r>
            <w:r w:rsidRPr="000F2527">
              <w:rPr>
                <w:rFonts w:ascii="Arial Narrow" w:hAnsi="Arial Narrow"/>
                <w:sz w:val="19"/>
                <w:szCs w:val="19"/>
                <w:vertAlign w:val="superscript"/>
                <w:lang w:eastAsia="en-US"/>
              </w:rPr>
              <w:t>c</w:t>
            </w:r>
            <w:proofErr w:type="spellEnd"/>
          </w:p>
        </w:tc>
        <w:tc>
          <w:tcPr>
            <w:tcW w:w="616" w:type="pct"/>
            <w:tcBorders>
              <w:bottom w:val="nil"/>
            </w:tcBorders>
            <w:shd w:val="clear" w:color="auto" w:fill="auto"/>
            <w:vAlign w:val="center"/>
          </w:tcPr>
          <w:p w:rsidR="007F1EDE" w:rsidRPr="000F2527" w:rsidRDefault="002E6664"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69/94 (73.4)</w:t>
            </w:r>
          </w:p>
        </w:tc>
        <w:tc>
          <w:tcPr>
            <w:tcW w:w="616" w:type="pct"/>
            <w:tcBorders>
              <w:bottom w:val="nil"/>
            </w:tcBorders>
            <w:shd w:val="clear" w:color="auto" w:fill="auto"/>
            <w:vAlign w:val="center"/>
          </w:tcPr>
          <w:p w:rsidR="007F1EDE" w:rsidRPr="000F2527" w:rsidRDefault="002E6664"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31/48</w:t>
            </w:r>
            <w:r w:rsidR="00DD006F" w:rsidRPr="000F2527">
              <w:rPr>
                <w:rFonts w:ascii="Arial Narrow" w:hAnsi="Arial Narrow"/>
                <w:sz w:val="19"/>
                <w:szCs w:val="19"/>
                <w:lang w:eastAsia="en-US"/>
              </w:rPr>
              <w:t xml:space="preserve"> (64.6)</w:t>
            </w:r>
          </w:p>
        </w:tc>
        <w:tc>
          <w:tcPr>
            <w:tcW w:w="770" w:type="pct"/>
            <w:tcBorders>
              <w:bottom w:val="nil"/>
            </w:tcBorders>
            <w:shd w:val="clear" w:color="auto" w:fill="auto"/>
            <w:vAlign w:val="center"/>
          </w:tcPr>
          <w:p w:rsidR="007F1EDE" w:rsidRPr="000F2527" w:rsidRDefault="002E6664"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0.96 (0.63, 1.49)</w:t>
            </w:r>
          </w:p>
        </w:tc>
        <w:tc>
          <w:tcPr>
            <w:tcW w:w="846" w:type="pct"/>
            <w:tcBorders>
              <w:bottom w:val="nil"/>
            </w:tcBorders>
            <w:shd w:val="clear" w:color="auto" w:fill="auto"/>
            <w:vAlign w:val="center"/>
          </w:tcPr>
          <w:p w:rsidR="007F1EDE" w:rsidRPr="000F2527" w:rsidRDefault="002E6664"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14.1 (11.1, 15.9)</w:t>
            </w:r>
          </w:p>
        </w:tc>
        <w:tc>
          <w:tcPr>
            <w:tcW w:w="846" w:type="pct"/>
            <w:tcBorders>
              <w:bottom w:val="nil"/>
            </w:tcBorders>
            <w:shd w:val="clear" w:color="auto" w:fill="auto"/>
            <w:vAlign w:val="center"/>
          </w:tcPr>
          <w:p w:rsidR="007F1EDE" w:rsidRPr="000F2527" w:rsidRDefault="002E6664"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11.5 (8.2, 17.1)</w:t>
            </w:r>
          </w:p>
        </w:tc>
      </w:tr>
      <w:tr w:rsidR="00744AE1" w:rsidRPr="000F2527" w:rsidTr="0088177D">
        <w:tc>
          <w:tcPr>
            <w:tcW w:w="1306" w:type="pct"/>
            <w:tcBorders>
              <w:top w:val="nil"/>
            </w:tcBorders>
            <w:shd w:val="clear" w:color="auto" w:fill="auto"/>
          </w:tcPr>
          <w:p w:rsidR="00744AE1" w:rsidRPr="000F2527" w:rsidRDefault="00C732C2" w:rsidP="0088177D">
            <w:pPr>
              <w:spacing w:before="10" w:after="10"/>
              <w:jc w:val="right"/>
              <w:rPr>
                <w:rFonts w:ascii="Arial Narrow" w:hAnsi="Arial Narrow"/>
                <w:sz w:val="19"/>
                <w:szCs w:val="19"/>
                <w:lang w:eastAsia="en-US"/>
              </w:rPr>
            </w:pPr>
            <w:r w:rsidRPr="000F2527">
              <w:rPr>
                <w:rFonts w:ascii="Arial Narrow" w:hAnsi="Arial Narrow"/>
                <w:sz w:val="19"/>
                <w:szCs w:val="19"/>
                <w:lang w:eastAsia="en-US"/>
              </w:rPr>
              <w:t>-</w:t>
            </w:r>
            <w:proofErr w:type="spellStart"/>
            <w:r w:rsidRPr="000F2527">
              <w:rPr>
                <w:rFonts w:ascii="Arial Narrow" w:hAnsi="Arial Narrow"/>
                <w:sz w:val="19"/>
                <w:szCs w:val="19"/>
                <w:lang w:eastAsia="en-US"/>
              </w:rPr>
              <w:t>Adjusted</w:t>
            </w:r>
            <w:r w:rsidRPr="000F2527">
              <w:rPr>
                <w:rFonts w:ascii="Arial Narrow" w:hAnsi="Arial Narrow"/>
                <w:sz w:val="19"/>
                <w:szCs w:val="19"/>
                <w:vertAlign w:val="superscript"/>
                <w:lang w:eastAsia="en-US"/>
              </w:rPr>
              <w:t>f</w:t>
            </w:r>
            <w:proofErr w:type="spellEnd"/>
            <w:r w:rsidRPr="000F2527">
              <w:rPr>
                <w:rFonts w:ascii="Arial Narrow" w:hAnsi="Arial Narrow"/>
                <w:sz w:val="19"/>
                <w:szCs w:val="19"/>
                <w:lang w:eastAsia="en-US"/>
              </w:rPr>
              <w:t xml:space="preserve"> for 63% crossed over</w:t>
            </w:r>
          </w:p>
        </w:tc>
        <w:tc>
          <w:tcPr>
            <w:tcW w:w="616" w:type="pct"/>
            <w:tcBorders>
              <w:top w:val="nil"/>
            </w:tcBorders>
            <w:shd w:val="clear" w:color="auto" w:fill="auto"/>
            <w:vAlign w:val="center"/>
          </w:tcPr>
          <w:p w:rsidR="00744AE1" w:rsidRPr="000F2527" w:rsidRDefault="000761CF" w:rsidP="009B7C88">
            <w:pPr>
              <w:spacing w:before="10" w:after="10"/>
              <w:jc w:val="center"/>
              <w:rPr>
                <w:rFonts w:ascii="Arial Narrow" w:hAnsi="Arial Narrow"/>
                <w:sz w:val="19"/>
                <w:szCs w:val="19"/>
                <w:lang w:eastAsia="en-US"/>
              </w:rPr>
            </w:pPr>
            <w:r>
              <w:rPr>
                <w:rFonts w:ascii="Arial Narrow" w:hAnsi="Arial Narrow"/>
                <w:sz w:val="19"/>
                <w:szCs w:val="19"/>
                <w:lang w:eastAsia="en-US"/>
              </w:rPr>
              <w:t>-</w:t>
            </w:r>
          </w:p>
        </w:tc>
        <w:tc>
          <w:tcPr>
            <w:tcW w:w="616" w:type="pct"/>
            <w:tcBorders>
              <w:top w:val="nil"/>
            </w:tcBorders>
            <w:shd w:val="clear" w:color="auto" w:fill="auto"/>
            <w:vAlign w:val="center"/>
          </w:tcPr>
          <w:p w:rsidR="00744AE1" w:rsidRPr="000F2527" w:rsidRDefault="000761CF" w:rsidP="009B7C88">
            <w:pPr>
              <w:spacing w:before="10" w:after="10"/>
              <w:jc w:val="center"/>
              <w:rPr>
                <w:rFonts w:ascii="Arial Narrow" w:hAnsi="Arial Narrow"/>
                <w:sz w:val="19"/>
                <w:szCs w:val="19"/>
                <w:lang w:eastAsia="en-US"/>
              </w:rPr>
            </w:pPr>
            <w:r>
              <w:rPr>
                <w:rFonts w:ascii="Arial Narrow" w:hAnsi="Arial Narrow"/>
                <w:sz w:val="19"/>
                <w:szCs w:val="19"/>
                <w:lang w:eastAsia="en-US"/>
              </w:rPr>
              <w:t>-</w:t>
            </w:r>
          </w:p>
        </w:tc>
        <w:tc>
          <w:tcPr>
            <w:tcW w:w="770" w:type="pct"/>
            <w:tcBorders>
              <w:top w:val="nil"/>
            </w:tcBorders>
            <w:shd w:val="clear" w:color="auto" w:fill="auto"/>
            <w:vAlign w:val="center"/>
          </w:tcPr>
          <w:p w:rsidR="00744AE1" w:rsidRPr="000F2527" w:rsidRDefault="00C732C2"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0.83 (0.11,</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5.98)</w:t>
            </w:r>
          </w:p>
        </w:tc>
        <w:tc>
          <w:tcPr>
            <w:tcW w:w="846" w:type="pct"/>
            <w:tcBorders>
              <w:top w:val="nil"/>
            </w:tcBorders>
            <w:shd w:val="clear" w:color="auto" w:fill="auto"/>
            <w:vAlign w:val="center"/>
          </w:tcPr>
          <w:p w:rsidR="00744AE1" w:rsidRPr="000F2527" w:rsidRDefault="000761CF" w:rsidP="009B7C88">
            <w:pPr>
              <w:spacing w:before="10" w:after="10"/>
              <w:jc w:val="center"/>
              <w:rPr>
                <w:rFonts w:ascii="Arial Narrow" w:hAnsi="Arial Narrow"/>
                <w:sz w:val="19"/>
                <w:szCs w:val="19"/>
                <w:lang w:eastAsia="en-US"/>
              </w:rPr>
            </w:pPr>
            <w:r>
              <w:rPr>
                <w:rFonts w:ascii="Arial Narrow" w:hAnsi="Arial Narrow"/>
                <w:sz w:val="19"/>
                <w:szCs w:val="19"/>
                <w:lang w:eastAsia="en-US"/>
              </w:rPr>
              <w:t>-</w:t>
            </w:r>
          </w:p>
        </w:tc>
        <w:tc>
          <w:tcPr>
            <w:tcW w:w="846" w:type="pct"/>
            <w:tcBorders>
              <w:top w:val="nil"/>
            </w:tcBorders>
            <w:shd w:val="clear" w:color="auto" w:fill="auto"/>
            <w:vAlign w:val="center"/>
          </w:tcPr>
          <w:p w:rsidR="00744AE1" w:rsidRPr="000F2527" w:rsidRDefault="000761CF" w:rsidP="009B7C88">
            <w:pPr>
              <w:spacing w:before="10" w:after="10"/>
              <w:jc w:val="center"/>
              <w:rPr>
                <w:rFonts w:ascii="Arial Narrow" w:hAnsi="Arial Narrow"/>
                <w:sz w:val="19"/>
                <w:szCs w:val="19"/>
                <w:lang w:eastAsia="en-US"/>
              </w:rPr>
            </w:pPr>
            <w:r>
              <w:rPr>
                <w:rFonts w:ascii="Arial Narrow" w:hAnsi="Arial Narrow"/>
                <w:sz w:val="19"/>
                <w:szCs w:val="19"/>
                <w:lang w:eastAsia="en-US"/>
              </w:rPr>
              <w:t>-</w:t>
            </w:r>
          </w:p>
        </w:tc>
      </w:tr>
      <w:tr w:rsidR="00C75B03" w:rsidRPr="000F2527" w:rsidTr="0088177D">
        <w:tc>
          <w:tcPr>
            <w:tcW w:w="1306" w:type="pct"/>
            <w:shd w:val="clear" w:color="auto" w:fill="auto"/>
          </w:tcPr>
          <w:p w:rsidR="00C75B03" w:rsidRPr="000F2527" w:rsidRDefault="00C75B03" w:rsidP="009B7C88">
            <w:pPr>
              <w:spacing w:before="10" w:after="10"/>
              <w:ind w:left="107"/>
              <w:rPr>
                <w:rFonts w:ascii="Arial Narrow" w:hAnsi="Arial Narrow"/>
                <w:sz w:val="19"/>
                <w:szCs w:val="19"/>
                <w:lang w:eastAsia="en-US"/>
              </w:rPr>
            </w:pPr>
            <w:r w:rsidRPr="000F2527">
              <w:rPr>
                <w:rFonts w:ascii="Arial Narrow" w:hAnsi="Arial Narrow"/>
                <w:sz w:val="19"/>
                <w:szCs w:val="19"/>
                <w:lang w:eastAsia="en-US"/>
              </w:rPr>
              <w:t>Any single HRR gene</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NR</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NR</w:t>
            </w:r>
          </w:p>
        </w:tc>
        <w:tc>
          <w:tcPr>
            <w:tcW w:w="770"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NR</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NR</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NR</w:t>
            </w:r>
          </w:p>
        </w:tc>
      </w:tr>
      <w:tr w:rsidR="00C75B03" w:rsidRPr="000F2527" w:rsidTr="0088177D">
        <w:tc>
          <w:tcPr>
            <w:tcW w:w="1306" w:type="pct"/>
            <w:shd w:val="clear" w:color="auto" w:fill="auto"/>
          </w:tcPr>
          <w:p w:rsidR="00C75B03" w:rsidRPr="000F2527" w:rsidRDefault="00C75B03" w:rsidP="009B7C88">
            <w:pPr>
              <w:spacing w:before="10" w:after="10"/>
              <w:jc w:val="right"/>
              <w:rPr>
                <w:rFonts w:ascii="Arial Narrow" w:hAnsi="Arial Narrow"/>
                <w:sz w:val="19"/>
                <w:szCs w:val="19"/>
                <w:vertAlign w:val="superscript"/>
                <w:lang w:eastAsia="en-US"/>
              </w:rPr>
            </w:pPr>
            <w:r w:rsidRPr="00F00AC5">
              <w:rPr>
                <w:rFonts w:ascii="Arial Narrow" w:hAnsi="Arial Narrow"/>
                <w:i/>
                <w:sz w:val="19"/>
                <w:szCs w:val="19"/>
                <w:lang w:eastAsia="en-US"/>
              </w:rPr>
              <w:t>BRCA1</w:t>
            </w:r>
            <w:r w:rsidRPr="000F2527">
              <w:rPr>
                <w:rFonts w:ascii="Arial Narrow" w:hAnsi="Arial Narrow"/>
                <w:sz w:val="19"/>
                <w:szCs w:val="19"/>
                <w:vertAlign w:val="superscript"/>
                <w:lang w:eastAsia="en-US"/>
              </w:rPr>
              <w:t>d</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5/8</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(62.5)</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5/5</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(100)</w:t>
            </w:r>
          </w:p>
        </w:tc>
        <w:tc>
          <w:tcPr>
            <w:tcW w:w="770" w:type="pct"/>
            <w:shd w:val="clear" w:color="auto" w:fill="auto"/>
            <w:vAlign w:val="center"/>
          </w:tcPr>
          <w:p w:rsidR="00C75B03" w:rsidRPr="00557D6B" w:rsidRDefault="00E60C03" w:rsidP="009B7C88">
            <w:pPr>
              <w:spacing w:before="10" w:after="10"/>
              <w:jc w:val="center"/>
              <w:rPr>
                <w:rFonts w:ascii="Arial Narrow" w:hAnsi="Arial Narrow"/>
                <w:sz w:val="19"/>
                <w:szCs w:val="19"/>
                <w:vertAlign w:val="superscript"/>
                <w:lang w:eastAsia="en-US"/>
              </w:rPr>
            </w:pPr>
            <w:r w:rsidRPr="00A00927">
              <w:rPr>
                <w:rFonts w:ascii="Arial Narrow" w:hAnsi="Arial Narrow"/>
                <w:sz w:val="19"/>
                <w:szCs w:val="19"/>
                <w:lang w:eastAsia="en-US"/>
              </w:rPr>
              <w:t>0.42 (0.12, 1.53)</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11.70</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(1.38, NC)</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9.40 (5.45,</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14.62)</w:t>
            </w:r>
          </w:p>
        </w:tc>
      </w:tr>
      <w:tr w:rsidR="00C75B03" w:rsidRPr="000F2527" w:rsidTr="0088177D">
        <w:tc>
          <w:tcPr>
            <w:tcW w:w="1306" w:type="pct"/>
            <w:shd w:val="clear" w:color="auto" w:fill="auto"/>
          </w:tcPr>
          <w:p w:rsidR="00C75B03" w:rsidRPr="000F2527" w:rsidRDefault="00C75B03" w:rsidP="009B7C88">
            <w:pPr>
              <w:spacing w:before="10" w:after="10"/>
              <w:jc w:val="right"/>
              <w:rPr>
                <w:rFonts w:ascii="Arial Narrow" w:hAnsi="Arial Narrow"/>
                <w:sz w:val="19"/>
                <w:szCs w:val="19"/>
                <w:vertAlign w:val="superscript"/>
                <w:lang w:eastAsia="en-US"/>
              </w:rPr>
            </w:pPr>
            <w:r w:rsidRPr="00F00AC5">
              <w:rPr>
                <w:rFonts w:ascii="Arial Narrow" w:hAnsi="Arial Narrow"/>
                <w:i/>
                <w:sz w:val="19"/>
                <w:szCs w:val="19"/>
                <w:lang w:eastAsia="en-US"/>
              </w:rPr>
              <w:t>BRCA2</w:t>
            </w:r>
            <w:r w:rsidRPr="000F2527">
              <w:rPr>
                <w:rFonts w:ascii="Arial Narrow" w:hAnsi="Arial Narrow"/>
                <w:sz w:val="19"/>
                <w:szCs w:val="19"/>
                <w:vertAlign w:val="superscript"/>
                <w:lang w:eastAsia="en-US"/>
              </w:rPr>
              <w:t>d</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39/81 (48.1)</w:t>
            </w:r>
          </w:p>
        </w:tc>
        <w:tc>
          <w:tcPr>
            <w:tcW w:w="61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32/47</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(68.1)</w:t>
            </w:r>
          </w:p>
        </w:tc>
        <w:tc>
          <w:tcPr>
            <w:tcW w:w="770" w:type="pct"/>
            <w:shd w:val="clear" w:color="auto" w:fill="auto"/>
            <w:vAlign w:val="center"/>
          </w:tcPr>
          <w:p w:rsidR="00C75B03" w:rsidRPr="000F2527" w:rsidRDefault="00C75B03" w:rsidP="009B7C88">
            <w:pPr>
              <w:spacing w:before="10" w:after="10"/>
              <w:jc w:val="center"/>
              <w:rPr>
                <w:rFonts w:ascii="Arial Narrow" w:hAnsi="Arial Narrow"/>
                <w:b/>
                <w:sz w:val="19"/>
                <w:szCs w:val="19"/>
                <w:lang w:eastAsia="en-US"/>
              </w:rPr>
            </w:pPr>
            <w:r w:rsidRPr="000F2527">
              <w:rPr>
                <w:rFonts w:ascii="Arial Narrow" w:hAnsi="Arial Narrow"/>
                <w:b/>
                <w:sz w:val="19"/>
                <w:szCs w:val="19"/>
                <w:lang w:eastAsia="en-US"/>
              </w:rPr>
              <w:t>0.59 (0.37,</w:t>
            </w:r>
            <w:r w:rsidR="00694050" w:rsidRPr="000F2527">
              <w:rPr>
                <w:rFonts w:ascii="Arial Narrow" w:hAnsi="Arial Narrow"/>
                <w:b/>
                <w:sz w:val="19"/>
                <w:szCs w:val="19"/>
                <w:lang w:eastAsia="en-US"/>
              </w:rPr>
              <w:t xml:space="preserve"> </w:t>
            </w:r>
            <w:r w:rsidRPr="000F2527">
              <w:rPr>
                <w:rFonts w:ascii="Arial Narrow" w:hAnsi="Arial Narrow"/>
                <w:b/>
                <w:sz w:val="19"/>
                <w:szCs w:val="19"/>
                <w:lang w:eastAsia="en-US"/>
              </w:rPr>
              <w:t>0.95)</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24.84 (17.35, NC)</w:t>
            </w:r>
          </w:p>
        </w:tc>
        <w:tc>
          <w:tcPr>
            <w:tcW w:w="846" w:type="pct"/>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15.15</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(10.71,</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19.75)</w:t>
            </w:r>
          </w:p>
        </w:tc>
      </w:tr>
      <w:tr w:rsidR="00C75B03" w:rsidRPr="000F2527" w:rsidTr="0088177D">
        <w:tc>
          <w:tcPr>
            <w:tcW w:w="1306" w:type="pct"/>
            <w:tcBorders>
              <w:bottom w:val="nil"/>
            </w:tcBorders>
            <w:shd w:val="clear" w:color="auto" w:fill="auto"/>
          </w:tcPr>
          <w:p w:rsidR="00C75B03" w:rsidRPr="000F2527" w:rsidRDefault="00C75B03" w:rsidP="009B7C88">
            <w:pPr>
              <w:spacing w:before="10" w:after="10"/>
              <w:jc w:val="right"/>
              <w:rPr>
                <w:rFonts w:ascii="Arial Narrow" w:hAnsi="Arial Narrow"/>
                <w:sz w:val="19"/>
                <w:szCs w:val="19"/>
                <w:vertAlign w:val="superscript"/>
                <w:lang w:eastAsia="en-US"/>
              </w:rPr>
            </w:pPr>
            <w:proofErr w:type="spellStart"/>
            <w:r w:rsidRPr="00F00AC5">
              <w:rPr>
                <w:rFonts w:ascii="Arial Narrow" w:hAnsi="Arial Narrow"/>
                <w:i/>
                <w:sz w:val="19"/>
                <w:szCs w:val="19"/>
                <w:lang w:eastAsia="en-US"/>
              </w:rPr>
              <w:t>ATM</w:t>
            </w:r>
            <w:r w:rsidRPr="000F2527">
              <w:rPr>
                <w:rFonts w:ascii="Arial Narrow" w:hAnsi="Arial Narrow"/>
                <w:sz w:val="19"/>
                <w:szCs w:val="19"/>
                <w:vertAlign w:val="superscript"/>
                <w:lang w:eastAsia="en-US"/>
              </w:rPr>
              <w:t>d</w:t>
            </w:r>
            <w:proofErr w:type="spellEnd"/>
          </w:p>
        </w:tc>
        <w:tc>
          <w:tcPr>
            <w:tcW w:w="61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39/62</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(62.9)</w:t>
            </w:r>
          </w:p>
        </w:tc>
        <w:tc>
          <w:tcPr>
            <w:tcW w:w="61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15/24</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(62.5)</w:t>
            </w:r>
          </w:p>
        </w:tc>
        <w:tc>
          <w:tcPr>
            <w:tcW w:w="770"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0.93 (0.53,</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1.75)</w:t>
            </w:r>
          </w:p>
        </w:tc>
        <w:tc>
          <w:tcPr>
            <w:tcW w:w="84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18</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(14.42,</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23.43)</w:t>
            </w:r>
          </w:p>
        </w:tc>
        <w:tc>
          <w:tcPr>
            <w:tcW w:w="846" w:type="pct"/>
            <w:tcBorders>
              <w:bottom w:val="nil"/>
            </w:tcBorders>
            <w:shd w:val="clear" w:color="auto" w:fill="auto"/>
            <w:vAlign w:val="center"/>
          </w:tcPr>
          <w:p w:rsidR="00C75B03" w:rsidRPr="000F2527" w:rsidRDefault="00C75B03"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15.57</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(12.12,</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22.01)</w:t>
            </w:r>
          </w:p>
        </w:tc>
      </w:tr>
      <w:tr w:rsidR="007E48D1" w:rsidRPr="000F2527" w:rsidTr="0088177D">
        <w:tc>
          <w:tcPr>
            <w:tcW w:w="1306" w:type="pct"/>
            <w:tcBorders>
              <w:top w:val="nil"/>
            </w:tcBorders>
            <w:shd w:val="clear" w:color="auto" w:fill="auto"/>
          </w:tcPr>
          <w:p w:rsidR="007E48D1" w:rsidRPr="000F2527" w:rsidRDefault="007E48D1" w:rsidP="009B7C88">
            <w:pPr>
              <w:spacing w:before="10" w:after="10"/>
              <w:jc w:val="right"/>
              <w:rPr>
                <w:rFonts w:ascii="Arial Narrow" w:hAnsi="Arial Narrow"/>
                <w:sz w:val="19"/>
                <w:szCs w:val="19"/>
                <w:lang w:eastAsia="en-US"/>
              </w:rPr>
            </w:pPr>
            <w:r w:rsidRPr="000F2527">
              <w:rPr>
                <w:rFonts w:ascii="Arial Narrow" w:hAnsi="Arial Narrow"/>
                <w:sz w:val="19"/>
                <w:szCs w:val="19"/>
                <w:lang w:eastAsia="en-US"/>
              </w:rPr>
              <w:t>-</w:t>
            </w:r>
            <w:proofErr w:type="spellStart"/>
            <w:r w:rsidRPr="000F2527">
              <w:rPr>
                <w:rFonts w:ascii="Arial Narrow" w:hAnsi="Arial Narrow"/>
                <w:sz w:val="19"/>
                <w:szCs w:val="19"/>
                <w:lang w:eastAsia="en-US"/>
              </w:rPr>
              <w:t>Adjusted</w:t>
            </w:r>
            <w:r w:rsidRPr="000F2527">
              <w:rPr>
                <w:rFonts w:ascii="Arial Narrow" w:hAnsi="Arial Narrow"/>
                <w:sz w:val="19"/>
                <w:szCs w:val="19"/>
                <w:vertAlign w:val="superscript"/>
                <w:lang w:eastAsia="en-US"/>
              </w:rPr>
              <w:t>f</w:t>
            </w:r>
            <w:proofErr w:type="spellEnd"/>
            <w:r w:rsidRPr="000F2527">
              <w:rPr>
                <w:rFonts w:ascii="Arial Narrow" w:hAnsi="Arial Narrow"/>
                <w:sz w:val="19"/>
                <w:szCs w:val="19"/>
                <w:lang w:eastAsia="en-US"/>
              </w:rPr>
              <w:t xml:space="preserve"> for 63% crossed over</w:t>
            </w:r>
          </w:p>
        </w:tc>
        <w:tc>
          <w:tcPr>
            <w:tcW w:w="616" w:type="pct"/>
            <w:tcBorders>
              <w:top w:val="nil"/>
            </w:tcBorders>
            <w:shd w:val="clear" w:color="auto" w:fill="auto"/>
            <w:vAlign w:val="center"/>
          </w:tcPr>
          <w:p w:rsidR="007E48D1" w:rsidRPr="000F2527" w:rsidRDefault="000761CF" w:rsidP="009B7C88">
            <w:pPr>
              <w:spacing w:before="10" w:after="10"/>
              <w:jc w:val="center"/>
              <w:rPr>
                <w:rFonts w:ascii="Arial Narrow" w:hAnsi="Arial Narrow"/>
                <w:sz w:val="19"/>
                <w:szCs w:val="19"/>
                <w:lang w:eastAsia="en-US"/>
              </w:rPr>
            </w:pPr>
            <w:r>
              <w:rPr>
                <w:rFonts w:ascii="Arial Narrow" w:hAnsi="Arial Narrow"/>
                <w:sz w:val="19"/>
                <w:szCs w:val="19"/>
                <w:lang w:eastAsia="en-US"/>
              </w:rPr>
              <w:t>-</w:t>
            </w:r>
          </w:p>
        </w:tc>
        <w:tc>
          <w:tcPr>
            <w:tcW w:w="616" w:type="pct"/>
            <w:tcBorders>
              <w:top w:val="nil"/>
            </w:tcBorders>
            <w:shd w:val="clear" w:color="auto" w:fill="auto"/>
            <w:vAlign w:val="center"/>
          </w:tcPr>
          <w:p w:rsidR="007E48D1" w:rsidRPr="000F2527" w:rsidRDefault="000761CF" w:rsidP="009B7C88">
            <w:pPr>
              <w:spacing w:before="10" w:after="10"/>
              <w:jc w:val="center"/>
              <w:rPr>
                <w:rFonts w:ascii="Arial Narrow" w:hAnsi="Arial Narrow"/>
                <w:sz w:val="19"/>
                <w:szCs w:val="19"/>
                <w:lang w:eastAsia="en-US"/>
              </w:rPr>
            </w:pPr>
            <w:r>
              <w:rPr>
                <w:rFonts w:ascii="Arial Narrow" w:hAnsi="Arial Narrow"/>
                <w:sz w:val="19"/>
                <w:szCs w:val="19"/>
                <w:lang w:eastAsia="en-US"/>
              </w:rPr>
              <w:t>-</w:t>
            </w:r>
          </w:p>
        </w:tc>
        <w:tc>
          <w:tcPr>
            <w:tcW w:w="770" w:type="pct"/>
            <w:tcBorders>
              <w:top w:val="nil"/>
            </w:tcBorders>
            <w:shd w:val="clear" w:color="auto" w:fill="auto"/>
            <w:vAlign w:val="center"/>
          </w:tcPr>
          <w:p w:rsidR="007E48D1" w:rsidRPr="000F2527" w:rsidRDefault="007E48D1"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0.84 (0.19, 3.75)</w:t>
            </w:r>
          </w:p>
        </w:tc>
        <w:tc>
          <w:tcPr>
            <w:tcW w:w="846" w:type="pct"/>
            <w:tcBorders>
              <w:top w:val="nil"/>
            </w:tcBorders>
            <w:shd w:val="clear" w:color="auto" w:fill="auto"/>
            <w:vAlign w:val="center"/>
          </w:tcPr>
          <w:p w:rsidR="007E48D1" w:rsidRPr="000F2527" w:rsidRDefault="000761CF" w:rsidP="009B7C88">
            <w:pPr>
              <w:spacing w:before="10" w:after="10"/>
              <w:jc w:val="center"/>
              <w:rPr>
                <w:rFonts w:ascii="Arial Narrow" w:hAnsi="Arial Narrow"/>
                <w:sz w:val="19"/>
                <w:szCs w:val="19"/>
                <w:lang w:eastAsia="en-US"/>
              </w:rPr>
            </w:pPr>
            <w:r>
              <w:rPr>
                <w:rFonts w:ascii="Arial Narrow" w:hAnsi="Arial Narrow"/>
                <w:sz w:val="19"/>
                <w:szCs w:val="19"/>
                <w:lang w:eastAsia="en-US"/>
              </w:rPr>
              <w:t>-</w:t>
            </w:r>
          </w:p>
        </w:tc>
        <w:tc>
          <w:tcPr>
            <w:tcW w:w="846" w:type="pct"/>
            <w:tcBorders>
              <w:top w:val="nil"/>
            </w:tcBorders>
            <w:shd w:val="clear" w:color="auto" w:fill="auto"/>
            <w:vAlign w:val="center"/>
          </w:tcPr>
          <w:p w:rsidR="007E48D1" w:rsidRPr="000F2527" w:rsidRDefault="000761CF" w:rsidP="009B7C88">
            <w:pPr>
              <w:spacing w:before="10" w:after="10"/>
              <w:jc w:val="center"/>
              <w:rPr>
                <w:rFonts w:ascii="Arial Narrow" w:hAnsi="Arial Narrow"/>
                <w:sz w:val="19"/>
                <w:szCs w:val="19"/>
                <w:lang w:eastAsia="en-US"/>
              </w:rPr>
            </w:pPr>
            <w:r>
              <w:rPr>
                <w:rFonts w:ascii="Arial Narrow" w:hAnsi="Arial Narrow"/>
                <w:sz w:val="19"/>
                <w:szCs w:val="19"/>
                <w:lang w:eastAsia="en-US"/>
              </w:rPr>
              <w:t>-</w:t>
            </w:r>
          </w:p>
        </w:tc>
      </w:tr>
      <w:tr w:rsidR="007E48D1" w:rsidRPr="000F2527" w:rsidTr="0088177D">
        <w:tc>
          <w:tcPr>
            <w:tcW w:w="1306" w:type="pct"/>
            <w:shd w:val="clear" w:color="auto" w:fill="auto"/>
          </w:tcPr>
          <w:p w:rsidR="007E48D1" w:rsidRPr="000F2527" w:rsidRDefault="007E48D1" w:rsidP="009B7C88">
            <w:pPr>
              <w:spacing w:before="10" w:after="10"/>
              <w:jc w:val="right"/>
              <w:rPr>
                <w:rFonts w:ascii="Arial Narrow" w:hAnsi="Arial Narrow"/>
                <w:sz w:val="19"/>
                <w:szCs w:val="19"/>
                <w:vertAlign w:val="superscript"/>
                <w:lang w:eastAsia="en-US"/>
              </w:rPr>
            </w:pPr>
            <w:r w:rsidRPr="00F00AC5">
              <w:rPr>
                <w:rFonts w:ascii="Arial Narrow" w:hAnsi="Arial Narrow"/>
                <w:i/>
                <w:sz w:val="19"/>
                <w:szCs w:val="19"/>
                <w:lang w:eastAsia="en-US"/>
              </w:rPr>
              <w:t>CDK12</w:t>
            </w:r>
            <w:r w:rsidRPr="000F2527">
              <w:rPr>
                <w:rFonts w:ascii="Arial Narrow" w:hAnsi="Arial Narrow"/>
                <w:sz w:val="19"/>
                <w:szCs w:val="19"/>
                <w:vertAlign w:val="superscript"/>
                <w:lang w:eastAsia="en-US"/>
              </w:rPr>
              <w:t>d</w:t>
            </w:r>
          </w:p>
        </w:tc>
        <w:tc>
          <w:tcPr>
            <w:tcW w:w="616" w:type="pct"/>
            <w:shd w:val="clear" w:color="auto" w:fill="auto"/>
            <w:vAlign w:val="center"/>
          </w:tcPr>
          <w:p w:rsidR="007E48D1" w:rsidRPr="000F2527" w:rsidRDefault="007E48D1"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47/61</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(77.0)</w:t>
            </w:r>
          </w:p>
        </w:tc>
        <w:tc>
          <w:tcPr>
            <w:tcW w:w="616" w:type="pct"/>
            <w:shd w:val="clear" w:color="auto" w:fill="auto"/>
            <w:vAlign w:val="center"/>
          </w:tcPr>
          <w:p w:rsidR="007E48D1" w:rsidRPr="000F2527" w:rsidRDefault="007E48D1"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18/28</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(64.3)</w:t>
            </w:r>
          </w:p>
        </w:tc>
        <w:tc>
          <w:tcPr>
            <w:tcW w:w="770" w:type="pct"/>
            <w:shd w:val="clear" w:color="auto" w:fill="auto"/>
            <w:vAlign w:val="center"/>
          </w:tcPr>
          <w:p w:rsidR="007E48D1" w:rsidRPr="000F2527" w:rsidRDefault="007E48D1"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0.97</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(0.57,</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1.71)</w:t>
            </w:r>
          </w:p>
        </w:tc>
        <w:tc>
          <w:tcPr>
            <w:tcW w:w="846" w:type="pct"/>
            <w:shd w:val="clear" w:color="auto" w:fill="auto"/>
            <w:vAlign w:val="center"/>
          </w:tcPr>
          <w:p w:rsidR="007E48D1" w:rsidRPr="000F2527" w:rsidRDefault="007E48D1"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14.06 (11.14,</w:t>
            </w:r>
            <w:r w:rsidR="00694050" w:rsidRPr="000F2527">
              <w:rPr>
                <w:rFonts w:ascii="Arial Narrow" w:hAnsi="Arial Narrow"/>
                <w:sz w:val="19"/>
                <w:szCs w:val="19"/>
                <w:lang w:eastAsia="en-US"/>
              </w:rPr>
              <w:t xml:space="preserve"> </w:t>
            </w:r>
            <w:r w:rsidRPr="000F2527">
              <w:rPr>
                <w:rFonts w:ascii="Arial Narrow" w:hAnsi="Arial Narrow"/>
                <w:sz w:val="19"/>
                <w:szCs w:val="19"/>
                <w:lang w:eastAsia="en-US"/>
              </w:rPr>
              <w:t>15.87)</w:t>
            </w:r>
          </w:p>
        </w:tc>
        <w:tc>
          <w:tcPr>
            <w:tcW w:w="846" w:type="pct"/>
            <w:shd w:val="clear" w:color="auto" w:fill="auto"/>
            <w:vAlign w:val="center"/>
          </w:tcPr>
          <w:p w:rsidR="007E48D1" w:rsidRPr="000F2527" w:rsidRDefault="00694050" w:rsidP="009B7C88">
            <w:pPr>
              <w:spacing w:before="10" w:after="10"/>
              <w:jc w:val="center"/>
              <w:rPr>
                <w:rFonts w:ascii="Arial Narrow" w:hAnsi="Arial Narrow"/>
                <w:sz w:val="19"/>
                <w:szCs w:val="19"/>
                <w:lang w:eastAsia="en-US"/>
              </w:rPr>
            </w:pPr>
            <w:r w:rsidRPr="000F2527">
              <w:rPr>
                <w:rFonts w:ascii="Arial Narrow" w:hAnsi="Arial Narrow"/>
                <w:sz w:val="19"/>
                <w:szCs w:val="19"/>
                <w:lang w:eastAsia="en-US"/>
              </w:rPr>
              <w:t>11.47 (</w:t>
            </w:r>
            <w:r w:rsidR="007E48D1" w:rsidRPr="000F2527">
              <w:rPr>
                <w:rFonts w:ascii="Arial Narrow" w:hAnsi="Arial Narrow"/>
                <w:sz w:val="19"/>
                <w:szCs w:val="19"/>
                <w:lang w:eastAsia="en-US"/>
              </w:rPr>
              <w:t>7.82,</w:t>
            </w:r>
            <w:r w:rsidRPr="000F2527">
              <w:rPr>
                <w:rFonts w:ascii="Arial Narrow" w:hAnsi="Arial Narrow"/>
                <w:sz w:val="19"/>
                <w:szCs w:val="19"/>
                <w:lang w:eastAsia="en-US"/>
              </w:rPr>
              <w:t xml:space="preserve"> </w:t>
            </w:r>
            <w:r w:rsidR="007E48D1" w:rsidRPr="000F2527">
              <w:rPr>
                <w:rFonts w:ascii="Arial Narrow" w:hAnsi="Arial Narrow"/>
                <w:sz w:val="19"/>
                <w:szCs w:val="19"/>
                <w:lang w:eastAsia="en-US"/>
              </w:rPr>
              <w:t>17.74)</w:t>
            </w:r>
          </w:p>
        </w:tc>
      </w:tr>
    </w:tbl>
    <w:p w:rsidR="00C75B03" w:rsidRPr="000F2527" w:rsidRDefault="00C75B03" w:rsidP="00C75B03">
      <w:pPr>
        <w:spacing w:before="0" w:after="0"/>
        <w:rPr>
          <w:rFonts w:ascii="Arial Narrow" w:hAnsi="Arial Narrow"/>
          <w:sz w:val="18"/>
          <w:szCs w:val="18"/>
        </w:rPr>
      </w:pPr>
      <w:bookmarkStart w:id="26" w:name="_Toc487029168"/>
      <w:bookmarkStart w:id="27" w:name="_Toc433202796"/>
      <w:r w:rsidRPr="000F2527">
        <w:rPr>
          <w:rFonts w:ascii="Arial Narrow" w:hAnsi="Arial Narrow"/>
          <w:b/>
          <w:sz w:val="18"/>
          <w:szCs w:val="18"/>
        </w:rPr>
        <w:t>Bold</w:t>
      </w:r>
      <w:r w:rsidRPr="000F2527">
        <w:rPr>
          <w:rFonts w:ascii="Arial Narrow" w:hAnsi="Arial Narrow"/>
          <w:sz w:val="18"/>
          <w:szCs w:val="18"/>
        </w:rPr>
        <w:t xml:space="preserve"> =</w:t>
      </w:r>
      <w:r w:rsidR="005139AD">
        <w:rPr>
          <w:rFonts w:ascii="Arial Narrow" w:hAnsi="Arial Narrow"/>
          <w:sz w:val="18"/>
          <w:szCs w:val="18"/>
        </w:rPr>
        <w:t xml:space="preserve"> </w:t>
      </w:r>
      <w:r w:rsidR="00C20845">
        <w:rPr>
          <w:rFonts w:ascii="Arial Narrow" w:hAnsi="Arial Narrow"/>
          <w:sz w:val="18"/>
          <w:szCs w:val="18"/>
        </w:rPr>
        <w:t>statistically significant</w:t>
      </w:r>
    </w:p>
    <w:p w:rsidR="00C75B03" w:rsidRPr="000F2527" w:rsidRDefault="00C75B03" w:rsidP="00C75B03">
      <w:pPr>
        <w:spacing w:before="0" w:after="0"/>
        <w:rPr>
          <w:rFonts w:ascii="Arial Narrow" w:hAnsi="Arial Narrow"/>
          <w:sz w:val="18"/>
          <w:szCs w:val="18"/>
        </w:rPr>
      </w:pPr>
      <w:r w:rsidRPr="000F2527">
        <w:rPr>
          <w:rFonts w:ascii="Arial Narrow" w:hAnsi="Arial Narrow"/>
          <w:sz w:val="18"/>
          <w:szCs w:val="18"/>
        </w:rPr>
        <w:t xml:space="preserve">Source: TGA delegate overview (Table 5), </w:t>
      </w:r>
      <w:proofErr w:type="spellStart"/>
      <w:r w:rsidRPr="000F2527">
        <w:rPr>
          <w:rFonts w:ascii="Arial Narrow" w:hAnsi="Arial Narrow"/>
          <w:sz w:val="18"/>
          <w:szCs w:val="18"/>
        </w:rPr>
        <w:t>PROfound</w:t>
      </w:r>
      <w:proofErr w:type="spellEnd"/>
      <w:r w:rsidRPr="000F2527">
        <w:rPr>
          <w:rFonts w:ascii="Arial Narrow" w:hAnsi="Arial Narrow"/>
          <w:sz w:val="18"/>
          <w:szCs w:val="18"/>
        </w:rPr>
        <w:t xml:space="preserve"> CSR sections </w:t>
      </w:r>
      <w:proofErr w:type="gramStart"/>
      <w:r w:rsidRPr="000F2527">
        <w:rPr>
          <w:rFonts w:ascii="Arial Narrow" w:hAnsi="Arial Narrow"/>
          <w:sz w:val="18"/>
          <w:szCs w:val="18"/>
        </w:rPr>
        <w:t>tables</w:t>
      </w:r>
      <w:proofErr w:type="gramEnd"/>
      <w:r w:rsidRPr="000F2527">
        <w:rPr>
          <w:rFonts w:ascii="Arial Narrow" w:hAnsi="Arial Narrow"/>
          <w:sz w:val="18"/>
          <w:szCs w:val="18"/>
        </w:rPr>
        <w:t xml:space="preserve"> listings figures.pdf (Table 14.2.1.4.1, 14.2.5.1,). </w:t>
      </w:r>
      <w:r w:rsidR="002E6664" w:rsidRPr="000F2527">
        <w:rPr>
          <w:rFonts w:ascii="Arial Narrow" w:hAnsi="Arial Narrow"/>
          <w:sz w:val="18"/>
          <w:szCs w:val="18"/>
        </w:rPr>
        <w:t xml:space="preserve">Hussain et al 2020 publication and supplement. </w:t>
      </w:r>
      <w:r w:rsidRPr="000F2527">
        <w:rPr>
          <w:rFonts w:ascii="Arial Narrow" w:hAnsi="Arial Narrow"/>
          <w:sz w:val="18"/>
          <w:szCs w:val="18"/>
        </w:rPr>
        <w:t>Table 2-13, p85; Table 2-30, p94; Section 2.2.D.7, p1</w:t>
      </w:r>
      <w:r w:rsidR="00C20845">
        <w:rPr>
          <w:rFonts w:ascii="Arial Narrow" w:hAnsi="Arial Narrow"/>
          <w:sz w:val="18"/>
          <w:szCs w:val="18"/>
        </w:rPr>
        <w:t>13-125 of the submission.</w:t>
      </w:r>
    </w:p>
    <w:p w:rsidR="00C75B03" w:rsidRPr="000F2527" w:rsidRDefault="00C75B03" w:rsidP="00C75B03">
      <w:pPr>
        <w:spacing w:before="0" w:after="0"/>
        <w:rPr>
          <w:rFonts w:ascii="Arial Narrow" w:hAnsi="Arial Narrow"/>
          <w:sz w:val="18"/>
          <w:szCs w:val="18"/>
        </w:rPr>
      </w:pPr>
      <w:r w:rsidRPr="000F2527">
        <w:rPr>
          <w:rFonts w:ascii="Arial Narrow" w:hAnsi="Arial Narrow"/>
          <w:sz w:val="18"/>
          <w:szCs w:val="18"/>
        </w:rPr>
        <w:t>BICR</w:t>
      </w:r>
      <w:r w:rsidR="005139AD">
        <w:rPr>
          <w:rFonts w:ascii="Arial Narrow" w:hAnsi="Arial Narrow"/>
          <w:sz w:val="18"/>
          <w:szCs w:val="18"/>
        </w:rPr>
        <w:t xml:space="preserve"> </w:t>
      </w:r>
      <w:r w:rsidRPr="000F2527">
        <w:rPr>
          <w:rFonts w:ascii="Arial Narrow" w:hAnsi="Arial Narrow"/>
          <w:sz w:val="18"/>
          <w:szCs w:val="18"/>
        </w:rPr>
        <w:t>=</w:t>
      </w:r>
      <w:r w:rsidR="005139AD">
        <w:rPr>
          <w:rFonts w:ascii="Arial Narrow" w:hAnsi="Arial Narrow"/>
          <w:sz w:val="18"/>
          <w:szCs w:val="18"/>
        </w:rPr>
        <w:t xml:space="preserve"> </w:t>
      </w:r>
      <w:r w:rsidRPr="000F2527">
        <w:rPr>
          <w:rFonts w:ascii="Arial Narrow" w:hAnsi="Arial Narrow"/>
          <w:sz w:val="18"/>
          <w:szCs w:val="18"/>
        </w:rPr>
        <w:t xml:space="preserve">blinded independent central review; </w:t>
      </w:r>
      <w:r w:rsidRPr="00F00AC5">
        <w:rPr>
          <w:rFonts w:ascii="Arial Narrow" w:hAnsi="Arial Narrow"/>
          <w:i/>
          <w:sz w:val="18"/>
          <w:szCs w:val="18"/>
        </w:rPr>
        <w:t>BRCA</w:t>
      </w:r>
      <w:r w:rsidR="005139AD">
        <w:rPr>
          <w:rFonts w:ascii="Arial Narrow" w:hAnsi="Arial Narrow"/>
          <w:i/>
          <w:sz w:val="18"/>
          <w:szCs w:val="18"/>
        </w:rPr>
        <w:t xml:space="preserve"> </w:t>
      </w:r>
      <w:r w:rsidRPr="000F2527">
        <w:rPr>
          <w:rFonts w:ascii="Arial Narrow" w:hAnsi="Arial Narrow"/>
          <w:sz w:val="18"/>
          <w:szCs w:val="18"/>
        </w:rPr>
        <w:t>=</w:t>
      </w:r>
      <w:r w:rsidR="005139AD">
        <w:rPr>
          <w:rFonts w:ascii="Arial Narrow" w:hAnsi="Arial Narrow"/>
          <w:sz w:val="18"/>
          <w:szCs w:val="18"/>
        </w:rPr>
        <w:t xml:space="preserve"> </w:t>
      </w:r>
      <w:r w:rsidRPr="000F2527">
        <w:rPr>
          <w:rFonts w:ascii="Arial Narrow" w:hAnsi="Arial Narrow"/>
          <w:sz w:val="18"/>
          <w:szCs w:val="18"/>
        </w:rPr>
        <w:t>breast cancer gene; CI</w:t>
      </w:r>
      <w:r w:rsidR="005139AD">
        <w:rPr>
          <w:rFonts w:ascii="Arial Narrow" w:hAnsi="Arial Narrow"/>
          <w:sz w:val="18"/>
          <w:szCs w:val="18"/>
        </w:rPr>
        <w:t xml:space="preserve"> </w:t>
      </w:r>
      <w:r w:rsidRPr="000F2527">
        <w:rPr>
          <w:rFonts w:ascii="Arial Narrow" w:hAnsi="Arial Narrow"/>
          <w:sz w:val="18"/>
          <w:szCs w:val="18"/>
        </w:rPr>
        <w:t>=</w:t>
      </w:r>
      <w:r w:rsidR="005139AD">
        <w:rPr>
          <w:rFonts w:ascii="Arial Narrow" w:hAnsi="Arial Narrow"/>
          <w:sz w:val="18"/>
          <w:szCs w:val="18"/>
        </w:rPr>
        <w:t xml:space="preserve"> </w:t>
      </w:r>
      <w:r w:rsidRPr="000F2527">
        <w:rPr>
          <w:rFonts w:ascii="Arial Narrow" w:hAnsi="Arial Narrow"/>
          <w:sz w:val="18"/>
          <w:szCs w:val="18"/>
        </w:rPr>
        <w:t>confidence interval; HR</w:t>
      </w:r>
      <w:r w:rsidR="005139AD">
        <w:rPr>
          <w:rFonts w:ascii="Arial Narrow" w:hAnsi="Arial Narrow"/>
          <w:sz w:val="18"/>
          <w:szCs w:val="18"/>
        </w:rPr>
        <w:t xml:space="preserve"> </w:t>
      </w:r>
      <w:r w:rsidRPr="000F2527">
        <w:rPr>
          <w:rFonts w:ascii="Arial Narrow" w:hAnsi="Arial Narrow"/>
          <w:sz w:val="18"/>
          <w:szCs w:val="18"/>
        </w:rPr>
        <w:t>=</w:t>
      </w:r>
      <w:r w:rsidR="005139AD">
        <w:rPr>
          <w:rFonts w:ascii="Arial Narrow" w:hAnsi="Arial Narrow"/>
          <w:sz w:val="18"/>
          <w:szCs w:val="18"/>
        </w:rPr>
        <w:t xml:space="preserve"> </w:t>
      </w:r>
      <w:r w:rsidRPr="000F2527">
        <w:rPr>
          <w:rFonts w:ascii="Arial Narrow" w:hAnsi="Arial Narrow"/>
          <w:sz w:val="18"/>
          <w:szCs w:val="18"/>
        </w:rPr>
        <w:t xml:space="preserve">hazard ratio; </w:t>
      </w:r>
      <w:r w:rsidR="000761CF">
        <w:rPr>
          <w:rFonts w:ascii="Arial Narrow" w:hAnsi="Arial Narrow"/>
          <w:sz w:val="18"/>
          <w:szCs w:val="18"/>
        </w:rPr>
        <w:t xml:space="preserve">HRR = homologous recombination repair; ITT = intention to treat; </w:t>
      </w:r>
      <w:r w:rsidR="000761CF" w:rsidRPr="000F2527">
        <w:rPr>
          <w:rFonts w:ascii="Arial Narrow" w:hAnsi="Arial Narrow"/>
          <w:sz w:val="18"/>
          <w:szCs w:val="18"/>
        </w:rPr>
        <w:t>NC</w:t>
      </w:r>
      <w:r w:rsidR="000761CF">
        <w:rPr>
          <w:rFonts w:ascii="Arial Narrow" w:hAnsi="Arial Narrow"/>
          <w:sz w:val="18"/>
          <w:szCs w:val="18"/>
        </w:rPr>
        <w:t xml:space="preserve"> </w:t>
      </w:r>
      <w:r w:rsidR="000761CF" w:rsidRPr="000F2527">
        <w:rPr>
          <w:rFonts w:ascii="Arial Narrow" w:hAnsi="Arial Narrow"/>
          <w:sz w:val="18"/>
          <w:szCs w:val="18"/>
        </w:rPr>
        <w:t>=</w:t>
      </w:r>
      <w:r w:rsidR="000761CF">
        <w:rPr>
          <w:rFonts w:ascii="Arial Narrow" w:hAnsi="Arial Narrow"/>
          <w:sz w:val="18"/>
          <w:szCs w:val="18"/>
        </w:rPr>
        <w:t xml:space="preserve"> </w:t>
      </w:r>
      <w:proofErr w:type="spellStart"/>
      <w:r w:rsidR="000761CF" w:rsidRPr="000F2527">
        <w:rPr>
          <w:rFonts w:ascii="Arial Narrow" w:hAnsi="Arial Narrow"/>
          <w:sz w:val="18"/>
          <w:szCs w:val="18"/>
        </w:rPr>
        <w:t>not</w:t>
      </w:r>
      <w:proofErr w:type="spellEnd"/>
      <w:r w:rsidR="000761CF" w:rsidRPr="000F2527">
        <w:rPr>
          <w:rFonts w:ascii="Arial Narrow" w:hAnsi="Arial Narrow"/>
          <w:sz w:val="18"/>
          <w:szCs w:val="18"/>
        </w:rPr>
        <w:t xml:space="preserve"> calculable</w:t>
      </w:r>
      <w:r w:rsidR="000761CF">
        <w:rPr>
          <w:rFonts w:ascii="Arial Narrow" w:hAnsi="Arial Narrow"/>
          <w:sz w:val="18"/>
          <w:szCs w:val="18"/>
        </w:rPr>
        <w:t>;</w:t>
      </w:r>
      <w:r w:rsidR="000761CF" w:rsidRPr="000F2527">
        <w:rPr>
          <w:rFonts w:ascii="Arial Narrow" w:hAnsi="Arial Narrow"/>
          <w:sz w:val="18"/>
          <w:szCs w:val="18"/>
        </w:rPr>
        <w:t xml:space="preserve"> </w:t>
      </w:r>
      <w:r w:rsidRPr="000F2527">
        <w:rPr>
          <w:rFonts w:ascii="Arial Narrow" w:hAnsi="Arial Narrow"/>
          <w:sz w:val="18"/>
          <w:szCs w:val="18"/>
        </w:rPr>
        <w:t>NHA</w:t>
      </w:r>
      <w:r w:rsidR="005139AD">
        <w:rPr>
          <w:rFonts w:ascii="Arial Narrow" w:hAnsi="Arial Narrow"/>
          <w:sz w:val="18"/>
          <w:szCs w:val="18"/>
        </w:rPr>
        <w:t xml:space="preserve"> </w:t>
      </w:r>
      <w:r w:rsidRPr="000F2527">
        <w:rPr>
          <w:rFonts w:ascii="Arial Narrow" w:hAnsi="Arial Narrow"/>
          <w:sz w:val="18"/>
          <w:szCs w:val="18"/>
        </w:rPr>
        <w:t>=</w:t>
      </w:r>
      <w:r w:rsidR="005139AD">
        <w:rPr>
          <w:rFonts w:ascii="Arial Narrow" w:hAnsi="Arial Narrow"/>
          <w:sz w:val="18"/>
          <w:szCs w:val="18"/>
        </w:rPr>
        <w:t xml:space="preserve"> </w:t>
      </w:r>
      <w:r w:rsidRPr="000F2527">
        <w:rPr>
          <w:rFonts w:ascii="Arial Narrow" w:hAnsi="Arial Narrow"/>
          <w:sz w:val="18"/>
          <w:szCs w:val="18"/>
        </w:rPr>
        <w:t>novel hormonal agent (abiraterone, enzalutamide); NR</w:t>
      </w:r>
      <w:r w:rsidR="005139AD">
        <w:rPr>
          <w:rFonts w:ascii="Arial Narrow" w:hAnsi="Arial Narrow"/>
          <w:sz w:val="18"/>
          <w:szCs w:val="18"/>
        </w:rPr>
        <w:t xml:space="preserve"> </w:t>
      </w:r>
      <w:r w:rsidRPr="000F2527">
        <w:rPr>
          <w:rFonts w:ascii="Arial Narrow" w:hAnsi="Arial Narrow"/>
          <w:sz w:val="18"/>
          <w:szCs w:val="18"/>
        </w:rPr>
        <w:t>=</w:t>
      </w:r>
      <w:r w:rsidR="005139AD">
        <w:rPr>
          <w:rFonts w:ascii="Arial Narrow" w:hAnsi="Arial Narrow"/>
          <w:sz w:val="18"/>
          <w:szCs w:val="18"/>
        </w:rPr>
        <w:t xml:space="preserve"> </w:t>
      </w:r>
      <w:r w:rsidRPr="000F2527">
        <w:rPr>
          <w:rFonts w:ascii="Arial Narrow" w:hAnsi="Arial Narrow"/>
          <w:sz w:val="18"/>
          <w:szCs w:val="18"/>
        </w:rPr>
        <w:t>not reported; OS</w:t>
      </w:r>
      <w:r w:rsidR="005139AD">
        <w:rPr>
          <w:rFonts w:ascii="Arial Narrow" w:hAnsi="Arial Narrow"/>
          <w:sz w:val="18"/>
          <w:szCs w:val="18"/>
        </w:rPr>
        <w:t xml:space="preserve"> </w:t>
      </w:r>
      <w:r w:rsidRPr="000F2527">
        <w:rPr>
          <w:rFonts w:ascii="Arial Narrow" w:hAnsi="Arial Narrow"/>
          <w:sz w:val="18"/>
          <w:szCs w:val="18"/>
        </w:rPr>
        <w:t>=</w:t>
      </w:r>
      <w:r w:rsidR="005139AD">
        <w:rPr>
          <w:rFonts w:ascii="Arial Narrow" w:hAnsi="Arial Narrow"/>
          <w:sz w:val="18"/>
          <w:szCs w:val="18"/>
        </w:rPr>
        <w:t xml:space="preserve"> </w:t>
      </w:r>
      <w:r w:rsidRPr="000F2527">
        <w:rPr>
          <w:rFonts w:ascii="Arial Narrow" w:hAnsi="Arial Narrow"/>
          <w:sz w:val="18"/>
          <w:szCs w:val="18"/>
        </w:rPr>
        <w:t xml:space="preserve">overall survival; </w:t>
      </w:r>
      <w:proofErr w:type="spellStart"/>
      <w:r w:rsidRPr="000F2527">
        <w:rPr>
          <w:rFonts w:ascii="Arial Narrow" w:hAnsi="Arial Narrow"/>
          <w:sz w:val="18"/>
          <w:szCs w:val="18"/>
        </w:rPr>
        <w:t>rPFS</w:t>
      </w:r>
      <w:proofErr w:type="spellEnd"/>
      <w:r w:rsidR="005139AD">
        <w:rPr>
          <w:rFonts w:ascii="Arial Narrow" w:hAnsi="Arial Narrow"/>
          <w:sz w:val="18"/>
          <w:szCs w:val="18"/>
        </w:rPr>
        <w:t xml:space="preserve"> </w:t>
      </w:r>
      <w:r w:rsidRPr="000F2527">
        <w:rPr>
          <w:rFonts w:ascii="Arial Narrow" w:hAnsi="Arial Narrow"/>
          <w:sz w:val="18"/>
          <w:szCs w:val="18"/>
        </w:rPr>
        <w:t>=</w:t>
      </w:r>
      <w:r w:rsidR="005139AD">
        <w:rPr>
          <w:rFonts w:ascii="Arial Narrow" w:hAnsi="Arial Narrow"/>
          <w:sz w:val="18"/>
          <w:szCs w:val="18"/>
        </w:rPr>
        <w:t xml:space="preserve"> </w:t>
      </w:r>
      <w:r w:rsidRPr="000F2527">
        <w:rPr>
          <w:rFonts w:ascii="Arial Narrow" w:hAnsi="Arial Narrow"/>
          <w:sz w:val="18"/>
          <w:szCs w:val="18"/>
        </w:rPr>
        <w:t>radiological progression-free survival</w:t>
      </w:r>
      <w:r w:rsidR="00C20845">
        <w:rPr>
          <w:rFonts w:ascii="Arial Narrow" w:hAnsi="Arial Narrow"/>
          <w:sz w:val="18"/>
          <w:szCs w:val="18"/>
        </w:rPr>
        <w:t>.</w:t>
      </w:r>
    </w:p>
    <w:p w:rsidR="00C75B03" w:rsidRPr="000F2527" w:rsidRDefault="00C75B03" w:rsidP="00C75B03">
      <w:pPr>
        <w:spacing w:before="0" w:after="0"/>
        <w:rPr>
          <w:rFonts w:ascii="Arial Narrow" w:hAnsi="Arial Narrow"/>
          <w:sz w:val="18"/>
          <w:szCs w:val="18"/>
        </w:rPr>
      </w:pPr>
      <w:r w:rsidRPr="000F2527">
        <w:rPr>
          <w:rFonts w:ascii="Arial Narrow" w:hAnsi="Arial Narrow"/>
          <w:sz w:val="18"/>
          <w:szCs w:val="18"/>
        </w:rPr>
        <w:t>^</w:t>
      </w:r>
      <w:r w:rsidRPr="000F2527">
        <w:rPr>
          <w:rFonts w:ascii="Arial Narrow" w:hAnsi="Arial Narrow"/>
          <w:sz w:val="18"/>
          <w:szCs w:val="18"/>
        </w:rPr>
        <w:tab/>
      </w:r>
      <w:proofErr w:type="gramStart"/>
      <w:r w:rsidRPr="000F2527">
        <w:rPr>
          <w:rFonts w:ascii="Arial Narrow" w:hAnsi="Arial Narrow"/>
          <w:sz w:val="18"/>
          <w:szCs w:val="18"/>
        </w:rPr>
        <w:t>primary</w:t>
      </w:r>
      <w:proofErr w:type="gramEnd"/>
      <w:r w:rsidRPr="000F2527">
        <w:rPr>
          <w:rFonts w:ascii="Arial Narrow" w:hAnsi="Arial Narrow"/>
          <w:sz w:val="18"/>
          <w:szCs w:val="18"/>
        </w:rPr>
        <w:t xml:space="preserve"> end point</w:t>
      </w:r>
    </w:p>
    <w:p w:rsidR="00C75B03" w:rsidRPr="000F2527" w:rsidRDefault="00C75B03" w:rsidP="00C75B03">
      <w:pPr>
        <w:spacing w:before="0" w:after="0"/>
        <w:rPr>
          <w:rFonts w:ascii="Arial Narrow" w:hAnsi="Arial Narrow"/>
          <w:sz w:val="18"/>
          <w:szCs w:val="18"/>
        </w:rPr>
      </w:pPr>
      <w:proofErr w:type="gramStart"/>
      <w:r w:rsidRPr="000F2527">
        <w:rPr>
          <w:rFonts w:ascii="Arial Narrow" w:hAnsi="Arial Narrow"/>
          <w:sz w:val="18"/>
          <w:szCs w:val="18"/>
          <w:vertAlign w:val="superscript"/>
        </w:rPr>
        <w:t>a</w:t>
      </w:r>
      <w:proofErr w:type="gramEnd"/>
      <w:r w:rsidRPr="000F2527">
        <w:rPr>
          <w:rFonts w:ascii="Arial Narrow" w:hAnsi="Arial Narrow"/>
          <w:sz w:val="18"/>
          <w:szCs w:val="18"/>
        </w:rPr>
        <w:tab/>
        <w:t>note this was incorrectly reported in</w:t>
      </w:r>
      <w:r w:rsidR="00C20845">
        <w:rPr>
          <w:rFonts w:ascii="Arial Narrow" w:hAnsi="Arial Narrow"/>
          <w:sz w:val="18"/>
          <w:szCs w:val="18"/>
        </w:rPr>
        <w:t xml:space="preserve"> the submission as 11.20</w:t>
      </w:r>
    </w:p>
    <w:p w:rsidR="00C75B03" w:rsidRPr="000F2527" w:rsidRDefault="00C75B03" w:rsidP="00C75B03">
      <w:pPr>
        <w:spacing w:before="0" w:after="0"/>
        <w:rPr>
          <w:rFonts w:ascii="Arial Narrow" w:hAnsi="Arial Narrow"/>
          <w:sz w:val="18"/>
          <w:szCs w:val="18"/>
        </w:rPr>
      </w:pPr>
      <w:proofErr w:type="gramStart"/>
      <w:r w:rsidRPr="000F2527">
        <w:rPr>
          <w:rFonts w:ascii="Arial Narrow" w:hAnsi="Arial Narrow"/>
          <w:sz w:val="18"/>
          <w:szCs w:val="18"/>
          <w:vertAlign w:val="superscript"/>
        </w:rPr>
        <w:t>b</w:t>
      </w:r>
      <w:proofErr w:type="gramEnd"/>
      <w:r w:rsidRPr="000F2527">
        <w:rPr>
          <w:rFonts w:ascii="Arial Narrow" w:hAnsi="Arial Narrow"/>
          <w:sz w:val="18"/>
          <w:szCs w:val="18"/>
        </w:rPr>
        <w:tab/>
        <w:t>patien</w:t>
      </w:r>
      <w:r w:rsidR="00C20845">
        <w:rPr>
          <w:rFonts w:ascii="Arial Narrow" w:hAnsi="Arial Narrow"/>
          <w:sz w:val="18"/>
          <w:szCs w:val="18"/>
        </w:rPr>
        <w:t>ts with single and co-mutations</w:t>
      </w:r>
    </w:p>
    <w:p w:rsidR="00C75B03" w:rsidRPr="000F2527" w:rsidRDefault="00C75B03" w:rsidP="00C75B03">
      <w:pPr>
        <w:spacing w:before="0" w:after="0"/>
        <w:ind w:left="165" w:hanging="165"/>
        <w:rPr>
          <w:rFonts w:ascii="Arial Narrow" w:hAnsi="Arial Narrow"/>
          <w:sz w:val="18"/>
          <w:szCs w:val="18"/>
        </w:rPr>
      </w:pPr>
      <w:proofErr w:type="gramStart"/>
      <w:r w:rsidRPr="000F2527">
        <w:rPr>
          <w:rFonts w:ascii="Arial Narrow" w:hAnsi="Arial Narrow"/>
          <w:sz w:val="18"/>
          <w:szCs w:val="18"/>
          <w:vertAlign w:val="superscript"/>
        </w:rPr>
        <w:t>c</w:t>
      </w:r>
      <w:proofErr w:type="gramEnd"/>
      <w:r w:rsidRPr="000F2527">
        <w:rPr>
          <w:rFonts w:ascii="Arial Narrow" w:hAnsi="Arial Narrow"/>
          <w:sz w:val="18"/>
          <w:szCs w:val="18"/>
        </w:rPr>
        <w:tab/>
        <w:t>includes patients with the following mutations</w:t>
      </w:r>
      <w:r w:rsidR="00445AE7" w:rsidRPr="000F2527">
        <w:rPr>
          <w:rFonts w:ascii="Arial Narrow" w:hAnsi="Arial Narrow"/>
          <w:sz w:val="18"/>
          <w:szCs w:val="18"/>
        </w:rPr>
        <w:t xml:space="preserve"> from </w:t>
      </w:r>
      <w:proofErr w:type="spellStart"/>
      <w:r w:rsidR="00445AE7" w:rsidRPr="000F2527">
        <w:rPr>
          <w:rFonts w:ascii="Arial Narrow" w:hAnsi="Arial Narrow"/>
          <w:sz w:val="18"/>
          <w:szCs w:val="18"/>
        </w:rPr>
        <w:t>PROfound</w:t>
      </w:r>
      <w:proofErr w:type="spellEnd"/>
      <w:r w:rsidRPr="000F2527">
        <w:rPr>
          <w:rFonts w:ascii="Arial Narrow" w:hAnsi="Arial Narrow"/>
          <w:sz w:val="18"/>
          <w:szCs w:val="18"/>
        </w:rPr>
        <w:t xml:space="preserve">: </w:t>
      </w:r>
      <w:r w:rsidRPr="00F00AC5">
        <w:rPr>
          <w:rFonts w:ascii="Arial Narrow" w:hAnsi="Arial Narrow"/>
          <w:i/>
          <w:sz w:val="18"/>
          <w:szCs w:val="18"/>
        </w:rPr>
        <w:t>BARD1</w:t>
      </w:r>
      <w:r w:rsidRPr="000F2527">
        <w:rPr>
          <w:rFonts w:ascii="Arial Narrow" w:hAnsi="Arial Narrow"/>
          <w:sz w:val="18"/>
          <w:szCs w:val="18"/>
        </w:rPr>
        <w:t xml:space="preserve"> &amp;/or </w:t>
      </w:r>
      <w:r w:rsidRPr="00F00AC5">
        <w:rPr>
          <w:rFonts w:ascii="Arial Narrow" w:hAnsi="Arial Narrow"/>
          <w:i/>
          <w:sz w:val="18"/>
          <w:szCs w:val="18"/>
        </w:rPr>
        <w:t>BRIP1</w:t>
      </w:r>
      <w:r w:rsidRPr="000F2527">
        <w:rPr>
          <w:rFonts w:ascii="Arial Narrow" w:hAnsi="Arial Narrow"/>
          <w:sz w:val="18"/>
          <w:szCs w:val="18"/>
        </w:rPr>
        <w:t xml:space="preserve"> &amp;/or </w:t>
      </w:r>
      <w:r w:rsidRPr="00F00AC5">
        <w:rPr>
          <w:rFonts w:ascii="Arial Narrow" w:hAnsi="Arial Narrow"/>
          <w:i/>
          <w:sz w:val="18"/>
          <w:szCs w:val="18"/>
        </w:rPr>
        <w:t>CHEK1</w:t>
      </w:r>
      <w:r w:rsidRPr="000F2527">
        <w:rPr>
          <w:rFonts w:ascii="Arial Narrow" w:hAnsi="Arial Narrow"/>
          <w:sz w:val="18"/>
          <w:szCs w:val="18"/>
        </w:rPr>
        <w:t xml:space="preserve"> &amp;/or </w:t>
      </w:r>
      <w:r w:rsidRPr="00F00AC5">
        <w:rPr>
          <w:rFonts w:ascii="Arial Narrow" w:hAnsi="Arial Narrow"/>
          <w:i/>
          <w:sz w:val="18"/>
          <w:szCs w:val="18"/>
        </w:rPr>
        <w:t>CHEK2</w:t>
      </w:r>
      <w:r w:rsidRPr="000F2527">
        <w:rPr>
          <w:rFonts w:ascii="Arial Narrow" w:hAnsi="Arial Narrow"/>
          <w:sz w:val="18"/>
          <w:szCs w:val="18"/>
        </w:rPr>
        <w:t xml:space="preserve"> &amp;/or</w:t>
      </w:r>
      <w:r w:rsidR="00F00AC5">
        <w:rPr>
          <w:rFonts w:ascii="Arial Narrow" w:hAnsi="Arial Narrow"/>
          <w:sz w:val="18"/>
          <w:szCs w:val="18"/>
        </w:rPr>
        <w:t xml:space="preserve"> </w:t>
      </w:r>
      <w:r w:rsidRPr="00F00AC5">
        <w:rPr>
          <w:rFonts w:ascii="Arial Narrow" w:hAnsi="Arial Narrow"/>
          <w:i/>
          <w:sz w:val="18"/>
          <w:szCs w:val="18"/>
        </w:rPr>
        <w:t>PALB2</w:t>
      </w:r>
      <w:r w:rsidRPr="000F2527">
        <w:rPr>
          <w:rFonts w:ascii="Arial Narrow" w:hAnsi="Arial Narrow"/>
          <w:sz w:val="18"/>
          <w:szCs w:val="18"/>
        </w:rPr>
        <w:t xml:space="preserve"> &amp;/or</w:t>
      </w:r>
      <w:r w:rsidR="00F00AC5">
        <w:rPr>
          <w:rFonts w:ascii="Arial Narrow" w:hAnsi="Arial Narrow"/>
          <w:sz w:val="18"/>
          <w:szCs w:val="18"/>
        </w:rPr>
        <w:t xml:space="preserve"> </w:t>
      </w:r>
      <w:r w:rsidRPr="00F00AC5">
        <w:rPr>
          <w:rFonts w:ascii="Arial Narrow" w:hAnsi="Arial Narrow"/>
          <w:i/>
          <w:sz w:val="18"/>
          <w:szCs w:val="18"/>
        </w:rPr>
        <w:t>PPP2R2A</w:t>
      </w:r>
      <w:r w:rsidRPr="000F2527">
        <w:rPr>
          <w:rFonts w:ascii="Arial Narrow" w:hAnsi="Arial Narrow"/>
          <w:sz w:val="18"/>
          <w:szCs w:val="18"/>
        </w:rPr>
        <w:t xml:space="preserve"> &amp;/or </w:t>
      </w:r>
      <w:r w:rsidRPr="00F00AC5">
        <w:rPr>
          <w:rFonts w:ascii="Arial Narrow" w:hAnsi="Arial Narrow"/>
          <w:i/>
          <w:sz w:val="18"/>
          <w:szCs w:val="18"/>
        </w:rPr>
        <w:t>RAD51B</w:t>
      </w:r>
      <w:r w:rsidRPr="000F2527">
        <w:rPr>
          <w:rFonts w:ascii="Arial Narrow" w:hAnsi="Arial Narrow"/>
          <w:sz w:val="18"/>
          <w:szCs w:val="18"/>
        </w:rPr>
        <w:t xml:space="preserve"> &amp;/or </w:t>
      </w:r>
      <w:r w:rsidRPr="00F00AC5">
        <w:rPr>
          <w:rFonts w:ascii="Arial Narrow" w:hAnsi="Arial Narrow"/>
          <w:i/>
          <w:sz w:val="18"/>
          <w:szCs w:val="18"/>
        </w:rPr>
        <w:t>RAD51D</w:t>
      </w:r>
    </w:p>
    <w:p w:rsidR="00C75B03" w:rsidRPr="000F2527" w:rsidRDefault="00C75B03" w:rsidP="00C75B03">
      <w:pPr>
        <w:spacing w:before="0" w:after="0"/>
        <w:ind w:left="165" w:hanging="165"/>
        <w:rPr>
          <w:rFonts w:ascii="Arial Narrow" w:hAnsi="Arial Narrow"/>
          <w:sz w:val="18"/>
          <w:szCs w:val="18"/>
        </w:rPr>
      </w:pPr>
      <w:proofErr w:type="gramStart"/>
      <w:r w:rsidRPr="000F2527">
        <w:rPr>
          <w:rFonts w:ascii="Arial Narrow" w:hAnsi="Arial Narrow"/>
          <w:sz w:val="18"/>
          <w:szCs w:val="18"/>
          <w:vertAlign w:val="superscript"/>
        </w:rPr>
        <w:t>d</w:t>
      </w:r>
      <w:proofErr w:type="gramEnd"/>
      <w:r w:rsidRPr="000F2527">
        <w:rPr>
          <w:rFonts w:ascii="Arial Narrow" w:hAnsi="Arial Narrow"/>
          <w:sz w:val="18"/>
          <w:szCs w:val="18"/>
        </w:rPr>
        <w:tab/>
        <w:t>gene subgroup analysis is based on patients with a single HRR mutation (results presented for genes with &gt;10 patients in each arm in the trial)</w:t>
      </w:r>
    </w:p>
    <w:p w:rsidR="00C75B03" w:rsidRPr="000F2527" w:rsidRDefault="00C75B03" w:rsidP="00C75B03">
      <w:pPr>
        <w:spacing w:before="0" w:after="0"/>
        <w:ind w:left="165" w:hanging="165"/>
        <w:rPr>
          <w:rFonts w:ascii="Arial Narrow" w:hAnsi="Arial Narrow"/>
          <w:sz w:val="18"/>
          <w:szCs w:val="18"/>
        </w:rPr>
      </w:pPr>
      <w:proofErr w:type="gramStart"/>
      <w:r w:rsidRPr="000F2527">
        <w:rPr>
          <w:rFonts w:ascii="Arial Narrow" w:hAnsi="Arial Narrow"/>
          <w:sz w:val="18"/>
          <w:szCs w:val="18"/>
          <w:vertAlign w:val="superscript"/>
        </w:rPr>
        <w:t>e</w:t>
      </w:r>
      <w:proofErr w:type="gramEnd"/>
      <w:r w:rsidRPr="000F2527">
        <w:rPr>
          <w:rFonts w:ascii="Arial Narrow" w:hAnsi="Arial Narrow"/>
          <w:sz w:val="18"/>
          <w:szCs w:val="18"/>
        </w:rPr>
        <w:tab/>
      </w:r>
      <w:r w:rsidR="00445AE7" w:rsidRPr="000F2527">
        <w:rPr>
          <w:rFonts w:ascii="Arial Narrow" w:hAnsi="Arial Narrow"/>
          <w:sz w:val="18"/>
          <w:szCs w:val="18"/>
        </w:rPr>
        <w:t>t</w:t>
      </w:r>
      <w:r w:rsidRPr="000F2527">
        <w:rPr>
          <w:rFonts w:ascii="Arial Narrow" w:hAnsi="Arial Narrow"/>
          <w:sz w:val="18"/>
          <w:szCs w:val="18"/>
        </w:rPr>
        <w:t xml:space="preserve">he number and proportion of deaths in the </w:t>
      </w:r>
      <w:r w:rsidRPr="00F00AC5">
        <w:rPr>
          <w:rFonts w:ascii="Arial Narrow" w:hAnsi="Arial Narrow"/>
          <w:i/>
          <w:sz w:val="18"/>
          <w:szCs w:val="18"/>
        </w:rPr>
        <w:t>BRCA1/2</w:t>
      </w:r>
      <w:r w:rsidRPr="000F2527">
        <w:rPr>
          <w:rFonts w:ascii="Arial Narrow" w:hAnsi="Arial Narrow"/>
          <w:sz w:val="18"/>
          <w:szCs w:val="18"/>
        </w:rPr>
        <w:t xml:space="preserve"> subgroup was not provided by the submission, but was available in Table 14.2.4.5 of the CSR addendum supplementary tabl</w:t>
      </w:r>
      <w:r w:rsidR="00C20845">
        <w:rPr>
          <w:rFonts w:ascii="Arial Narrow" w:hAnsi="Arial Narrow"/>
          <w:sz w:val="18"/>
          <w:szCs w:val="18"/>
        </w:rPr>
        <w:t>es provided with the submission</w:t>
      </w:r>
    </w:p>
    <w:p w:rsidR="00744AE1" w:rsidRDefault="00744AE1" w:rsidP="00C75B03">
      <w:pPr>
        <w:spacing w:before="0" w:after="0"/>
        <w:ind w:left="165" w:hanging="165"/>
        <w:rPr>
          <w:rFonts w:ascii="Arial Narrow" w:hAnsi="Arial Narrow"/>
          <w:sz w:val="18"/>
          <w:szCs w:val="18"/>
        </w:rPr>
      </w:pPr>
      <w:proofErr w:type="gramStart"/>
      <w:r w:rsidRPr="000F2527">
        <w:rPr>
          <w:rFonts w:ascii="Arial Narrow" w:hAnsi="Arial Narrow"/>
          <w:sz w:val="18"/>
          <w:szCs w:val="18"/>
          <w:vertAlign w:val="superscript"/>
        </w:rPr>
        <w:t>f</w:t>
      </w:r>
      <w:proofErr w:type="gramEnd"/>
      <w:r w:rsidRPr="000F2527">
        <w:rPr>
          <w:rFonts w:ascii="Arial Narrow" w:hAnsi="Arial Narrow"/>
          <w:sz w:val="18"/>
          <w:szCs w:val="18"/>
          <w:vertAlign w:val="superscript"/>
        </w:rPr>
        <w:tab/>
      </w:r>
      <w:r w:rsidR="00AA3768" w:rsidRPr="000F2527">
        <w:rPr>
          <w:rFonts w:ascii="Arial Narrow" w:hAnsi="Arial Narrow"/>
          <w:sz w:val="18"/>
          <w:szCs w:val="18"/>
        </w:rPr>
        <w:t>rank preserving structural failure time model</w:t>
      </w:r>
      <w:r w:rsidR="00AA3768" w:rsidRPr="000F2527">
        <w:rPr>
          <w:rFonts w:ascii="Arial Narrow" w:hAnsi="Arial Narrow"/>
          <w:sz w:val="18"/>
          <w:szCs w:val="18"/>
          <w:vertAlign w:val="superscript"/>
        </w:rPr>
        <w:t xml:space="preserve"> </w:t>
      </w:r>
      <w:r w:rsidR="00AA3768" w:rsidRPr="000F2527">
        <w:rPr>
          <w:rFonts w:ascii="Arial Narrow" w:hAnsi="Arial Narrow"/>
          <w:sz w:val="18"/>
          <w:szCs w:val="18"/>
        </w:rPr>
        <w:t>(</w:t>
      </w:r>
      <w:r w:rsidRPr="000F2527">
        <w:rPr>
          <w:rFonts w:ascii="Arial Narrow" w:hAnsi="Arial Narrow"/>
          <w:sz w:val="18"/>
          <w:szCs w:val="18"/>
        </w:rPr>
        <w:t>R</w:t>
      </w:r>
      <w:r w:rsidR="00C732C2" w:rsidRPr="000F2527">
        <w:rPr>
          <w:rFonts w:ascii="Arial Narrow" w:hAnsi="Arial Narrow"/>
          <w:sz w:val="18"/>
          <w:szCs w:val="18"/>
        </w:rPr>
        <w:t>PSFTM</w:t>
      </w:r>
      <w:r w:rsidR="00AA3768" w:rsidRPr="000F2527">
        <w:rPr>
          <w:rFonts w:ascii="Arial Narrow" w:hAnsi="Arial Narrow"/>
          <w:sz w:val="18"/>
          <w:szCs w:val="18"/>
        </w:rPr>
        <w:t>)</w:t>
      </w:r>
      <w:r w:rsidR="00C732C2" w:rsidRPr="000F2527">
        <w:rPr>
          <w:rFonts w:ascii="Arial Narrow" w:hAnsi="Arial Narrow"/>
          <w:sz w:val="18"/>
          <w:szCs w:val="18"/>
        </w:rPr>
        <w:t xml:space="preserve"> used to adjust for patient who crossed over from NHA to </w:t>
      </w:r>
      <w:proofErr w:type="spellStart"/>
      <w:r w:rsidR="00C732C2" w:rsidRPr="000F2527">
        <w:rPr>
          <w:rFonts w:ascii="Arial Narrow" w:hAnsi="Arial Narrow"/>
          <w:sz w:val="18"/>
          <w:szCs w:val="18"/>
        </w:rPr>
        <w:t>olaparib</w:t>
      </w:r>
      <w:proofErr w:type="spellEnd"/>
      <w:r w:rsidR="00C732C2" w:rsidRPr="000F2527">
        <w:rPr>
          <w:rFonts w:ascii="Arial Narrow" w:hAnsi="Arial Narrow"/>
          <w:sz w:val="18"/>
          <w:szCs w:val="18"/>
        </w:rPr>
        <w:t xml:space="preserve"> treatment.</w:t>
      </w:r>
    </w:p>
    <w:p w:rsidR="00557D6B" w:rsidRPr="00557D6B" w:rsidRDefault="00557D6B" w:rsidP="00C75B03">
      <w:pPr>
        <w:spacing w:before="0" w:after="0"/>
        <w:ind w:left="165" w:hanging="165"/>
        <w:rPr>
          <w:rFonts w:ascii="Arial Narrow" w:hAnsi="Arial Narrow"/>
          <w:sz w:val="18"/>
          <w:szCs w:val="18"/>
        </w:rPr>
      </w:pPr>
      <w:proofErr w:type="gramStart"/>
      <w:r>
        <w:rPr>
          <w:rFonts w:ascii="Arial Narrow" w:hAnsi="Arial Narrow"/>
          <w:sz w:val="18"/>
          <w:szCs w:val="18"/>
          <w:vertAlign w:val="superscript"/>
        </w:rPr>
        <w:t>1</w:t>
      </w:r>
      <w:r>
        <w:rPr>
          <w:rFonts w:ascii="Arial Narrow" w:hAnsi="Arial Narrow"/>
          <w:sz w:val="18"/>
          <w:szCs w:val="18"/>
        </w:rPr>
        <w:t xml:space="preserve">  </w:t>
      </w:r>
      <w:r w:rsidRPr="00557D6B">
        <w:rPr>
          <w:rFonts w:ascii="Arial Narrow" w:hAnsi="Arial Narrow"/>
          <w:sz w:val="18"/>
          <w:szCs w:val="18"/>
        </w:rPr>
        <w:t>Adjusted</w:t>
      </w:r>
      <w:proofErr w:type="gramEnd"/>
      <w:r w:rsidRPr="00557D6B">
        <w:rPr>
          <w:rFonts w:ascii="Arial Narrow" w:hAnsi="Arial Narrow"/>
          <w:sz w:val="18"/>
          <w:szCs w:val="18"/>
        </w:rPr>
        <w:t xml:space="preserve"> OS hazard ratio: manuscript submitted to European Urology for publication.</w:t>
      </w:r>
    </w:p>
    <w:p w:rsidR="00AE513C" w:rsidRPr="000F2527" w:rsidRDefault="00C31220" w:rsidP="0088177D">
      <w:pPr>
        <w:pStyle w:val="ListParagraph"/>
        <w:keepNext/>
        <w:keepLines/>
        <w:rPr>
          <w:color w:val="auto"/>
        </w:rPr>
      </w:pPr>
      <w:r w:rsidRPr="00BE056E">
        <w:lastRenderedPageBreak/>
        <w:t xml:space="preserve">For the primary outcome of </w:t>
      </w:r>
      <w:proofErr w:type="spellStart"/>
      <w:r w:rsidRPr="00BE056E">
        <w:t>rPFS</w:t>
      </w:r>
      <w:proofErr w:type="spellEnd"/>
      <w:r w:rsidRPr="00BE056E">
        <w:t xml:space="preserve"> assessed by BICR</w:t>
      </w:r>
      <w:r w:rsidR="00BC1C63" w:rsidRPr="00BE056E">
        <w:t xml:space="preserve"> in Cohort </w:t>
      </w:r>
      <w:proofErr w:type="gramStart"/>
      <w:r w:rsidR="00BC1C63" w:rsidRPr="00BE056E">
        <w:t>A</w:t>
      </w:r>
      <w:proofErr w:type="gramEnd"/>
      <w:r w:rsidR="00BC1C63" w:rsidRPr="00BE056E">
        <w:t xml:space="preserve"> patients</w:t>
      </w:r>
      <w:r w:rsidRPr="00BE056E">
        <w:t xml:space="preserve">, there was a statistically significant advantage for </w:t>
      </w:r>
      <w:proofErr w:type="spellStart"/>
      <w:r w:rsidRPr="00BE056E">
        <w:t>olaparib</w:t>
      </w:r>
      <w:proofErr w:type="spellEnd"/>
      <w:r w:rsidRPr="00BE056E">
        <w:t xml:space="preserve"> compared to NHA</w:t>
      </w:r>
      <w:r w:rsidR="00BC1C63" w:rsidRPr="00BE056E">
        <w:t xml:space="preserve"> (</w:t>
      </w:r>
      <w:r w:rsidRPr="00BE056E">
        <w:t>HR</w:t>
      </w:r>
      <w:r w:rsidR="00B70F50" w:rsidRPr="00BE056E">
        <w:t xml:space="preserve"> </w:t>
      </w:r>
      <w:r w:rsidRPr="00BE056E">
        <w:t>=</w:t>
      </w:r>
      <w:r w:rsidR="00B70F50" w:rsidRPr="00BE056E">
        <w:t xml:space="preserve"> </w:t>
      </w:r>
      <w:r w:rsidRPr="00BE056E">
        <w:t>0.34; 95% CI: 0.25, 0.47</w:t>
      </w:r>
      <w:r w:rsidR="00BC1C63" w:rsidRPr="00BE056E">
        <w:t>)</w:t>
      </w:r>
      <w:r w:rsidRPr="00BE056E">
        <w:t xml:space="preserve">. For investigator-assessed </w:t>
      </w:r>
      <w:proofErr w:type="spellStart"/>
      <w:r w:rsidRPr="00BE056E">
        <w:t>rPFS</w:t>
      </w:r>
      <w:proofErr w:type="spellEnd"/>
      <w:r w:rsidRPr="00BE056E">
        <w:t xml:space="preserve">, the hazard ratio lowered, indicating a greater advantage for </w:t>
      </w:r>
      <w:proofErr w:type="spellStart"/>
      <w:r w:rsidRPr="00BE056E">
        <w:t>olaparib</w:t>
      </w:r>
      <w:proofErr w:type="spellEnd"/>
      <w:r w:rsidRPr="00BE056E">
        <w:t xml:space="preserve">, although the submission noted that the open label nature of the trial should be considered a factor in the results. The advantage observed for the </w:t>
      </w:r>
      <w:r w:rsidR="00AC397C" w:rsidRPr="00BE056E">
        <w:t xml:space="preserve">BICR assessed </w:t>
      </w:r>
      <w:r w:rsidRPr="00AE513C">
        <w:rPr>
          <w:i/>
        </w:rPr>
        <w:t>BRCA1/2</w:t>
      </w:r>
      <w:r w:rsidRPr="00BE056E">
        <w:t xml:space="preserve"> subgroup was </w:t>
      </w:r>
      <w:r w:rsidR="00355989" w:rsidRPr="00BE056E">
        <w:t xml:space="preserve">numerically </w:t>
      </w:r>
      <w:r w:rsidRPr="00BE056E">
        <w:t xml:space="preserve">greater </w:t>
      </w:r>
      <w:r w:rsidR="00BC1C63" w:rsidRPr="00BE056E">
        <w:t>tha</w:t>
      </w:r>
      <w:r w:rsidR="00355989" w:rsidRPr="00BE056E">
        <w:t>n</w:t>
      </w:r>
      <w:r w:rsidR="00BC1C63" w:rsidRPr="00BE056E">
        <w:t xml:space="preserve"> that observed in Cohort A </w:t>
      </w:r>
      <w:r w:rsidRPr="00BE056E">
        <w:t>(HR</w:t>
      </w:r>
      <w:r w:rsidR="00B70F50" w:rsidRPr="00BE056E">
        <w:t xml:space="preserve"> </w:t>
      </w:r>
      <w:r w:rsidRPr="00BE056E">
        <w:t>=</w:t>
      </w:r>
      <w:r w:rsidR="00B70F50" w:rsidRPr="00BE056E">
        <w:t xml:space="preserve"> </w:t>
      </w:r>
      <w:r w:rsidRPr="00BE056E">
        <w:t>0.22; 95% CI: 0.15, 0.32).</w:t>
      </w:r>
      <w:r w:rsidR="00445AE7">
        <w:t xml:space="preserve"> </w:t>
      </w:r>
      <w:r w:rsidR="00BD04AE">
        <w:t>A</w:t>
      </w:r>
      <w:r w:rsidR="00DD006F" w:rsidRPr="000F2527">
        <w:t xml:space="preserve"> similar benefit in </w:t>
      </w:r>
      <w:proofErr w:type="spellStart"/>
      <w:r w:rsidR="00DD006F" w:rsidRPr="000F2527">
        <w:t>rPFS</w:t>
      </w:r>
      <w:proofErr w:type="spellEnd"/>
      <w:r w:rsidR="00DD006F" w:rsidRPr="000F2527">
        <w:t xml:space="preserve"> for </w:t>
      </w:r>
      <w:proofErr w:type="spellStart"/>
      <w:r w:rsidR="00DD006F" w:rsidRPr="000F2527">
        <w:t>olaparib</w:t>
      </w:r>
      <w:proofErr w:type="spellEnd"/>
      <w:r w:rsidR="00DD006F" w:rsidRPr="000F2527">
        <w:t xml:space="preserve"> versus NHA </w:t>
      </w:r>
      <w:r w:rsidR="00BD04AE">
        <w:t xml:space="preserve">was not shown </w:t>
      </w:r>
      <w:r w:rsidR="00DD006F" w:rsidRPr="000F2527">
        <w:t>in the complement subgroups:</w:t>
      </w:r>
      <w:r w:rsidR="00AE513C" w:rsidRPr="000F2527">
        <w:t xml:space="preserve"> </w:t>
      </w:r>
      <w:r w:rsidR="00AE513C" w:rsidRPr="009632E5">
        <w:rPr>
          <w:i/>
        </w:rPr>
        <w:t>ATM</w:t>
      </w:r>
      <w:r w:rsidR="00AE513C" w:rsidRPr="000F2527">
        <w:t xml:space="preserve"> (HR</w:t>
      </w:r>
      <w:r w:rsidR="00CC5AFE" w:rsidRPr="000F2527">
        <w:t xml:space="preserve"> </w:t>
      </w:r>
      <w:r w:rsidR="00AE513C" w:rsidRPr="000F2527">
        <w:t>=</w:t>
      </w:r>
      <w:r w:rsidR="00CC5AFE" w:rsidRPr="000F2527">
        <w:t xml:space="preserve"> </w:t>
      </w:r>
      <w:r w:rsidR="00AE513C" w:rsidRPr="000F2527">
        <w:t>1.04; 95%</w:t>
      </w:r>
      <w:r w:rsidR="00694050" w:rsidRPr="000F2527">
        <w:t xml:space="preserve"> </w:t>
      </w:r>
      <w:r w:rsidR="00AE513C" w:rsidRPr="000F2527">
        <w:t>CI</w:t>
      </w:r>
      <w:r w:rsidR="00CC5AFE" w:rsidRPr="000F2527">
        <w:t>:</w:t>
      </w:r>
      <w:r w:rsidR="00AE513C" w:rsidRPr="000F2527">
        <w:t xml:space="preserve"> 0.61, 1.87), </w:t>
      </w:r>
      <w:r w:rsidR="00AE513C" w:rsidRPr="009632E5">
        <w:rPr>
          <w:i/>
        </w:rPr>
        <w:t xml:space="preserve">CDK12 </w:t>
      </w:r>
      <w:r w:rsidR="00AE513C" w:rsidRPr="000F2527">
        <w:t>(HR</w:t>
      </w:r>
      <w:r w:rsidR="00CC5AFE" w:rsidRPr="000F2527">
        <w:t xml:space="preserve"> </w:t>
      </w:r>
      <w:r w:rsidR="00AE513C" w:rsidRPr="000F2527">
        <w:t>=</w:t>
      </w:r>
      <w:r w:rsidR="00CC5AFE" w:rsidRPr="000F2527">
        <w:t xml:space="preserve"> </w:t>
      </w:r>
      <w:r w:rsidR="00AE513C" w:rsidRPr="000F2527">
        <w:t>0.74; 95%</w:t>
      </w:r>
      <w:r w:rsidR="00694050" w:rsidRPr="000F2527">
        <w:t xml:space="preserve"> </w:t>
      </w:r>
      <w:r w:rsidR="00AE513C" w:rsidRPr="000F2527">
        <w:t>CI</w:t>
      </w:r>
      <w:r w:rsidR="00CC5AFE" w:rsidRPr="000F2527">
        <w:t xml:space="preserve">: </w:t>
      </w:r>
      <w:r w:rsidR="00AE513C" w:rsidRPr="000F2527">
        <w:t>0.44, 1.31) or Cohort B genes (HR</w:t>
      </w:r>
      <w:r w:rsidR="00CC5AFE" w:rsidRPr="000F2527">
        <w:t xml:space="preserve"> </w:t>
      </w:r>
      <w:r w:rsidR="00AE513C" w:rsidRPr="000F2527">
        <w:t>=</w:t>
      </w:r>
      <w:r w:rsidR="00CC5AFE" w:rsidRPr="000F2527">
        <w:t xml:space="preserve"> </w:t>
      </w:r>
      <w:r w:rsidR="00AE513C" w:rsidRPr="000F2527">
        <w:t>1.00; 95% CI</w:t>
      </w:r>
      <w:r w:rsidR="00CC5AFE" w:rsidRPr="000F2527">
        <w:t xml:space="preserve">: </w:t>
      </w:r>
      <w:r w:rsidR="00AE513C" w:rsidRPr="000F2527">
        <w:t xml:space="preserve">0.55, 1.88). </w:t>
      </w:r>
      <w:r w:rsidR="00CA1CD8" w:rsidRPr="000F2527">
        <w:t>However</w:t>
      </w:r>
      <w:r w:rsidR="00E94613" w:rsidRPr="000F2527">
        <w:t>,</w:t>
      </w:r>
      <w:r w:rsidR="00CA1CD8" w:rsidRPr="000F2527">
        <w:t xml:space="preserve"> as </w:t>
      </w:r>
      <w:proofErr w:type="spellStart"/>
      <w:r w:rsidR="00BF263B" w:rsidRPr="000F2527">
        <w:t>PROfound</w:t>
      </w:r>
      <w:proofErr w:type="spellEnd"/>
      <w:r w:rsidR="00BF263B" w:rsidRPr="000F2527">
        <w:t xml:space="preserve"> was </w:t>
      </w:r>
      <w:r w:rsidR="00CA1CD8" w:rsidRPr="000F2527">
        <w:t>not</w:t>
      </w:r>
      <w:r w:rsidR="00BF263B" w:rsidRPr="000F2527">
        <w:t xml:space="preserve"> alpha corrected </w:t>
      </w:r>
      <w:r w:rsidR="00CA1CD8" w:rsidRPr="000F2527">
        <w:t>to assess efficacy within individual subgroups the</w:t>
      </w:r>
      <w:r w:rsidR="00BF263B" w:rsidRPr="000F2527">
        <w:t>se</w:t>
      </w:r>
      <w:r w:rsidR="00CA1CD8" w:rsidRPr="000F2527">
        <w:t xml:space="preserve"> </w:t>
      </w:r>
      <w:r w:rsidR="00BF263B" w:rsidRPr="000F2527">
        <w:t xml:space="preserve">results should </w:t>
      </w:r>
      <w:r w:rsidR="00CA1CD8" w:rsidRPr="000F2527">
        <w:t>be interpreted with caution</w:t>
      </w:r>
      <w:r w:rsidR="00BF263B" w:rsidRPr="000F2527">
        <w:t>.</w:t>
      </w:r>
    </w:p>
    <w:p w:rsidR="00C31220" w:rsidRPr="000F2527" w:rsidRDefault="00C31220" w:rsidP="00DD006F">
      <w:pPr>
        <w:pStyle w:val="ListParagraph"/>
        <w:rPr>
          <w:color w:val="auto"/>
        </w:rPr>
      </w:pPr>
      <w:r w:rsidRPr="000F2527">
        <w:t xml:space="preserve">The final analysis of OS </w:t>
      </w:r>
      <w:r w:rsidR="00BC1C63" w:rsidRPr="000F2527">
        <w:t>in Cohort A demonstrated</w:t>
      </w:r>
      <w:r w:rsidRPr="000F2527">
        <w:t xml:space="preserve"> a statistically significant advantage for </w:t>
      </w:r>
      <w:proofErr w:type="spellStart"/>
      <w:r w:rsidRPr="000F2527">
        <w:t>olaparib</w:t>
      </w:r>
      <w:proofErr w:type="spellEnd"/>
      <w:r w:rsidRPr="000F2527">
        <w:t xml:space="preserve">, indicating a 4.4 month gain in survival for </w:t>
      </w:r>
      <w:proofErr w:type="spellStart"/>
      <w:r w:rsidRPr="000F2527">
        <w:t>olaparib</w:t>
      </w:r>
      <w:proofErr w:type="spellEnd"/>
      <w:r w:rsidRPr="000F2527">
        <w:t>-treated patients (HR</w:t>
      </w:r>
      <w:r w:rsidR="00AC397C" w:rsidRPr="000F2527">
        <w:t xml:space="preserve"> </w:t>
      </w:r>
      <w:r w:rsidRPr="000F2527">
        <w:t>=</w:t>
      </w:r>
      <w:r w:rsidR="00AC397C" w:rsidRPr="000F2527">
        <w:t xml:space="preserve"> </w:t>
      </w:r>
      <w:r w:rsidRPr="000F2527">
        <w:t xml:space="preserve">0.69; 95% CI: 0.50, 0.97). The analysis in the </w:t>
      </w:r>
      <w:r w:rsidRPr="00F00AC5">
        <w:rPr>
          <w:i/>
          <w:iCs/>
        </w:rPr>
        <w:t>BRCA1/2</w:t>
      </w:r>
      <w:r w:rsidRPr="000F2527">
        <w:rPr>
          <w:iCs/>
        </w:rPr>
        <w:t xml:space="preserve"> </w:t>
      </w:r>
      <w:r w:rsidRPr="000F2527">
        <w:t>subgroup showed an incremental gain in survival of 5.7 months (HR</w:t>
      </w:r>
      <w:r w:rsidR="00AC397C" w:rsidRPr="000F2527">
        <w:t xml:space="preserve"> </w:t>
      </w:r>
      <w:r w:rsidRPr="000F2527">
        <w:t>=</w:t>
      </w:r>
      <w:r w:rsidR="00AC397C" w:rsidRPr="000F2527">
        <w:t xml:space="preserve"> </w:t>
      </w:r>
      <w:r w:rsidRPr="000F2527">
        <w:t>0.63; 95% CI: 0.42, 0.95). The Kaplan Meier plots for OS for Cohort A</w:t>
      </w:r>
      <w:r w:rsidR="000026CB" w:rsidRPr="000F2527">
        <w:t xml:space="preserve"> and</w:t>
      </w:r>
      <w:r w:rsidR="003F291D" w:rsidRPr="000F2527">
        <w:t xml:space="preserve"> </w:t>
      </w:r>
      <w:r w:rsidRPr="00F00AC5">
        <w:rPr>
          <w:i/>
          <w:iCs/>
        </w:rPr>
        <w:t>BRCA1/2</w:t>
      </w:r>
      <w:r w:rsidRPr="000F2527">
        <w:t xml:space="preserve"> subgroup are provided below</w:t>
      </w:r>
      <w:r w:rsidR="00E94613" w:rsidRPr="000F2527">
        <w:t xml:space="preserve">. </w:t>
      </w:r>
      <w:r w:rsidR="00324DC5" w:rsidRPr="000F2527">
        <w:t xml:space="preserve">At the March 2020 data cut, the median duration of follow up was 21.91 months </w:t>
      </w:r>
      <w:r w:rsidR="009632E5">
        <w:t xml:space="preserve">for the </w:t>
      </w:r>
      <w:proofErr w:type="spellStart"/>
      <w:r w:rsidR="009632E5">
        <w:t>olaparib</w:t>
      </w:r>
      <w:proofErr w:type="spellEnd"/>
      <w:r w:rsidR="009632E5">
        <w:t xml:space="preserve"> arm </w:t>
      </w:r>
      <w:r w:rsidR="00324DC5" w:rsidRPr="000F2527">
        <w:t>and 21.04 months for the NHA arm.</w:t>
      </w:r>
      <w:r w:rsidR="000C5AFD" w:rsidRPr="000F2527">
        <w:t xml:space="preserve"> </w:t>
      </w:r>
      <w:r w:rsidR="00BD04AE">
        <w:t>A</w:t>
      </w:r>
      <w:r w:rsidR="00DD006F" w:rsidRPr="000F2527">
        <w:t xml:space="preserve"> similar benefit in OS for </w:t>
      </w:r>
      <w:proofErr w:type="spellStart"/>
      <w:r w:rsidR="00DD006F" w:rsidRPr="000F2527">
        <w:t>olaparib</w:t>
      </w:r>
      <w:proofErr w:type="spellEnd"/>
      <w:r w:rsidR="00DD006F" w:rsidRPr="000F2527">
        <w:t xml:space="preserve"> versus NHA </w:t>
      </w:r>
      <w:r w:rsidR="00BD04AE">
        <w:t xml:space="preserve">was not shown </w:t>
      </w:r>
      <w:r w:rsidR="00DD006F" w:rsidRPr="000F2527">
        <w:t xml:space="preserve">in </w:t>
      </w:r>
      <w:r w:rsidR="000C5AFD" w:rsidRPr="000F2527">
        <w:t>the complement subgroup</w:t>
      </w:r>
      <w:r w:rsidR="00DD006F" w:rsidRPr="000F2527">
        <w:t>s</w:t>
      </w:r>
      <w:r w:rsidR="000C5AFD" w:rsidRPr="000F2527">
        <w:t>:</w:t>
      </w:r>
      <w:r w:rsidR="007F1EDE" w:rsidRPr="000F2527">
        <w:t xml:space="preserve"> </w:t>
      </w:r>
      <w:r w:rsidR="007F1EDE" w:rsidRPr="00F00AC5">
        <w:rPr>
          <w:i/>
        </w:rPr>
        <w:t>non-BRCA</w:t>
      </w:r>
      <w:r w:rsidR="007F1EDE" w:rsidRPr="000F2527">
        <w:t xml:space="preserve"> (HR</w:t>
      </w:r>
      <w:r w:rsidR="00694050" w:rsidRPr="000F2527">
        <w:t xml:space="preserve"> </w:t>
      </w:r>
      <w:r w:rsidR="007F1EDE" w:rsidRPr="000F2527">
        <w:t>=</w:t>
      </w:r>
      <w:r w:rsidR="00694050" w:rsidRPr="000F2527">
        <w:t xml:space="preserve"> </w:t>
      </w:r>
      <w:r w:rsidR="007F1EDE" w:rsidRPr="000F2527">
        <w:t>0.95; 95%</w:t>
      </w:r>
      <w:r w:rsidR="00694050" w:rsidRPr="000F2527">
        <w:t xml:space="preserve"> </w:t>
      </w:r>
      <w:r w:rsidR="007F1EDE" w:rsidRPr="000F2527">
        <w:t>CI</w:t>
      </w:r>
      <w:r w:rsidR="009E3460" w:rsidRPr="000F2527">
        <w:t xml:space="preserve">: </w:t>
      </w:r>
      <w:r w:rsidR="007F1EDE" w:rsidRPr="000F2527">
        <w:t>0.68, 1.34),</w:t>
      </w:r>
      <w:r w:rsidR="000C5AFD" w:rsidRPr="000F2527">
        <w:t xml:space="preserve"> </w:t>
      </w:r>
      <w:r w:rsidR="000C5AFD" w:rsidRPr="00F00AC5">
        <w:rPr>
          <w:i/>
        </w:rPr>
        <w:t>ATM</w:t>
      </w:r>
      <w:r w:rsidR="000C5AFD" w:rsidRPr="000F2527">
        <w:t xml:space="preserve"> (HR</w:t>
      </w:r>
      <w:r w:rsidR="00CC5AFE" w:rsidRPr="000F2527">
        <w:t xml:space="preserve"> </w:t>
      </w:r>
      <w:r w:rsidR="000C5AFD" w:rsidRPr="000F2527">
        <w:t>=</w:t>
      </w:r>
      <w:r w:rsidR="00CC5AFE" w:rsidRPr="000F2527">
        <w:t xml:space="preserve"> </w:t>
      </w:r>
      <w:r w:rsidR="000C5AFD" w:rsidRPr="000F2527">
        <w:t>0.93; 95%</w:t>
      </w:r>
      <w:r w:rsidR="00CC5AFE" w:rsidRPr="000F2527">
        <w:t xml:space="preserve"> </w:t>
      </w:r>
      <w:r w:rsidR="000C5AFD" w:rsidRPr="000F2527">
        <w:t>CI</w:t>
      </w:r>
      <w:r w:rsidR="009E3460" w:rsidRPr="000F2527">
        <w:t>:</w:t>
      </w:r>
      <w:r w:rsidR="00CC5AFE" w:rsidRPr="000F2527">
        <w:t xml:space="preserve"> </w:t>
      </w:r>
      <w:r w:rsidR="007F1EDE" w:rsidRPr="000F2527">
        <w:t>0.53, 1.75</w:t>
      </w:r>
      <w:r w:rsidR="000C5AFD" w:rsidRPr="000F2527">
        <w:t xml:space="preserve">), </w:t>
      </w:r>
      <w:r w:rsidR="000C5AFD" w:rsidRPr="00F00AC5">
        <w:rPr>
          <w:i/>
        </w:rPr>
        <w:t>CDK12</w:t>
      </w:r>
      <w:r w:rsidR="000C5AFD" w:rsidRPr="000F2527">
        <w:t xml:space="preserve"> (HR</w:t>
      </w:r>
      <w:r w:rsidR="00CC5AFE" w:rsidRPr="000F2527">
        <w:t xml:space="preserve"> </w:t>
      </w:r>
      <w:r w:rsidR="000C5AFD" w:rsidRPr="000F2527">
        <w:t>=</w:t>
      </w:r>
      <w:r w:rsidR="00CC5AFE" w:rsidRPr="000F2527">
        <w:t xml:space="preserve"> </w:t>
      </w:r>
      <w:r w:rsidR="000C5AFD" w:rsidRPr="000F2527">
        <w:t>0.</w:t>
      </w:r>
      <w:r w:rsidR="007F1EDE" w:rsidRPr="000F2527">
        <w:t>97</w:t>
      </w:r>
      <w:r w:rsidR="000C5AFD" w:rsidRPr="000F2527">
        <w:t>; 95%</w:t>
      </w:r>
      <w:r w:rsidR="00694050" w:rsidRPr="000F2527">
        <w:t xml:space="preserve"> </w:t>
      </w:r>
      <w:r w:rsidR="000C5AFD" w:rsidRPr="000F2527">
        <w:t>CI</w:t>
      </w:r>
      <w:r w:rsidR="00CC5AFE" w:rsidRPr="000F2527">
        <w:t xml:space="preserve">: </w:t>
      </w:r>
      <w:r w:rsidR="000C5AFD" w:rsidRPr="000F2527">
        <w:t>0.</w:t>
      </w:r>
      <w:r w:rsidR="007F1EDE" w:rsidRPr="000F2527">
        <w:t>57</w:t>
      </w:r>
      <w:r w:rsidR="000C5AFD" w:rsidRPr="000F2527">
        <w:t>, 1.</w:t>
      </w:r>
      <w:r w:rsidR="007F1EDE" w:rsidRPr="000F2527">
        <w:t>71</w:t>
      </w:r>
      <w:r w:rsidR="000C5AFD" w:rsidRPr="000F2527">
        <w:t>) or Cohort B genes (HR</w:t>
      </w:r>
      <w:r w:rsidR="00CC5AFE" w:rsidRPr="000F2527">
        <w:t xml:space="preserve"> </w:t>
      </w:r>
      <w:r w:rsidR="000C5AFD" w:rsidRPr="000F2527">
        <w:t>=</w:t>
      </w:r>
      <w:r w:rsidR="00CC5AFE" w:rsidRPr="000F2527">
        <w:t xml:space="preserve"> </w:t>
      </w:r>
      <w:r w:rsidR="00DD006F" w:rsidRPr="000F2527">
        <w:t>0.96</w:t>
      </w:r>
      <w:r w:rsidR="000C5AFD" w:rsidRPr="000F2527">
        <w:t>; 95% CI</w:t>
      </w:r>
      <w:r w:rsidR="00CC5AFE" w:rsidRPr="000F2527">
        <w:t xml:space="preserve">: </w:t>
      </w:r>
      <w:r w:rsidR="000C5AFD" w:rsidRPr="000F2527">
        <w:t>0.</w:t>
      </w:r>
      <w:r w:rsidR="00DD006F" w:rsidRPr="000F2527">
        <w:t>63</w:t>
      </w:r>
      <w:r w:rsidR="000C5AFD" w:rsidRPr="000F2527">
        <w:t>, 1.</w:t>
      </w:r>
      <w:r w:rsidR="00DD006F" w:rsidRPr="000F2527">
        <w:t>49</w:t>
      </w:r>
      <w:r w:rsidR="000C5AFD" w:rsidRPr="000F2527">
        <w:t>)</w:t>
      </w:r>
      <w:r w:rsidR="000026CB" w:rsidRPr="000F2527">
        <w:t xml:space="preserve">, available Kaplan Meier graphs for Cohort B and </w:t>
      </w:r>
      <w:r w:rsidR="000026CB" w:rsidRPr="009632E5">
        <w:rPr>
          <w:i/>
        </w:rPr>
        <w:t>ATM</w:t>
      </w:r>
      <w:r w:rsidR="000026CB" w:rsidRPr="000F2527">
        <w:t xml:space="preserve"> </w:t>
      </w:r>
      <w:r w:rsidR="00AA3768" w:rsidRPr="000F2527">
        <w:t xml:space="preserve">subgroup </w:t>
      </w:r>
      <w:r w:rsidR="000026CB" w:rsidRPr="000F2527">
        <w:t xml:space="preserve">are also presented below and </w:t>
      </w:r>
      <w:r w:rsidR="001D27FE" w:rsidRPr="000F2527">
        <w:t xml:space="preserve">show no separation in the </w:t>
      </w:r>
      <w:r w:rsidR="000026CB" w:rsidRPr="000F2527">
        <w:t xml:space="preserve">OS </w:t>
      </w:r>
      <w:r w:rsidR="001D27FE" w:rsidRPr="000F2527">
        <w:t xml:space="preserve">curves </w:t>
      </w:r>
      <w:r w:rsidR="000026CB" w:rsidRPr="000F2527">
        <w:t xml:space="preserve">between those treated with </w:t>
      </w:r>
      <w:proofErr w:type="spellStart"/>
      <w:r w:rsidR="000026CB" w:rsidRPr="000F2527">
        <w:t>olaparib</w:t>
      </w:r>
      <w:proofErr w:type="spellEnd"/>
      <w:r w:rsidR="000026CB" w:rsidRPr="000F2527">
        <w:t xml:space="preserve"> and NHA.</w:t>
      </w:r>
    </w:p>
    <w:p w:rsidR="00C31220" w:rsidRPr="00BE056E" w:rsidRDefault="00C31220" w:rsidP="000761CF">
      <w:pPr>
        <w:keepNext/>
        <w:spacing w:before="0" w:after="0"/>
        <w:rPr>
          <w:rFonts w:ascii="Arial Narrow" w:hAnsi="Arial Narrow"/>
          <w:b/>
          <w:bCs/>
          <w:sz w:val="20"/>
          <w:szCs w:val="20"/>
        </w:rPr>
      </w:pPr>
      <w:r w:rsidRPr="00BE056E">
        <w:rPr>
          <w:rFonts w:ascii="Arial Narrow" w:hAnsi="Arial Narrow"/>
          <w:b/>
          <w:bCs/>
          <w:sz w:val="20"/>
          <w:szCs w:val="20"/>
        </w:rPr>
        <w:lastRenderedPageBreak/>
        <w:t xml:space="preserve">Figure </w:t>
      </w:r>
      <w:r w:rsidR="00CD4B9C">
        <w:rPr>
          <w:rFonts w:ascii="Arial Narrow" w:hAnsi="Arial Narrow"/>
          <w:b/>
          <w:bCs/>
          <w:noProof/>
          <w:sz w:val="20"/>
          <w:szCs w:val="20"/>
        </w:rPr>
        <w:t>1</w:t>
      </w:r>
      <w:r w:rsidR="00C20845">
        <w:rPr>
          <w:rFonts w:ascii="Arial Narrow" w:hAnsi="Arial Narrow"/>
          <w:b/>
          <w:bCs/>
          <w:noProof/>
          <w:sz w:val="20"/>
          <w:szCs w:val="20"/>
        </w:rPr>
        <w:t>:</w:t>
      </w:r>
      <w:r w:rsidRPr="00BE056E">
        <w:rPr>
          <w:rFonts w:ascii="Arial Narrow" w:hAnsi="Arial Narrow"/>
          <w:b/>
          <w:bCs/>
          <w:sz w:val="20"/>
          <w:szCs w:val="20"/>
        </w:rPr>
        <w:tab/>
        <w:t xml:space="preserve">Kaplan Meier plot of OS for the </w:t>
      </w:r>
      <w:proofErr w:type="spellStart"/>
      <w:proofErr w:type="gramStart"/>
      <w:r w:rsidRPr="00BE056E">
        <w:rPr>
          <w:rFonts w:ascii="Arial Narrow" w:hAnsi="Arial Narrow"/>
          <w:b/>
          <w:bCs/>
          <w:sz w:val="20"/>
          <w:szCs w:val="20"/>
        </w:rPr>
        <w:t>PROfound</w:t>
      </w:r>
      <w:proofErr w:type="spellEnd"/>
      <w:proofErr w:type="gramEnd"/>
      <w:r w:rsidRPr="00BE056E">
        <w:rPr>
          <w:rFonts w:ascii="Arial Narrow" w:hAnsi="Arial Narrow"/>
          <w:b/>
          <w:bCs/>
          <w:sz w:val="20"/>
          <w:szCs w:val="20"/>
        </w:rPr>
        <w:t xml:space="preserve"> trial – final analysis (March 2020 data cut)</w:t>
      </w:r>
    </w:p>
    <w:p w:rsidR="00C31220" w:rsidRPr="009027CC" w:rsidRDefault="00C31220" w:rsidP="000761CF">
      <w:pPr>
        <w:keepNext/>
        <w:tabs>
          <w:tab w:val="left" w:pos="4395"/>
        </w:tabs>
        <w:spacing w:before="0" w:after="0"/>
        <w:rPr>
          <w:vertAlign w:val="superscript"/>
        </w:rPr>
      </w:pPr>
      <w:r w:rsidRPr="00BE056E">
        <w:rPr>
          <w:rFonts w:ascii="Arial Narrow" w:hAnsi="Arial Narrow"/>
          <w:b/>
          <w:bCs/>
          <w:sz w:val="20"/>
          <w:szCs w:val="20"/>
        </w:rPr>
        <w:t>A: Cohort A</w:t>
      </w:r>
      <w:r w:rsidRPr="00BE056E">
        <w:rPr>
          <w:rFonts w:ascii="Arial Narrow" w:hAnsi="Arial Narrow"/>
          <w:b/>
          <w:bCs/>
          <w:sz w:val="20"/>
          <w:szCs w:val="20"/>
        </w:rPr>
        <w:tab/>
        <w:t xml:space="preserve">B: </w:t>
      </w:r>
      <w:r w:rsidRPr="00BF2A96">
        <w:rPr>
          <w:rFonts w:ascii="Arial Narrow" w:hAnsi="Arial Narrow"/>
          <w:b/>
          <w:bCs/>
          <w:i/>
          <w:iCs/>
          <w:sz w:val="20"/>
          <w:szCs w:val="20"/>
        </w:rPr>
        <w:t>BRCA</w:t>
      </w:r>
      <w:r w:rsidRPr="00BF2A96">
        <w:rPr>
          <w:rFonts w:ascii="Arial Narrow" w:hAnsi="Arial Narrow"/>
          <w:b/>
          <w:bCs/>
          <w:i/>
          <w:sz w:val="20"/>
          <w:szCs w:val="20"/>
        </w:rPr>
        <w:t>1/2</w:t>
      </w:r>
      <w:r w:rsidRPr="00BE056E">
        <w:rPr>
          <w:rFonts w:ascii="Arial Narrow" w:hAnsi="Arial Narrow"/>
          <w:b/>
          <w:bCs/>
          <w:sz w:val="20"/>
          <w:szCs w:val="20"/>
        </w:rPr>
        <w:t xml:space="preserve"> </w:t>
      </w:r>
      <w:proofErr w:type="spellStart"/>
      <w:r w:rsidRPr="00BE056E">
        <w:rPr>
          <w:rFonts w:ascii="Arial Narrow" w:hAnsi="Arial Narrow"/>
          <w:b/>
          <w:bCs/>
          <w:sz w:val="20"/>
          <w:szCs w:val="20"/>
        </w:rPr>
        <w:t>subgroup</w:t>
      </w:r>
      <w:r w:rsidR="009027CC">
        <w:rPr>
          <w:rFonts w:ascii="Arial Narrow" w:hAnsi="Arial Narrow"/>
          <w:b/>
          <w:bCs/>
          <w:sz w:val="20"/>
          <w:szCs w:val="20"/>
          <w:vertAlign w:val="superscript"/>
        </w:rPr>
        <w:t>a</w:t>
      </w:r>
      <w:proofErr w:type="spellEnd"/>
    </w:p>
    <w:p w:rsidR="00C31220" w:rsidRDefault="00D71761" w:rsidP="000761CF">
      <w:pPr>
        <w:keepNext/>
        <w:spacing w:before="0" w:after="0"/>
        <w:rPr>
          <w14:textOutline w14:w="9525" w14:cap="rnd" w14:cmpd="sng" w14:algn="ctr">
            <w14:solidFill>
              <w14:schemeClr w14:val="accent1"/>
            </w14:solidFill>
            <w14:prstDash w14:val="solid"/>
            <w14:bevel/>
          </w14:textOutline>
        </w:rPr>
      </w:pPr>
      <w:r w:rsidRPr="007C1F48">
        <w:rPr>
          <w:noProof/>
          <w:lang w:eastAsia="en-AU"/>
        </w:rPr>
        <w:drawing>
          <wp:inline distT="0" distB="0" distL="0" distR="0" wp14:anchorId="184C1A3B" wp14:editId="3A971723">
            <wp:extent cx="2732405" cy="1765300"/>
            <wp:effectExtent l="0" t="0" r="0" b="6350"/>
            <wp:docPr id="13" name="Picture 13" title="A: Cohor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BEBA8EAE-BF5A-486C-A8C5-ECC9F3942E4B}">
                          <a14:imgProps xmlns:a14="http://schemas.microsoft.com/office/drawing/2010/main">
                            <a14:imgLayer r:embed="rId9">
                              <a14:imgEffect>
                                <a14:sharpenSoften amount="21000"/>
                              </a14:imgEffect>
                              <a14:imgEffect>
                                <a14:saturation sat="246000"/>
                              </a14:imgEffect>
                            </a14:imgLayer>
                          </a14:imgProps>
                        </a:ext>
                        <a:ext uri="{28A0092B-C50C-407E-A947-70E740481C1C}">
                          <a14:useLocalDpi xmlns:a14="http://schemas.microsoft.com/office/drawing/2010/main"/>
                        </a:ext>
                      </a:extLst>
                    </a:blip>
                    <a:stretch>
                      <a:fillRect/>
                    </a:stretch>
                  </pic:blipFill>
                  <pic:spPr>
                    <a:xfrm>
                      <a:off x="0" y="0"/>
                      <a:ext cx="2732405" cy="1765300"/>
                    </a:xfrm>
                    <a:prstGeom prst="rect">
                      <a:avLst/>
                    </a:prstGeom>
                    <a:ln w="12700">
                      <a:noFill/>
                    </a:ln>
                  </pic:spPr>
                </pic:pic>
              </a:graphicData>
            </a:graphic>
          </wp:inline>
        </w:drawing>
      </w:r>
      <w:r w:rsidR="00C31220" w:rsidRPr="00BE056E">
        <w:rPr>
          <w:noProof/>
          <w:lang w:eastAsia="en-AU"/>
        </w:rPr>
        <w:drawing>
          <wp:inline distT="0" distB="0" distL="0" distR="0" wp14:anchorId="515F5B0D" wp14:editId="5234EA8C">
            <wp:extent cx="2719705" cy="1765300"/>
            <wp:effectExtent l="0" t="0" r="4445" b="6350"/>
            <wp:docPr id="14" name="Picture 14" title="B: BRCA1/2 subgrou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BEBA8EAE-BF5A-486C-A8C5-ECC9F3942E4B}">
                          <a14:imgProps xmlns:a14="http://schemas.microsoft.com/office/drawing/2010/main">
                            <a14:imgLayer r:embed="rId11">
                              <a14:imgEffect>
                                <a14:sharpenSoften amount="63000"/>
                              </a14:imgEffect>
                              <a14:imgEffect>
                                <a14:saturation sat="343000"/>
                              </a14:imgEffect>
                              <a14:imgEffect>
                                <a14:brightnessContrast contrast="75000"/>
                              </a14:imgEffect>
                            </a14:imgLayer>
                          </a14:imgProps>
                        </a:ext>
                        <a:ext uri="{28A0092B-C50C-407E-A947-70E740481C1C}">
                          <a14:useLocalDpi xmlns:a14="http://schemas.microsoft.com/office/drawing/2010/main"/>
                        </a:ext>
                      </a:extLst>
                    </a:blip>
                    <a:stretch>
                      <a:fillRect/>
                    </a:stretch>
                  </pic:blipFill>
                  <pic:spPr>
                    <a:xfrm>
                      <a:off x="0" y="0"/>
                      <a:ext cx="2721052" cy="1766174"/>
                    </a:xfrm>
                    <a:prstGeom prst="rect">
                      <a:avLst/>
                    </a:prstGeom>
                    <a:ln>
                      <a:noFill/>
                    </a:ln>
                  </pic:spPr>
                </pic:pic>
              </a:graphicData>
            </a:graphic>
          </wp:inline>
        </w:drawing>
      </w:r>
    </w:p>
    <w:p w:rsidR="00A313EE" w:rsidRPr="009632E5" w:rsidRDefault="00D94785" w:rsidP="000761CF">
      <w:pPr>
        <w:keepNext/>
        <w:spacing w:before="0" w:after="0"/>
        <w:rPr>
          <w:rFonts w:ascii="Arial Narrow" w:hAnsi="Arial Narrow"/>
          <w:b/>
          <w:bCs/>
          <w:sz w:val="20"/>
          <w:szCs w:val="20"/>
        </w:rPr>
      </w:pPr>
      <w:r w:rsidRPr="009632E5">
        <w:rPr>
          <w:rFonts w:ascii="Arial Narrow" w:hAnsi="Arial Narrow"/>
          <w:b/>
          <w:bCs/>
          <w:sz w:val="20"/>
          <w:szCs w:val="20"/>
        </w:rPr>
        <w:t>C: Cohort B</w:t>
      </w:r>
      <w:r w:rsidRPr="009632E5">
        <w:rPr>
          <w:noProof/>
        </w:rPr>
        <w:t xml:space="preserve"> </w:t>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noProof/>
        </w:rPr>
        <w:tab/>
      </w:r>
      <w:r w:rsidRPr="009632E5">
        <w:rPr>
          <w:rFonts w:ascii="Arial Narrow" w:hAnsi="Arial Narrow"/>
          <w:b/>
          <w:bCs/>
          <w:sz w:val="20"/>
          <w:szCs w:val="20"/>
        </w:rPr>
        <w:t xml:space="preserve">D: </w:t>
      </w:r>
      <w:r w:rsidRPr="009632E5">
        <w:rPr>
          <w:rFonts w:ascii="Arial Narrow" w:hAnsi="Arial Narrow"/>
          <w:b/>
          <w:bCs/>
          <w:i/>
          <w:sz w:val="20"/>
          <w:szCs w:val="20"/>
        </w:rPr>
        <w:t xml:space="preserve">ATM </w:t>
      </w:r>
      <w:r w:rsidRPr="009632E5">
        <w:rPr>
          <w:rFonts w:ascii="Arial Narrow" w:hAnsi="Arial Narrow"/>
          <w:b/>
          <w:bCs/>
          <w:sz w:val="20"/>
          <w:szCs w:val="20"/>
        </w:rPr>
        <w:t>only</w:t>
      </w:r>
    </w:p>
    <w:p w:rsidR="006219F3" w:rsidRPr="00D71761" w:rsidRDefault="00D94785" w:rsidP="000761CF">
      <w:pPr>
        <w:keepNext/>
        <w:spacing w:before="0" w:after="0"/>
        <w:rPr>
          <w14:textOutline w14:w="9525" w14:cap="rnd" w14:cmpd="sng" w14:algn="ctr">
            <w14:solidFill>
              <w14:schemeClr w14:val="accent1"/>
            </w14:solidFill>
            <w14:prstDash w14:val="solid"/>
            <w14:bevel/>
          </w14:textOutline>
        </w:rPr>
      </w:pPr>
      <w:r>
        <w:rPr>
          <w:noProof/>
          <w:lang w:eastAsia="en-AU"/>
        </w:rPr>
        <w:drawing>
          <wp:inline distT="0" distB="0" distL="0" distR="0" wp14:anchorId="5316DB1E" wp14:editId="2EE0FB12">
            <wp:extent cx="2692015" cy="1762963"/>
            <wp:effectExtent l="0" t="0" r="0" b="8890"/>
            <wp:docPr id="16" name="Picture 16" title="C: Cohort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BEBA8EAE-BF5A-486C-A8C5-ECC9F3942E4B}">
                          <a14:imgProps xmlns:a14="http://schemas.microsoft.com/office/drawing/2010/main">
                            <a14:imgLayer r:embed="rId13">
                              <a14:imgEffect>
                                <a14:sharpenSoften amount="31000"/>
                              </a14:imgEffect>
                              <a14:imgEffect>
                                <a14:saturation sat="271000"/>
                              </a14:imgEffect>
                              <a14:imgEffect>
                                <a14:brightnessContrast contrast="30000"/>
                              </a14:imgEffect>
                            </a14:imgLayer>
                          </a14:imgProps>
                        </a:ext>
                        <a:ext uri="{28A0092B-C50C-407E-A947-70E740481C1C}">
                          <a14:useLocalDpi xmlns:a14="http://schemas.microsoft.com/office/drawing/2010/main"/>
                        </a:ext>
                      </a:extLst>
                    </a:blip>
                    <a:stretch>
                      <a:fillRect/>
                    </a:stretch>
                  </pic:blipFill>
                  <pic:spPr>
                    <a:xfrm>
                      <a:off x="0" y="0"/>
                      <a:ext cx="2707526" cy="1773121"/>
                    </a:xfrm>
                    <a:prstGeom prst="rect">
                      <a:avLst/>
                    </a:prstGeom>
                  </pic:spPr>
                </pic:pic>
              </a:graphicData>
            </a:graphic>
          </wp:inline>
        </w:drawing>
      </w:r>
      <w:r w:rsidRPr="00D94785">
        <w:rPr>
          <w:noProof/>
        </w:rPr>
        <w:t xml:space="preserve"> </w:t>
      </w:r>
      <w:r>
        <w:rPr>
          <w:noProof/>
          <w:lang w:eastAsia="en-AU"/>
        </w:rPr>
        <w:drawing>
          <wp:inline distT="0" distB="0" distL="0" distR="0" wp14:anchorId="080CADF8" wp14:editId="697AC10F">
            <wp:extent cx="2691765" cy="1655140"/>
            <wp:effectExtent l="0" t="0" r="0" b="2540"/>
            <wp:docPr id="20" name="Picture 20" title="D: ATM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screen">
                      <a:extLst>
                        <a:ext uri="{BEBA8EAE-BF5A-486C-A8C5-ECC9F3942E4B}">
                          <a14:imgProps xmlns:a14="http://schemas.microsoft.com/office/drawing/2010/main">
                            <a14:imgLayer r:embed="rId15">
                              <a14:imgEffect>
                                <a14:sharpenSoften amount="49000"/>
                              </a14:imgEffect>
                              <a14:imgEffect>
                                <a14:saturation sat="400000"/>
                              </a14:imgEffect>
                              <a14:imgEffect>
                                <a14:brightnessContrast contrast="36000"/>
                              </a14:imgEffect>
                            </a14:imgLayer>
                          </a14:imgProps>
                        </a:ext>
                        <a:ext uri="{28A0092B-C50C-407E-A947-70E740481C1C}">
                          <a14:useLocalDpi xmlns:a14="http://schemas.microsoft.com/office/drawing/2010/main"/>
                        </a:ext>
                      </a:extLst>
                    </a:blip>
                    <a:stretch>
                      <a:fillRect/>
                    </a:stretch>
                  </pic:blipFill>
                  <pic:spPr>
                    <a:xfrm>
                      <a:off x="0" y="0"/>
                      <a:ext cx="2703119" cy="1662121"/>
                    </a:xfrm>
                    <a:prstGeom prst="rect">
                      <a:avLst/>
                    </a:prstGeom>
                  </pic:spPr>
                </pic:pic>
              </a:graphicData>
            </a:graphic>
          </wp:inline>
        </w:drawing>
      </w:r>
    </w:p>
    <w:p w:rsidR="000761CF" w:rsidRDefault="000761CF" w:rsidP="000761CF">
      <w:pPr>
        <w:pStyle w:val="TableFooter"/>
        <w:keepNext/>
        <w:spacing w:after="120"/>
      </w:pPr>
    </w:p>
    <w:p w:rsidR="00C31220" w:rsidRPr="000761CF" w:rsidRDefault="00C31220" w:rsidP="000761CF">
      <w:pPr>
        <w:pStyle w:val="TableFooter"/>
        <w:keepNext/>
        <w:spacing w:after="120"/>
      </w:pPr>
      <w:r w:rsidRPr="00BE056E">
        <w:t xml:space="preserve">Source: Figure </w:t>
      </w:r>
      <w:r w:rsidR="00972FA4">
        <w:t>S1</w:t>
      </w:r>
      <w:r w:rsidRPr="00BE056E">
        <w:t xml:space="preserve">, </w:t>
      </w:r>
      <w:r w:rsidR="00972FA4" w:rsidRPr="00BE056E">
        <w:t>p</w:t>
      </w:r>
      <w:r w:rsidR="00972FA4">
        <w:t>16</w:t>
      </w:r>
      <w:r w:rsidR="00972FA4" w:rsidRPr="00BE056E">
        <w:t xml:space="preserve"> </w:t>
      </w:r>
      <w:r w:rsidRPr="00BE056E">
        <w:t xml:space="preserve">of the </w:t>
      </w:r>
      <w:r w:rsidR="00972FA4">
        <w:t xml:space="preserve">CSR </w:t>
      </w:r>
      <w:proofErr w:type="spellStart"/>
      <w:r w:rsidR="00972FA4">
        <w:t>addendum</w:t>
      </w:r>
      <w:r w:rsidR="00972FA4" w:rsidRPr="00972FA4">
        <w:rPr>
          <w:vertAlign w:val="superscript"/>
        </w:rPr>
        <w:t>a</w:t>
      </w:r>
      <w:proofErr w:type="spellEnd"/>
      <w:r w:rsidRPr="00BE056E">
        <w:t>; Figure 2-9</w:t>
      </w:r>
      <w:r w:rsidR="00D71761">
        <w:t>,</w:t>
      </w:r>
      <w:r w:rsidRPr="00BE056E">
        <w:t xml:space="preserve"> p115 of the submission</w:t>
      </w:r>
      <w:r w:rsidR="009027CC">
        <w:t>,</w:t>
      </w:r>
      <w:r w:rsidR="000C5AFD">
        <w:t xml:space="preserve"> </w:t>
      </w:r>
      <w:r w:rsidR="000C5AFD" w:rsidRPr="000761CF">
        <w:t xml:space="preserve">C and D were </w:t>
      </w:r>
      <w:r w:rsidR="003F291D" w:rsidRPr="000761CF">
        <w:t xml:space="preserve">not presented in the submission and were </w:t>
      </w:r>
      <w:r w:rsidR="000C5AFD" w:rsidRPr="000761CF">
        <w:t>extracted from</w:t>
      </w:r>
      <w:r w:rsidR="009027CC" w:rsidRPr="000761CF">
        <w:t xml:space="preserve"> </w:t>
      </w:r>
      <w:r w:rsidR="00D94785" w:rsidRPr="000761CF">
        <w:t>Hussain et al 2020 (publication and supplement)</w:t>
      </w:r>
      <w:r w:rsidR="000C5AFD" w:rsidRPr="000761CF">
        <w:t xml:space="preserve"> during the evaluation.</w:t>
      </w:r>
    </w:p>
    <w:p w:rsidR="00C31220" w:rsidRDefault="00C31220" w:rsidP="00C31220">
      <w:pPr>
        <w:pStyle w:val="TableFooter"/>
      </w:pPr>
      <w:r w:rsidRPr="00BE056E">
        <w:t>NHA</w:t>
      </w:r>
      <w:r w:rsidR="000761CF">
        <w:t xml:space="preserve"> </w:t>
      </w:r>
      <w:r w:rsidRPr="00BE056E">
        <w:t>=</w:t>
      </w:r>
      <w:r w:rsidR="000761CF">
        <w:t xml:space="preserve"> </w:t>
      </w:r>
      <w:r w:rsidRPr="00BE056E">
        <w:t>novel hormonal agent (abiraterone; enzalutamide); OS</w:t>
      </w:r>
      <w:r w:rsidR="000761CF">
        <w:t xml:space="preserve"> </w:t>
      </w:r>
      <w:r w:rsidRPr="00BE056E">
        <w:t>=</w:t>
      </w:r>
      <w:r w:rsidR="000761CF">
        <w:t xml:space="preserve"> </w:t>
      </w:r>
      <w:r w:rsidRPr="00BE056E">
        <w:t>overall survival</w:t>
      </w:r>
      <w:r w:rsidR="00C20845">
        <w:t>.</w:t>
      </w:r>
    </w:p>
    <w:p w:rsidR="00972FA4" w:rsidRPr="000761CF" w:rsidRDefault="00972FA4" w:rsidP="00972FA4">
      <w:pPr>
        <w:pStyle w:val="TableFooter"/>
        <w:tabs>
          <w:tab w:val="left" w:pos="142"/>
        </w:tabs>
        <w:ind w:left="142" w:hanging="142"/>
        <w:rPr>
          <w:iCs/>
        </w:rPr>
      </w:pPr>
      <w:proofErr w:type="spellStart"/>
      <w:r w:rsidRPr="000761CF">
        <w:rPr>
          <w:iCs/>
          <w:vertAlign w:val="superscript"/>
        </w:rPr>
        <w:t>a</w:t>
      </w:r>
      <w:proofErr w:type="spellEnd"/>
      <w:r w:rsidRPr="000761CF">
        <w:rPr>
          <w:iCs/>
        </w:rPr>
        <w:tab/>
        <w:t xml:space="preserve">The submission provided Figure 2.7, p94 as the Kaplan Meier plot for OS, however that plot appeared to have the months along the x axis to only 25 months, and patient numbers and months did not correspond to </w:t>
      </w:r>
      <w:r w:rsidR="00FD756A" w:rsidRPr="000761CF">
        <w:rPr>
          <w:iCs/>
        </w:rPr>
        <w:t>number of patients at risk</w:t>
      </w:r>
      <w:r w:rsidRPr="000761CF">
        <w:rPr>
          <w:iCs/>
        </w:rPr>
        <w:t>, so the source plot from the CSR addendum has been provided.</w:t>
      </w:r>
    </w:p>
    <w:p w:rsidR="00C31220" w:rsidRPr="00BE056E" w:rsidRDefault="00C31220" w:rsidP="00C31220">
      <w:pPr>
        <w:pStyle w:val="ListParagraph"/>
        <w:rPr>
          <w:color w:val="auto"/>
        </w:rPr>
      </w:pPr>
      <w:r w:rsidRPr="00BE056E">
        <w:t xml:space="preserve">The submission stated that 67.5% of NHA-treated patients (N=56) had received subsequent treatment with </w:t>
      </w:r>
      <w:proofErr w:type="spellStart"/>
      <w:r w:rsidRPr="00BE056E">
        <w:t>olaparib</w:t>
      </w:r>
      <w:proofErr w:type="spellEnd"/>
      <w:r w:rsidRPr="00BE056E">
        <w:t>, and that th</w:t>
      </w:r>
      <w:r w:rsidR="00AC397C" w:rsidRPr="00BE056E">
        <w:t xml:space="preserve">e effect of </w:t>
      </w:r>
      <w:r w:rsidRPr="00BE056E">
        <w:t xml:space="preserve">treatment switching </w:t>
      </w:r>
      <w:r w:rsidR="00AC397C" w:rsidRPr="00BE056E">
        <w:t xml:space="preserve">on OS </w:t>
      </w:r>
      <w:r w:rsidRPr="00BE056E">
        <w:t xml:space="preserve">was addressed through the use of </w:t>
      </w:r>
      <w:r w:rsidR="00AC397C" w:rsidRPr="00BE056E">
        <w:t xml:space="preserve">the </w:t>
      </w:r>
      <w:r w:rsidRPr="00BE056E">
        <w:t xml:space="preserve">rank preserving structural failure time model (RPSFTM). As indicated in the table above, the resultant </w:t>
      </w:r>
      <w:r w:rsidR="009632E5">
        <w:t xml:space="preserve">adjusted </w:t>
      </w:r>
      <w:r w:rsidRPr="00BE056E">
        <w:t xml:space="preserve">HR </w:t>
      </w:r>
      <w:r w:rsidR="00BC1C63" w:rsidRPr="00BE056E">
        <w:t xml:space="preserve">in Cohort A </w:t>
      </w:r>
      <w:r w:rsidRPr="00BE056E">
        <w:t xml:space="preserve">was </w:t>
      </w:r>
      <w:r w:rsidR="00E60C03">
        <w:rPr>
          <w:noProof/>
          <w:color w:val="000000"/>
          <w:highlight w:val="black"/>
        </w:rPr>
        <w:t>'''''''' ''''''''' '''''' '''''''''' ''''''''</w:t>
      </w:r>
      <w:r w:rsidRPr="00BE056E">
        <w:t>)</w:t>
      </w:r>
      <w:r w:rsidR="00557D6B">
        <w:rPr>
          <w:rStyle w:val="FootnoteReference"/>
        </w:rPr>
        <w:footnoteReference w:id="5"/>
      </w:r>
      <w:r w:rsidR="00BC1C63" w:rsidRPr="00BE056E">
        <w:t xml:space="preserve">, which </w:t>
      </w:r>
      <w:r w:rsidR="005D4630">
        <w:t xml:space="preserve">was further from the null value of 1.0 than </w:t>
      </w:r>
      <w:r w:rsidR="00BC1C63" w:rsidRPr="00BE056E">
        <w:t>the unadju</w:t>
      </w:r>
      <w:r w:rsidR="003B7DD5" w:rsidRPr="00BE056E">
        <w:t xml:space="preserve">sted result </w:t>
      </w:r>
      <w:r w:rsidR="00BC1C63" w:rsidRPr="00BE056E">
        <w:t>(</w:t>
      </w:r>
      <w:r w:rsidR="003B7DD5" w:rsidRPr="00BE056E">
        <w:t>HR = 0.69</w:t>
      </w:r>
      <w:r w:rsidR="00BC1C63" w:rsidRPr="00BE056E">
        <w:t>;</w:t>
      </w:r>
      <w:r w:rsidR="003B7DD5" w:rsidRPr="00BE056E">
        <w:t xml:space="preserve"> 95% CI: 0.50, 0.97)</w:t>
      </w:r>
      <w:r w:rsidRPr="00BE056E">
        <w:t xml:space="preserve">. The </w:t>
      </w:r>
      <w:r w:rsidR="005D4630">
        <w:t xml:space="preserve">adjusted </w:t>
      </w:r>
      <w:r w:rsidRPr="00BE056E">
        <w:t>Kapla</w:t>
      </w:r>
      <w:r w:rsidR="005A7F22">
        <w:t>n Meier plot is provided below.</w:t>
      </w:r>
    </w:p>
    <w:p w:rsidR="00C31220" w:rsidRPr="00BE056E" w:rsidRDefault="00C31220" w:rsidP="00C31220">
      <w:pPr>
        <w:keepNext/>
        <w:spacing w:before="0" w:after="0"/>
      </w:pPr>
      <w:r w:rsidRPr="00BE056E">
        <w:rPr>
          <w:rFonts w:ascii="Arial Narrow" w:hAnsi="Arial Narrow"/>
          <w:b/>
          <w:bCs/>
          <w:sz w:val="20"/>
          <w:szCs w:val="20"/>
        </w:rPr>
        <w:lastRenderedPageBreak/>
        <w:t xml:space="preserve">Figure </w:t>
      </w:r>
      <w:r w:rsidR="00CD4B9C">
        <w:rPr>
          <w:rFonts w:ascii="Arial Narrow" w:hAnsi="Arial Narrow"/>
          <w:b/>
          <w:bCs/>
          <w:noProof/>
          <w:sz w:val="20"/>
          <w:szCs w:val="20"/>
        </w:rPr>
        <w:t>2</w:t>
      </w:r>
      <w:r w:rsidR="00C20845">
        <w:rPr>
          <w:rFonts w:ascii="Arial Narrow" w:hAnsi="Arial Narrow"/>
          <w:b/>
          <w:bCs/>
          <w:noProof/>
          <w:sz w:val="20"/>
          <w:szCs w:val="20"/>
        </w:rPr>
        <w:t>:</w:t>
      </w:r>
      <w:r w:rsidRPr="00BE056E">
        <w:rPr>
          <w:rFonts w:ascii="Arial Narrow" w:hAnsi="Arial Narrow"/>
          <w:b/>
          <w:bCs/>
          <w:sz w:val="20"/>
          <w:szCs w:val="20"/>
        </w:rPr>
        <w:tab/>
        <w:t xml:space="preserve">Kaplan Meier plot of OS adjusted for treatment switching – Cohort </w:t>
      </w:r>
      <w:proofErr w:type="gramStart"/>
      <w:r w:rsidRPr="00BE056E">
        <w:rPr>
          <w:rFonts w:ascii="Arial Narrow" w:hAnsi="Arial Narrow"/>
          <w:b/>
          <w:bCs/>
          <w:sz w:val="20"/>
          <w:szCs w:val="20"/>
        </w:rPr>
        <w:t>A</w:t>
      </w:r>
      <w:proofErr w:type="gramEnd"/>
      <w:r w:rsidRPr="00BE056E">
        <w:rPr>
          <w:rFonts w:ascii="Arial Narrow" w:hAnsi="Arial Narrow"/>
          <w:b/>
          <w:bCs/>
          <w:sz w:val="20"/>
          <w:szCs w:val="20"/>
        </w:rPr>
        <w:t xml:space="preserve"> of </w:t>
      </w:r>
      <w:proofErr w:type="spellStart"/>
      <w:r w:rsidRPr="00BE056E">
        <w:rPr>
          <w:rFonts w:ascii="Arial Narrow" w:hAnsi="Arial Narrow"/>
          <w:b/>
          <w:bCs/>
          <w:sz w:val="20"/>
          <w:szCs w:val="20"/>
        </w:rPr>
        <w:t>PROfound</w:t>
      </w:r>
      <w:proofErr w:type="spellEnd"/>
    </w:p>
    <w:p w:rsidR="00C31220" w:rsidRPr="00BE056E" w:rsidRDefault="00C31220" w:rsidP="00C31220">
      <w:pPr>
        <w:keepNext/>
        <w:spacing w:before="0" w:after="0"/>
      </w:pPr>
      <w:r w:rsidRPr="00BE056E">
        <w:rPr>
          <w:rFonts w:ascii="Calibri" w:hAnsi="Calibri" w:cs="Calibri"/>
          <w:noProof/>
          <w:lang w:eastAsia="en-AU"/>
        </w:rPr>
        <w:drawing>
          <wp:inline distT="0" distB="0" distL="0" distR="0" wp14:anchorId="254D3E9B" wp14:editId="1F679834">
            <wp:extent cx="5049800" cy="3810000"/>
            <wp:effectExtent l="19050" t="19050" r="17780" b="19050"/>
            <wp:docPr id="23" name="Picture 23" title="Figure 2: Kaplan Meier plot of OS adjusted for treatment switching – Cohort A of PRO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758" cy="3823549"/>
                    </a:xfrm>
                    <a:prstGeom prst="rect">
                      <a:avLst/>
                    </a:prstGeom>
                    <a:noFill/>
                    <a:ln>
                      <a:solidFill>
                        <a:schemeClr val="tx1"/>
                      </a:solidFill>
                    </a:ln>
                  </pic:spPr>
                </pic:pic>
              </a:graphicData>
            </a:graphic>
          </wp:inline>
        </w:drawing>
      </w:r>
    </w:p>
    <w:p w:rsidR="00C31220" w:rsidRPr="00BE056E" w:rsidRDefault="00C31220" w:rsidP="00C31220">
      <w:pPr>
        <w:pStyle w:val="TableFooter"/>
        <w:keepNext/>
      </w:pPr>
      <w:r w:rsidRPr="00BE056E">
        <w:t>Source: Figure 2-19</w:t>
      </w:r>
      <w:r w:rsidR="009528FB">
        <w:t>,</w:t>
      </w:r>
      <w:r w:rsidRPr="00BE056E">
        <w:t xml:space="preserve"> p123 of the submission.</w:t>
      </w:r>
    </w:p>
    <w:p w:rsidR="00C31220" w:rsidRPr="00BE056E" w:rsidRDefault="000761CF" w:rsidP="00C31220">
      <w:pPr>
        <w:pStyle w:val="TableFooter"/>
      </w:pPr>
      <w:proofErr w:type="spellStart"/>
      <w:proofErr w:type="gramStart"/>
      <w:r>
        <w:t>bd</w:t>
      </w:r>
      <w:proofErr w:type="spellEnd"/>
      <w:proofErr w:type="gramEnd"/>
      <w:r>
        <w:t xml:space="preserve"> = twice daily; </w:t>
      </w:r>
      <w:r w:rsidR="00C31220" w:rsidRPr="00BE056E">
        <w:t>NHA</w:t>
      </w:r>
      <w:r>
        <w:t xml:space="preserve"> </w:t>
      </w:r>
      <w:r w:rsidR="00C31220" w:rsidRPr="00BE056E">
        <w:t>=</w:t>
      </w:r>
      <w:r>
        <w:t xml:space="preserve"> </w:t>
      </w:r>
      <w:r w:rsidR="00C31220" w:rsidRPr="00BE056E">
        <w:t>novel hormonal agent (abiraterone; enzalutamide); OS</w:t>
      </w:r>
      <w:r>
        <w:t xml:space="preserve"> </w:t>
      </w:r>
      <w:r w:rsidR="00C31220" w:rsidRPr="00BE056E">
        <w:t>=</w:t>
      </w:r>
      <w:r>
        <w:t xml:space="preserve"> </w:t>
      </w:r>
      <w:r w:rsidR="00C31220" w:rsidRPr="00BE056E">
        <w:t>overall survival</w:t>
      </w:r>
      <w:r>
        <w:t xml:space="preserve">; </w:t>
      </w:r>
      <w:proofErr w:type="spellStart"/>
      <w:r>
        <w:t>tx</w:t>
      </w:r>
      <w:proofErr w:type="spellEnd"/>
      <w:r>
        <w:t xml:space="preserve"> = treatment</w:t>
      </w:r>
      <w:r w:rsidR="00F80A08">
        <w:t>.</w:t>
      </w:r>
    </w:p>
    <w:p w:rsidR="00B13A8F" w:rsidRPr="004F0D62" w:rsidRDefault="00C31220">
      <w:pPr>
        <w:pStyle w:val="ListParagraph"/>
        <w:rPr>
          <w:color w:val="auto"/>
        </w:rPr>
      </w:pPr>
      <w:r w:rsidRPr="00D37CC5">
        <w:rPr>
          <w:iCs/>
        </w:rPr>
        <w:t xml:space="preserve">While it </w:t>
      </w:r>
      <w:r w:rsidR="00EE4DD9">
        <w:rPr>
          <w:iCs/>
        </w:rPr>
        <w:t xml:space="preserve">is </w:t>
      </w:r>
      <w:r w:rsidRPr="00D37CC5">
        <w:rPr>
          <w:iCs/>
        </w:rPr>
        <w:t xml:space="preserve">appropriate to adjust for treatment switching, </w:t>
      </w:r>
      <w:r w:rsidRPr="004B1F86">
        <w:rPr>
          <w:iCs/>
        </w:rPr>
        <w:t xml:space="preserve">the </w:t>
      </w:r>
      <w:r w:rsidR="002A2035" w:rsidRPr="004B1F86">
        <w:rPr>
          <w:iCs/>
        </w:rPr>
        <w:t>ESC</w:t>
      </w:r>
      <w:r w:rsidR="000357DA" w:rsidRPr="004B1F86">
        <w:rPr>
          <w:iCs/>
        </w:rPr>
        <w:t>s</w:t>
      </w:r>
      <w:r w:rsidR="002A2035" w:rsidRPr="004B1F86">
        <w:rPr>
          <w:iCs/>
        </w:rPr>
        <w:t xml:space="preserve"> noted that</w:t>
      </w:r>
      <w:r w:rsidR="002A2035" w:rsidRPr="00D37CC5">
        <w:rPr>
          <w:iCs/>
        </w:rPr>
        <w:t xml:space="preserve"> the </w:t>
      </w:r>
      <w:r w:rsidRPr="00D37CC5">
        <w:rPr>
          <w:iCs/>
        </w:rPr>
        <w:t xml:space="preserve">submission </w:t>
      </w:r>
      <w:r w:rsidR="007646BD" w:rsidRPr="00D37CC5">
        <w:rPr>
          <w:iCs/>
        </w:rPr>
        <w:t xml:space="preserve">did not provide results for </w:t>
      </w:r>
      <w:r w:rsidR="00DD4443" w:rsidRPr="00D37CC5">
        <w:rPr>
          <w:iCs/>
        </w:rPr>
        <w:t>other</w:t>
      </w:r>
      <w:r w:rsidR="007646BD" w:rsidRPr="00D37CC5">
        <w:rPr>
          <w:iCs/>
        </w:rPr>
        <w:t xml:space="preserve"> methods</w:t>
      </w:r>
      <w:r w:rsidR="00DD4443" w:rsidRPr="00D37CC5">
        <w:rPr>
          <w:iCs/>
        </w:rPr>
        <w:t xml:space="preserve"> </w:t>
      </w:r>
      <w:r w:rsidR="007646BD" w:rsidRPr="00D37CC5">
        <w:rPr>
          <w:iCs/>
        </w:rPr>
        <w:t>of adjustment, as recommended by the PBAC Guidelines</w:t>
      </w:r>
      <w:r w:rsidR="00DD4443" w:rsidRPr="00D37CC5">
        <w:rPr>
          <w:iCs/>
        </w:rPr>
        <w:t xml:space="preserve">. </w:t>
      </w:r>
      <w:r w:rsidR="009F4239" w:rsidRPr="00D37CC5">
        <w:rPr>
          <w:rFonts w:ascii="Calibri" w:eastAsia="TimesNewRoman" w:hAnsi="Calibri" w:cs="Calibri"/>
          <w:iCs/>
        </w:rPr>
        <w:t>T</w:t>
      </w:r>
      <w:r w:rsidRPr="00D37CC5">
        <w:rPr>
          <w:rFonts w:ascii="Calibri" w:eastAsia="TimesNewRoman" w:hAnsi="Calibri" w:cs="Calibri"/>
          <w:iCs/>
        </w:rPr>
        <w:t xml:space="preserve">he </w:t>
      </w:r>
      <w:r w:rsidR="00BC1C63" w:rsidRPr="00D37CC5">
        <w:rPr>
          <w:rFonts w:ascii="Calibri" w:eastAsia="TimesNewRoman" w:hAnsi="Calibri" w:cs="Calibri"/>
          <w:iCs/>
        </w:rPr>
        <w:t xml:space="preserve">RPSFTM </w:t>
      </w:r>
      <w:r w:rsidR="009F4239" w:rsidRPr="00D37CC5">
        <w:rPr>
          <w:rFonts w:ascii="Calibri" w:eastAsia="TimesNewRoman" w:hAnsi="Calibri" w:cs="Calibri"/>
          <w:iCs/>
        </w:rPr>
        <w:t xml:space="preserve">may </w:t>
      </w:r>
      <w:r w:rsidRPr="00D37CC5">
        <w:rPr>
          <w:rFonts w:ascii="Calibri" w:eastAsia="TimesNewRoman" w:hAnsi="Calibri" w:cs="Calibri"/>
          <w:iCs/>
        </w:rPr>
        <w:t xml:space="preserve">not </w:t>
      </w:r>
      <w:r w:rsidR="009F4239" w:rsidRPr="00D37CC5">
        <w:rPr>
          <w:rFonts w:ascii="Calibri" w:eastAsia="TimesNewRoman" w:hAnsi="Calibri" w:cs="Calibri"/>
          <w:iCs/>
        </w:rPr>
        <w:t xml:space="preserve">have been </w:t>
      </w:r>
      <w:r w:rsidRPr="00D37CC5">
        <w:rPr>
          <w:rFonts w:ascii="Calibri" w:eastAsia="TimesNewRoman" w:hAnsi="Calibri" w:cs="Calibri"/>
          <w:iCs/>
        </w:rPr>
        <w:t>the most appropriate method</w:t>
      </w:r>
      <w:r w:rsidR="00BC1C63" w:rsidRPr="00D37CC5">
        <w:rPr>
          <w:rFonts w:ascii="Calibri" w:eastAsia="TimesNewRoman" w:hAnsi="Calibri" w:cs="Calibri"/>
          <w:iCs/>
        </w:rPr>
        <w:t xml:space="preserve"> to use as</w:t>
      </w:r>
      <w:r w:rsidRPr="00D37CC5">
        <w:rPr>
          <w:iCs/>
        </w:rPr>
        <w:t xml:space="preserve"> </w:t>
      </w:r>
      <w:r w:rsidR="000357DA">
        <w:rPr>
          <w:iCs/>
        </w:rPr>
        <w:t>it</w:t>
      </w:r>
      <w:r w:rsidRPr="00D37CC5">
        <w:rPr>
          <w:iCs/>
        </w:rPr>
        <w:t xml:space="preserve"> </w:t>
      </w:r>
      <w:r w:rsidR="00B13A8F" w:rsidRPr="004F0D62">
        <w:rPr>
          <w:iCs/>
        </w:rPr>
        <w:t xml:space="preserve">makes </w:t>
      </w:r>
      <w:r w:rsidR="005D4630">
        <w:rPr>
          <w:iCs/>
        </w:rPr>
        <w:t>the assumption of a common treatment effect</w:t>
      </w:r>
      <w:r w:rsidRPr="004F0D62">
        <w:rPr>
          <w:iCs/>
        </w:rPr>
        <w:t>.</w:t>
      </w:r>
      <w:r w:rsidR="00B37B8F" w:rsidRPr="004F0D62">
        <w:rPr>
          <w:iCs/>
        </w:rPr>
        <w:t xml:space="preserve"> The PSCR stated that RPSFTM is not restricted in its application to trials in which the comparator arm receives a non-active comparator</w:t>
      </w:r>
      <w:r w:rsidR="00646D7F" w:rsidRPr="004F0D62">
        <w:rPr>
          <w:iCs/>
        </w:rPr>
        <w:t>, noting that the RPSFTM methodology was utilised in a recent publication</w:t>
      </w:r>
      <w:r w:rsidR="00646D7F" w:rsidRPr="004F0D62">
        <w:rPr>
          <w:rStyle w:val="FootnoteReference"/>
          <w:iCs/>
        </w:rPr>
        <w:footnoteReference w:id="6"/>
      </w:r>
      <w:r w:rsidR="00B37B8F" w:rsidRPr="004F0D62">
        <w:rPr>
          <w:iCs/>
        </w:rPr>
        <w:t>.</w:t>
      </w:r>
      <w:r w:rsidRPr="004F0D62">
        <w:rPr>
          <w:iCs/>
        </w:rPr>
        <w:t xml:space="preserve"> </w:t>
      </w:r>
      <w:r w:rsidR="000357DA" w:rsidRPr="004F0D62">
        <w:rPr>
          <w:iCs/>
        </w:rPr>
        <w:t>The</w:t>
      </w:r>
      <w:r w:rsidR="00B13A8F" w:rsidRPr="004F0D62">
        <w:rPr>
          <w:iCs/>
        </w:rPr>
        <w:t xml:space="preserve"> ESCs </w:t>
      </w:r>
      <w:r w:rsidR="00241D21">
        <w:rPr>
          <w:iCs/>
        </w:rPr>
        <w:t>considered</w:t>
      </w:r>
      <w:r w:rsidR="00B13A8F" w:rsidRPr="004F0D62">
        <w:rPr>
          <w:iCs/>
        </w:rPr>
        <w:t xml:space="preserve"> that</w:t>
      </w:r>
      <w:r w:rsidR="00B13A8F" w:rsidRPr="00D37CC5">
        <w:rPr>
          <w:iCs/>
        </w:rPr>
        <w:t xml:space="preserve"> </w:t>
      </w:r>
      <w:proofErr w:type="spellStart"/>
      <w:r w:rsidRPr="00D37CC5">
        <w:rPr>
          <w:iCs/>
        </w:rPr>
        <w:t>PROfound</w:t>
      </w:r>
      <w:proofErr w:type="spellEnd"/>
      <w:r w:rsidRPr="00D37CC5">
        <w:rPr>
          <w:iCs/>
        </w:rPr>
        <w:t xml:space="preserve"> </w:t>
      </w:r>
      <w:r w:rsidR="00B13A8F" w:rsidRPr="00D37CC5">
        <w:rPr>
          <w:iCs/>
        </w:rPr>
        <w:t xml:space="preserve">may </w:t>
      </w:r>
      <w:r w:rsidRPr="00D37CC5">
        <w:rPr>
          <w:iCs/>
        </w:rPr>
        <w:t>not meet the common treatment effect assumption that underlies RPSFTM analyses.</w:t>
      </w:r>
      <w:r w:rsidR="007C7562" w:rsidRPr="00D37CC5">
        <w:rPr>
          <w:iCs/>
        </w:rPr>
        <w:t xml:space="preserve"> </w:t>
      </w:r>
      <w:r w:rsidR="007C7562" w:rsidRPr="004F0D62">
        <w:rPr>
          <w:bCs/>
          <w:iCs/>
          <w:color w:val="auto"/>
        </w:rPr>
        <w:t xml:space="preserve">The PSCR stated that the common treatment effect assumption was difficult to assess, but noted that a sensitivity analysis in which a proportion of the </w:t>
      </w:r>
      <w:proofErr w:type="spellStart"/>
      <w:r w:rsidR="007C7562" w:rsidRPr="004F0D62">
        <w:rPr>
          <w:bCs/>
          <w:iCs/>
          <w:color w:val="auto"/>
        </w:rPr>
        <w:t>olaparib</w:t>
      </w:r>
      <w:proofErr w:type="spellEnd"/>
      <w:r w:rsidR="007C7562" w:rsidRPr="004F0D62">
        <w:rPr>
          <w:bCs/>
          <w:iCs/>
          <w:color w:val="auto"/>
        </w:rPr>
        <w:t xml:space="preserve"> treatment effect was applied to those switching to </w:t>
      </w:r>
      <w:proofErr w:type="spellStart"/>
      <w:r w:rsidR="007C7562" w:rsidRPr="004F0D62">
        <w:rPr>
          <w:bCs/>
          <w:iCs/>
          <w:color w:val="auto"/>
        </w:rPr>
        <w:t>olaparib</w:t>
      </w:r>
      <w:proofErr w:type="spellEnd"/>
      <w:r w:rsidR="007C7562" w:rsidRPr="004F0D62">
        <w:rPr>
          <w:bCs/>
          <w:iCs/>
          <w:color w:val="auto"/>
        </w:rPr>
        <w:t xml:space="preserve"> demonstrated that if the treatment effect were to decrease post-progression, it would still result in an overall benefit for patients who switched.</w:t>
      </w:r>
      <w:r w:rsidR="00B13A8F" w:rsidRPr="004F0D62">
        <w:rPr>
          <w:bCs/>
          <w:iCs/>
          <w:color w:val="auto"/>
        </w:rPr>
        <w:t xml:space="preserve"> </w:t>
      </w:r>
    </w:p>
    <w:p w:rsidR="00C31220" w:rsidRPr="004F0D62" w:rsidRDefault="00C31220" w:rsidP="00C31220">
      <w:pPr>
        <w:pStyle w:val="ListParagraph"/>
        <w:rPr>
          <w:color w:val="auto"/>
        </w:rPr>
      </w:pPr>
      <w:r w:rsidRPr="000F2527">
        <w:lastRenderedPageBreak/>
        <w:t xml:space="preserve">The submission stated that </w:t>
      </w:r>
      <w:r w:rsidR="00794CFB">
        <w:t xml:space="preserve">OS </w:t>
      </w:r>
      <w:r w:rsidRPr="000F2527">
        <w:t xml:space="preserve">results for the </w:t>
      </w:r>
      <w:r w:rsidRPr="00F00AC5">
        <w:rPr>
          <w:i/>
          <w:iCs/>
        </w:rPr>
        <w:t>BRCA1/2</w:t>
      </w:r>
      <w:r w:rsidRPr="000F2527">
        <w:t xml:space="preserve"> subgroup, adjusted for treatment switching, were applied in the economic model. </w:t>
      </w:r>
      <w:r w:rsidR="009415F5">
        <w:rPr>
          <w:iCs/>
        </w:rPr>
        <w:t>F</w:t>
      </w:r>
      <w:r w:rsidR="009632E5" w:rsidRPr="004F0D62">
        <w:rPr>
          <w:iCs/>
        </w:rPr>
        <w:t>urther data</w:t>
      </w:r>
      <w:r w:rsidR="009415F5">
        <w:rPr>
          <w:iCs/>
        </w:rPr>
        <w:t xml:space="preserve"> were provided in the PSCR</w:t>
      </w:r>
      <w:r w:rsidR="009632E5" w:rsidRPr="004F0D62">
        <w:rPr>
          <w:iCs/>
        </w:rPr>
        <w:t xml:space="preserve"> demonstrating that the </w:t>
      </w:r>
      <w:r w:rsidR="009632E5" w:rsidRPr="00C433C9">
        <w:rPr>
          <w:i/>
          <w:iCs/>
        </w:rPr>
        <w:t>BRCA1/2</w:t>
      </w:r>
      <w:r w:rsidR="009632E5" w:rsidRPr="004F0D62">
        <w:rPr>
          <w:iCs/>
        </w:rPr>
        <w:t xml:space="preserve"> subgroup was adjusted for treatment switching using the RPSFTM method (Cox proportional hazards model with </w:t>
      </w:r>
      <w:proofErr w:type="spellStart"/>
      <w:r w:rsidR="009632E5" w:rsidRPr="004F0D62">
        <w:rPr>
          <w:iCs/>
        </w:rPr>
        <w:t>recensoring</w:t>
      </w:r>
      <w:proofErr w:type="spellEnd"/>
      <w:r w:rsidR="009632E5" w:rsidRPr="004F0D62">
        <w:rPr>
          <w:iCs/>
        </w:rPr>
        <w:t>)</w:t>
      </w:r>
      <w:r w:rsidR="00F80A08">
        <w:rPr>
          <w:iCs/>
        </w:rPr>
        <w:t xml:space="preserve"> – see t</w:t>
      </w:r>
      <w:r w:rsidR="009B7A97" w:rsidRPr="004F0D62">
        <w:rPr>
          <w:iCs/>
        </w:rPr>
        <w:t xml:space="preserve">able </w:t>
      </w:r>
      <w:r w:rsidR="00416858" w:rsidRPr="004F0D62">
        <w:rPr>
          <w:iCs/>
        </w:rPr>
        <w:t>below</w:t>
      </w:r>
      <w:r w:rsidR="009632E5" w:rsidRPr="004F0D62">
        <w:rPr>
          <w:iCs/>
        </w:rPr>
        <w:t>.</w:t>
      </w:r>
      <w:r w:rsidR="009632E5">
        <w:rPr>
          <w:iCs/>
        </w:rPr>
        <w:t xml:space="preserve"> </w:t>
      </w:r>
      <w:r w:rsidRPr="000F2527">
        <w:rPr>
          <w:iCs/>
        </w:rPr>
        <w:t>Th</w:t>
      </w:r>
      <w:r w:rsidR="009632E5">
        <w:rPr>
          <w:iCs/>
        </w:rPr>
        <w:t xml:space="preserve">is resulted in a </w:t>
      </w:r>
      <w:r w:rsidR="006B3ED1">
        <w:rPr>
          <w:iCs/>
        </w:rPr>
        <w:t>HR</w:t>
      </w:r>
      <w:r w:rsidRPr="000F2527">
        <w:rPr>
          <w:iCs/>
        </w:rPr>
        <w:t xml:space="preserve"> of </w:t>
      </w:r>
      <w:r w:rsidR="00E60C03">
        <w:rPr>
          <w:iCs/>
          <w:noProof/>
          <w:color w:val="000000"/>
          <w:highlight w:val="black"/>
        </w:rPr>
        <w:t>''''''''' '''''''''' ''''' '''''''''' ''''''''</w:t>
      </w:r>
      <w:r w:rsidR="00014FF5">
        <w:rPr>
          <w:rStyle w:val="FootnoteReference"/>
          <w:iCs/>
        </w:rPr>
        <w:footnoteReference w:id="7"/>
      </w:r>
      <w:r w:rsidR="001B3884" w:rsidRPr="000F2527">
        <w:rPr>
          <w:iCs/>
        </w:rPr>
        <w:t xml:space="preserve"> </w:t>
      </w:r>
      <w:r w:rsidRPr="000F2527">
        <w:rPr>
          <w:iCs/>
        </w:rPr>
        <w:t>for OS</w:t>
      </w:r>
      <w:r w:rsidR="009632E5">
        <w:rPr>
          <w:iCs/>
        </w:rPr>
        <w:t xml:space="preserve"> in the </w:t>
      </w:r>
      <w:r w:rsidR="009632E5" w:rsidRPr="00416858">
        <w:rPr>
          <w:i/>
          <w:iCs/>
        </w:rPr>
        <w:t>BRCA1/2</w:t>
      </w:r>
      <w:r w:rsidR="009632E5">
        <w:rPr>
          <w:iCs/>
        </w:rPr>
        <w:t xml:space="preserve"> subgroup. This value </w:t>
      </w:r>
      <w:r w:rsidR="00AB70A0" w:rsidRPr="000F2527">
        <w:rPr>
          <w:iCs/>
        </w:rPr>
        <w:t xml:space="preserve">was lower than </w:t>
      </w:r>
      <w:r w:rsidR="00795C4E" w:rsidRPr="000F2527">
        <w:rPr>
          <w:iCs/>
        </w:rPr>
        <w:t xml:space="preserve">the unadjusted </w:t>
      </w:r>
      <w:r w:rsidR="006B3ED1">
        <w:rPr>
          <w:iCs/>
        </w:rPr>
        <w:t>HR</w:t>
      </w:r>
      <w:r w:rsidR="00795C4E" w:rsidRPr="000F2527">
        <w:rPr>
          <w:iCs/>
        </w:rPr>
        <w:t xml:space="preserve"> </w:t>
      </w:r>
      <w:r w:rsidR="005A7F22" w:rsidRPr="000F2527">
        <w:rPr>
          <w:iCs/>
        </w:rPr>
        <w:t xml:space="preserve">for OS in the </w:t>
      </w:r>
      <w:r w:rsidR="00F20B40" w:rsidRPr="009F4239">
        <w:rPr>
          <w:i/>
          <w:iCs/>
        </w:rPr>
        <w:t xml:space="preserve">BRCA1/2 </w:t>
      </w:r>
      <w:r w:rsidR="008D6556">
        <w:rPr>
          <w:iCs/>
        </w:rPr>
        <w:t xml:space="preserve">subgroup </w:t>
      </w:r>
      <w:r w:rsidR="005A7F22" w:rsidRPr="000F2527">
        <w:rPr>
          <w:iCs/>
        </w:rPr>
        <w:t xml:space="preserve">population </w:t>
      </w:r>
      <w:r w:rsidR="00794CFB">
        <w:rPr>
          <w:iCs/>
        </w:rPr>
        <w:t xml:space="preserve">of </w:t>
      </w:r>
      <w:r w:rsidR="00795C4E" w:rsidRPr="000357DA">
        <w:rPr>
          <w:iCs/>
        </w:rPr>
        <w:t>0.63</w:t>
      </w:r>
      <w:r w:rsidR="000A1481" w:rsidRPr="000357DA">
        <w:rPr>
          <w:iCs/>
        </w:rPr>
        <w:t xml:space="preserve"> </w:t>
      </w:r>
      <w:r w:rsidR="00794CFB">
        <w:rPr>
          <w:iCs/>
        </w:rPr>
        <w:t>(</w:t>
      </w:r>
      <w:r w:rsidR="000A1481" w:rsidRPr="000357DA">
        <w:rPr>
          <w:iCs/>
        </w:rPr>
        <w:t>95%</w:t>
      </w:r>
      <w:r w:rsidR="00794CFB">
        <w:rPr>
          <w:iCs/>
        </w:rPr>
        <w:t xml:space="preserve"> </w:t>
      </w:r>
      <w:r w:rsidR="000A1481" w:rsidRPr="000357DA">
        <w:rPr>
          <w:iCs/>
        </w:rPr>
        <w:t>CI:</w:t>
      </w:r>
      <w:r w:rsidR="000A1481" w:rsidRPr="000357DA">
        <w:t xml:space="preserve"> </w:t>
      </w:r>
      <w:r w:rsidR="000A1481" w:rsidRPr="000357DA">
        <w:rPr>
          <w:iCs/>
        </w:rPr>
        <w:t>0.42, 0.95)</w:t>
      </w:r>
      <w:r w:rsidRPr="000357DA">
        <w:rPr>
          <w:iCs/>
        </w:rPr>
        <w:t>.</w:t>
      </w:r>
      <w:r w:rsidR="00D37CC5">
        <w:rPr>
          <w:iCs/>
        </w:rPr>
        <w:t xml:space="preserve"> </w:t>
      </w:r>
      <w:r w:rsidR="00D37CC5" w:rsidRPr="004F0D62">
        <w:rPr>
          <w:rFonts w:cstheme="minorHAnsi"/>
        </w:rPr>
        <w:t xml:space="preserve">Without </w:t>
      </w:r>
      <w:proofErr w:type="spellStart"/>
      <w:r w:rsidR="00D37CC5" w:rsidRPr="004F0D62">
        <w:rPr>
          <w:rFonts w:cstheme="minorHAnsi"/>
        </w:rPr>
        <w:t>recensoring</w:t>
      </w:r>
      <w:proofErr w:type="spellEnd"/>
      <w:r w:rsidR="00D37CC5" w:rsidRPr="004F0D62">
        <w:rPr>
          <w:rFonts w:cstheme="minorHAnsi"/>
        </w:rPr>
        <w:t xml:space="preserve"> the OS HR </w:t>
      </w:r>
      <w:r w:rsidR="000357DA" w:rsidRPr="004F0D62">
        <w:rPr>
          <w:rFonts w:cstheme="minorHAnsi"/>
        </w:rPr>
        <w:t xml:space="preserve">for the </w:t>
      </w:r>
      <w:r w:rsidR="000357DA">
        <w:rPr>
          <w:rFonts w:cstheme="minorHAnsi"/>
          <w:i/>
        </w:rPr>
        <w:t xml:space="preserve">BRCA1/2 </w:t>
      </w:r>
      <w:r w:rsidR="000357DA" w:rsidRPr="004F0D62">
        <w:rPr>
          <w:rFonts w:cstheme="minorHAnsi"/>
        </w:rPr>
        <w:t xml:space="preserve">subgroup, </w:t>
      </w:r>
      <w:r w:rsidR="00D37CC5" w:rsidRPr="004F0D62">
        <w:rPr>
          <w:rFonts w:cstheme="minorHAnsi"/>
        </w:rPr>
        <w:t>using the RPSFTM method (Cox proportional hazards model)</w:t>
      </w:r>
      <w:r w:rsidR="000357DA" w:rsidRPr="004F0D62">
        <w:rPr>
          <w:rFonts w:cstheme="minorHAnsi"/>
        </w:rPr>
        <w:t>,</w:t>
      </w:r>
      <w:r w:rsidR="00D37CC5" w:rsidRPr="004F0D62">
        <w:rPr>
          <w:rFonts w:cstheme="minorHAnsi"/>
        </w:rPr>
        <w:t xml:space="preserve"> increased to </w:t>
      </w:r>
      <w:r w:rsidR="00E60C03">
        <w:rPr>
          <w:rFonts w:cstheme="minorHAnsi"/>
          <w:noProof/>
          <w:color w:val="000000"/>
          <w:highlight w:val="black"/>
        </w:rPr>
        <w:t>''''''''' '''''''''' ''''' '''''''''' ''''''''</w:t>
      </w:r>
      <w:r w:rsidR="00014FF5">
        <w:rPr>
          <w:rFonts w:cstheme="minorHAnsi"/>
          <w:vertAlign w:val="superscript"/>
        </w:rPr>
        <w:t>7</w:t>
      </w:r>
      <w:r w:rsidR="006512E9" w:rsidRPr="004F0D62">
        <w:rPr>
          <w:rFonts w:cstheme="minorHAnsi"/>
        </w:rPr>
        <w:t>.</w:t>
      </w:r>
      <w:r w:rsidR="00BF23AE">
        <w:rPr>
          <w:rFonts w:cstheme="minorHAnsi"/>
        </w:rPr>
        <w:t xml:space="preserve"> The Guidelines for preparing submissions to PBAC </w:t>
      </w:r>
      <w:r w:rsidR="00066CC4">
        <w:rPr>
          <w:rFonts w:cstheme="minorHAnsi"/>
        </w:rPr>
        <w:t xml:space="preserve">state that </w:t>
      </w:r>
      <w:r w:rsidR="00066CC4" w:rsidRPr="006F10C4">
        <w:rPr>
          <w:rFonts w:cstheme="minorHAnsi"/>
        </w:rPr>
        <w:t>methods for adjusting the treatment effect for treatment switching may rely on assumptions that are difficult to validat</w:t>
      </w:r>
      <w:r w:rsidR="00B126A7">
        <w:rPr>
          <w:rFonts w:cstheme="minorHAnsi"/>
        </w:rPr>
        <w:t>e. Consequently, it is preferabl</w:t>
      </w:r>
      <w:r w:rsidR="00066CC4" w:rsidRPr="006F10C4">
        <w:rPr>
          <w:rFonts w:cstheme="minorHAnsi"/>
        </w:rPr>
        <w:t xml:space="preserve">e to use a number of different statistical approaches to adjust for switching. </w:t>
      </w:r>
      <w:r w:rsidR="00FF1701" w:rsidRPr="006F10C4">
        <w:rPr>
          <w:rFonts w:cstheme="minorHAnsi"/>
        </w:rPr>
        <w:t>Similar results</w:t>
      </w:r>
      <w:r w:rsidR="00066CC4" w:rsidRPr="006F10C4">
        <w:rPr>
          <w:rFonts w:cstheme="minorHAnsi"/>
        </w:rPr>
        <w:t xml:space="preserve"> will reduce uncertainty and i</w:t>
      </w:r>
      <w:r w:rsidR="00FF1701" w:rsidRPr="006F10C4">
        <w:rPr>
          <w:rFonts w:cstheme="minorHAnsi"/>
        </w:rPr>
        <w:t>ncrease confidence in the treatment effect used in the economic model</w:t>
      </w:r>
      <w:r w:rsidR="00066CC4" w:rsidRPr="006F10C4">
        <w:rPr>
          <w:rFonts w:cstheme="minorHAnsi"/>
        </w:rPr>
        <w:t>. In this case, two statistical approaches were used (R</w:t>
      </w:r>
      <w:r w:rsidR="00B126A7">
        <w:rPr>
          <w:rFonts w:cstheme="minorHAnsi"/>
        </w:rPr>
        <w:t xml:space="preserve">PSFT models with and without </w:t>
      </w:r>
      <w:proofErr w:type="spellStart"/>
      <w:r w:rsidR="00B126A7">
        <w:rPr>
          <w:rFonts w:cstheme="minorHAnsi"/>
        </w:rPr>
        <w:t>re</w:t>
      </w:r>
      <w:r w:rsidR="00066CC4" w:rsidRPr="006F10C4">
        <w:rPr>
          <w:rFonts w:cstheme="minorHAnsi"/>
        </w:rPr>
        <w:t>consoring</w:t>
      </w:r>
      <w:proofErr w:type="spellEnd"/>
      <w:r w:rsidR="00066CC4" w:rsidRPr="006F10C4">
        <w:rPr>
          <w:rFonts w:cstheme="minorHAnsi"/>
        </w:rPr>
        <w:t>) and the results were materially different, increasing uncertainty.</w:t>
      </w:r>
    </w:p>
    <w:p w:rsidR="00C23C4F" w:rsidRPr="004F0D62" w:rsidRDefault="00D6660D" w:rsidP="00D6660D">
      <w:pPr>
        <w:spacing w:before="240" w:after="0"/>
        <w:rPr>
          <w:rFonts w:ascii="Arial Narrow" w:hAnsi="Arial Narrow"/>
          <w:b/>
          <w:sz w:val="19"/>
          <w:szCs w:val="19"/>
        </w:rPr>
      </w:pPr>
      <w:r w:rsidRPr="004F0D62">
        <w:rPr>
          <w:rFonts w:ascii="Arial Narrow" w:hAnsi="Arial Narrow"/>
          <w:b/>
          <w:sz w:val="19"/>
          <w:szCs w:val="19"/>
        </w:rPr>
        <w:t>Table</w:t>
      </w:r>
      <w:r w:rsidR="00F80A08">
        <w:rPr>
          <w:rFonts w:ascii="Arial Narrow" w:hAnsi="Arial Narrow"/>
          <w:b/>
          <w:sz w:val="19"/>
          <w:szCs w:val="19"/>
        </w:rPr>
        <w:t xml:space="preserve"> </w:t>
      </w:r>
      <w:r w:rsidR="00CD4B9C">
        <w:rPr>
          <w:rFonts w:ascii="Arial Narrow" w:hAnsi="Arial Narrow"/>
          <w:b/>
          <w:noProof/>
          <w:sz w:val="19"/>
          <w:szCs w:val="19"/>
        </w:rPr>
        <w:t>8</w:t>
      </w:r>
      <w:r w:rsidR="0073766D">
        <w:rPr>
          <w:rFonts w:ascii="Arial Narrow" w:hAnsi="Arial Narrow"/>
          <w:b/>
          <w:sz w:val="19"/>
          <w:szCs w:val="19"/>
        </w:rPr>
        <w:t>:</w:t>
      </w:r>
      <w:r w:rsidR="002351AD">
        <w:rPr>
          <w:rFonts w:ascii="Arial Narrow" w:hAnsi="Arial Narrow"/>
          <w:b/>
          <w:sz w:val="19"/>
          <w:szCs w:val="19"/>
        </w:rPr>
        <w:tab/>
      </w:r>
      <w:r w:rsidRPr="004F0D62">
        <w:rPr>
          <w:rFonts w:ascii="Arial Narrow" w:hAnsi="Arial Narrow"/>
          <w:b/>
          <w:sz w:val="19"/>
          <w:szCs w:val="19"/>
        </w:rPr>
        <w:t xml:space="preserve">Results for RPSFTM adjusted OS for Cohort </w:t>
      </w:r>
      <w:proofErr w:type="gramStart"/>
      <w:r w:rsidRPr="004F0D62">
        <w:rPr>
          <w:rFonts w:ascii="Arial Narrow" w:hAnsi="Arial Narrow"/>
          <w:b/>
          <w:sz w:val="19"/>
          <w:szCs w:val="19"/>
        </w:rPr>
        <w:t>A</w:t>
      </w:r>
      <w:proofErr w:type="gramEnd"/>
      <w:r w:rsidRPr="004F0D62">
        <w:rPr>
          <w:rFonts w:ascii="Arial Narrow" w:hAnsi="Arial Narrow"/>
          <w:b/>
          <w:sz w:val="19"/>
          <w:szCs w:val="19"/>
        </w:rPr>
        <w:t xml:space="preserve"> and the </w:t>
      </w:r>
      <w:r w:rsidRPr="004F0D62">
        <w:rPr>
          <w:rFonts w:ascii="Arial Narrow" w:hAnsi="Arial Narrow"/>
          <w:b/>
          <w:i/>
          <w:sz w:val="19"/>
          <w:szCs w:val="19"/>
        </w:rPr>
        <w:t>BRCA1/2</w:t>
      </w:r>
      <w:r w:rsidR="002351AD">
        <w:rPr>
          <w:rFonts w:ascii="Arial Narrow" w:hAnsi="Arial Narrow"/>
          <w:b/>
          <w:sz w:val="19"/>
          <w:szCs w:val="19"/>
        </w:rPr>
        <w:t xml:space="preserve"> subgroup</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Results for RPSFTM adjusted OS for Cohort A and the BRCA1/2 subgroup"/>
      </w:tblPr>
      <w:tblGrid>
        <w:gridCol w:w="2112"/>
        <w:gridCol w:w="1691"/>
        <w:gridCol w:w="1691"/>
        <w:gridCol w:w="1832"/>
        <w:gridCol w:w="1690"/>
      </w:tblGrid>
      <w:tr w:rsidR="009B7A97" w:rsidRPr="004F0D62" w:rsidTr="004251C9">
        <w:trPr>
          <w:cnfStyle w:val="100000000000" w:firstRow="1" w:lastRow="0" w:firstColumn="0" w:lastColumn="0" w:oddVBand="0" w:evenVBand="0" w:oddHBand="0" w:evenHBand="0" w:firstRowFirstColumn="0" w:firstRowLastColumn="0" w:lastRowFirstColumn="0" w:lastRowLastColumn="0"/>
          <w:tblHeader/>
        </w:trPr>
        <w:tc>
          <w:tcPr>
            <w:tcW w:w="1171" w:type="pct"/>
            <w:vMerge w:val="restart"/>
            <w:shd w:val="clear" w:color="auto" w:fill="auto"/>
          </w:tcPr>
          <w:p w:rsidR="009B7A97" w:rsidRPr="004F0D62" w:rsidRDefault="009B7A97" w:rsidP="0066583B">
            <w:pPr>
              <w:spacing w:before="10" w:after="10"/>
              <w:rPr>
                <w:rFonts w:ascii="Arial Narrow" w:hAnsi="Arial Narrow"/>
                <w:sz w:val="19"/>
                <w:szCs w:val="19"/>
                <w:lang w:eastAsia="en-US"/>
              </w:rPr>
            </w:pPr>
          </w:p>
        </w:tc>
        <w:tc>
          <w:tcPr>
            <w:tcW w:w="1876" w:type="pct"/>
            <w:gridSpan w:val="2"/>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Cohort A</w:t>
            </w:r>
          </w:p>
        </w:tc>
        <w:tc>
          <w:tcPr>
            <w:tcW w:w="1954" w:type="pct"/>
            <w:gridSpan w:val="2"/>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FD6617">
              <w:rPr>
                <w:rFonts w:ascii="Arial Narrow" w:hAnsi="Arial Narrow"/>
                <w:i/>
                <w:sz w:val="19"/>
                <w:szCs w:val="19"/>
                <w:lang w:eastAsia="en-US"/>
              </w:rPr>
              <w:t>BRCA1/2</w:t>
            </w:r>
            <w:r w:rsidRPr="004F0D62">
              <w:rPr>
                <w:rFonts w:ascii="Arial Narrow" w:hAnsi="Arial Narrow"/>
                <w:sz w:val="19"/>
                <w:szCs w:val="19"/>
                <w:lang w:eastAsia="en-US"/>
              </w:rPr>
              <w:t xml:space="preserve"> subgroup</w:t>
            </w:r>
          </w:p>
        </w:tc>
      </w:tr>
      <w:tr w:rsidR="009B7A97" w:rsidRPr="004F0D62" w:rsidTr="004251C9">
        <w:trPr>
          <w:cnfStyle w:val="100000000000" w:firstRow="1" w:lastRow="0" w:firstColumn="0" w:lastColumn="0" w:oddVBand="0" w:evenVBand="0" w:oddHBand="0" w:evenHBand="0" w:firstRowFirstColumn="0" w:firstRowLastColumn="0" w:lastRowFirstColumn="0" w:lastRowLastColumn="0"/>
          <w:tblHeader/>
        </w:trPr>
        <w:tc>
          <w:tcPr>
            <w:tcW w:w="1171" w:type="pct"/>
            <w:vMerge/>
            <w:shd w:val="clear" w:color="auto" w:fill="auto"/>
          </w:tcPr>
          <w:p w:rsidR="009B7A97" w:rsidRPr="004F0D62" w:rsidRDefault="009B7A97" w:rsidP="0066583B">
            <w:pPr>
              <w:spacing w:before="10" w:after="10"/>
              <w:rPr>
                <w:rFonts w:ascii="Arial Narrow" w:hAnsi="Arial Narrow"/>
                <w:sz w:val="19"/>
                <w:szCs w:val="19"/>
                <w:lang w:eastAsia="en-US"/>
              </w:rPr>
            </w:pPr>
          </w:p>
        </w:tc>
        <w:tc>
          <w:tcPr>
            <w:tcW w:w="938" w:type="pct"/>
            <w:shd w:val="clear" w:color="auto" w:fill="auto"/>
            <w:vAlign w:val="center"/>
          </w:tcPr>
          <w:p w:rsidR="009B7A97" w:rsidRPr="004F0D62" w:rsidRDefault="009B7A97" w:rsidP="0066583B">
            <w:pPr>
              <w:spacing w:before="10" w:after="10"/>
              <w:jc w:val="center"/>
              <w:rPr>
                <w:rFonts w:ascii="Arial Narrow" w:hAnsi="Arial Narrow"/>
                <w:b w:val="0"/>
                <w:sz w:val="19"/>
                <w:szCs w:val="19"/>
                <w:lang w:eastAsia="en-US"/>
              </w:rPr>
            </w:pPr>
            <w:proofErr w:type="spellStart"/>
            <w:r w:rsidRPr="004F0D62">
              <w:rPr>
                <w:rFonts w:ascii="Arial Narrow" w:hAnsi="Arial Narrow"/>
                <w:b w:val="0"/>
                <w:sz w:val="19"/>
                <w:szCs w:val="19"/>
                <w:lang w:eastAsia="en-US"/>
              </w:rPr>
              <w:t>Olaparib</w:t>
            </w:r>
            <w:proofErr w:type="spellEnd"/>
          </w:p>
          <w:p w:rsidR="009B7A97" w:rsidRPr="004F0D62" w:rsidRDefault="009B7A97" w:rsidP="0066583B">
            <w:pPr>
              <w:spacing w:before="10" w:after="10"/>
              <w:jc w:val="center"/>
              <w:rPr>
                <w:rFonts w:ascii="Arial Narrow" w:hAnsi="Arial Narrow"/>
                <w:b w:val="0"/>
                <w:sz w:val="19"/>
                <w:szCs w:val="19"/>
                <w:lang w:eastAsia="en-US"/>
              </w:rPr>
            </w:pPr>
            <w:r w:rsidRPr="004F0D62">
              <w:rPr>
                <w:rFonts w:ascii="Arial Narrow" w:hAnsi="Arial Narrow"/>
                <w:b w:val="0"/>
                <w:sz w:val="19"/>
                <w:szCs w:val="19"/>
                <w:lang w:eastAsia="en-US"/>
              </w:rPr>
              <w:t>(N = 162)</w:t>
            </w:r>
          </w:p>
        </w:tc>
        <w:tc>
          <w:tcPr>
            <w:tcW w:w="938" w:type="pct"/>
            <w:shd w:val="clear" w:color="auto" w:fill="auto"/>
            <w:vAlign w:val="center"/>
          </w:tcPr>
          <w:p w:rsidR="009B7A97" w:rsidRPr="004F0D62" w:rsidRDefault="009B7A97" w:rsidP="0066583B">
            <w:pPr>
              <w:spacing w:before="10" w:after="10"/>
              <w:jc w:val="center"/>
              <w:rPr>
                <w:rFonts w:ascii="Arial Narrow" w:hAnsi="Arial Narrow"/>
                <w:b w:val="0"/>
                <w:sz w:val="19"/>
                <w:szCs w:val="19"/>
                <w:lang w:eastAsia="en-US"/>
              </w:rPr>
            </w:pPr>
            <w:r w:rsidRPr="004F0D62">
              <w:rPr>
                <w:rFonts w:ascii="Arial Narrow" w:hAnsi="Arial Narrow"/>
                <w:b w:val="0"/>
                <w:sz w:val="19"/>
                <w:szCs w:val="19"/>
                <w:lang w:eastAsia="en-US"/>
              </w:rPr>
              <w:t>NHA</w:t>
            </w:r>
          </w:p>
          <w:p w:rsidR="009B7A97" w:rsidRPr="004F0D62" w:rsidRDefault="009B7A97" w:rsidP="0066583B">
            <w:pPr>
              <w:spacing w:before="10" w:after="10"/>
              <w:jc w:val="center"/>
              <w:rPr>
                <w:rFonts w:ascii="Arial Narrow" w:hAnsi="Arial Narrow"/>
                <w:b w:val="0"/>
                <w:sz w:val="19"/>
                <w:szCs w:val="19"/>
                <w:lang w:eastAsia="en-US"/>
              </w:rPr>
            </w:pPr>
            <w:r w:rsidRPr="004F0D62">
              <w:rPr>
                <w:rFonts w:ascii="Arial Narrow" w:hAnsi="Arial Narrow"/>
                <w:b w:val="0"/>
                <w:sz w:val="19"/>
                <w:szCs w:val="19"/>
                <w:lang w:eastAsia="en-US"/>
              </w:rPr>
              <w:t>(N = 83)</w:t>
            </w:r>
          </w:p>
        </w:tc>
        <w:tc>
          <w:tcPr>
            <w:tcW w:w="1016" w:type="pct"/>
            <w:shd w:val="clear" w:color="auto" w:fill="auto"/>
            <w:vAlign w:val="center"/>
          </w:tcPr>
          <w:p w:rsidR="009B7A97" w:rsidRPr="004F0D62" w:rsidRDefault="009B7A97" w:rsidP="0066583B">
            <w:pPr>
              <w:spacing w:before="10" w:after="10"/>
              <w:jc w:val="center"/>
              <w:rPr>
                <w:rFonts w:ascii="Arial Narrow" w:hAnsi="Arial Narrow"/>
                <w:b w:val="0"/>
                <w:sz w:val="19"/>
                <w:szCs w:val="19"/>
                <w:lang w:eastAsia="en-US"/>
              </w:rPr>
            </w:pPr>
            <w:proofErr w:type="spellStart"/>
            <w:r w:rsidRPr="004F0D62">
              <w:rPr>
                <w:rFonts w:ascii="Arial Narrow" w:hAnsi="Arial Narrow"/>
                <w:b w:val="0"/>
                <w:sz w:val="19"/>
                <w:szCs w:val="19"/>
                <w:lang w:eastAsia="en-US"/>
              </w:rPr>
              <w:t>Olaparib</w:t>
            </w:r>
            <w:proofErr w:type="spellEnd"/>
          </w:p>
          <w:p w:rsidR="009B7A97" w:rsidRPr="004F0D62" w:rsidRDefault="009B7A97" w:rsidP="0066583B">
            <w:pPr>
              <w:spacing w:before="10" w:after="10"/>
              <w:jc w:val="center"/>
              <w:rPr>
                <w:rFonts w:ascii="Arial Narrow" w:hAnsi="Arial Narrow"/>
                <w:b w:val="0"/>
                <w:sz w:val="19"/>
                <w:szCs w:val="19"/>
                <w:lang w:eastAsia="en-US"/>
              </w:rPr>
            </w:pPr>
            <w:r w:rsidRPr="004F0D62">
              <w:rPr>
                <w:rFonts w:ascii="Arial Narrow" w:hAnsi="Arial Narrow"/>
                <w:b w:val="0"/>
                <w:sz w:val="19"/>
                <w:szCs w:val="19"/>
                <w:lang w:eastAsia="en-US"/>
              </w:rPr>
              <w:t>(N = 102)</w:t>
            </w:r>
          </w:p>
        </w:tc>
        <w:tc>
          <w:tcPr>
            <w:tcW w:w="938" w:type="pct"/>
            <w:shd w:val="clear" w:color="auto" w:fill="auto"/>
            <w:vAlign w:val="center"/>
          </w:tcPr>
          <w:p w:rsidR="009B7A97" w:rsidRPr="004F0D62" w:rsidRDefault="009B7A97" w:rsidP="0066583B">
            <w:pPr>
              <w:spacing w:before="10" w:after="10"/>
              <w:jc w:val="center"/>
              <w:rPr>
                <w:rFonts w:ascii="Arial Narrow" w:hAnsi="Arial Narrow"/>
                <w:b w:val="0"/>
                <w:sz w:val="19"/>
                <w:szCs w:val="19"/>
                <w:lang w:eastAsia="en-US"/>
              </w:rPr>
            </w:pPr>
            <w:r w:rsidRPr="004F0D62">
              <w:rPr>
                <w:rFonts w:ascii="Arial Narrow" w:hAnsi="Arial Narrow"/>
                <w:b w:val="0"/>
                <w:sz w:val="19"/>
                <w:szCs w:val="19"/>
                <w:lang w:eastAsia="en-US"/>
              </w:rPr>
              <w:t>NHA</w:t>
            </w:r>
          </w:p>
          <w:p w:rsidR="009B7A97" w:rsidRPr="004F0D62" w:rsidRDefault="009B7A97" w:rsidP="0066583B">
            <w:pPr>
              <w:spacing w:before="10" w:after="10"/>
              <w:jc w:val="center"/>
              <w:rPr>
                <w:rFonts w:ascii="Arial Narrow" w:hAnsi="Arial Narrow"/>
                <w:b w:val="0"/>
                <w:sz w:val="19"/>
                <w:szCs w:val="19"/>
                <w:lang w:eastAsia="en-US"/>
              </w:rPr>
            </w:pPr>
            <w:r w:rsidRPr="004F0D62">
              <w:rPr>
                <w:rFonts w:ascii="Arial Narrow" w:hAnsi="Arial Narrow"/>
                <w:b w:val="0"/>
                <w:sz w:val="19"/>
                <w:szCs w:val="19"/>
                <w:lang w:eastAsia="en-US"/>
              </w:rPr>
              <w:t>(N = 58)</w:t>
            </w:r>
          </w:p>
        </w:tc>
      </w:tr>
      <w:tr w:rsidR="009B7A97" w:rsidRPr="004F0D62" w:rsidTr="0088177D">
        <w:tc>
          <w:tcPr>
            <w:tcW w:w="5000" w:type="pct"/>
            <w:gridSpan w:val="5"/>
            <w:shd w:val="clear" w:color="auto" w:fill="auto"/>
          </w:tcPr>
          <w:p w:rsidR="009B7A97" w:rsidRPr="004F0D62" w:rsidRDefault="009B7A97" w:rsidP="009B7A97">
            <w:pPr>
              <w:spacing w:before="10" w:after="10"/>
              <w:jc w:val="left"/>
              <w:rPr>
                <w:rFonts w:ascii="Arial Narrow" w:hAnsi="Arial Narrow"/>
                <w:b/>
                <w:sz w:val="19"/>
                <w:szCs w:val="19"/>
                <w:lang w:eastAsia="en-US"/>
              </w:rPr>
            </w:pPr>
            <w:r w:rsidRPr="004F0D62">
              <w:rPr>
                <w:rFonts w:ascii="Arial Narrow" w:hAnsi="Arial Narrow"/>
                <w:b/>
                <w:sz w:val="19"/>
                <w:szCs w:val="19"/>
                <w:lang w:eastAsia="en-US"/>
              </w:rPr>
              <w:t>Overall survival (OS) (final analysis, data cut off 20 March 2020)</w:t>
            </w:r>
          </w:p>
        </w:tc>
      </w:tr>
      <w:tr w:rsidR="009B7A97" w:rsidRPr="004F0D62" w:rsidTr="0088177D">
        <w:tc>
          <w:tcPr>
            <w:tcW w:w="1171" w:type="pct"/>
            <w:shd w:val="clear" w:color="auto" w:fill="auto"/>
          </w:tcPr>
          <w:p w:rsidR="009B7A97" w:rsidRPr="004F0D62" w:rsidRDefault="009B7A97" w:rsidP="0066583B">
            <w:pPr>
              <w:spacing w:before="10" w:after="10"/>
              <w:rPr>
                <w:rFonts w:ascii="Arial Narrow" w:hAnsi="Arial Narrow"/>
                <w:sz w:val="19"/>
                <w:szCs w:val="19"/>
                <w:lang w:eastAsia="en-US"/>
              </w:rPr>
            </w:pPr>
            <w:r w:rsidRPr="004F0D62">
              <w:rPr>
                <w:rFonts w:ascii="Arial Narrow" w:hAnsi="Arial Narrow"/>
                <w:sz w:val="19"/>
                <w:szCs w:val="19"/>
                <w:lang w:eastAsia="en-US"/>
              </w:rPr>
              <w:t>Deaths, n (%)</w:t>
            </w:r>
          </w:p>
        </w:tc>
        <w:tc>
          <w:tcPr>
            <w:tcW w:w="938" w:type="pct"/>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91 (52.6%)</w:t>
            </w:r>
          </w:p>
        </w:tc>
        <w:tc>
          <w:tcPr>
            <w:tcW w:w="938" w:type="pct"/>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57 (65.7%)</w:t>
            </w:r>
          </w:p>
        </w:tc>
        <w:tc>
          <w:tcPr>
            <w:tcW w:w="1016" w:type="pct"/>
            <w:tcBorders>
              <w:bottom w:val="single" w:sz="4" w:space="0" w:color="auto"/>
            </w:tcBorders>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53 (52.0%)</w:t>
            </w:r>
            <w:r w:rsidRPr="004F0D62">
              <w:rPr>
                <w:rFonts w:ascii="Arial Narrow" w:hAnsi="Arial Narrow"/>
                <w:sz w:val="19"/>
                <w:szCs w:val="19"/>
                <w:vertAlign w:val="superscript"/>
                <w:lang w:eastAsia="en-US"/>
              </w:rPr>
              <w:t>a</w:t>
            </w:r>
          </w:p>
        </w:tc>
        <w:tc>
          <w:tcPr>
            <w:tcW w:w="938" w:type="pct"/>
            <w:tcBorders>
              <w:bottom w:val="single" w:sz="4" w:space="0" w:color="auto"/>
            </w:tcBorders>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41 (70.7%)</w:t>
            </w:r>
            <w:r w:rsidRPr="004F0D62">
              <w:rPr>
                <w:rFonts w:ascii="Arial Narrow" w:hAnsi="Arial Narrow"/>
                <w:sz w:val="19"/>
                <w:szCs w:val="19"/>
                <w:vertAlign w:val="superscript"/>
                <w:lang w:eastAsia="en-US"/>
              </w:rPr>
              <w:t>a</w:t>
            </w:r>
          </w:p>
        </w:tc>
      </w:tr>
      <w:tr w:rsidR="009B7A97" w:rsidRPr="004F0D62" w:rsidTr="0088177D">
        <w:tc>
          <w:tcPr>
            <w:tcW w:w="1171" w:type="pct"/>
            <w:shd w:val="clear" w:color="auto" w:fill="auto"/>
          </w:tcPr>
          <w:p w:rsidR="009B7A97" w:rsidRPr="004F0D62" w:rsidRDefault="009B7A97" w:rsidP="009B7A97">
            <w:pPr>
              <w:spacing w:before="10" w:after="10"/>
              <w:rPr>
                <w:rFonts w:ascii="Arial Narrow" w:hAnsi="Arial Narrow"/>
                <w:sz w:val="19"/>
                <w:szCs w:val="19"/>
                <w:lang w:eastAsia="en-US"/>
              </w:rPr>
            </w:pPr>
            <w:r w:rsidRPr="004F0D62">
              <w:rPr>
                <w:rFonts w:ascii="Arial Narrow" w:hAnsi="Arial Narrow"/>
                <w:sz w:val="19"/>
                <w:szCs w:val="19"/>
                <w:lang w:eastAsia="en-US"/>
              </w:rPr>
              <w:t>Median, months (95% CI)</w:t>
            </w:r>
          </w:p>
        </w:tc>
        <w:tc>
          <w:tcPr>
            <w:tcW w:w="938" w:type="pct"/>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19.09 (17.35, 23.43)</w:t>
            </w:r>
          </w:p>
        </w:tc>
        <w:tc>
          <w:tcPr>
            <w:tcW w:w="938" w:type="pct"/>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14.69 (11.93, 18.79)</w:t>
            </w:r>
          </w:p>
        </w:tc>
        <w:tc>
          <w:tcPr>
            <w:tcW w:w="1016" w:type="pct"/>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20.11 (17.35, 26.81)</w:t>
            </w:r>
          </w:p>
        </w:tc>
        <w:tc>
          <w:tcPr>
            <w:tcW w:w="938" w:type="pct"/>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14.44 (10.71, 18.89)</w:t>
            </w:r>
          </w:p>
        </w:tc>
      </w:tr>
      <w:tr w:rsidR="009B7A97" w:rsidRPr="004F0D62" w:rsidTr="0088177D">
        <w:tc>
          <w:tcPr>
            <w:tcW w:w="1171" w:type="pct"/>
            <w:shd w:val="clear" w:color="auto" w:fill="auto"/>
          </w:tcPr>
          <w:p w:rsidR="009B7A97" w:rsidRPr="004F0D62" w:rsidRDefault="009B7A97" w:rsidP="009B7A97">
            <w:pPr>
              <w:spacing w:before="10" w:after="10"/>
              <w:rPr>
                <w:rFonts w:ascii="Arial Narrow" w:hAnsi="Arial Narrow"/>
                <w:sz w:val="19"/>
                <w:szCs w:val="19"/>
                <w:lang w:eastAsia="en-US"/>
              </w:rPr>
            </w:pPr>
            <w:r w:rsidRPr="004F0D62">
              <w:rPr>
                <w:rFonts w:ascii="Arial Narrow" w:hAnsi="Arial Narrow"/>
                <w:sz w:val="19"/>
                <w:szCs w:val="19"/>
                <w:lang w:eastAsia="en-US"/>
              </w:rPr>
              <w:t>HR (95% CI)</w:t>
            </w:r>
          </w:p>
        </w:tc>
        <w:tc>
          <w:tcPr>
            <w:tcW w:w="1876" w:type="pct"/>
            <w:gridSpan w:val="2"/>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0.69 (0.50, 0.97)</w:t>
            </w:r>
          </w:p>
        </w:tc>
        <w:tc>
          <w:tcPr>
            <w:tcW w:w="1954" w:type="pct"/>
            <w:gridSpan w:val="2"/>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0.63 (0.43, 0.95)</w:t>
            </w:r>
          </w:p>
        </w:tc>
      </w:tr>
      <w:tr w:rsidR="009B7A97" w:rsidRPr="004F0D62" w:rsidTr="0088177D">
        <w:tc>
          <w:tcPr>
            <w:tcW w:w="5000" w:type="pct"/>
            <w:gridSpan w:val="5"/>
            <w:shd w:val="clear" w:color="auto" w:fill="auto"/>
          </w:tcPr>
          <w:p w:rsidR="009B7A97" w:rsidRPr="004F0D62" w:rsidRDefault="009B7A97" w:rsidP="00027D87">
            <w:pPr>
              <w:spacing w:before="10" w:after="10"/>
              <w:jc w:val="left"/>
              <w:rPr>
                <w:rFonts w:ascii="Arial Narrow" w:hAnsi="Arial Narrow"/>
                <w:b/>
                <w:sz w:val="19"/>
                <w:szCs w:val="19"/>
                <w:lang w:eastAsia="en-US"/>
              </w:rPr>
            </w:pPr>
            <w:r w:rsidRPr="004F0D62">
              <w:rPr>
                <w:rFonts w:ascii="Arial Narrow" w:hAnsi="Arial Narrow"/>
                <w:b/>
                <w:sz w:val="19"/>
                <w:szCs w:val="19"/>
                <w:lang w:eastAsia="en-US"/>
              </w:rPr>
              <w:t xml:space="preserve">Overall survival (OS) adjusted for crossover using RPSFTM </w:t>
            </w:r>
            <w:r w:rsidR="006512E9" w:rsidRPr="004F0D62">
              <w:rPr>
                <w:rFonts w:ascii="Arial Narrow" w:hAnsi="Arial Narrow"/>
                <w:b/>
                <w:sz w:val="19"/>
                <w:szCs w:val="19"/>
                <w:lang w:eastAsia="en-US"/>
              </w:rPr>
              <w:t xml:space="preserve">– with </w:t>
            </w:r>
            <w:proofErr w:type="spellStart"/>
            <w:r w:rsidR="006512E9" w:rsidRPr="004F0D62">
              <w:rPr>
                <w:rFonts w:ascii="Arial Narrow" w:hAnsi="Arial Narrow"/>
                <w:b/>
                <w:sz w:val="19"/>
                <w:szCs w:val="19"/>
                <w:lang w:eastAsia="en-US"/>
              </w:rPr>
              <w:t>recensoring</w:t>
            </w:r>
            <w:proofErr w:type="spellEnd"/>
            <w:r w:rsidR="006512E9" w:rsidRPr="004F0D62">
              <w:rPr>
                <w:rFonts w:ascii="Arial Narrow" w:hAnsi="Arial Narrow"/>
                <w:b/>
                <w:sz w:val="19"/>
                <w:szCs w:val="19"/>
                <w:lang w:eastAsia="en-US"/>
              </w:rPr>
              <w:t xml:space="preserve"> </w:t>
            </w:r>
            <w:r w:rsidRPr="004F0D62">
              <w:rPr>
                <w:rFonts w:ascii="Arial Narrow" w:hAnsi="Arial Narrow"/>
                <w:b/>
                <w:sz w:val="19"/>
                <w:szCs w:val="19"/>
                <w:lang w:eastAsia="en-US"/>
              </w:rPr>
              <w:t>(final analysis, data cut off 20 March 2020)</w:t>
            </w:r>
          </w:p>
        </w:tc>
      </w:tr>
      <w:tr w:rsidR="009B7A97" w:rsidRPr="004F0D62" w:rsidTr="0088177D">
        <w:tc>
          <w:tcPr>
            <w:tcW w:w="1171" w:type="pct"/>
            <w:shd w:val="clear" w:color="auto" w:fill="auto"/>
          </w:tcPr>
          <w:p w:rsidR="009B7A97" w:rsidRPr="004F0D62" w:rsidRDefault="009B7A97" w:rsidP="009B7A97">
            <w:pPr>
              <w:spacing w:before="10" w:after="10"/>
              <w:rPr>
                <w:rFonts w:ascii="Arial Narrow" w:hAnsi="Arial Narrow"/>
                <w:sz w:val="19"/>
                <w:szCs w:val="19"/>
                <w:lang w:eastAsia="en-US"/>
              </w:rPr>
            </w:pPr>
            <w:r w:rsidRPr="004F0D62">
              <w:rPr>
                <w:rFonts w:ascii="Arial Narrow" w:hAnsi="Arial Narrow"/>
                <w:sz w:val="19"/>
                <w:szCs w:val="19"/>
                <w:lang w:eastAsia="en-US"/>
              </w:rPr>
              <w:t>Deaths, n (%)</w:t>
            </w:r>
          </w:p>
        </w:tc>
        <w:tc>
          <w:tcPr>
            <w:tcW w:w="938" w:type="pct"/>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NR</w:t>
            </w:r>
          </w:p>
        </w:tc>
        <w:tc>
          <w:tcPr>
            <w:tcW w:w="938" w:type="pct"/>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NR</w:t>
            </w:r>
          </w:p>
        </w:tc>
        <w:tc>
          <w:tcPr>
            <w:tcW w:w="1016" w:type="pct"/>
            <w:shd w:val="clear" w:color="auto" w:fill="auto"/>
            <w:vAlign w:val="center"/>
          </w:tcPr>
          <w:p w:rsidR="009B7A97" w:rsidRPr="004F0D62" w:rsidRDefault="00C23C4F"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NR</w:t>
            </w:r>
          </w:p>
        </w:tc>
        <w:tc>
          <w:tcPr>
            <w:tcW w:w="938" w:type="pct"/>
            <w:shd w:val="clear" w:color="auto" w:fill="auto"/>
            <w:vAlign w:val="center"/>
          </w:tcPr>
          <w:p w:rsidR="009B7A97" w:rsidRPr="004F0D62" w:rsidRDefault="00C23C4F"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NR</w:t>
            </w:r>
          </w:p>
        </w:tc>
      </w:tr>
      <w:tr w:rsidR="009B7A97" w:rsidRPr="004F0D62" w:rsidTr="0088177D">
        <w:tc>
          <w:tcPr>
            <w:tcW w:w="1171" w:type="pct"/>
            <w:shd w:val="clear" w:color="auto" w:fill="auto"/>
          </w:tcPr>
          <w:p w:rsidR="009B7A97" w:rsidRPr="004F0D62" w:rsidRDefault="009B7A97" w:rsidP="0075523D">
            <w:pPr>
              <w:spacing w:before="10" w:after="10"/>
              <w:jc w:val="left"/>
              <w:rPr>
                <w:rFonts w:ascii="Arial Narrow" w:hAnsi="Arial Narrow"/>
                <w:sz w:val="19"/>
                <w:szCs w:val="19"/>
                <w:lang w:eastAsia="en-US"/>
              </w:rPr>
            </w:pPr>
            <w:r w:rsidRPr="004F0D62">
              <w:rPr>
                <w:rFonts w:ascii="Arial Narrow" w:hAnsi="Arial Narrow"/>
                <w:sz w:val="19"/>
                <w:szCs w:val="19"/>
                <w:lang w:eastAsia="en-US"/>
              </w:rPr>
              <w:t>Med</w:t>
            </w:r>
            <w:r w:rsidR="0075523D" w:rsidRPr="004F0D62">
              <w:rPr>
                <w:rFonts w:ascii="Arial Narrow" w:hAnsi="Arial Narrow"/>
                <w:sz w:val="19"/>
                <w:szCs w:val="19"/>
                <w:lang w:eastAsia="en-US"/>
              </w:rPr>
              <w:t>i</w:t>
            </w:r>
            <w:r w:rsidRPr="004F0D62">
              <w:rPr>
                <w:rFonts w:ascii="Arial Narrow" w:hAnsi="Arial Narrow"/>
                <w:sz w:val="19"/>
                <w:szCs w:val="19"/>
                <w:lang w:eastAsia="en-US"/>
              </w:rPr>
              <w:t>an, months (95% CI)</w:t>
            </w:r>
          </w:p>
        </w:tc>
        <w:tc>
          <w:tcPr>
            <w:tcW w:w="938" w:type="pct"/>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NR</w:t>
            </w:r>
          </w:p>
        </w:tc>
        <w:tc>
          <w:tcPr>
            <w:tcW w:w="938" w:type="pct"/>
            <w:shd w:val="clear" w:color="auto" w:fill="auto"/>
            <w:vAlign w:val="center"/>
          </w:tcPr>
          <w:p w:rsidR="009B7A97" w:rsidRPr="004F0D62" w:rsidRDefault="009B7A97"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11.73</w:t>
            </w:r>
          </w:p>
        </w:tc>
        <w:tc>
          <w:tcPr>
            <w:tcW w:w="1016" w:type="pct"/>
            <w:shd w:val="clear" w:color="auto" w:fill="auto"/>
            <w:vAlign w:val="center"/>
          </w:tcPr>
          <w:p w:rsidR="009B7A97" w:rsidRPr="004F0D62" w:rsidRDefault="00C23C4F" w:rsidP="0066583B">
            <w:pPr>
              <w:spacing w:before="10" w:after="10"/>
              <w:jc w:val="center"/>
              <w:rPr>
                <w:rFonts w:ascii="Arial Narrow" w:hAnsi="Arial Narrow"/>
                <w:sz w:val="19"/>
                <w:szCs w:val="19"/>
                <w:lang w:eastAsia="en-US"/>
              </w:rPr>
            </w:pPr>
            <w:proofErr w:type="spellStart"/>
            <w:r w:rsidRPr="004F0D62">
              <w:rPr>
                <w:rFonts w:ascii="Arial Narrow" w:hAnsi="Arial Narrow"/>
                <w:sz w:val="19"/>
                <w:szCs w:val="19"/>
                <w:lang w:eastAsia="en-US"/>
              </w:rPr>
              <w:t>NR</w:t>
            </w:r>
            <w:r w:rsidRPr="004F0D62">
              <w:rPr>
                <w:rFonts w:ascii="Arial Narrow" w:hAnsi="Arial Narrow"/>
                <w:sz w:val="19"/>
                <w:szCs w:val="19"/>
                <w:vertAlign w:val="superscript"/>
                <w:lang w:eastAsia="en-US"/>
              </w:rPr>
              <w:t>b</w:t>
            </w:r>
            <w:proofErr w:type="spellEnd"/>
          </w:p>
        </w:tc>
        <w:tc>
          <w:tcPr>
            <w:tcW w:w="938" w:type="pct"/>
            <w:shd w:val="clear" w:color="auto" w:fill="auto"/>
            <w:vAlign w:val="center"/>
          </w:tcPr>
          <w:p w:rsidR="009B7A97" w:rsidRPr="004F0D62" w:rsidRDefault="00C23C4F" w:rsidP="0066583B">
            <w:pPr>
              <w:spacing w:before="10" w:after="10"/>
              <w:jc w:val="center"/>
              <w:rPr>
                <w:rFonts w:ascii="Arial Narrow" w:hAnsi="Arial Narrow"/>
                <w:sz w:val="19"/>
                <w:szCs w:val="19"/>
                <w:lang w:eastAsia="en-US"/>
              </w:rPr>
            </w:pPr>
            <w:r w:rsidRPr="004F0D62">
              <w:rPr>
                <w:rFonts w:ascii="Arial Narrow" w:hAnsi="Arial Narrow"/>
                <w:sz w:val="19"/>
                <w:szCs w:val="19"/>
                <w:lang w:eastAsia="en-US"/>
              </w:rPr>
              <w:t>9.15</w:t>
            </w:r>
          </w:p>
        </w:tc>
      </w:tr>
      <w:tr w:rsidR="009B7A97" w:rsidRPr="004F0D62" w:rsidTr="0088177D">
        <w:tc>
          <w:tcPr>
            <w:tcW w:w="1171" w:type="pct"/>
            <w:shd w:val="clear" w:color="auto" w:fill="auto"/>
          </w:tcPr>
          <w:p w:rsidR="009B7A97" w:rsidRPr="004F0D62" w:rsidRDefault="009B7A97" w:rsidP="009B7A97">
            <w:pPr>
              <w:spacing w:before="10" w:after="10"/>
              <w:jc w:val="left"/>
              <w:rPr>
                <w:rFonts w:ascii="Arial Narrow" w:hAnsi="Arial Narrow"/>
                <w:sz w:val="19"/>
                <w:szCs w:val="19"/>
                <w:lang w:eastAsia="en-US"/>
              </w:rPr>
            </w:pPr>
            <w:r w:rsidRPr="004F0D62">
              <w:rPr>
                <w:rFonts w:ascii="Arial Narrow" w:hAnsi="Arial Narrow"/>
                <w:sz w:val="19"/>
                <w:szCs w:val="19"/>
                <w:lang w:eastAsia="en-US"/>
              </w:rPr>
              <w:t>HR (95% CI)</w:t>
            </w:r>
          </w:p>
        </w:tc>
        <w:tc>
          <w:tcPr>
            <w:tcW w:w="1876" w:type="pct"/>
            <w:gridSpan w:val="2"/>
            <w:shd w:val="clear" w:color="auto" w:fill="auto"/>
            <w:vAlign w:val="center"/>
          </w:tcPr>
          <w:p w:rsidR="009B7A97" w:rsidRPr="00557D6B" w:rsidRDefault="00E60C03" w:rsidP="0066583B">
            <w:pPr>
              <w:spacing w:before="10" w:after="10"/>
              <w:jc w:val="center"/>
              <w:rPr>
                <w:rFonts w:ascii="Arial Narrow" w:hAnsi="Arial Narrow"/>
                <w:sz w:val="19"/>
                <w:szCs w:val="19"/>
                <w:vertAlign w:val="superscript"/>
                <w:lang w:eastAsia="en-US"/>
              </w:rPr>
            </w:pPr>
            <w:r>
              <w:rPr>
                <w:rFonts w:ascii="Arial Narrow" w:hAnsi="Arial Narrow"/>
                <w:noProof/>
                <w:color w:val="000000"/>
                <w:sz w:val="19"/>
                <w:szCs w:val="19"/>
                <w:highlight w:val="black"/>
                <w:lang w:eastAsia="en-US"/>
              </w:rPr>
              <w:t>''''''''''' ''''''''''''' ''''''''''''</w:t>
            </w:r>
            <w:r w:rsidR="00557D6B">
              <w:rPr>
                <w:rFonts w:ascii="Arial Narrow" w:hAnsi="Arial Narrow"/>
                <w:sz w:val="19"/>
                <w:szCs w:val="19"/>
                <w:vertAlign w:val="superscript"/>
                <w:lang w:eastAsia="en-US"/>
              </w:rPr>
              <w:t>1</w:t>
            </w:r>
          </w:p>
        </w:tc>
        <w:tc>
          <w:tcPr>
            <w:tcW w:w="1954" w:type="pct"/>
            <w:gridSpan w:val="2"/>
            <w:shd w:val="clear" w:color="auto" w:fill="auto"/>
            <w:vAlign w:val="center"/>
          </w:tcPr>
          <w:p w:rsidR="009B7A97" w:rsidRPr="00557D6B" w:rsidRDefault="00E60C03" w:rsidP="0066583B">
            <w:pPr>
              <w:spacing w:before="10" w:after="10"/>
              <w:jc w:val="center"/>
              <w:rPr>
                <w:rFonts w:ascii="Arial Narrow" w:hAnsi="Arial Narrow"/>
                <w:sz w:val="19"/>
                <w:szCs w:val="19"/>
                <w:vertAlign w:val="superscript"/>
                <w:lang w:eastAsia="en-US"/>
              </w:rPr>
            </w:pPr>
            <w:r>
              <w:rPr>
                <w:rFonts w:ascii="Arial Narrow" w:hAnsi="Arial Narrow"/>
                <w:noProof/>
                <w:color w:val="000000"/>
                <w:sz w:val="19"/>
                <w:szCs w:val="19"/>
                <w:highlight w:val="black"/>
                <w:lang w:eastAsia="en-US"/>
              </w:rPr>
              <w:t>''''''''''' ''''''''''''''' '''''''''''''</w:t>
            </w:r>
            <w:r w:rsidR="00557D6B">
              <w:rPr>
                <w:rFonts w:ascii="Arial Narrow" w:hAnsi="Arial Narrow"/>
                <w:sz w:val="19"/>
                <w:szCs w:val="19"/>
                <w:vertAlign w:val="superscript"/>
                <w:lang w:eastAsia="en-US"/>
              </w:rPr>
              <w:t>1</w:t>
            </w:r>
          </w:p>
        </w:tc>
      </w:tr>
      <w:tr w:rsidR="006512E9" w:rsidRPr="004F0D62" w:rsidTr="0088177D">
        <w:tc>
          <w:tcPr>
            <w:tcW w:w="5000" w:type="pct"/>
            <w:gridSpan w:val="5"/>
            <w:shd w:val="clear" w:color="auto" w:fill="auto"/>
          </w:tcPr>
          <w:p w:rsidR="006512E9" w:rsidRPr="004F0D62" w:rsidRDefault="006512E9" w:rsidP="00027D87">
            <w:pPr>
              <w:spacing w:before="10" w:after="10"/>
              <w:jc w:val="left"/>
              <w:rPr>
                <w:rFonts w:ascii="Arial Narrow" w:hAnsi="Arial Narrow"/>
                <w:b/>
                <w:sz w:val="19"/>
                <w:szCs w:val="19"/>
                <w:lang w:eastAsia="en-US"/>
              </w:rPr>
            </w:pPr>
            <w:r w:rsidRPr="004F0D62">
              <w:rPr>
                <w:rFonts w:ascii="Arial Narrow" w:hAnsi="Arial Narrow"/>
                <w:b/>
                <w:sz w:val="19"/>
                <w:szCs w:val="19"/>
                <w:lang w:eastAsia="en-US"/>
              </w:rPr>
              <w:t xml:space="preserve">Overall survival (OS) adjusted for crossover using RPSFTM – without </w:t>
            </w:r>
            <w:proofErr w:type="spellStart"/>
            <w:r w:rsidRPr="004F0D62">
              <w:rPr>
                <w:rFonts w:ascii="Arial Narrow" w:hAnsi="Arial Narrow"/>
                <w:b/>
                <w:sz w:val="19"/>
                <w:szCs w:val="19"/>
                <w:lang w:eastAsia="en-US"/>
              </w:rPr>
              <w:t>recensoring</w:t>
            </w:r>
            <w:proofErr w:type="spellEnd"/>
            <w:r w:rsidRPr="004F0D62">
              <w:rPr>
                <w:rFonts w:ascii="Arial Narrow" w:hAnsi="Arial Narrow"/>
                <w:b/>
                <w:sz w:val="19"/>
                <w:szCs w:val="19"/>
                <w:lang w:eastAsia="en-US"/>
              </w:rPr>
              <w:t xml:space="preserve"> (final analysis, data cut off 20 March 2020)</w:t>
            </w:r>
          </w:p>
        </w:tc>
      </w:tr>
      <w:tr w:rsidR="006512E9" w:rsidRPr="004F0D62" w:rsidTr="0088177D">
        <w:tc>
          <w:tcPr>
            <w:tcW w:w="1171" w:type="pct"/>
            <w:shd w:val="clear" w:color="auto" w:fill="auto"/>
          </w:tcPr>
          <w:p w:rsidR="006512E9" w:rsidRPr="004F0D62" w:rsidRDefault="006512E9" w:rsidP="00332DE9">
            <w:pPr>
              <w:spacing w:before="10" w:after="10"/>
              <w:rPr>
                <w:rFonts w:ascii="Arial Narrow" w:hAnsi="Arial Narrow"/>
                <w:sz w:val="19"/>
                <w:szCs w:val="19"/>
                <w:lang w:eastAsia="en-US"/>
              </w:rPr>
            </w:pPr>
            <w:r w:rsidRPr="004F0D62">
              <w:rPr>
                <w:rFonts w:ascii="Arial Narrow" w:hAnsi="Arial Narrow"/>
                <w:sz w:val="19"/>
                <w:szCs w:val="19"/>
                <w:lang w:eastAsia="en-US"/>
              </w:rPr>
              <w:t>Deaths, n (%)</w:t>
            </w:r>
          </w:p>
        </w:tc>
        <w:tc>
          <w:tcPr>
            <w:tcW w:w="938" w:type="pct"/>
            <w:shd w:val="clear" w:color="auto" w:fill="auto"/>
            <w:vAlign w:val="center"/>
          </w:tcPr>
          <w:p w:rsidR="006512E9" w:rsidRPr="004F0D62" w:rsidRDefault="006512E9" w:rsidP="00332DE9">
            <w:pPr>
              <w:spacing w:before="10" w:after="10"/>
              <w:jc w:val="center"/>
              <w:rPr>
                <w:rFonts w:ascii="Arial Narrow" w:hAnsi="Arial Narrow"/>
                <w:sz w:val="19"/>
                <w:szCs w:val="19"/>
                <w:lang w:eastAsia="en-US"/>
              </w:rPr>
            </w:pPr>
            <w:r w:rsidRPr="004F0D62">
              <w:rPr>
                <w:rFonts w:ascii="Arial Narrow" w:hAnsi="Arial Narrow"/>
                <w:sz w:val="19"/>
                <w:szCs w:val="19"/>
                <w:lang w:eastAsia="en-US"/>
              </w:rPr>
              <w:t>NR</w:t>
            </w:r>
          </w:p>
        </w:tc>
        <w:tc>
          <w:tcPr>
            <w:tcW w:w="938" w:type="pct"/>
            <w:shd w:val="clear" w:color="auto" w:fill="auto"/>
            <w:vAlign w:val="center"/>
          </w:tcPr>
          <w:p w:rsidR="006512E9" w:rsidRPr="004F0D62" w:rsidRDefault="006512E9" w:rsidP="00332DE9">
            <w:pPr>
              <w:spacing w:before="10" w:after="10"/>
              <w:jc w:val="center"/>
              <w:rPr>
                <w:rFonts w:ascii="Arial Narrow" w:hAnsi="Arial Narrow"/>
                <w:sz w:val="19"/>
                <w:szCs w:val="19"/>
                <w:lang w:eastAsia="en-US"/>
              </w:rPr>
            </w:pPr>
            <w:r w:rsidRPr="004F0D62">
              <w:rPr>
                <w:rFonts w:ascii="Arial Narrow" w:hAnsi="Arial Narrow"/>
                <w:sz w:val="19"/>
                <w:szCs w:val="19"/>
                <w:lang w:eastAsia="en-US"/>
              </w:rPr>
              <w:t>NR</w:t>
            </w:r>
          </w:p>
        </w:tc>
        <w:tc>
          <w:tcPr>
            <w:tcW w:w="1016" w:type="pct"/>
            <w:shd w:val="clear" w:color="auto" w:fill="auto"/>
            <w:vAlign w:val="center"/>
          </w:tcPr>
          <w:p w:rsidR="006512E9" w:rsidRPr="004F0D62" w:rsidRDefault="006512E9" w:rsidP="00332DE9">
            <w:pPr>
              <w:spacing w:before="10" w:after="10"/>
              <w:jc w:val="center"/>
              <w:rPr>
                <w:rFonts w:ascii="Arial Narrow" w:hAnsi="Arial Narrow"/>
                <w:sz w:val="19"/>
                <w:szCs w:val="19"/>
                <w:lang w:eastAsia="en-US"/>
              </w:rPr>
            </w:pPr>
            <w:r w:rsidRPr="004F0D62">
              <w:rPr>
                <w:rFonts w:ascii="Arial Narrow" w:hAnsi="Arial Narrow"/>
                <w:sz w:val="19"/>
                <w:szCs w:val="19"/>
                <w:lang w:eastAsia="en-US"/>
              </w:rPr>
              <w:t>NR</w:t>
            </w:r>
          </w:p>
        </w:tc>
        <w:tc>
          <w:tcPr>
            <w:tcW w:w="938" w:type="pct"/>
            <w:shd w:val="clear" w:color="auto" w:fill="auto"/>
            <w:vAlign w:val="center"/>
          </w:tcPr>
          <w:p w:rsidR="006512E9" w:rsidRPr="004F0D62" w:rsidRDefault="006512E9" w:rsidP="00332DE9">
            <w:pPr>
              <w:spacing w:before="10" w:after="10"/>
              <w:jc w:val="center"/>
              <w:rPr>
                <w:rFonts w:ascii="Arial Narrow" w:hAnsi="Arial Narrow"/>
                <w:sz w:val="19"/>
                <w:szCs w:val="19"/>
                <w:lang w:eastAsia="en-US"/>
              </w:rPr>
            </w:pPr>
            <w:r w:rsidRPr="004F0D62">
              <w:rPr>
                <w:rFonts w:ascii="Arial Narrow" w:hAnsi="Arial Narrow"/>
                <w:sz w:val="19"/>
                <w:szCs w:val="19"/>
                <w:lang w:eastAsia="en-US"/>
              </w:rPr>
              <w:t>NR</w:t>
            </w:r>
          </w:p>
        </w:tc>
      </w:tr>
      <w:tr w:rsidR="006512E9" w:rsidRPr="004F0D62" w:rsidTr="0088177D">
        <w:tc>
          <w:tcPr>
            <w:tcW w:w="1171" w:type="pct"/>
            <w:shd w:val="clear" w:color="auto" w:fill="auto"/>
          </w:tcPr>
          <w:p w:rsidR="006512E9" w:rsidRPr="004F0D62" w:rsidRDefault="006512E9" w:rsidP="0075523D">
            <w:pPr>
              <w:spacing w:before="10" w:after="10"/>
              <w:jc w:val="left"/>
              <w:rPr>
                <w:rFonts w:ascii="Arial Narrow" w:hAnsi="Arial Narrow"/>
                <w:sz w:val="19"/>
                <w:szCs w:val="19"/>
                <w:lang w:eastAsia="en-US"/>
              </w:rPr>
            </w:pPr>
            <w:r w:rsidRPr="004F0D62">
              <w:rPr>
                <w:rFonts w:ascii="Arial Narrow" w:hAnsi="Arial Narrow"/>
                <w:sz w:val="19"/>
                <w:szCs w:val="19"/>
                <w:lang w:eastAsia="en-US"/>
              </w:rPr>
              <w:t>Med</w:t>
            </w:r>
            <w:r w:rsidR="0075523D" w:rsidRPr="004F0D62">
              <w:rPr>
                <w:rFonts w:ascii="Arial Narrow" w:hAnsi="Arial Narrow"/>
                <w:sz w:val="19"/>
                <w:szCs w:val="19"/>
                <w:lang w:eastAsia="en-US"/>
              </w:rPr>
              <w:t>i</w:t>
            </w:r>
            <w:r w:rsidRPr="004F0D62">
              <w:rPr>
                <w:rFonts w:ascii="Arial Narrow" w:hAnsi="Arial Narrow"/>
                <w:sz w:val="19"/>
                <w:szCs w:val="19"/>
                <w:lang w:eastAsia="en-US"/>
              </w:rPr>
              <w:t>an, months (95% CI)</w:t>
            </w:r>
          </w:p>
        </w:tc>
        <w:tc>
          <w:tcPr>
            <w:tcW w:w="938" w:type="pct"/>
            <w:shd w:val="clear" w:color="auto" w:fill="auto"/>
            <w:vAlign w:val="center"/>
          </w:tcPr>
          <w:p w:rsidR="006512E9" w:rsidRPr="004F0D62" w:rsidRDefault="006512E9" w:rsidP="00332DE9">
            <w:pPr>
              <w:spacing w:before="10" w:after="10"/>
              <w:jc w:val="center"/>
              <w:rPr>
                <w:rFonts w:ascii="Arial Narrow" w:hAnsi="Arial Narrow"/>
                <w:sz w:val="19"/>
                <w:szCs w:val="19"/>
                <w:lang w:eastAsia="en-US"/>
              </w:rPr>
            </w:pPr>
            <w:r w:rsidRPr="004F0D62">
              <w:rPr>
                <w:rFonts w:ascii="Arial Narrow" w:hAnsi="Arial Narrow"/>
                <w:sz w:val="19"/>
                <w:szCs w:val="19"/>
                <w:lang w:eastAsia="en-US"/>
              </w:rPr>
              <w:t>NR</w:t>
            </w:r>
          </w:p>
        </w:tc>
        <w:tc>
          <w:tcPr>
            <w:tcW w:w="938" w:type="pct"/>
            <w:shd w:val="clear" w:color="auto" w:fill="auto"/>
            <w:vAlign w:val="center"/>
          </w:tcPr>
          <w:p w:rsidR="006512E9" w:rsidRPr="004F0D62" w:rsidRDefault="006512E9" w:rsidP="00332DE9">
            <w:pPr>
              <w:spacing w:before="10" w:after="10"/>
              <w:jc w:val="center"/>
              <w:rPr>
                <w:rFonts w:ascii="Arial Narrow" w:hAnsi="Arial Narrow"/>
                <w:sz w:val="19"/>
                <w:szCs w:val="19"/>
                <w:lang w:eastAsia="en-US"/>
              </w:rPr>
            </w:pPr>
            <w:r w:rsidRPr="004F0D62">
              <w:rPr>
                <w:rFonts w:ascii="Arial Narrow" w:hAnsi="Arial Narrow"/>
                <w:sz w:val="19"/>
                <w:szCs w:val="19"/>
                <w:lang w:eastAsia="en-US"/>
              </w:rPr>
              <w:t>11.99</w:t>
            </w:r>
          </w:p>
        </w:tc>
        <w:tc>
          <w:tcPr>
            <w:tcW w:w="1016" w:type="pct"/>
            <w:shd w:val="clear" w:color="auto" w:fill="auto"/>
            <w:vAlign w:val="center"/>
          </w:tcPr>
          <w:p w:rsidR="006512E9" w:rsidRPr="004F0D62" w:rsidRDefault="006512E9" w:rsidP="00332DE9">
            <w:pPr>
              <w:spacing w:before="10" w:after="10"/>
              <w:jc w:val="center"/>
              <w:rPr>
                <w:rFonts w:ascii="Arial Narrow" w:hAnsi="Arial Narrow"/>
                <w:sz w:val="19"/>
                <w:szCs w:val="19"/>
                <w:lang w:eastAsia="en-US"/>
              </w:rPr>
            </w:pPr>
            <w:proofErr w:type="spellStart"/>
            <w:r w:rsidRPr="004F0D62">
              <w:rPr>
                <w:rFonts w:ascii="Arial Narrow" w:hAnsi="Arial Narrow"/>
                <w:sz w:val="19"/>
                <w:szCs w:val="19"/>
                <w:lang w:eastAsia="en-US"/>
              </w:rPr>
              <w:t>NR</w:t>
            </w:r>
            <w:r w:rsidRPr="004F0D62">
              <w:rPr>
                <w:rFonts w:ascii="Arial Narrow" w:hAnsi="Arial Narrow"/>
                <w:sz w:val="19"/>
                <w:szCs w:val="19"/>
                <w:vertAlign w:val="superscript"/>
                <w:lang w:eastAsia="en-US"/>
              </w:rPr>
              <w:t>b</w:t>
            </w:r>
            <w:proofErr w:type="spellEnd"/>
          </w:p>
        </w:tc>
        <w:tc>
          <w:tcPr>
            <w:tcW w:w="938" w:type="pct"/>
            <w:shd w:val="clear" w:color="auto" w:fill="auto"/>
            <w:vAlign w:val="center"/>
          </w:tcPr>
          <w:p w:rsidR="006512E9" w:rsidRPr="004F0D62" w:rsidRDefault="006512E9" w:rsidP="00332DE9">
            <w:pPr>
              <w:spacing w:before="10" w:after="10"/>
              <w:jc w:val="center"/>
              <w:rPr>
                <w:rFonts w:ascii="Arial Narrow" w:hAnsi="Arial Narrow"/>
                <w:sz w:val="19"/>
                <w:szCs w:val="19"/>
                <w:lang w:eastAsia="en-US"/>
              </w:rPr>
            </w:pPr>
            <w:r w:rsidRPr="004F0D62">
              <w:rPr>
                <w:rFonts w:ascii="Arial Narrow" w:hAnsi="Arial Narrow"/>
                <w:sz w:val="19"/>
                <w:szCs w:val="19"/>
                <w:lang w:eastAsia="en-US"/>
              </w:rPr>
              <w:t>9.57</w:t>
            </w:r>
          </w:p>
        </w:tc>
      </w:tr>
      <w:tr w:rsidR="006512E9" w:rsidRPr="004F0D62" w:rsidTr="0088177D">
        <w:tc>
          <w:tcPr>
            <w:tcW w:w="1171" w:type="pct"/>
            <w:shd w:val="clear" w:color="auto" w:fill="auto"/>
          </w:tcPr>
          <w:p w:rsidR="006512E9" w:rsidRPr="004F0D62" w:rsidRDefault="006512E9" w:rsidP="00332DE9">
            <w:pPr>
              <w:spacing w:before="10" w:after="10"/>
              <w:jc w:val="left"/>
              <w:rPr>
                <w:rFonts w:ascii="Arial Narrow" w:hAnsi="Arial Narrow"/>
                <w:sz w:val="19"/>
                <w:szCs w:val="19"/>
                <w:lang w:eastAsia="en-US"/>
              </w:rPr>
            </w:pPr>
            <w:r w:rsidRPr="004F0D62">
              <w:rPr>
                <w:rFonts w:ascii="Arial Narrow" w:hAnsi="Arial Narrow"/>
                <w:sz w:val="19"/>
                <w:szCs w:val="19"/>
                <w:lang w:eastAsia="en-US"/>
              </w:rPr>
              <w:t>HR (95% CI)</w:t>
            </w:r>
          </w:p>
        </w:tc>
        <w:tc>
          <w:tcPr>
            <w:tcW w:w="1876" w:type="pct"/>
            <w:gridSpan w:val="2"/>
            <w:shd w:val="clear" w:color="auto" w:fill="auto"/>
            <w:vAlign w:val="center"/>
          </w:tcPr>
          <w:p w:rsidR="006512E9" w:rsidRPr="004F0D62" w:rsidRDefault="006512E9" w:rsidP="0075523D">
            <w:pPr>
              <w:spacing w:before="10" w:after="10"/>
              <w:jc w:val="center"/>
              <w:rPr>
                <w:rFonts w:ascii="Arial Narrow" w:hAnsi="Arial Narrow"/>
                <w:sz w:val="19"/>
                <w:szCs w:val="19"/>
                <w:lang w:eastAsia="en-US"/>
              </w:rPr>
            </w:pPr>
            <w:r w:rsidRPr="004F0D62">
              <w:rPr>
                <w:rFonts w:ascii="Arial Narrow" w:hAnsi="Arial Narrow"/>
                <w:sz w:val="19"/>
                <w:szCs w:val="19"/>
                <w:lang w:eastAsia="en-US"/>
              </w:rPr>
              <w:t>0.50 (0.27</w:t>
            </w:r>
            <w:r w:rsidR="0075523D" w:rsidRPr="004F0D62">
              <w:rPr>
                <w:rFonts w:ascii="Arial Narrow" w:hAnsi="Arial Narrow"/>
                <w:sz w:val="19"/>
                <w:szCs w:val="19"/>
                <w:lang w:eastAsia="en-US"/>
              </w:rPr>
              <w:t xml:space="preserve">, </w:t>
            </w:r>
            <w:r w:rsidRPr="004F0D62">
              <w:rPr>
                <w:rFonts w:ascii="Arial Narrow" w:hAnsi="Arial Narrow"/>
                <w:sz w:val="19"/>
                <w:szCs w:val="19"/>
                <w:lang w:eastAsia="en-US"/>
              </w:rPr>
              <w:t>0.93)</w:t>
            </w:r>
          </w:p>
        </w:tc>
        <w:tc>
          <w:tcPr>
            <w:tcW w:w="1954" w:type="pct"/>
            <w:gridSpan w:val="2"/>
            <w:shd w:val="clear" w:color="auto" w:fill="auto"/>
            <w:vAlign w:val="center"/>
          </w:tcPr>
          <w:p w:rsidR="006512E9" w:rsidRPr="00557D6B" w:rsidRDefault="00E60C03" w:rsidP="0075523D">
            <w:pPr>
              <w:spacing w:before="10" w:after="10"/>
              <w:jc w:val="center"/>
              <w:rPr>
                <w:rFonts w:ascii="Arial Narrow" w:hAnsi="Arial Narrow"/>
                <w:sz w:val="19"/>
                <w:szCs w:val="19"/>
                <w:vertAlign w:val="superscript"/>
                <w:lang w:eastAsia="en-US"/>
              </w:rPr>
            </w:pPr>
            <w:r>
              <w:rPr>
                <w:rFonts w:ascii="Arial Narrow" w:hAnsi="Arial Narrow"/>
                <w:noProof/>
                <w:color w:val="000000"/>
                <w:sz w:val="19"/>
                <w:szCs w:val="19"/>
                <w:highlight w:val="black"/>
                <w:lang w:eastAsia="en-US"/>
              </w:rPr>
              <w:t>''''''''''' ''''''''''''' '''''''''''''</w:t>
            </w:r>
            <w:r w:rsidR="00557D6B">
              <w:rPr>
                <w:rFonts w:ascii="Arial Narrow" w:hAnsi="Arial Narrow"/>
                <w:sz w:val="19"/>
                <w:szCs w:val="19"/>
                <w:vertAlign w:val="superscript"/>
                <w:lang w:eastAsia="en-US"/>
              </w:rPr>
              <w:t>1</w:t>
            </w:r>
          </w:p>
        </w:tc>
      </w:tr>
    </w:tbl>
    <w:p w:rsidR="009B7A97" w:rsidRPr="004F0D62" w:rsidRDefault="00C23C4F" w:rsidP="00C23C4F">
      <w:pPr>
        <w:spacing w:before="0" w:after="0"/>
        <w:rPr>
          <w:rFonts w:ascii="Arial Narrow" w:hAnsi="Arial Narrow"/>
          <w:sz w:val="18"/>
          <w:szCs w:val="18"/>
        </w:rPr>
      </w:pPr>
      <w:r w:rsidRPr="004F0D62">
        <w:rPr>
          <w:rFonts w:ascii="Arial Narrow" w:hAnsi="Arial Narrow"/>
          <w:sz w:val="18"/>
          <w:szCs w:val="18"/>
        </w:rPr>
        <w:t>Source: p6-7 of Attachment 1 of the PSCR; Table 4.4, p10 of the PSCR</w:t>
      </w:r>
      <w:r w:rsidR="009528FB">
        <w:rPr>
          <w:rFonts w:ascii="Arial Narrow" w:hAnsi="Arial Narrow"/>
          <w:sz w:val="18"/>
          <w:szCs w:val="18"/>
        </w:rPr>
        <w:t>.</w:t>
      </w:r>
    </w:p>
    <w:p w:rsidR="00C23C4F" w:rsidRPr="004F0D62" w:rsidRDefault="00C23C4F" w:rsidP="00C23C4F">
      <w:pPr>
        <w:spacing w:before="0" w:after="0"/>
        <w:rPr>
          <w:rFonts w:ascii="Arial Narrow" w:hAnsi="Arial Narrow"/>
          <w:sz w:val="18"/>
          <w:szCs w:val="18"/>
        </w:rPr>
      </w:pPr>
      <w:r w:rsidRPr="00FD6617">
        <w:rPr>
          <w:rFonts w:ascii="Arial Narrow" w:hAnsi="Arial Narrow"/>
          <w:i/>
          <w:sz w:val="18"/>
          <w:szCs w:val="18"/>
        </w:rPr>
        <w:t>BRCA1/2</w:t>
      </w:r>
      <w:r w:rsidRPr="004F0D62">
        <w:rPr>
          <w:rFonts w:ascii="Arial Narrow" w:hAnsi="Arial Narrow"/>
          <w:sz w:val="18"/>
          <w:szCs w:val="18"/>
        </w:rPr>
        <w:t xml:space="preserve"> = breast cancer genes 1 and 2; CI = confidence interval; HR = hazard ratio; NHA = novel hormonal agent; NR = not reported; OS = overall survival; RPSFTM = rank preserving structural failure time model</w:t>
      </w:r>
      <w:r w:rsidR="00FD6617">
        <w:rPr>
          <w:rFonts w:ascii="Arial Narrow" w:hAnsi="Arial Narrow"/>
          <w:sz w:val="18"/>
          <w:szCs w:val="18"/>
        </w:rPr>
        <w:t>.</w:t>
      </w:r>
    </w:p>
    <w:p w:rsidR="00C23C4F" w:rsidRPr="004F0D62" w:rsidRDefault="00C23C4F" w:rsidP="00C23C4F">
      <w:pPr>
        <w:spacing w:before="0" w:after="0"/>
        <w:ind w:left="164" w:hanging="164"/>
        <w:rPr>
          <w:rFonts w:ascii="Arial Narrow" w:hAnsi="Arial Narrow"/>
          <w:sz w:val="18"/>
          <w:szCs w:val="18"/>
        </w:rPr>
      </w:pPr>
      <w:proofErr w:type="spellStart"/>
      <w:proofErr w:type="gramStart"/>
      <w:r w:rsidRPr="004F0D62">
        <w:rPr>
          <w:rFonts w:ascii="Arial Narrow" w:hAnsi="Arial Narrow"/>
          <w:sz w:val="18"/>
          <w:szCs w:val="18"/>
          <w:vertAlign w:val="superscript"/>
        </w:rPr>
        <w:t>a</w:t>
      </w:r>
      <w:proofErr w:type="spellEnd"/>
      <w:proofErr w:type="gramEnd"/>
      <w:r w:rsidRPr="004F0D62">
        <w:rPr>
          <w:rFonts w:ascii="Arial Narrow" w:hAnsi="Arial Narrow"/>
          <w:sz w:val="18"/>
          <w:szCs w:val="18"/>
        </w:rPr>
        <w:t xml:space="preserve"> the number and proportion of deaths in the </w:t>
      </w:r>
      <w:r w:rsidRPr="00FD6617">
        <w:rPr>
          <w:rFonts w:ascii="Arial Narrow" w:hAnsi="Arial Narrow"/>
          <w:i/>
          <w:sz w:val="18"/>
          <w:szCs w:val="18"/>
        </w:rPr>
        <w:t>BRCA1/2</w:t>
      </w:r>
      <w:r w:rsidRPr="004F0D62">
        <w:rPr>
          <w:rFonts w:ascii="Arial Narrow" w:hAnsi="Arial Narrow"/>
          <w:sz w:val="18"/>
          <w:szCs w:val="18"/>
        </w:rPr>
        <w:t xml:space="preserve"> subgroup was not provided by the submission, but was available in Table 14.2.4.5 of the CSR addendum supplementary tables provided with the submission.</w:t>
      </w:r>
    </w:p>
    <w:p w:rsidR="00C23C4F" w:rsidRDefault="00C23C4F" w:rsidP="00C23C4F">
      <w:pPr>
        <w:spacing w:before="0" w:after="0"/>
        <w:ind w:left="165" w:hanging="165"/>
        <w:rPr>
          <w:rFonts w:ascii="Arial Narrow" w:hAnsi="Arial Narrow"/>
          <w:sz w:val="18"/>
          <w:szCs w:val="18"/>
        </w:rPr>
      </w:pPr>
      <w:r w:rsidRPr="004F0D62">
        <w:rPr>
          <w:rFonts w:ascii="Arial Narrow" w:hAnsi="Arial Narrow"/>
          <w:sz w:val="18"/>
          <w:szCs w:val="18"/>
          <w:vertAlign w:val="superscript"/>
        </w:rPr>
        <w:t>b</w:t>
      </w:r>
      <w:r w:rsidRPr="004F0D62">
        <w:rPr>
          <w:rFonts w:ascii="Arial Narrow" w:hAnsi="Arial Narrow"/>
          <w:sz w:val="18"/>
          <w:szCs w:val="18"/>
        </w:rPr>
        <w:t xml:space="preserve"> the PSCR provided the median months of survival for the NHA group (9.15</w:t>
      </w:r>
      <w:r w:rsidR="006512E9" w:rsidRPr="004F0D62">
        <w:rPr>
          <w:rFonts w:ascii="Arial Narrow" w:hAnsi="Arial Narrow"/>
          <w:sz w:val="18"/>
          <w:szCs w:val="18"/>
        </w:rPr>
        <w:t xml:space="preserve"> with </w:t>
      </w:r>
      <w:proofErr w:type="spellStart"/>
      <w:r w:rsidR="006512E9" w:rsidRPr="004F0D62">
        <w:rPr>
          <w:rFonts w:ascii="Arial Narrow" w:hAnsi="Arial Narrow"/>
          <w:sz w:val="18"/>
          <w:szCs w:val="18"/>
        </w:rPr>
        <w:t>recensoring</w:t>
      </w:r>
      <w:proofErr w:type="spellEnd"/>
      <w:r w:rsidR="006512E9" w:rsidRPr="004F0D62">
        <w:rPr>
          <w:rFonts w:ascii="Arial Narrow" w:hAnsi="Arial Narrow"/>
          <w:sz w:val="18"/>
          <w:szCs w:val="18"/>
        </w:rPr>
        <w:t xml:space="preserve"> and 9.57 without</w:t>
      </w:r>
      <w:r w:rsidRPr="004F0D62">
        <w:rPr>
          <w:rFonts w:ascii="Arial Narrow" w:hAnsi="Arial Narrow"/>
          <w:sz w:val="18"/>
          <w:szCs w:val="18"/>
        </w:rPr>
        <w:t xml:space="preserve">) and the difference between </w:t>
      </w:r>
      <w:proofErr w:type="spellStart"/>
      <w:r w:rsidRPr="004F0D62">
        <w:rPr>
          <w:rFonts w:ascii="Arial Narrow" w:hAnsi="Arial Narrow"/>
          <w:sz w:val="18"/>
          <w:szCs w:val="18"/>
        </w:rPr>
        <w:t>olaparib</w:t>
      </w:r>
      <w:proofErr w:type="spellEnd"/>
      <w:r w:rsidRPr="004F0D62">
        <w:rPr>
          <w:rFonts w:ascii="Arial Narrow" w:hAnsi="Arial Narrow"/>
          <w:sz w:val="18"/>
          <w:szCs w:val="18"/>
        </w:rPr>
        <w:t xml:space="preserve"> and NHA arms (11.0 months</w:t>
      </w:r>
      <w:r w:rsidR="006512E9" w:rsidRPr="004F0D62">
        <w:rPr>
          <w:rFonts w:ascii="Arial Narrow" w:hAnsi="Arial Narrow"/>
          <w:sz w:val="18"/>
          <w:szCs w:val="18"/>
        </w:rPr>
        <w:t xml:space="preserve"> with </w:t>
      </w:r>
      <w:proofErr w:type="spellStart"/>
      <w:r w:rsidR="006512E9" w:rsidRPr="004F0D62">
        <w:rPr>
          <w:rFonts w:ascii="Arial Narrow" w:hAnsi="Arial Narrow"/>
          <w:sz w:val="18"/>
          <w:szCs w:val="18"/>
        </w:rPr>
        <w:t>recensoring</w:t>
      </w:r>
      <w:proofErr w:type="spellEnd"/>
      <w:r w:rsidR="006512E9" w:rsidRPr="004F0D62">
        <w:rPr>
          <w:rFonts w:ascii="Arial Narrow" w:hAnsi="Arial Narrow"/>
          <w:sz w:val="18"/>
          <w:szCs w:val="18"/>
        </w:rPr>
        <w:t xml:space="preserve"> and 10.5 without)</w:t>
      </w:r>
      <w:r w:rsidRPr="004F0D62">
        <w:rPr>
          <w:rFonts w:ascii="Arial Narrow" w:hAnsi="Arial Narrow"/>
          <w:sz w:val="18"/>
          <w:szCs w:val="18"/>
        </w:rPr>
        <w:t xml:space="preserve">), thus the median OS in the </w:t>
      </w:r>
      <w:proofErr w:type="spellStart"/>
      <w:r w:rsidRPr="004F0D62">
        <w:rPr>
          <w:rFonts w:ascii="Arial Narrow" w:hAnsi="Arial Narrow"/>
          <w:sz w:val="18"/>
          <w:szCs w:val="18"/>
        </w:rPr>
        <w:t>olaparib</w:t>
      </w:r>
      <w:proofErr w:type="spellEnd"/>
      <w:r w:rsidRPr="004F0D62">
        <w:rPr>
          <w:rFonts w:ascii="Arial Narrow" w:hAnsi="Arial Narrow"/>
          <w:sz w:val="18"/>
          <w:szCs w:val="18"/>
        </w:rPr>
        <w:t xml:space="preserve"> arm can be calculated to be 20.15 months</w:t>
      </w:r>
      <w:r w:rsidR="006512E9" w:rsidRPr="004F0D62">
        <w:rPr>
          <w:rFonts w:ascii="Arial Narrow" w:hAnsi="Arial Narrow"/>
          <w:sz w:val="18"/>
          <w:szCs w:val="18"/>
        </w:rPr>
        <w:t xml:space="preserve"> with </w:t>
      </w:r>
      <w:proofErr w:type="spellStart"/>
      <w:r w:rsidR="006512E9" w:rsidRPr="004F0D62">
        <w:rPr>
          <w:rFonts w:ascii="Arial Narrow" w:hAnsi="Arial Narrow"/>
          <w:sz w:val="18"/>
          <w:szCs w:val="18"/>
        </w:rPr>
        <w:t>recensoring</w:t>
      </w:r>
      <w:proofErr w:type="spellEnd"/>
      <w:r w:rsidR="006512E9" w:rsidRPr="004F0D62">
        <w:rPr>
          <w:rFonts w:ascii="Arial Narrow" w:hAnsi="Arial Narrow"/>
          <w:sz w:val="18"/>
          <w:szCs w:val="18"/>
        </w:rPr>
        <w:t xml:space="preserve"> and 20.07 without </w:t>
      </w:r>
      <w:proofErr w:type="spellStart"/>
      <w:r w:rsidR="006512E9" w:rsidRPr="004F0D62">
        <w:rPr>
          <w:rFonts w:ascii="Arial Narrow" w:hAnsi="Arial Narrow"/>
          <w:sz w:val="18"/>
          <w:szCs w:val="18"/>
        </w:rPr>
        <w:t>recensoring</w:t>
      </w:r>
      <w:proofErr w:type="spellEnd"/>
      <w:r w:rsidR="006512E9" w:rsidRPr="004F0D62">
        <w:rPr>
          <w:rFonts w:ascii="Arial Narrow" w:hAnsi="Arial Narrow"/>
          <w:sz w:val="18"/>
          <w:szCs w:val="18"/>
        </w:rPr>
        <w:t>.</w:t>
      </w:r>
    </w:p>
    <w:p w:rsidR="00557D6B" w:rsidRPr="00557D6B" w:rsidRDefault="00557D6B" w:rsidP="00C23C4F">
      <w:pPr>
        <w:spacing w:before="0" w:after="0"/>
        <w:ind w:left="165" w:hanging="165"/>
        <w:rPr>
          <w:rFonts w:ascii="Arial Narrow" w:hAnsi="Arial Narrow"/>
          <w:sz w:val="18"/>
          <w:szCs w:val="18"/>
        </w:rPr>
      </w:pPr>
      <w:r>
        <w:rPr>
          <w:rFonts w:ascii="Arial Narrow" w:hAnsi="Arial Narrow"/>
          <w:sz w:val="18"/>
          <w:szCs w:val="18"/>
          <w:vertAlign w:val="superscript"/>
        </w:rPr>
        <w:t>1</w:t>
      </w:r>
      <w:r>
        <w:rPr>
          <w:rFonts w:ascii="Arial Narrow" w:hAnsi="Arial Narrow"/>
          <w:sz w:val="18"/>
          <w:szCs w:val="18"/>
        </w:rPr>
        <w:t xml:space="preserve"> </w:t>
      </w:r>
      <w:r w:rsidRPr="00557D6B">
        <w:rPr>
          <w:rFonts w:ascii="Arial Narrow" w:hAnsi="Arial Narrow"/>
          <w:sz w:val="18"/>
          <w:szCs w:val="18"/>
        </w:rPr>
        <w:t>Adjusted OS hazard ratio: manuscript submitted to European Urology for publication.</w:t>
      </w:r>
    </w:p>
    <w:p w:rsidR="00A406BE" w:rsidRPr="00794CFB" w:rsidRDefault="009F4239">
      <w:pPr>
        <w:pStyle w:val="ListParagraph"/>
        <w:rPr>
          <w:color w:val="auto"/>
        </w:rPr>
      </w:pPr>
      <w:r w:rsidRPr="004F0D62">
        <w:rPr>
          <w:iCs/>
        </w:rPr>
        <w:lastRenderedPageBreak/>
        <w:t>The ESC</w:t>
      </w:r>
      <w:r w:rsidR="00B13A8F" w:rsidRPr="004F0D62">
        <w:rPr>
          <w:iCs/>
        </w:rPr>
        <w:t>s</w:t>
      </w:r>
      <w:r w:rsidRPr="004F0D62">
        <w:rPr>
          <w:iCs/>
        </w:rPr>
        <w:t xml:space="preserve"> noted that</w:t>
      </w:r>
      <w:r>
        <w:rPr>
          <w:iCs/>
        </w:rPr>
        <w:t xml:space="preserve"> the </w:t>
      </w:r>
      <w:r w:rsidRPr="000F2527">
        <w:rPr>
          <w:iCs/>
        </w:rPr>
        <w:t xml:space="preserve">submission did not consider the </w:t>
      </w:r>
      <w:proofErr w:type="spellStart"/>
      <w:r w:rsidRPr="000F2527">
        <w:rPr>
          <w:iCs/>
        </w:rPr>
        <w:t>olaparib</w:t>
      </w:r>
      <w:proofErr w:type="spellEnd"/>
      <w:r w:rsidRPr="000F2527">
        <w:rPr>
          <w:iCs/>
        </w:rPr>
        <w:t xml:space="preserve">-treated patients who </w:t>
      </w:r>
      <w:r w:rsidR="00C87D25">
        <w:rPr>
          <w:iCs/>
        </w:rPr>
        <w:t>moved</w:t>
      </w:r>
      <w:r w:rsidRPr="000F2527">
        <w:rPr>
          <w:iCs/>
        </w:rPr>
        <w:t xml:space="preserve"> to an alternate therapy</w:t>
      </w:r>
      <w:r w:rsidR="00C87D25">
        <w:rPr>
          <w:iCs/>
        </w:rPr>
        <w:t xml:space="preserve"> following progression</w:t>
      </w:r>
      <w:r w:rsidRPr="000F2527">
        <w:rPr>
          <w:iCs/>
        </w:rPr>
        <w:t xml:space="preserve">. Almost half (48.8%) of </w:t>
      </w:r>
      <w:proofErr w:type="spellStart"/>
      <w:r w:rsidRPr="000F2527">
        <w:rPr>
          <w:iCs/>
        </w:rPr>
        <w:t>olaparib</w:t>
      </w:r>
      <w:proofErr w:type="spellEnd"/>
      <w:r w:rsidRPr="000F2527">
        <w:rPr>
          <w:iCs/>
        </w:rPr>
        <w:t xml:space="preserve">-treated patients </w:t>
      </w:r>
      <w:r w:rsidR="00C87D25">
        <w:rPr>
          <w:iCs/>
        </w:rPr>
        <w:t>received subsequent</w:t>
      </w:r>
      <w:r w:rsidRPr="000F2527">
        <w:rPr>
          <w:iCs/>
        </w:rPr>
        <w:t xml:space="preserve"> treatment, </w:t>
      </w:r>
      <w:r>
        <w:rPr>
          <w:iCs/>
        </w:rPr>
        <w:t xml:space="preserve">with </w:t>
      </w:r>
      <w:r w:rsidRPr="000F2527">
        <w:rPr>
          <w:iCs/>
        </w:rPr>
        <w:t>17.3% of patients switch</w:t>
      </w:r>
      <w:r>
        <w:rPr>
          <w:iCs/>
        </w:rPr>
        <w:t>ing to a</w:t>
      </w:r>
      <w:r w:rsidR="00EB56AC">
        <w:rPr>
          <w:iCs/>
        </w:rPr>
        <w:t>n</w:t>
      </w:r>
      <w:r>
        <w:rPr>
          <w:iCs/>
        </w:rPr>
        <w:t xml:space="preserve"> NHA</w:t>
      </w:r>
      <w:r w:rsidRPr="000F2527">
        <w:rPr>
          <w:iCs/>
        </w:rPr>
        <w:t xml:space="preserve">. </w:t>
      </w:r>
      <w:r w:rsidR="00FF00E5" w:rsidRPr="004F0D62">
        <w:rPr>
          <w:rFonts w:eastAsia="TimesNewRoman"/>
          <w:iCs/>
        </w:rPr>
        <w:t>In the Australian context such a treatment sequence would not be permitted, as NHAs cannot be used sequentially.</w:t>
      </w:r>
      <w:r w:rsidR="000402A9" w:rsidRPr="004F0D62">
        <w:rPr>
          <w:rFonts w:eastAsia="TimesNewRoman"/>
          <w:iCs/>
        </w:rPr>
        <w:t xml:space="preserve"> The ESCs considered that</w:t>
      </w:r>
      <w:r w:rsidR="00794CFB" w:rsidRPr="004F0D62">
        <w:rPr>
          <w:rFonts w:eastAsia="TimesNewRoman"/>
          <w:iCs/>
        </w:rPr>
        <w:t xml:space="preserve">, given the relatively small proportion of </w:t>
      </w:r>
      <w:proofErr w:type="spellStart"/>
      <w:r w:rsidR="00794CFB" w:rsidRPr="004F0D62">
        <w:rPr>
          <w:rFonts w:eastAsia="TimesNewRoman"/>
          <w:iCs/>
        </w:rPr>
        <w:t>olaparib</w:t>
      </w:r>
      <w:proofErr w:type="spellEnd"/>
      <w:r w:rsidR="00794CFB" w:rsidRPr="004F0D62">
        <w:rPr>
          <w:rFonts w:eastAsia="TimesNewRoman"/>
          <w:iCs/>
        </w:rPr>
        <w:t xml:space="preserve"> patients subsequently receiving an NHA,</w:t>
      </w:r>
      <w:r w:rsidR="000402A9" w:rsidRPr="004F0D62">
        <w:rPr>
          <w:rFonts w:eastAsia="TimesNewRoman"/>
          <w:iCs/>
        </w:rPr>
        <w:t xml:space="preserve"> not adjusting for </w:t>
      </w:r>
      <w:r w:rsidR="00794CFB" w:rsidRPr="004F0D62">
        <w:rPr>
          <w:rFonts w:eastAsia="TimesNewRoman"/>
          <w:iCs/>
        </w:rPr>
        <w:t xml:space="preserve">this </w:t>
      </w:r>
      <w:r w:rsidR="000402A9" w:rsidRPr="004F0D62">
        <w:rPr>
          <w:rFonts w:eastAsia="TimesNewRoman"/>
          <w:iCs/>
        </w:rPr>
        <w:t xml:space="preserve">presented a low risk of bias in the </w:t>
      </w:r>
      <w:r w:rsidR="00794CFB" w:rsidRPr="004F0D62">
        <w:rPr>
          <w:rFonts w:eastAsia="TimesNewRoman"/>
          <w:iCs/>
        </w:rPr>
        <w:t xml:space="preserve">overall </w:t>
      </w:r>
      <w:r w:rsidR="000402A9" w:rsidRPr="004F0D62">
        <w:rPr>
          <w:rFonts w:eastAsia="TimesNewRoman"/>
          <w:iCs/>
        </w:rPr>
        <w:t>adjustment for treatment switching.</w:t>
      </w:r>
    </w:p>
    <w:p w:rsidR="00C31220" w:rsidRPr="004F0D62" w:rsidRDefault="0000771F">
      <w:pPr>
        <w:pStyle w:val="ListParagraph"/>
      </w:pPr>
      <w:r>
        <w:rPr>
          <w:iCs/>
        </w:rPr>
        <w:t>Overall, t</w:t>
      </w:r>
      <w:r w:rsidR="00A406BE" w:rsidRPr="004F0D62">
        <w:rPr>
          <w:iCs/>
        </w:rPr>
        <w:t>he ESCs considered</w:t>
      </w:r>
      <w:r w:rsidR="00332DE9" w:rsidRPr="004F0D62">
        <w:rPr>
          <w:iCs/>
        </w:rPr>
        <w:t xml:space="preserve"> the treatment switching observed in the </w:t>
      </w:r>
      <w:proofErr w:type="spellStart"/>
      <w:r w:rsidR="00332DE9" w:rsidRPr="004F0D62">
        <w:rPr>
          <w:iCs/>
        </w:rPr>
        <w:t>PROfound</w:t>
      </w:r>
      <w:proofErr w:type="spellEnd"/>
      <w:r w:rsidR="00332DE9" w:rsidRPr="004F0D62">
        <w:rPr>
          <w:iCs/>
        </w:rPr>
        <w:t xml:space="preserve"> trial has not been appropriately adjusted for, and the presented results </w:t>
      </w:r>
      <w:r w:rsidR="00A406BE" w:rsidRPr="004F0D62">
        <w:rPr>
          <w:iCs/>
        </w:rPr>
        <w:t xml:space="preserve">(and as applied in the economic model) </w:t>
      </w:r>
      <w:r w:rsidR="00332DE9" w:rsidRPr="004F0D62">
        <w:rPr>
          <w:iCs/>
        </w:rPr>
        <w:t xml:space="preserve">were not likely to accurately reflect OS </w:t>
      </w:r>
      <w:r w:rsidR="00FD6617">
        <w:rPr>
          <w:iCs/>
        </w:rPr>
        <w:t>in the proposed PBS population.</w:t>
      </w:r>
    </w:p>
    <w:p w:rsidR="00C31220" w:rsidRPr="004F0D62" w:rsidRDefault="00C31220" w:rsidP="00C31220">
      <w:pPr>
        <w:pStyle w:val="PBACESHeading2"/>
        <w:rPr>
          <w:rFonts w:asciiTheme="minorHAnsi" w:hAnsiTheme="minorHAnsi" w:cstheme="minorHAnsi"/>
        </w:rPr>
      </w:pPr>
      <w:bookmarkStart w:id="28" w:name="_Toc58779757"/>
      <w:bookmarkStart w:id="29" w:name="_Toc62027843"/>
      <w:bookmarkEnd w:id="26"/>
      <w:bookmarkEnd w:id="27"/>
      <w:r w:rsidRPr="004F0D62">
        <w:rPr>
          <w:rFonts w:asciiTheme="minorHAnsi" w:hAnsiTheme="minorHAnsi" w:cstheme="minorHAnsi"/>
        </w:rPr>
        <w:t>Comparative harms</w:t>
      </w:r>
      <w:bookmarkEnd w:id="28"/>
      <w:bookmarkEnd w:id="29"/>
    </w:p>
    <w:p w:rsidR="00C31220" w:rsidRPr="000F2527" w:rsidRDefault="00C31220" w:rsidP="00C31220">
      <w:pPr>
        <w:pStyle w:val="ListParagraph"/>
        <w:rPr>
          <w:color w:val="auto"/>
        </w:rPr>
      </w:pPr>
      <w:r w:rsidRPr="000F2527">
        <w:t xml:space="preserve">The safety data </w:t>
      </w:r>
      <w:r w:rsidR="00BC1C63" w:rsidRPr="000F2527">
        <w:t xml:space="preserve">presented in the submission </w:t>
      </w:r>
      <w:r w:rsidRPr="000F2527">
        <w:t xml:space="preserve">was based on Cohort A </w:t>
      </w:r>
      <w:r w:rsidR="00F14133">
        <w:t>+ B</w:t>
      </w:r>
      <w:r w:rsidR="00BC1C63" w:rsidRPr="000F2527">
        <w:t xml:space="preserve"> of the </w:t>
      </w:r>
      <w:proofErr w:type="spellStart"/>
      <w:r w:rsidR="00BC1C63" w:rsidRPr="000F2527">
        <w:t>PROfound</w:t>
      </w:r>
      <w:proofErr w:type="spellEnd"/>
      <w:r w:rsidR="00BC1C63" w:rsidRPr="000F2527">
        <w:t xml:space="preserve"> trial</w:t>
      </w:r>
      <w:r w:rsidRPr="000F2527">
        <w:t xml:space="preserve">. </w:t>
      </w:r>
      <w:r w:rsidRPr="000F2527">
        <w:rPr>
          <w:iCs/>
        </w:rPr>
        <w:t xml:space="preserve">Thus, along with the 245 patients in Cohort A, an additional 141 patients in Cohort B (those with 12 other gene variants) were included. Safety results for the proposed PBS population, patients with </w:t>
      </w:r>
      <w:r w:rsidRPr="00F14133">
        <w:rPr>
          <w:i/>
          <w:iCs/>
        </w:rPr>
        <w:t>BRCA1/2</w:t>
      </w:r>
      <w:r w:rsidRPr="000F2527">
        <w:rPr>
          <w:iCs/>
        </w:rPr>
        <w:t xml:space="preserve"> pathogenic gene variants, were not </w:t>
      </w:r>
      <w:r w:rsidR="00EF0716" w:rsidRPr="000F2527">
        <w:rPr>
          <w:iCs/>
        </w:rPr>
        <w:t xml:space="preserve">separately </w:t>
      </w:r>
      <w:r w:rsidRPr="000F2527">
        <w:rPr>
          <w:iCs/>
        </w:rPr>
        <w:t>available.</w:t>
      </w:r>
    </w:p>
    <w:p w:rsidR="00C31220" w:rsidRPr="00BE056E" w:rsidRDefault="00C31220" w:rsidP="00C31220">
      <w:pPr>
        <w:pStyle w:val="ListParagraph"/>
        <w:rPr>
          <w:color w:val="auto"/>
        </w:rPr>
      </w:pPr>
      <w:r w:rsidRPr="000F2527">
        <w:t>The following table provides a</w:t>
      </w:r>
      <w:r w:rsidRPr="00BE056E">
        <w:t xml:space="preserve"> summary of treatment-related AEs in Cohort A </w:t>
      </w:r>
      <w:r w:rsidR="00F14133">
        <w:t>+</w:t>
      </w:r>
      <w:r w:rsidRPr="00BE056E">
        <w:t xml:space="preserve"> B of </w:t>
      </w:r>
      <w:proofErr w:type="spellStart"/>
      <w:r w:rsidRPr="00BE056E">
        <w:t>PROfound</w:t>
      </w:r>
      <w:proofErr w:type="spellEnd"/>
      <w:r w:rsidRPr="00BE056E">
        <w:t>.</w:t>
      </w:r>
    </w:p>
    <w:p w:rsidR="00C31220" w:rsidRPr="00BE056E" w:rsidRDefault="00D6660D" w:rsidP="00D6660D">
      <w:pPr>
        <w:keepNext/>
        <w:spacing w:before="0" w:after="0"/>
        <w:rPr>
          <w:rStyle w:val="CommentReference"/>
        </w:rPr>
      </w:pPr>
      <w:r w:rsidRPr="00D6660D">
        <w:rPr>
          <w:rStyle w:val="CommentReference"/>
        </w:rPr>
        <w:t xml:space="preserve">Table </w:t>
      </w:r>
      <w:r w:rsidR="00CD4B9C">
        <w:rPr>
          <w:rStyle w:val="CommentReference"/>
          <w:noProof/>
        </w:rPr>
        <w:t>9</w:t>
      </w:r>
      <w:r w:rsidR="0073766D">
        <w:rPr>
          <w:rStyle w:val="CommentReference"/>
        </w:rPr>
        <w:t>:</w:t>
      </w:r>
      <w:r w:rsidRPr="00D6660D">
        <w:rPr>
          <w:rStyle w:val="CommentReference"/>
        </w:rPr>
        <w:tab/>
      </w:r>
      <w:r w:rsidR="00C31220" w:rsidRPr="00BE056E">
        <w:rPr>
          <w:rStyle w:val="CommentReference"/>
        </w:rPr>
        <w:t xml:space="preserve">Summary of key adverse events Cohort A and Cohort B of </w:t>
      </w:r>
      <w:proofErr w:type="spellStart"/>
      <w:r w:rsidR="00C31220" w:rsidRPr="00BE056E">
        <w:rPr>
          <w:rStyle w:val="CommentReference"/>
        </w:rPr>
        <w:t>PROfound</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67"/>
        <w:gridCol w:w="1814"/>
        <w:gridCol w:w="1718"/>
        <w:gridCol w:w="1717"/>
      </w:tblGrid>
      <w:tr w:rsidR="00755181" w:rsidRPr="00BE056E" w:rsidTr="00AB70A0">
        <w:tc>
          <w:tcPr>
            <w:tcW w:w="2089" w:type="pct"/>
            <w:vAlign w:val="bottom"/>
          </w:tcPr>
          <w:p w:rsidR="00755181" w:rsidRPr="00BE056E" w:rsidRDefault="00755181" w:rsidP="000761CF">
            <w:pPr>
              <w:pStyle w:val="TableText"/>
              <w:keepNext/>
              <w:spacing w:before="0" w:after="0" w:line="240" w:lineRule="auto"/>
              <w:rPr>
                <w:b/>
              </w:rPr>
            </w:pPr>
            <w:r w:rsidRPr="00BE056E">
              <w:rPr>
                <w:b/>
              </w:rPr>
              <w:t>AEs causally related to trial treatment</w:t>
            </w:r>
          </w:p>
        </w:tc>
        <w:tc>
          <w:tcPr>
            <w:tcW w:w="1006" w:type="pct"/>
            <w:vAlign w:val="bottom"/>
          </w:tcPr>
          <w:p w:rsidR="00755181" w:rsidRPr="00BE056E" w:rsidRDefault="00755181" w:rsidP="000761CF">
            <w:pPr>
              <w:pStyle w:val="TableText"/>
              <w:keepNext/>
              <w:spacing w:before="0" w:after="0" w:line="240" w:lineRule="auto"/>
              <w:jc w:val="center"/>
              <w:rPr>
                <w:b/>
              </w:rPr>
            </w:pPr>
            <w:proofErr w:type="spellStart"/>
            <w:r w:rsidRPr="00BE056E">
              <w:rPr>
                <w:b/>
              </w:rPr>
              <w:t>Olaparib</w:t>
            </w:r>
            <w:proofErr w:type="spellEnd"/>
            <w:r w:rsidRPr="00BE056E">
              <w:rPr>
                <w:b/>
              </w:rPr>
              <w:t xml:space="preserve"> (N=256)</w:t>
            </w:r>
          </w:p>
          <w:p w:rsidR="00755181" w:rsidRPr="00BE056E" w:rsidRDefault="00755181" w:rsidP="000761CF">
            <w:pPr>
              <w:pStyle w:val="TableText"/>
              <w:keepNext/>
              <w:spacing w:before="0" w:after="0" w:line="240" w:lineRule="auto"/>
              <w:jc w:val="center"/>
              <w:rPr>
                <w:b/>
              </w:rPr>
            </w:pPr>
            <w:proofErr w:type="gramStart"/>
            <w:r w:rsidRPr="00BE056E">
              <w:rPr>
                <w:b/>
              </w:rPr>
              <w:t>n</w:t>
            </w:r>
            <w:proofErr w:type="gramEnd"/>
            <w:r w:rsidRPr="00BE056E">
              <w:rPr>
                <w:b/>
              </w:rPr>
              <w:t xml:space="preserve"> (%)</w:t>
            </w:r>
          </w:p>
        </w:tc>
        <w:tc>
          <w:tcPr>
            <w:tcW w:w="953" w:type="pct"/>
            <w:vAlign w:val="bottom"/>
          </w:tcPr>
          <w:p w:rsidR="00755181" w:rsidRPr="00BE056E" w:rsidRDefault="00755181" w:rsidP="000761CF">
            <w:pPr>
              <w:pStyle w:val="TableText"/>
              <w:keepNext/>
              <w:spacing w:before="0" w:after="0" w:line="240" w:lineRule="auto"/>
              <w:jc w:val="center"/>
              <w:rPr>
                <w:b/>
              </w:rPr>
            </w:pPr>
            <w:r w:rsidRPr="00BE056E">
              <w:rPr>
                <w:b/>
              </w:rPr>
              <w:t>NHA (N=130)</w:t>
            </w:r>
          </w:p>
          <w:p w:rsidR="00755181" w:rsidRPr="00BE056E" w:rsidRDefault="00755181" w:rsidP="000761CF">
            <w:pPr>
              <w:pStyle w:val="TableText"/>
              <w:keepNext/>
              <w:spacing w:before="0" w:after="0" w:line="240" w:lineRule="auto"/>
              <w:jc w:val="center"/>
              <w:rPr>
                <w:b/>
              </w:rPr>
            </w:pPr>
            <w:proofErr w:type="gramStart"/>
            <w:r w:rsidRPr="00BE056E">
              <w:rPr>
                <w:b/>
              </w:rPr>
              <w:t>n</w:t>
            </w:r>
            <w:proofErr w:type="gramEnd"/>
            <w:r w:rsidRPr="00BE056E">
              <w:rPr>
                <w:b/>
              </w:rPr>
              <w:t xml:space="preserve"> (%)</w:t>
            </w:r>
          </w:p>
        </w:tc>
        <w:tc>
          <w:tcPr>
            <w:tcW w:w="953" w:type="pct"/>
          </w:tcPr>
          <w:p w:rsidR="00755181" w:rsidRPr="000F2527" w:rsidRDefault="00755181" w:rsidP="000761CF">
            <w:pPr>
              <w:pStyle w:val="TableText"/>
              <w:keepNext/>
              <w:spacing w:before="0" w:after="0" w:line="240" w:lineRule="auto"/>
              <w:jc w:val="center"/>
              <w:rPr>
                <w:b/>
              </w:rPr>
            </w:pPr>
            <w:r w:rsidRPr="000F2527">
              <w:rPr>
                <w:b/>
              </w:rPr>
              <w:t>RD (95%</w:t>
            </w:r>
            <w:r w:rsidR="005A7F22" w:rsidRPr="000F2527">
              <w:rPr>
                <w:b/>
              </w:rPr>
              <w:t xml:space="preserve"> </w:t>
            </w:r>
            <w:r w:rsidRPr="000F2527">
              <w:rPr>
                <w:b/>
              </w:rPr>
              <w:t>CI)</w:t>
            </w:r>
            <w:r w:rsidR="00F46681" w:rsidRPr="000F2527">
              <w:rPr>
                <w:b/>
              </w:rPr>
              <w:t>^</w:t>
            </w:r>
          </w:p>
        </w:tc>
      </w:tr>
      <w:tr w:rsidR="00755181" w:rsidRPr="00BE056E" w:rsidTr="00AB70A0">
        <w:tc>
          <w:tcPr>
            <w:tcW w:w="2089" w:type="pct"/>
            <w:vAlign w:val="center"/>
          </w:tcPr>
          <w:p w:rsidR="00755181" w:rsidRPr="00BE056E" w:rsidRDefault="005A7F22" w:rsidP="000761CF">
            <w:pPr>
              <w:pStyle w:val="TableText"/>
              <w:keepNext/>
              <w:spacing w:before="0" w:after="0" w:line="240" w:lineRule="auto"/>
            </w:pPr>
            <w:r>
              <w:t>Any AE</w:t>
            </w:r>
          </w:p>
        </w:tc>
        <w:tc>
          <w:tcPr>
            <w:tcW w:w="1006" w:type="pct"/>
            <w:vAlign w:val="center"/>
          </w:tcPr>
          <w:p w:rsidR="00755181" w:rsidRPr="00BE056E" w:rsidRDefault="00755181" w:rsidP="000761CF">
            <w:pPr>
              <w:pStyle w:val="TableText"/>
              <w:keepNext/>
              <w:spacing w:before="0" w:after="0" w:line="240" w:lineRule="auto"/>
              <w:jc w:val="center"/>
            </w:pPr>
            <w:r w:rsidRPr="00BE056E">
              <w:rPr>
                <w:szCs w:val="20"/>
              </w:rPr>
              <w:t>210 (82.0%)</w:t>
            </w:r>
          </w:p>
        </w:tc>
        <w:tc>
          <w:tcPr>
            <w:tcW w:w="953" w:type="pct"/>
            <w:vAlign w:val="center"/>
          </w:tcPr>
          <w:p w:rsidR="00755181" w:rsidRPr="00BE056E" w:rsidRDefault="00755181" w:rsidP="000761CF">
            <w:pPr>
              <w:pStyle w:val="TableText"/>
              <w:keepNext/>
              <w:spacing w:before="0" w:after="0" w:line="240" w:lineRule="auto"/>
              <w:jc w:val="center"/>
            </w:pPr>
            <w:r w:rsidRPr="00BE056E">
              <w:rPr>
                <w:szCs w:val="20"/>
              </w:rPr>
              <w:t>63 (48.5%)</w:t>
            </w:r>
          </w:p>
        </w:tc>
        <w:tc>
          <w:tcPr>
            <w:tcW w:w="953" w:type="pct"/>
          </w:tcPr>
          <w:p w:rsidR="00755181" w:rsidRPr="000F2527" w:rsidRDefault="00755181" w:rsidP="000761CF">
            <w:pPr>
              <w:pStyle w:val="TableText"/>
              <w:keepNext/>
              <w:spacing w:before="0" w:after="0" w:line="240" w:lineRule="auto"/>
              <w:jc w:val="center"/>
              <w:rPr>
                <w:b/>
                <w:szCs w:val="20"/>
              </w:rPr>
            </w:pPr>
            <w:r w:rsidRPr="000F2527">
              <w:rPr>
                <w:b/>
                <w:szCs w:val="20"/>
              </w:rPr>
              <w:t>0.34 (</w:t>
            </w:r>
            <w:r w:rsidR="008264ED" w:rsidRPr="000F2527">
              <w:rPr>
                <w:b/>
                <w:szCs w:val="20"/>
              </w:rPr>
              <w:t>0.24, 0.43)</w:t>
            </w:r>
          </w:p>
        </w:tc>
      </w:tr>
      <w:tr w:rsidR="00755181" w:rsidRPr="00BE056E" w:rsidTr="00AB70A0">
        <w:tc>
          <w:tcPr>
            <w:tcW w:w="2089" w:type="pct"/>
            <w:vAlign w:val="center"/>
          </w:tcPr>
          <w:p w:rsidR="00755181" w:rsidRPr="00BE056E" w:rsidRDefault="005A7F22" w:rsidP="000761CF">
            <w:pPr>
              <w:pStyle w:val="TableText"/>
              <w:keepNext/>
              <w:spacing w:before="0" w:after="0" w:line="240" w:lineRule="auto"/>
              <w:rPr>
                <w:rFonts w:ascii="Times" w:hAnsi="Times"/>
              </w:rPr>
            </w:pPr>
            <w:r>
              <w:t>AE ≥ Grade 3</w:t>
            </w:r>
          </w:p>
        </w:tc>
        <w:tc>
          <w:tcPr>
            <w:tcW w:w="1006" w:type="pct"/>
            <w:vAlign w:val="center"/>
          </w:tcPr>
          <w:p w:rsidR="00755181" w:rsidRPr="00BE056E" w:rsidRDefault="00755181" w:rsidP="000761CF">
            <w:pPr>
              <w:pStyle w:val="TableText"/>
              <w:keepNext/>
              <w:spacing w:before="0" w:after="0" w:line="240" w:lineRule="auto"/>
              <w:jc w:val="center"/>
            </w:pPr>
            <w:r w:rsidRPr="00BE056E">
              <w:rPr>
                <w:szCs w:val="20"/>
              </w:rPr>
              <w:t>83 (32.4%)</w:t>
            </w:r>
          </w:p>
        </w:tc>
        <w:tc>
          <w:tcPr>
            <w:tcW w:w="953" w:type="pct"/>
            <w:vAlign w:val="center"/>
          </w:tcPr>
          <w:p w:rsidR="00755181" w:rsidRPr="00BE056E" w:rsidRDefault="00755181" w:rsidP="000761CF">
            <w:pPr>
              <w:pStyle w:val="TableText"/>
              <w:keepNext/>
              <w:spacing w:before="0" w:after="0" w:line="240" w:lineRule="auto"/>
              <w:jc w:val="center"/>
            </w:pPr>
            <w:r w:rsidRPr="00BE056E">
              <w:rPr>
                <w:szCs w:val="20"/>
              </w:rPr>
              <w:t>12 (9.2%)</w:t>
            </w:r>
          </w:p>
        </w:tc>
        <w:tc>
          <w:tcPr>
            <w:tcW w:w="953" w:type="pct"/>
          </w:tcPr>
          <w:p w:rsidR="00755181" w:rsidRPr="000F2527" w:rsidRDefault="008264ED" w:rsidP="000761CF">
            <w:pPr>
              <w:pStyle w:val="TableText"/>
              <w:keepNext/>
              <w:spacing w:before="0" w:after="0" w:line="240" w:lineRule="auto"/>
              <w:jc w:val="center"/>
              <w:rPr>
                <w:b/>
                <w:szCs w:val="20"/>
              </w:rPr>
            </w:pPr>
            <w:r w:rsidRPr="000F2527">
              <w:rPr>
                <w:b/>
                <w:szCs w:val="20"/>
              </w:rPr>
              <w:t>0.23 (0.16, 0.31)</w:t>
            </w:r>
          </w:p>
        </w:tc>
      </w:tr>
      <w:tr w:rsidR="00755181" w:rsidRPr="00BE056E" w:rsidTr="00AB70A0">
        <w:tc>
          <w:tcPr>
            <w:tcW w:w="2089" w:type="pct"/>
            <w:vAlign w:val="center"/>
          </w:tcPr>
          <w:p w:rsidR="00755181" w:rsidRPr="00BE056E" w:rsidRDefault="00755181" w:rsidP="000761CF">
            <w:pPr>
              <w:pStyle w:val="TableText"/>
              <w:keepNext/>
              <w:spacing w:before="0" w:after="0" w:line="240" w:lineRule="auto"/>
            </w:pPr>
            <w:r w:rsidRPr="00BE056E">
              <w:t>AE with outcome=death</w:t>
            </w:r>
          </w:p>
        </w:tc>
        <w:tc>
          <w:tcPr>
            <w:tcW w:w="1006" w:type="pct"/>
            <w:vAlign w:val="center"/>
          </w:tcPr>
          <w:p w:rsidR="00755181" w:rsidRPr="00BE056E" w:rsidRDefault="00755181" w:rsidP="000761CF">
            <w:pPr>
              <w:pStyle w:val="TableText"/>
              <w:keepNext/>
              <w:spacing w:before="0" w:after="0" w:line="240" w:lineRule="auto"/>
              <w:jc w:val="center"/>
            </w:pPr>
            <w:r w:rsidRPr="00BE056E">
              <w:rPr>
                <w:szCs w:val="20"/>
              </w:rPr>
              <w:t>1 (0.4%)</w:t>
            </w:r>
          </w:p>
        </w:tc>
        <w:tc>
          <w:tcPr>
            <w:tcW w:w="953" w:type="pct"/>
            <w:vAlign w:val="center"/>
          </w:tcPr>
          <w:p w:rsidR="00755181" w:rsidRPr="00BE056E" w:rsidRDefault="00755181" w:rsidP="000761CF">
            <w:pPr>
              <w:pStyle w:val="TableText"/>
              <w:keepNext/>
              <w:spacing w:before="0" w:after="0" w:line="240" w:lineRule="auto"/>
              <w:jc w:val="center"/>
            </w:pPr>
            <w:r w:rsidRPr="00BE056E">
              <w:rPr>
                <w:szCs w:val="20"/>
              </w:rPr>
              <w:t>1 (0.8%)</w:t>
            </w:r>
          </w:p>
        </w:tc>
        <w:tc>
          <w:tcPr>
            <w:tcW w:w="953" w:type="pct"/>
          </w:tcPr>
          <w:p w:rsidR="00755181" w:rsidRPr="000F2527" w:rsidRDefault="008264ED" w:rsidP="000761CF">
            <w:pPr>
              <w:pStyle w:val="TableText"/>
              <w:keepNext/>
              <w:spacing w:before="0" w:after="0" w:line="240" w:lineRule="auto"/>
              <w:jc w:val="center"/>
              <w:rPr>
                <w:szCs w:val="20"/>
              </w:rPr>
            </w:pPr>
            <w:r w:rsidRPr="000F2527">
              <w:rPr>
                <w:szCs w:val="20"/>
              </w:rPr>
              <w:t>-0.003 (-0.02, 0.01)</w:t>
            </w:r>
          </w:p>
        </w:tc>
      </w:tr>
      <w:tr w:rsidR="00755181" w:rsidRPr="00BE056E" w:rsidTr="00AB70A0">
        <w:tc>
          <w:tcPr>
            <w:tcW w:w="2089" w:type="pct"/>
            <w:vAlign w:val="center"/>
          </w:tcPr>
          <w:p w:rsidR="00755181" w:rsidRPr="00BE056E" w:rsidRDefault="00755181" w:rsidP="000761CF">
            <w:pPr>
              <w:pStyle w:val="TableText"/>
              <w:keepNext/>
              <w:spacing w:before="0" w:after="0" w:line="240" w:lineRule="auto"/>
            </w:pPr>
            <w:r w:rsidRPr="00BE056E">
              <w:t>SAE (including events with outcome=death)</w:t>
            </w:r>
          </w:p>
        </w:tc>
        <w:tc>
          <w:tcPr>
            <w:tcW w:w="1006" w:type="pct"/>
            <w:vAlign w:val="center"/>
          </w:tcPr>
          <w:p w:rsidR="00755181" w:rsidRPr="00BE056E" w:rsidRDefault="00755181" w:rsidP="000761CF">
            <w:pPr>
              <w:pStyle w:val="TableText"/>
              <w:keepNext/>
              <w:spacing w:before="0" w:after="0" w:line="240" w:lineRule="auto"/>
              <w:jc w:val="center"/>
            </w:pPr>
            <w:r w:rsidRPr="00BE056E">
              <w:rPr>
                <w:szCs w:val="20"/>
              </w:rPr>
              <w:t>36 (14.1%)</w:t>
            </w:r>
          </w:p>
        </w:tc>
        <w:tc>
          <w:tcPr>
            <w:tcW w:w="953" w:type="pct"/>
            <w:vAlign w:val="center"/>
          </w:tcPr>
          <w:p w:rsidR="00755181" w:rsidRPr="00BE056E" w:rsidRDefault="00755181" w:rsidP="000761CF">
            <w:pPr>
              <w:pStyle w:val="TableText"/>
              <w:keepNext/>
              <w:spacing w:before="0" w:after="0" w:line="240" w:lineRule="auto"/>
              <w:jc w:val="center"/>
            </w:pPr>
            <w:r w:rsidRPr="00BE056E">
              <w:rPr>
                <w:szCs w:val="20"/>
              </w:rPr>
              <w:t>6 (4.6%)</w:t>
            </w:r>
          </w:p>
        </w:tc>
        <w:tc>
          <w:tcPr>
            <w:tcW w:w="953" w:type="pct"/>
          </w:tcPr>
          <w:p w:rsidR="00755181" w:rsidRPr="000F2527" w:rsidRDefault="008264ED" w:rsidP="000761CF">
            <w:pPr>
              <w:pStyle w:val="TableText"/>
              <w:keepNext/>
              <w:spacing w:before="0" w:after="0" w:line="240" w:lineRule="auto"/>
              <w:jc w:val="center"/>
              <w:rPr>
                <w:b/>
                <w:szCs w:val="20"/>
              </w:rPr>
            </w:pPr>
            <w:r w:rsidRPr="000F2527">
              <w:rPr>
                <w:b/>
                <w:szCs w:val="20"/>
              </w:rPr>
              <w:t>0.09</w:t>
            </w:r>
            <w:r w:rsidR="007D328C" w:rsidRPr="000F2527">
              <w:rPr>
                <w:b/>
                <w:szCs w:val="20"/>
              </w:rPr>
              <w:t xml:space="preserve"> (0.04, 0.15)</w:t>
            </w:r>
          </w:p>
        </w:tc>
      </w:tr>
      <w:tr w:rsidR="00755181" w:rsidRPr="00BE056E" w:rsidTr="00AB70A0">
        <w:tc>
          <w:tcPr>
            <w:tcW w:w="2089" w:type="pct"/>
            <w:vAlign w:val="center"/>
          </w:tcPr>
          <w:p w:rsidR="00755181" w:rsidRPr="00BE056E" w:rsidRDefault="00755181" w:rsidP="000761CF">
            <w:pPr>
              <w:pStyle w:val="TableText"/>
              <w:keepNext/>
              <w:spacing w:before="0" w:after="0" w:line="240" w:lineRule="auto"/>
            </w:pPr>
            <w:r w:rsidRPr="00BE056E">
              <w:t>AE leading to discontinuation</w:t>
            </w:r>
          </w:p>
        </w:tc>
        <w:tc>
          <w:tcPr>
            <w:tcW w:w="1006" w:type="pct"/>
            <w:vAlign w:val="center"/>
          </w:tcPr>
          <w:p w:rsidR="00755181" w:rsidRPr="00BE056E" w:rsidRDefault="00755181" w:rsidP="000761CF">
            <w:pPr>
              <w:pStyle w:val="TableText"/>
              <w:keepNext/>
              <w:spacing w:before="0" w:after="0" w:line="240" w:lineRule="auto"/>
              <w:jc w:val="center"/>
            </w:pPr>
            <w:r w:rsidRPr="00BE056E">
              <w:rPr>
                <w:szCs w:val="20"/>
              </w:rPr>
              <w:t>35 (13.7%)</w:t>
            </w:r>
          </w:p>
        </w:tc>
        <w:tc>
          <w:tcPr>
            <w:tcW w:w="953" w:type="pct"/>
            <w:vAlign w:val="center"/>
          </w:tcPr>
          <w:p w:rsidR="00755181" w:rsidRPr="00BE056E" w:rsidRDefault="00755181" w:rsidP="000761CF">
            <w:pPr>
              <w:pStyle w:val="TableText"/>
              <w:keepNext/>
              <w:spacing w:before="0" w:after="0" w:line="240" w:lineRule="auto"/>
              <w:jc w:val="center"/>
            </w:pPr>
            <w:r w:rsidRPr="00BE056E">
              <w:rPr>
                <w:szCs w:val="20"/>
              </w:rPr>
              <w:t>6 (4.6%)</w:t>
            </w:r>
          </w:p>
        </w:tc>
        <w:tc>
          <w:tcPr>
            <w:tcW w:w="953" w:type="pct"/>
          </w:tcPr>
          <w:p w:rsidR="00755181" w:rsidRPr="000F2527" w:rsidRDefault="007D328C" w:rsidP="000761CF">
            <w:pPr>
              <w:pStyle w:val="TableText"/>
              <w:keepNext/>
              <w:spacing w:before="0" w:after="0" w:line="240" w:lineRule="auto"/>
              <w:jc w:val="center"/>
              <w:rPr>
                <w:b/>
                <w:szCs w:val="20"/>
              </w:rPr>
            </w:pPr>
            <w:r w:rsidRPr="000F2527">
              <w:rPr>
                <w:b/>
                <w:szCs w:val="20"/>
              </w:rPr>
              <w:t>0.09 (0.04, 0.15)</w:t>
            </w:r>
          </w:p>
        </w:tc>
      </w:tr>
      <w:tr w:rsidR="00755181" w:rsidRPr="00BE056E" w:rsidTr="00AB70A0">
        <w:tc>
          <w:tcPr>
            <w:tcW w:w="2089" w:type="pct"/>
            <w:vAlign w:val="center"/>
          </w:tcPr>
          <w:p w:rsidR="00755181" w:rsidRPr="00BE056E" w:rsidRDefault="00755181" w:rsidP="000761CF">
            <w:pPr>
              <w:pStyle w:val="TableText"/>
              <w:keepNext/>
              <w:spacing w:before="0" w:after="0" w:line="240" w:lineRule="auto"/>
            </w:pPr>
            <w:r w:rsidRPr="00BE056E">
              <w:t>AE leading to dose reduction</w:t>
            </w:r>
          </w:p>
        </w:tc>
        <w:tc>
          <w:tcPr>
            <w:tcW w:w="1006" w:type="pct"/>
            <w:vAlign w:val="center"/>
          </w:tcPr>
          <w:p w:rsidR="00755181" w:rsidRPr="00BE056E" w:rsidRDefault="00755181" w:rsidP="000761CF">
            <w:pPr>
              <w:pStyle w:val="TableText"/>
              <w:keepNext/>
              <w:spacing w:before="0" w:after="0" w:line="240" w:lineRule="auto"/>
              <w:jc w:val="center"/>
            </w:pPr>
            <w:r w:rsidRPr="00BE056E">
              <w:rPr>
                <w:szCs w:val="20"/>
              </w:rPr>
              <w:t>52 (20.3%)</w:t>
            </w:r>
          </w:p>
        </w:tc>
        <w:tc>
          <w:tcPr>
            <w:tcW w:w="953" w:type="pct"/>
            <w:vAlign w:val="center"/>
          </w:tcPr>
          <w:p w:rsidR="00755181" w:rsidRPr="00BE056E" w:rsidRDefault="00755181" w:rsidP="000761CF">
            <w:pPr>
              <w:pStyle w:val="TableText"/>
              <w:keepNext/>
              <w:spacing w:before="0" w:after="0" w:line="240" w:lineRule="auto"/>
              <w:jc w:val="center"/>
            </w:pPr>
            <w:r w:rsidRPr="00BE056E">
              <w:rPr>
                <w:szCs w:val="20"/>
              </w:rPr>
              <w:t>6 (4.6%)</w:t>
            </w:r>
          </w:p>
        </w:tc>
        <w:tc>
          <w:tcPr>
            <w:tcW w:w="953" w:type="pct"/>
          </w:tcPr>
          <w:p w:rsidR="00755181" w:rsidRPr="000F2527" w:rsidRDefault="007D328C" w:rsidP="000761CF">
            <w:pPr>
              <w:pStyle w:val="TableText"/>
              <w:keepNext/>
              <w:spacing w:before="0" w:after="0" w:line="240" w:lineRule="auto"/>
              <w:jc w:val="center"/>
              <w:rPr>
                <w:b/>
                <w:szCs w:val="20"/>
              </w:rPr>
            </w:pPr>
            <w:r w:rsidRPr="000F2527">
              <w:rPr>
                <w:b/>
                <w:szCs w:val="20"/>
              </w:rPr>
              <w:t>0.16 (0.10, 0.22)</w:t>
            </w:r>
          </w:p>
        </w:tc>
      </w:tr>
      <w:tr w:rsidR="00755181" w:rsidRPr="00BE056E" w:rsidTr="00AB70A0">
        <w:tc>
          <w:tcPr>
            <w:tcW w:w="2089" w:type="pct"/>
            <w:vAlign w:val="center"/>
          </w:tcPr>
          <w:p w:rsidR="00755181" w:rsidRPr="00BE056E" w:rsidRDefault="00755181" w:rsidP="000761CF">
            <w:pPr>
              <w:pStyle w:val="TableText"/>
              <w:keepNext/>
              <w:spacing w:before="0" w:after="0" w:line="240" w:lineRule="auto"/>
            </w:pPr>
            <w:r w:rsidRPr="00BE056E">
              <w:t>AE leading to dose interruption</w:t>
            </w:r>
          </w:p>
        </w:tc>
        <w:tc>
          <w:tcPr>
            <w:tcW w:w="1006" w:type="pct"/>
            <w:vAlign w:val="center"/>
          </w:tcPr>
          <w:p w:rsidR="00755181" w:rsidRPr="00BE056E" w:rsidRDefault="00755181" w:rsidP="000761CF">
            <w:pPr>
              <w:pStyle w:val="TableText"/>
              <w:keepNext/>
              <w:spacing w:before="0" w:after="0" w:line="240" w:lineRule="auto"/>
              <w:jc w:val="center"/>
            </w:pPr>
            <w:r w:rsidRPr="00BE056E">
              <w:rPr>
                <w:szCs w:val="20"/>
              </w:rPr>
              <w:t>90 (35.2%)</w:t>
            </w:r>
          </w:p>
        </w:tc>
        <w:tc>
          <w:tcPr>
            <w:tcW w:w="953" w:type="pct"/>
            <w:vAlign w:val="center"/>
          </w:tcPr>
          <w:p w:rsidR="00755181" w:rsidRPr="00BE056E" w:rsidRDefault="00755181" w:rsidP="000761CF">
            <w:pPr>
              <w:pStyle w:val="TableText"/>
              <w:keepNext/>
              <w:spacing w:before="0" w:after="0" w:line="240" w:lineRule="auto"/>
              <w:jc w:val="center"/>
            </w:pPr>
            <w:r w:rsidRPr="00BE056E">
              <w:rPr>
                <w:szCs w:val="20"/>
              </w:rPr>
              <w:t>11 (8.5%)</w:t>
            </w:r>
          </w:p>
        </w:tc>
        <w:tc>
          <w:tcPr>
            <w:tcW w:w="953" w:type="pct"/>
          </w:tcPr>
          <w:p w:rsidR="00755181" w:rsidRPr="000F2527" w:rsidRDefault="007D328C" w:rsidP="000761CF">
            <w:pPr>
              <w:pStyle w:val="TableText"/>
              <w:keepNext/>
              <w:spacing w:before="0" w:after="0" w:line="240" w:lineRule="auto"/>
              <w:jc w:val="center"/>
              <w:rPr>
                <w:b/>
                <w:szCs w:val="20"/>
              </w:rPr>
            </w:pPr>
            <w:r w:rsidRPr="000F2527">
              <w:rPr>
                <w:b/>
                <w:szCs w:val="20"/>
              </w:rPr>
              <w:t>0.27 (0.19, 0.34)</w:t>
            </w:r>
          </w:p>
        </w:tc>
      </w:tr>
    </w:tbl>
    <w:p w:rsidR="00C31220" w:rsidRPr="00BE056E" w:rsidRDefault="00C31220" w:rsidP="00C31220">
      <w:pPr>
        <w:pStyle w:val="TableFooter"/>
      </w:pPr>
      <w:r w:rsidRPr="00BE056E">
        <w:t>Source: Table 2-32, p100 of the submission.</w:t>
      </w:r>
    </w:p>
    <w:p w:rsidR="00C31220" w:rsidRDefault="00C31220" w:rsidP="00C31220">
      <w:pPr>
        <w:pStyle w:val="TableFooter"/>
        <w:tabs>
          <w:tab w:val="left" w:pos="142"/>
        </w:tabs>
        <w:ind w:left="142" w:hanging="142"/>
      </w:pPr>
      <w:r w:rsidRPr="00BE056E">
        <w:t>AE</w:t>
      </w:r>
      <w:r w:rsidR="000761CF">
        <w:t xml:space="preserve"> </w:t>
      </w:r>
      <w:r w:rsidRPr="00BE056E">
        <w:t>=</w:t>
      </w:r>
      <w:r w:rsidR="000761CF">
        <w:t xml:space="preserve"> </w:t>
      </w:r>
      <w:r w:rsidRPr="00BE056E">
        <w:t>adverse event; NHA</w:t>
      </w:r>
      <w:r w:rsidR="000761CF">
        <w:t xml:space="preserve"> </w:t>
      </w:r>
      <w:r w:rsidRPr="00BE056E">
        <w:t>=</w:t>
      </w:r>
      <w:r w:rsidR="000761CF">
        <w:t xml:space="preserve"> </w:t>
      </w:r>
      <w:r w:rsidRPr="00BE056E">
        <w:t xml:space="preserve">novel hormonal agent; </w:t>
      </w:r>
      <w:r w:rsidR="000761CF">
        <w:t xml:space="preserve">RD = risk difference; </w:t>
      </w:r>
      <w:r w:rsidRPr="00BE056E">
        <w:t>SAE</w:t>
      </w:r>
      <w:r w:rsidR="000761CF">
        <w:t xml:space="preserve"> </w:t>
      </w:r>
      <w:r w:rsidRPr="00BE056E">
        <w:t>=</w:t>
      </w:r>
      <w:r w:rsidR="000761CF">
        <w:t xml:space="preserve"> </w:t>
      </w:r>
      <w:r w:rsidRPr="00BE056E">
        <w:t>serious adverse event</w:t>
      </w:r>
      <w:r w:rsidR="00FD6617">
        <w:t>.</w:t>
      </w:r>
    </w:p>
    <w:p w:rsidR="00F46681" w:rsidRPr="000F2527" w:rsidRDefault="00F46681" w:rsidP="00C31220">
      <w:pPr>
        <w:pStyle w:val="TableFooter"/>
        <w:tabs>
          <w:tab w:val="left" w:pos="142"/>
        </w:tabs>
        <w:ind w:left="142" w:hanging="142"/>
        <w:rPr>
          <w:iCs/>
        </w:rPr>
      </w:pPr>
      <w:r w:rsidRPr="000F2527">
        <w:rPr>
          <w:iCs/>
        </w:rPr>
        <w:t>^</w:t>
      </w:r>
      <w:r w:rsidRPr="000F2527">
        <w:rPr>
          <w:iCs/>
        </w:rPr>
        <w:tab/>
        <w:t>Estimated during the evaluation using STATA 14.</w:t>
      </w:r>
    </w:p>
    <w:p w:rsidR="00DD7916" w:rsidRPr="000F2527" w:rsidRDefault="00DD7916" w:rsidP="00D46A7F">
      <w:pPr>
        <w:pStyle w:val="ListParagraph"/>
        <w:rPr>
          <w:color w:val="auto"/>
        </w:rPr>
      </w:pPr>
      <w:r w:rsidRPr="000F2527">
        <w:t xml:space="preserve">Significantly greater proportions of patients treated with </w:t>
      </w:r>
      <w:proofErr w:type="spellStart"/>
      <w:r w:rsidRPr="000F2527">
        <w:t>olaparib</w:t>
      </w:r>
      <w:proofErr w:type="spellEnd"/>
      <w:r w:rsidRPr="000F2527">
        <w:t xml:space="preserve"> experienced any AE, AE</w:t>
      </w:r>
      <w:r w:rsidR="00F14133">
        <w:t xml:space="preserve"> </w:t>
      </w:r>
      <w:r w:rsidR="00D46A7F" w:rsidRPr="00D46A7F">
        <w:t>≥</w:t>
      </w:r>
      <w:r w:rsidR="00D46A7F">
        <w:t xml:space="preserve"> </w:t>
      </w:r>
      <w:r w:rsidRPr="000F2527">
        <w:t xml:space="preserve">Grade 3, </w:t>
      </w:r>
      <w:r w:rsidR="009A07A0" w:rsidRPr="000F2527">
        <w:t xml:space="preserve">serious </w:t>
      </w:r>
      <w:r w:rsidRPr="000F2527">
        <w:t>AE, AE leading to discontinuation, AE leading to dose reduction and AE leading to dose interruption in Cohort A + B</w:t>
      </w:r>
      <w:r w:rsidR="00707333" w:rsidRPr="000F2527">
        <w:t>.</w:t>
      </w:r>
      <w:r w:rsidR="00F92764" w:rsidRPr="000F2527">
        <w:t xml:space="preserve"> </w:t>
      </w:r>
      <w:r w:rsidR="00707333" w:rsidRPr="000F2527">
        <w:t>H</w:t>
      </w:r>
      <w:r w:rsidR="00930424" w:rsidRPr="000F2527">
        <w:t>owever</w:t>
      </w:r>
      <w:r w:rsidR="00707333" w:rsidRPr="000F2527">
        <w:t>,</w:t>
      </w:r>
      <w:r w:rsidR="00930424" w:rsidRPr="000F2527">
        <w:t xml:space="preserve"> there was no difference in AEs that resulted in death between the two treatment</w:t>
      </w:r>
      <w:r w:rsidR="009A07A0" w:rsidRPr="000F2527">
        <w:t xml:space="preserve"> arms</w:t>
      </w:r>
      <w:r w:rsidR="00930424" w:rsidRPr="000F2527">
        <w:t>.</w:t>
      </w:r>
    </w:p>
    <w:p w:rsidR="00C31220" w:rsidRPr="000F2527" w:rsidRDefault="00C31220" w:rsidP="00C31220">
      <w:pPr>
        <w:pStyle w:val="ListParagraph"/>
        <w:rPr>
          <w:color w:val="auto"/>
        </w:rPr>
      </w:pPr>
      <w:r w:rsidRPr="000F2527">
        <w:t xml:space="preserve">The submission </w:t>
      </w:r>
      <w:r w:rsidR="00BC3D8B" w:rsidRPr="000F2527">
        <w:t xml:space="preserve">stated </w:t>
      </w:r>
      <w:r w:rsidRPr="000F2527">
        <w:t xml:space="preserve">that the safety and tolerability profile of </w:t>
      </w:r>
      <w:proofErr w:type="spellStart"/>
      <w:r w:rsidRPr="000F2527">
        <w:t>olaparib</w:t>
      </w:r>
      <w:proofErr w:type="spellEnd"/>
      <w:r w:rsidRPr="000F2527">
        <w:t xml:space="preserve"> in </w:t>
      </w:r>
      <w:proofErr w:type="spellStart"/>
      <w:r w:rsidRPr="000F2527">
        <w:t>PROfound</w:t>
      </w:r>
      <w:proofErr w:type="spellEnd"/>
      <w:r w:rsidRPr="000F2527">
        <w:t xml:space="preserve"> was consistent with the known safety and tolerability profile of </w:t>
      </w:r>
      <w:proofErr w:type="spellStart"/>
      <w:r w:rsidRPr="000F2527">
        <w:t>olaparib</w:t>
      </w:r>
      <w:proofErr w:type="spellEnd"/>
      <w:r w:rsidRPr="000F2527">
        <w:t xml:space="preserve"> and considered to be mostly manageable and acceptable in this population. </w:t>
      </w:r>
      <w:r w:rsidRPr="000F2527">
        <w:rPr>
          <w:iCs/>
        </w:rPr>
        <w:t xml:space="preserve">This was </w:t>
      </w:r>
      <w:r w:rsidRPr="000F2527">
        <w:rPr>
          <w:iCs/>
        </w:rPr>
        <w:lastRenderedPageBreak/>
        <w:t xml:space="preserve">reasonable </w:t>
      </w:r>
      <w:r w:rsidR="00BC3D8B" w:rsidRPr="000F2527">
        <w:rPr>
          <w:iCs/>
        </w:rPr>
        <w:t>for some AEs</w:t>
      </w:r>
      <w:r w:rsidRPr="000F2527">
        <w:rPr>
          <w:iCs/>
        </w:rPr>
        <w:t xml:space="preserve">, such as the occurrence of anaemia associated with </w:t>
      </w:r>
      <w:proofErr w:type="spellStart"/>
      <w:r w:rsidRPr="000F2527">
        <w:rPr>
          <w:iCs/>
        </w:rPr>
        <w:t>olaparib</w:t>
      </w:r>
      <w:proofErr w:type="spellEnd"/>
      <w:r w:rsidRPr="000F2527">
        <w:rPr>
          <w:iCs/>
        </w:rPr>
        <w:t xml:space="preserve">, which had been cited as a relevant AE in the November 2019 consideration of </w:t>
      </w:r>
      <w:proofErr w:type="spellStart"/>
      <w:r w:rsidRPr="000F2527">
        <w:rPr>
          <w:iCs/>
        </w:rPr>
        <w:t>olaparib</w:t>
      </w:r>
      <w:proofErr w:type="spellEnd"/>
      <w:r w:rsidRPr="000F2527">
        <w:rPr>
          <w:iCs/>
        </w:rPr>
        <w:t xml:space="preserve"> (para</w:t>
      </w:r>
      <w:r w:rsidR="005A7F22" w:rsidRPr="000F2527">
        <w:rPr>
          <w:iCs/>
        </w:rPr>
        <w:t>graph 7.15, November 2019 PSD).</w:t>
      </w:r>
    </w:p>
    <w:p w:rsidR="00C31220" w:rsidRPr="004B1F86" w:rsidRDefault="004B1F86" w:rsidP="000C0FC8">
      <w:pPr>
        <w:pStyle w:val="ListParagraph"/>
        <w:rPr>
          <w:color w:val="auto"/>
        </w:rPr>
      </w:pPr>
      <w:r w:rsidRPr="004B1F86">
        <w:rPr>
          <w:iCs/>
        </w:rPr>
        <w:t>The PBAC noted</w:t>
      </w:r>
      <w:r w:rsidR="00C31220" w:rsidRPr="004B1F86">
        <w:rPr>
          <w:iCs/>
        </w:rPr>
        <w:t xml:space="preserve"> that </w:t>
      </w:r>
      <w:r w:rsidR="00D46A7F">
        <w:rPr>
          <w:iCs/>
        </w:rPr>
        <w:t xml:space="preserve">the </w:t>
      </w:r>
      <w:r w:rsidRPr="004B1F86">
        <w:rPr>
          <w:iCs/>
        </w:rPr>
        <w:t xml:space="preserve">EMA stated that </w:t>
      </w:r>
      <w:r w:rsidR="00C31220" w:rsidRPr="004B1F86">
        <w:rPr>
          <w:iCs/>
        </w:rPr>
        <w:t xml:space="preserve">uncertainties remain </w:t>
      </w:r>
      <w:r w:rsidR="00BC3D8B" w:rsidRPr="004B1F86">
        <w:rPr>
          <w:iCs/>
        </w:rPr>
        <w:t xml:space="preserve">regarding the </w:t>
      </w:r>
      <w:r w:rsidR="00C31220" w:rsidRPr="004B1F86">
        <w:rPr>
          <w:iCs/>
        </w:rPr>
        <w:t xml:space="preserve">potential risks of </w:t>
      </w:r>
      <w:r w:rsidR="00DF4FE4" w:rsidRPr="004B1F86">
        <w:rPr>
          <w:iCs/>
        </w:rPr>
        <w:t>myelodysplastic syndrome (</w:t>
      </w:r>
      <w:r w:rsidR="00C31220" w:rsidRPr="004B1F86">
        <w:rPr>
          <w:iCs/>
        </w:rPr>
        <w:t>MDS</w:t>
      </w:r>
      <w:r w:rsidR="00DF4FE4" w:rsidRPr="004B1F86">
        <w:rPr>
          <w:iCs/>
        </w:rPr>
        <w:t>) and acute myeloid leuk</w:t>
      </w:r>
      <w:r w:rsidR="00AC4CBA" w:rsidRPr="004B1F86">
        <w:rPr>
          <w:iCs/>
        </w:rPr>
        <w:t>a</w:t>
      </w:r>
      <w:r w:rsidR="00DF4FE4" w:rsidRPr="004B1F86">
        <w:rPr>
          <w:iCs/>
        </w:rPr>
        <w:t>emia (</w:t>
      </w:r>
      <w:r w:rsidR="00C31220" w:rsidRPr="004B1F86">
        <w:rPr>
          <w:iCs/>
        </w:rPr>
        <w:t>AML</w:t>
      </w:r>
      <w:r w:rsidR="00DF4FE4" w:rsidRPr="004B1F86">
        <w:rPr>
          <w:iCs/>
        </w:rPr>
        <w:t>)</w:t>
      </w:r>
      <w:r w:rsidR="00C31220" w:rsidRPr="004B1F86">
        <w:rPr>
          <w:iCs/>
        </w:rPr>
        <w:t xml:space="preserve">, new primary malignancies and pneumonitis, </w:t>
      </w:r>
      <w:r w:rsidRPr="004B1F86">
        <w:rPr>
          <w:iCs/>
        </w:rPr>
        <w:t>which require</w:t>
      </w:r>
      <w:r w:rsidR="00C31220" w:rsidRPr="004B1F86">
        <w:rPr>
          <w:iCs/>
        </w:rPr>
        <w:t xml:space="preserve"> monitor</w:t>
      </w:r>
      <w:r w:rsidRPr="004B1F86">
        <w:rPr>
          <w:iCs/>
        </w:rPr>
        <w:t>ing</w:t>
      </w:r>
      <w:r w:rsidR="00C31220" w:rsidRPr="004B1F86">
        <w:rPr>
          <w:iCs/>
        </w:rPr>
        <w:t xml:space="preserve"> in the post-marketing setting. </w:t>
      </w:r>
      <w:r w:rsidR="00F131F9" w:rsidRPr="004B1F86">
        <w:rPr>
          <w:iCs/>
        </w:rPr>
        <w:t xml:space="preserve">The PSCR stated that while the events of MDS/AML and pneumonitis are being monitored, no MDS/AML cases were noted in the </w:t>
      </w:r>
      <w:proofErr w:type="spellStart"/>
      <w:proofErr w:type="gramStart"/>
      <w:r w:rsidR="00F131F9" w:rsidRPr="004B1F86">
        <w:rPr>
          <w:iCs/>
        </w:rPr>
        <w:t>PROfound</w:t>
      </w:r>
      <w:proofErr w:type="spellEnd"/>
      <w:proofErr w:type="gramEnd"/>
      <w:r w:rsidR="00F131F9" w:rsidRPr="004B1F86">
        <w:rPr>
          <w:iCs/>
        </w:rPr>
        <w:t xml:space="preserve"> trial. The PSCR stated that a low occurrence of pneumonitis was observed in both the </w:t>
      </w:r>
      <w:proofErr w:type="spellStart"/>
      <w:r w:rsidR="00F131F9" w:rsidRPr="004B1F86">
        <w:rPr>
          <w:iCs/>
        </w:rPr>
        <w:t>olaparib</w:t>
      </w:r>
      <w:proofErr w:type="spellEnd"/>
      <w:r w:rsidR="00F131F9" w:rsidRPr="004B1F86">
        <w:rPr>
          <w:iCs/>
        </w:rPr>
        <w:t xml:space="preserve"> (2.0%) and NHA (1.5%) arms of the trial.</w:t>
      </w:r>
    </w:p>
    <w:p w:rsidR="00C31220" w:rsidRPr="000F2527" w:rsidRDefault="00C31220" w:rsidP="00C31220">
      <w:pPr>
        <w:pStyle w:val="ListParagraph"/>
        <w:rPr>
          <w:color w:val="auto"/>
        </w:rPr>
      </w:pPr>
      <w:r w:rsidRPr="000F2527">
        <w:rPr>
          <w:iCs/>
          <w:color w:val="auto"/>
        </w:rPr>
        <w:t xml:space="preserve">Overall, the </w:t>
      </w:r>
      <w:r w:rsidR="002A3401" w:rsidRPr="004F0D62">
        <w:rPr>
          <w:iCs/>
          <w:color w:val="auto"/>
        </w:rPr>
        <w:t xml:space="preserve">ESCs also noted that these risks were previously considered acceptable </w:t>
      </w:r>
      <w:r w:rsidR="00E52A61" w:rsidRPr="004F0D62">
        <w:rPr>
          <w:iCs/>
          <w:color w:val="auto"/>
        </w:rPr>
        <w:t>for patients with ovarian cancer</w:t>
      </w:r>
      <w:r w:rsidRPr="004F0D62">
        <w:rPr>
          <w:iCs/>
          <w:color w:val="auto"/>
        </w:rPr>
        <w:t xml:space="preserve">. </w:t>
      </w:r>
      <w:r w:rsidRPr="000F2527">
        <w:rPr>
          <w:iCs/>
          <w:color w:val="auto"/>
        </w:rPr>
        <w:t xml:space="preserve">The economic model included AEs such as anaemia, neutropenia, pulmonary embolism and vomiting, along with skeletal-related events which were not included in the submission’s discussion of the safety of </w:t>
      </w:r>
      <w:proofErr w:type="spellStart"/>
      <w:r w:rsidRPr="000F2527">
        <w:rPr>
          <w:iCs/>
          <w:color w:val="auto"/>
        </w:rPr>
        <w:t>olaparib</w:t>
      </w:r>
      <w:proofErr w:type="spellEnd"/>
      <w:r w:rsidRPr="000F2527">
        <w:rPr>
          <w:iCs/>
          <w:color w:val="auto"/>
        </w:rPr>
        <w:t>.</w:t>
      </w:r>
    </w:p>
    <w:p w:rsidR="00C31220" w:rsidRPr="004F0D62" w:rsidRDefault="00C31220" w:rsidP="00C31220">
      <w:pPr>
        <w:pStyle w:val="PBACESHeading2"/>
        <w:numPr>
          <w:ilvl w:val="0"/>
          <w:numId w:val="0"/>
        </w:numPr>
        <w:ind w:left="720" w:hanging="720"/>
        <w:rPr>
          <w:rFonts w:asciiTheme="minorHAnsi" w:hAnsiTheme="minorHAnsi" w:cstheme="minorHAnsi"/>
        </w:rPr>
      </w:pPr>
      <w:bookmarkStart w:id="30" w:name="_Toc58779758"/>
      <w:bookmarkStart w:id="31" w:name="_Toc62027844"/>
      <w:bookmarkStart w:id="32" w:name="_Toc413139281"/>
      <w:r w:rsidRPr="004F0D62">
        <w:rPr>
          <w:rFonts w:asciiTheme="minorHAnsi" w:hAnsiTheme="minorHAnsi" w:cstheme="minorHAnsi"/>
        </w:rPr>
        <w:t>Benefits and harms</w:t>
      </w:r>
      <w:bookmarkEnd w:id="30"/>
      <w:bookmarkEnd w:id="31"/>
    </w:p>
    <w:p w:rsidR="00C31220" w:rsidRPr="00BE056E" w:rsidRDefault="00C31220" w:rsidP="00C31220">
      <w:pPr>
        <w:pStyle w:val="ListParagraph"/>
      </w:pPr>
      <w:r w:rsidRPr="00BE056E">
        <w:rPr>
          <w:color w:val="auto"/>
        </w:rPr>
        <w:t xml:space="preserve">A summary of the comparative benefits and harms for </w:t>
      </w:r>
      <w:proofErr w:type="spellStart"/>
      <w:r w:rsidRPr="00BE056E">
        <w:rPr>
          <w:color w:val="auto"/>
        </w:rPr>
        <w:t>olaparib</w:t>
      </w:r>
      <w:proofErr w:type="spellEnd"/>
      <w:r w:rsidRPr="00BE056E">
        <w:rPr>
          <w:color w:val="auto"/>
        </w:rPr>
        <w:t xml:space="preserve"> versus NHA is presented in the table below.</w:t>
      </w:r>
    </w:p>
    <w:p w:rsidR="00C31220" w:rsidRPr="00BE056E" w:rsidRDefault="00D6660D" w:rsidP="00781284">
      <w:pPr>
        <w:pStyle w:val="Caption"/>
      </w:pPr>
      <w:bookmarkStart w:id="33" w:name="_Toc413139282"/>
      <w:bookmarkEnd w:id="32"/>
      <w:r w:rsidRPr="00D6660D">
        <w:t xml:space="preserve">Table </w:t>
      </w:r>
      <w:r w:rsidR="00CD4B9C">
        <w:rPr>
          <w:noProof/>
        </w:rPr>
        <w:t>10</w:t>
      </w:r>
      <w:r w:rsidR="00D46A7F">
        <w:rPr>
          <w:noProof/>
        </w:rPr>
        <w:t>:</w:t>
      </w:r>
      <w:r w:rsidRPr="00D6660D">
        <w:tab/>
      </w:r>
      <w:r w:rsidR="00C31220" w:rsidRPr="00BE056E">
        <w:t>Summary of comparative benefits</w:t>
      </w:r>
      <w:r w:rsidR="005A7F22">
        <w:t xml:space="preserve"> and harms for </w:t>
      </w:r>
      <w:proofErr w:type="spellStart"/>
      <w:r w:rsidR="005A7F22">
        <w:t>olaparib</w:t>
      </w:r>
      <w:proofErr w:type="spellEnd"/>
      <w:r w:rsidR="005A7F22">
        <w:t xml:space="preserve"> and NHA</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Summary of comparative benefits and harms for olaparib and NHA"/>
      </w:tblPr>
      <w:tblGrid>
        <w:gridCol w:w="1365"/>
        <w:gridCol w:w="1713"/>
        <w:gridCol w:w="1553"/>
        <w:gridCol w:w="1417"/>
        <w:gridCol w:w="278"/>
        <w:gridCol w:w="712"/>
        <w:gridCol w:w="842"/>
        <w:gridCol w:w="34"/>
        <w:gridCol w:w="1102"/>
      </w:tblGrid>
      <w:tr w:rsidR="00C31220" w:rsidRPr="00BE056E" w:rsidTr="0088177D">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9"/>
            <w:shd w:val="clear" w:color="auto" w:fill="auto"/>
            <w:vAlign w:val="center"/>
          </w:tcPr>
          <w:p w:rsidR="00C31220" w:rsidRPr="00BE056E" w:rsidRDefault="00C31220" w:rsidP="00750CE1">
            <w:pPr>
              <w:pStyle w:val="TableText"/>
              <w:keepNext/>
              <w:keepLines/>
              <w:spacing w:before="0" w:after="0" w:line="240" w:lineRule="auto"/>
              <w:rPr>
                <w:b w:val="0"/>
                <w:u w:val="single"/>
                <w:lang w:val="en-AU"/>
              </w:rPr>
            </w:pPr>
            <w:r w:rsidRPr="00BE056E">
              <w:rPr>
                <w:u w:val="single"/>
                <w:lang w:val="en-AU"/>
              </w:rPr>
              <w:t xml:space="preserve">Benefits </w:t>
            </w:r>
            <w:r w:rsidR="00653A2A">
              <w:rPr>
                <w:u w:val="single"/>
                <w:lang w:val="en-AU"/>
              </w:rPr>
              <w:t>–</w:t>
            </w:r>
            <w:r w:rsidRPr="00BE056E">
              <w:rPr>
                <w:u w:val="single"/>
                <w:lang w:val="en-AU"/>
              </w:rPr>
              <w:t xml:space="preserve"> </w:t>
            </w:r>
            <w:proofErr w:type="spellStart"/>
            <w:r w:rsidRPr="00BE056E">
              <w:rPr>
                <w:bCs/>
                <w:u w:val="single"/>
                <w:lang w:val="en-AU"/>
              </w:rPr>
              <w:t>PROfound</w:t>
            </w:r>
            <w:proofErr w:type="spellEnd"/>
          </w:p>
        </w:tc>
      </w:tr>
      <w:tr w:rsidR="00C31220" w:rsidRPr="00933176" w:rsidTr="0088177D">
        <w:trPr>
          <w:cnfStyle w:val="100000000000" w:firstRow="1" w:lastRow="0" w:firstColumn="0" w:lastColumn="0" w:oddVBand="0" w:evenVBand="0" w:oddHBand="0" w:evenHBand="0" w:firstRowFirstColumn="0" w:firstRowLastColumn="0" w:lastRowFirstColumn="0" w:lastRowLastColumn="0"/>
          <w:tblHeader/>
        </w:trPr>
        <w:tc>
          <w:tcPr>
            <w:tcW w:w="1707" w:type="pct"/>
            <w:gridSpan w:val="2"/>
            <w:shd w:val="clear" w:color="auto" w:fill="auto"/>
            <w:vAlign w:val="center"/>
          </w:tcPr>
          <w:p w:rsidR="00C31220" w:rsidRPr="00933176" w:rsidRDefault="00C31220" w:rsidP="00750CE1">
            <w:pPr>
              <w:pStyle w:val="TableText"/>
              <w:keepNext/>
              <w:keepLines/>
              <w:spacing w:before="0" w:after="0" w:line="240" w:lineRule="auto"/>
              <w:rPr>
                <w:lang w:val="en-AU"/>
              </w:rPr>
            </w:pPr>
            <w:proofErr w:type="spellStart"/>
            <w:r w:rsidRPr="00933176">
              <w:rPr>
                <w:lang w:val="en-AU"/>
              </w:rPr>
              <w:t>rPFS</w:t>
            </w:r>
            <w:proofErr w:type="spellEnd"/>
            <w:r w:rsidRPr="00933176">
              <w:rPr>
                <w:lang w:val="en-AU"/>
              </w:rPr>
              <w:t xml:space="preserve"> – </w:t>
            </w:r>
            <w:r w:rsidR="00653A2A" w:rsidRPr="00933176">
              <w:rPr>
                <w:lang w:val="en-AU"/>
              </w:rPr>
              <w:t>Cohort A ITT</w:t>
            </w:r>
          </w:p>
        </w:tc>
        <w:tc>
          <w:tcPr>
            <w:tcW w:w="861" w:type="pct"/>
            <w:shd w:val="clear" w:color="auto" w:fill="auto"/>
            <w:vAlign w:val="center"/>
          </w:tcPr>
          <w:p w:rsidR="00C31220" w:rsidRPr="00933176" w:rsidRDefault="00C31220" w:rsidP="00750CE1">
            <w:pPr>
              <w:pStyle w:val="TableText"/>
              <w:keepNext/>
              <w:keepLines/>
              <w:spacing w:before="0" w:after="0" w:line="240" w:lineRule="auto"/>
              <w:jc w:val="center"/>
              <w:rPr>
                <w:lang w:val="en-AU"/>
              </w:rPr>
            </w:pPr>
            <w:proofErr w:type="spellStart"/>
            <w:r w:rsidRPr="00933176">
              <w:rPr>
                <w:lang w:val="en-AU"/>
              </w:rPr>
              <w:t>Olaparib</w:t>
            </w:r>
            <w:proofErr w:type="spellEnd"/>
          </w:p>
          <w:p w:rsidR="00C31220" w:rsidRPr="00933176" w:rsidRDefault="00C31220" w:rsidP="00750CE1">
            <w:pPr>
              <w:pStyle w:val="TableText"/>
              <w:keepNext/>
              <w:keepLines/>
              <w:spacing w:before="0" w:after="0" w:line="240" w:lineRule="auto"/>
              <w:jc w:val="center"/>
              <w:rPr>
                <w:lang w:val="en-AU"/>
              </w:rPr>
            </w:pPr>
            <w:r w:rsidRPr="00933176">
              <w:rPr>
                <w:lang w:val="en-AU"/>
              </w:rPr>
              <w:t>N=102</w:t>
            </w:r>
          </w:p>
        </w:tc>
        <w:tc>
          <w:tcPr>
            <w:tcW w:w="940" w:type="pct"/>
            <w:gridSpan w:val="2"/>
            <w:shd w:val="clear" w:color="auto" w:fill="auto"/>
            <w:vAlign w:val="center"/>
          </w:tcPr>
          <w:p w:rsidR="00C31220" w:rsidRPr="00933176" w:rsidRDefault="00C31220" w:rsidP="00750CE1">
            <w:pPr>
              <w:pStyle w:val="TableText"/>
              <w:keepNext/>
              <w:keepLines/>
              <w:spacing w:before="0" w:after="0" w:line="240" w:lineRule="auto"/>
              <w:jc w:val="center"/>
              <w:rPr>
                <w:lang w:val="en-AU"/>
              </w:rPr>
            </w:pPr>
            <w:r w:rsidRPr="00933176">
              <w:rPr>
                <w:lang w:val="en-AU"/>
              </w:rPr>
              <w:t>NHA</w:t>
            </w:r>
          </w:p>
          <w:p w:rsidR="00C31220" w:rsidRPr="00933176" w:rsidRDefault="00C31220" w:rsidP="00750CE1">
            <w:pPr>
              <w:pStyle w:val="TableText"/>
              <w:keepNext/>
              <w:keepLines/>
              <w:spacing w:before="0" w:after="0" w:line="240" w:lineRule="auto"/>
              <w:jc w:val="center"/>
              <w:rPr>
                <w:lang w:val="en-AU"/>
              </w:rPr>
            </w:pPr>
            <w:r w:rsidRPr="00933176">
              <w:rPr>
                <w:lang w:val="en-AU"/>
              </w:rPr>
              <w:t>N=58</w:t>
            </w:r>
          </w:p>
        </w:tc>
        <w:tc>
          <w:tcPr>
            <w:tcW w:w="862" w:type="pct"/>
            <w:gridSpan w:val="2"/>
            <w:shd w:val="clear" w:color="auto" w:fill="auto"/>
            <w:vAlign w:val="center"/>
          </w:tcPr>
          <w:p w:rsidR="00C31220" w:rsidRPr="00933176" w:rsidRDefault="00C31220" w:rsidP="00750CE1">
            <w:pPr>
              <w:pStyle w:val="TableText"/>
              <w:keepNext/>
              <w:keepLines/>
              <w:spacing w:before="0" w:after="0" w:line="240" w:lineRule="auto"/>
              <w:jc w:val="center"/>
              <w:rPr>
                <w:lang w:val="en-AU"/>
              </w:rPr>
            </w:pPr>
            <w:r w:rsidRPr="00933176">
              <w:rPr>
                <w:lang w:val="en-AU"/>
              </w:rPr>
              <w:t>Absolute difference</w:t>
            </w:r>
          </w:p>
        </w:tc>
        <w:tc>
          <w:tcPr>
            <w:tcW w:w="630" w:type="pct"/>
            <w:gridSpan w:val="2"/>
            <w:shd w:val="clear" w:color="auto" w:fill="auto"/>
            <w:vAlign w:val="center"/>
          </w:tcPr>
          <w:p w:rsidR="00C31220" w:rsidRPr="00933176" w:rsidRDefault="00C31220" w:rsidP="00750CE1">
            <w:pPr>
              <w:pStyle w:val="TableText"/>
              <w:keepNext/>
              <w:keepLines/>
              <w:spacing w:before="0" w:after="0" w:line="240" w:lineRule="auto"/>
              <w:jc w:val="center"/>
              <w:rPr>
                <w:lang w:val="en-AU"/>
              </w:rPr>
            </w:pPr>
            <w:r w:rsidRPr="00933176">
              <w:rPr>
                <w:lang w:val="en-AU"/>
              </w:rPr>
              <w:t>HR (95% CI)</w:t>
            </w:r>
          </w:p>
        </w:tc>
      </w:tr>
      <w:tr w:rsidR="00C31220" w:rsidRPr="00BE056E" w:rsidTr="0088177D">
        <w:tc>
          <w:tcPr>
            <w:tcW w:w="1707" w:type="pct"/>
            <w:gridSpan w:val="2"/>
            <w:shd w:val="clear" w:color="auto" w:fill="auto"/>
            <w:vAlign w:val="center"/>
          </w:tcPr>
          <w:p w:rsidR="00C31220" w:rsidRPr="00BE056E" w:rsidRDefault="00D46A7F" w:rsidP="00D46A7F">
            <w:pPr>
              <w:pStyle w:val="TableText"/>
              <w:keepNext/>
              <w:keepLines/>
              <w:spacing w:before="0" w:after="0" w:line="240" w:lineRule="auto"/>
              <w:rPr>
                <w:lang w:val="en-AU"/>
              </w:rPr>
            </w:pPr>
            <w:r>
              <w:rPr>
                <w:szCs w:val="20"/>
                <w:lang w:val="en-AU"/>
              </w:rPr>
              <w:t>Progression e</w:t>
            </w:r>
            <w:r w:rsidR="00C31220" w:rsidRPr="00BE056E">
              <w:rPr>
                <w:szCs w:val="20"/>
                <w:lang w:val="en-AU"/>
              </w:rPr>
              <w:t>vent</w:t>
            </w:r>
            <w:r>
              <w:rPr>
                <w:szCs w:val="20"/>
                <w:lang w:val="en-AU"/>
              </w:rPr>
              <w:t>,</w:t>
            </w:r>
            <w:r w:rsidR="00C31220" w:rsidRPr="00BE056E">
              <w:rPr>
                <w:szCs w:val="20"/>
                <w:lang w:val="en-AU"/>
              </w:rPr>
              <w:t xml:space="preserve"> n (%)</w:t>
            </w:r>
          </w:p>
        </w:tc>
        <w:tc>
          <w:tcPr>
            <w:tcW w:w="861" w:type="pct"/>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r w:rsidRPr="00BE056E">
              <w:rPr>
                <w:szCs w:val="20"/>
                <w:lang w:val="en-AU"/>
              </w:rPr>
              <w:t>NR</w:t>
            </w:r>
          </w:p>
        </w:tc>
        <w:tc>
          <w:tcPr>
            <w:tcW w:w="940" w:type="pct"/>
            <w:gridSpan w:val="2"/>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r w:rsidRPr="00BE056E">
              <w:rPr>
                <w:szCs w:val="20"/>
                <w:lang w:val="en-AU"/>
              </w:rPr>
              <w:t>NR</w:t>
            </w:r>
          </w:p>
        </w:tc>
        <w:tc>
          <w:tcPr>
            <w:tcW w:w="862" w:type="pct"/>
            <w:gridSpan w:val="2"/>
            <w:shd w:val="clear" w:color="auto" w:fill="auto"/>
            <w:vAlign w:val="center"/>
          </w:tcPr>
          <w:p w:rsidR="00C31220" w:rsidRPr="00BE056E" w:rsidRDefault="00C31220" w:rsidP="00750CE1">
            <w:pPr>
              <w:pStyle w:val="TableText"/>
              <w:keepNext/>
              <w:keepLines/>
              <w:spacing w:before="0" w:after="0" w:line="240" w:lineRule="auto"/>
              <w:jc w:val="center"/>
              <w:rPr>
                <w:bCs/>
                <w:lang w:val="en-AU"/>
              </w:rPr>
            </w:pPr>
            <w:r w:rsidRPr="00BE056E">
              <w:rPr>
                <w:lang w:val="en-AU"/>
              </w:rPr>
              <w:t>-</w:t>
            </w:r>
          </w:p>
        </w:tc>
        <w:tc>
          <w:tcPr>
            <w:tcW w:w="630" w:type="pct"/>
            <w:gridSpan w:val="2"/>
            <w:vMerge w:val="restart"/>
            <w:shd w:val="clear" w:color="auto" w:fill="auto"/>
            <w:vAlign w:val="center"/>
          </w:tcPr>
          <w:p w:rsidR="00C31220" w:rsidRPr="00BE056E" w:rsidRDefault="00C31220" w:rsidP="00750CE1">
            <w:pPr>
              <w:pStyle w:val="TableText"/>
              <w:keepNext/>
              <w:keepLines/>
              <w:spacing w:before="0" w:after="0" w:line="240" w:lineRule="auto"/>
              <w:jc w:val="center"/>
              <w:rPr>
                <w:b/>
                <w:szCs w:val="20"/>
                <w:lang w:val="en-AU"/>
              </w:rPr>
            </w:pPr>
            <w:r w:rsidRPr="00BE056E">
              <w:rPr>
                <w:b/>
                <w:szCs w:val="20"/>
                <w:lang w:val="en-AU"/>
              </w:rPr>
              <w:t>0.</w:t>
            </w:r>
            <w:r w:rsidR="00653A2A">
              <w:rPr>
                <w:b/>
                <w:szCs w:val="20"/>
                <w:lang w:val="en-AU"/>
              </w:rPr>
              <w:t>34</w:t>
            </w:r>
          </w:p>
          <w:p w:rsidR="00C31220" w:rsidRPr="00BE056E" w:rsidRDefault="00C31220" w:rsidP="00750CE1">
            <w:pPr>
              <w:pStyle w:val="TableText"/>
              <w:keepNext/>
              <w:keepLines/>
              <w:spacing w:before="0" w:after="0" w:line="240" w:lineRule="auto"/>
              <w:jc w:val="center"/>
              <w:rPr>
                <w:b/>
                <w:lang w:val="en-AU"/>
              </w:rPr>
            </w:pPr>
            <w:r w:rsidRPr="00BE056E">
              <w:rPr>
                <w:b/>
                <w:szCs w:val="20"/>
                <w:lang w:val="en-AU"/>
              </w:rPr>
              <w:t>(0.</w:t>
            </w:r>
            <w:r w:rsidR="00653A2A">
              <w:rPr>
                <w:b/>
                <w:szCs w:val="20"/>
                <w:lang w:val="en-AU"/>
              </w:rPr>
              <w:t>2</w:t>
            </w:r>
            <w:r w:rsidRPr="00BE056E">
              <w:rPr>
                <w:b/>
                <w:szCs w:val="20"/>
                <w:lang w:val="en-AU"/>
              </w:rPr>
              <w:t>5, 0.</w:t>
            </w:r>
            <w:r w:rsidR="00653A2A">
              <w:rPr>
                <w:b/>
                <w:szCs w:val="20"/>
                <w:lang w:val="en-AU"/>
              </w:rPr>
              <w:t>47</w:t>
            </w:r>
            <w:r w:rsidRPr="00BE056E">
              <w:rPr>
                <w:b/>
                <w:szCs w:val="20"/>
                <w:lang w:val="en-AU"/>
              </w:rPr>
              <w:t>)</w:t>
            </w:r>
          </w:p>
        </w:tc>
      </w:tr>
      <w:tr w:rsidR="00C31220" w:rsidRPr="00BE056E" w:rsidTr="0088177D">
        <w:tc>
          <w:tcPr>
            <w:tcW w:w="1707" w:type="pct"/>
            <w:gridSpan w:val="2"/>
            <w:shd w:val="clear" w:color="auto" w:fill="auto"/>
            <w:vAlign w:val="center"/>
          </w:tcPr>
          <w:p w:rsidR="00C31220" w:rsidRPr="00BE056E" w:rsidRDefault="00C31220" w:rsidP="00750CE1">
            <w:pPr>
              <w:pStyle w:val="TableText"/>
              <w:keepNext/>
              <w:keepLines/>
              <w:spacing w:before="0" w:after="0" w:line="240" w:lineRule="auto"/>
              <w:rPr>
                <w:szCs w:val="20"/>
                <w:lang w:val="en-AU"/>
              </w:rPr>
            </w:pPr>
            <w:r w:rsidRPr="00BE056E">
              <w:rPr>
                <w:lang w:val="en-AU"/>
              </w:rPr>
              <w:t xml:space="preserve">% progression-free </w:t>
            </w:r>
            <w:r w:rsidRPr="00BE056E">
              <w:rPr>
                <w:szCs w:val="20"/>
                <w:lang w:val="en-AU"/>
              </w:rPr>
              <w:t>(95% CI)</w:t>
            </w:r>
          </w:p>
        </w:tc>
        <w:tc>
          <w:tcPr>
            <w:tcW w:w="861" w:type="pct"/>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NR</w:t>
            </w:r>
          </w:p>
        </w:tc>
        <w:tc>
          <w:tcPr>
            <w:tcW w:w="940" w:type="pct"/>
            <w:gridSpan w:val="2"/>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NR</w:t>
            </w:r>
          </w:p>
        </w:tc>
        <w:tc>
          <w:tcPr>
            <w:tcW w:w="862" w:type="pct"/>
            <w:gridSpan w:val="2"/>
            <w:shd w:val="clear" w:color="auto" w:fill="auto"/>
            <w:vAlign w:val="center"/>
          </w:tcPr>
          <w:p w:rsidR="00C31220" w:rsidRPr="00BE056E" w:rsidRDefault="00C31220" w:rsidP="00750CE1">
            <w:pPr>
              <w:pStyle w:val="TableText"/>
              <w:keepNext/>
              <w:keepLines/>
              <w:spacing w:before="0" w:after="0" w:line="240" w:lineRule="auto"/>
              <w:jc w:val="center"/>
              <w:rPr>
                <w:iCs/>
                <w:lang w:val="en-AU"/>
              </w:rPr>
            </w:pPr>
            <w:r w:rsidRPr="00BE056E">
              <w:rPr>
                <w:iCs/>
                <w:lang w:val="en-AU"/>
              </w:rPr>
              <w:t>-</w:t>
            </w:r>
          </w:p>
        </w:tc>
        <w:tc>
          <w:tcPr>
            <w:tcW w:w="630" w:type="pct"/>
            <w:gridSpan w:val="2"/>
            <w:vMerge/>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p>
        </w:tc>
      </w:tr>
      <w:tr w:rsidR="00C31220" w:rsidRPr="00BE056E" w:rsidTr="0088177D">
        <w:tc>
          <w:tcPr>
            <w:tcW w:w="1707" w:type="pct"/>
            <w:gridSpan w:val="2"/>
            <w:shd w:val="clear" w:color="auto" w:fill="auto"/>
            <w:vAlign w:val="center"/>
          </w:tcPr>
          <w:p w:rsidR="00C31220" w:rsidRPr="00BE056E" w:rsidRDefault="005A7F22" w:rsidP="00750CE1">
            <w:pPr>
              <w:pStyle w:val="TableText"/>
              <w:keepNext/>
              <w:keepLines/>
              <w:spacing w:before="0" w:after="0" w:line="240" w:lineRule="auto"/>
              <w:rPr>
                <w:lang w:val="en-AU"/>
              </w:rPr>
            </w:pPr>
            <w:r>
              <w:rPr>
                <w:szCs w:val="20"/>
                <w:lang w:val="en-AU"/>
              </w:rPr>
              <w:t xml:space="preserve">Median months to </w:t>
            </w:r>
            <w:proofErr w:type="spellStart"/>
            <w:r>
              <w:rPr>
                <w:szCs w:val="20"/>
                <w:lang w:val="en-AU"/>
              </w:rPr>
              <w:t>rPFS</w:t>
            </w:r>
            <w:proofErr w:type="spellEnd"/>
            <w:r>
              <w:rPr>
                <w:szCs w:val="20"/>
                <w:lang w:val="en-AU"/>
              </w:rPr>
              <w:t xml:space="preserve"> (95% CI)</w:t>
            </w:r>
          </w:p>
        </w:tc>
        <w:tc>
          <w:tcPr>
            <w:tcW w:w="861" w:type="pct"/>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9.79 (7.62, 11.20)</w:t>
            </w:r>
          </w:p>
        </w:tc>
        <w:tc>
          <w:tcPr>
            <w:tcW w:w="940" w:type="pct"/>
            <w:gridSpan w:val="2"/>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2.96 (1.81, 3.55)</w:t>
            </w:r>
          </w:p>
        </w:tc>
        <w:tc>
          <w:tcPr>
            <w:tcW w:w="862" w:type="pct"/>
            <w:gridSpan w:val="2"/>
            <w:shd w:val="clear" w:color="auto" w:fill="auto"/>
            <w:vAlign w:val="center"/>
          </w:tcPr>
          <w:p w:rsidR="00C31220" w:rsidRPr="00BE056E" w:rsidRDefault="00C31220" w:rsidP="00750CE1">
            <w:pPr>
              <w:pStyle w:val="TableText"/>
              <w:keepNext/>
              <w:keepLines/>
              <w:spacing w:before="0" w:after="0" w:line="240" w:lineRule="auto"/>
              <w:jc w:val="center"/>
              <w:rPr>
                <w:iCs/>
                <w:lang w:val="en-AU"/>
              </w:rPr>
            </w:pPr>
            <w:r w:rsidRPr="00BE056E">
              <w:rPr>
                <w:iCs/>
                <w:lang w:val="en-AU"/>
              </w:rPr>
              <w:t>6.83</w:t>
            </w:r>
          </w:p>
        </w:tc>
        <w:tc>
          <w:tcPr>
            <w:tcW w:w="630" w:type="pct"/>
            <w:gridSpan w:val="2"/>
            <w:vMerge/>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p>
        </w:tc>
      </w:tr>
      <w:tr w:rsidR="00C31220" w:rsidRPr="00BE056E" w:rsidTr="0088177D">
        <w:tc>
          <w:tcPr>
            <w:tcW w:w="1707" w:type="pct"/>
            <w:gridSpan w:val="2"/>
            <w:shd w:val="clear" w:color="auto" w:fill="auto"/>
            <w:vAlign w:val="center"/>
          </w:tcPr>
          <w:p w:rsidR="00C31220" w:rsidRPr="00BE056E" w:rsidRDefault="00C31220" w:rsidP="00750CE1">
            <w:pPr>
              <w:pStyle w:val="TableText"/>
              <w:keepNext/>
              <w:keepLines/>
              <w:spacing w:before="0" w:after="0" w:line="240" w:lineRule="auto"/>
              <w:rPr>
                <w:lang w:val="en-AU"/>
              </w:rPr>
            </w:pPr>
            <w:r w:rsidRPr="00BE056E">
              <w:rPr>
                <w:lang w:val="en-AU"/>
              </w:rPr>
              <w:t xml:space="preserve">% progression-free at 6 </w:t>
            </w:r>
            <w:proofErr w:type="spellStart"/>
            <w:r w:rsidRPr="00BE056E">
              <w:rPr>
                <w:lang w:val="en-AU"/>
              </w:rPr>
              <w:t>mths</w:t>
            </w:r>
            <w:proofErr w:type="spellEnd"/>
            <w:r w:rsidRPr="00BE056E">
              <w:rPr>
                <w:lang w:val="en-AU"/>
              </w:rPr>
              <w:t xml:space="preserve"> </w:t>
            </w:r>
            <w:r w:rsidRPr="00BE056E">
              <w:rPr>
                <w:szCs w:val="20"/>
                <w:lang w:val="en-AU"/>
              </w:rPr>
              <w:t>(95% CI)</w:t>
            </w:r>
          </w:p>
        </w:tc>
        <w:tc>
          <w:tcPr>
            <w:tcW w:w="861" w:type="pct"/>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NR</w:t>
            </w:r>
          </w:p>
        </w:tc>
        <w:tc>
          <w:tcPr>
            <w:tcW w:w="940" w:type="pct"/>
            <w:gridSpan w:val="2"/>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NR</w:t>
            </w:r>
          </w:p>
        </w:tc>
        <w:tc>
          <w:tcPr>
            <w:tcW w:w="862" w:type="pct"/>
            <w:gridSpan w:val="2"/>
            <w:shd w:val="clear" w:color="auto" w:fill="auto"/>
            <w:vAlign w:val="center"/>
          </w:tcPr>
          <w:p w:rsidR="00C31220" w:rsidRPr="00BE056E" w:rsidRDefault="00C31220" w:rsidP="00750CE1">
            <w:pPr>
              <w:pStyle w:val="TableText"/>
              <w:keepNext/>
              <w:keepLines/>
              <w:spacing w:before="0" w:after="0" w:line="240" w:lineRule="auto"/>
              <w:jc w:val="center"/>
              <w:rPr>
                <w:iCs/>
                <w:lang w:val="en-AU"/>
              </w:rPr>
            </w:pPr>
            <w:r w:rsidRPr="00BE056E">
              <w:rPr>
                <w:iCs/>
                <w:lang w:val="en-AU"/>
              </w:rPr>
              <w:t>-</w:t>
            </w:r>
          </w:p>
        </w:tc>
        <w:tc>
          <w:tcPr>
            <w:tcW w:w="630" w:type="pct"/>
            <w:gridSpan w:val="2"/>
            <w:vMerge/>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p>
        </w:tc>
      </w:tr>
      <w:tr w:rsidR="00C31220" w:rsidRPr="00BE056E" w:rsidTr="0088177D">
        <w:tc>
          <w:tcPr>
            <w:tcW w:w="1707" w:type="pct"/>
            <w:gridSpan w:val="2"/>
            <w:shd w:val="clear" w:color="auto" w:fill="auto"/>
            <w:vAlign w:val="center"/>
          </w:tcPr>
          <w:p w:rsidR="00C31220" w:rsidRPr="00BE056E" w:rsidRDefault="00C31220" w:rsidP="00750CE1">
            <w:pPr>
              <w:pStyle w:val="TableText"/>
              <w:keepNext/>
              <w:keepLines/>
              <w:spacing w:before="0" w:after="0" w:line="240" w:lineRule="auto"/>
              <w:rPr>
                <w:lang w:val="en-AU"/>
              </w:rPr>
            </w:pPr>
            <w:r w:rsidRPr="00BE056E">
              <w:rPr>
                <w:lang w:val="en-AU"/>
              </w:rPr>
              <w:t xml:space="preserve">% progression-free at 12 </w:t>
            </w:r>
            <w:proofErr w:type="spellStart"/>
            <w:r w:rsidRPr="00BE056E">
              <w:rPr>
                <w:lang w:val="en-AU"/>
              </w:rPr>
              <w:t>mths</w:t>
            </w:r>
            <w:proofErr w:type="spellEnd"/>
            <w:r w:rsidRPr="00BE056E">
              <w:rPr>
                <w:lang w:val="en-AU"/>
              </w:rPr>
              <w:t xml:space="preserve"> </w:t>
            </w:r>
            <w:r w:rsidRPr="00BE056E">
              <w:rPr>
                <w:szCs w:val="20"/>
                <w:lang w:val="en-AU"/>
              </w:rPr>
              <w:t>(95%</w:t>
            </w:r>
            <w:r w:rsidR="000761CF">
              <w:rPr>
                <w:szCs w:val="20"/>
                <w:lang w:val="en-AU"/>
              </w:rPr>
              <w:t xml:space="preserve"> </w:t>
            </w:r>
            <w:r w:rsidRPr="00BE056E">
              <w:rPr>
                <w:szCs w:val="20"/>
                <w:lang w:val="en-AU"/>
              </w:rPr>
              <w:t>CI)</w:t>
            </w:r>
          </w:p>
        </w:tc>
        <w:tc>
          <w:tcPr>
            <w:tcW w:w="861" w:type="pct"/>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NR</w:t>
            </w:r>
          </w:p>
        </w:tc>
        <w:tc>
          <w:tcPr>
            <w:tcW w:w="940" w:type="pct"/>
            <w:gridSpan w:val="2"/>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NR</w:t>
            </w:r>
          </w:p>
        </w:tc>
        <w:tc>
          <w:tcPr>
            <w:tcW w:w="862" w:type="pct"/>
            <w:gridSpan w:val="2"/>
            <w:shd w:val="clear" w:color="auto" w:fill="auto"/>
            <w:vAlign w:val="center"/>
          </w:tcPr>
          <w:p w:rsidR="00C31220" w:rsidRPr="00BE056E" w:rsidRDefault="00C31220" w:rsidP="00750CE1">
            <w:pPr>
              <w:pStyle w:val="TableText"/>
              <w:keepNext/>
              <w:keepLines/>
              <w:spacing w:before="0" w:after="0" w:line="240" w:lineRule="auto"/>
              <w:jc w:val="center"/>
              <w:rPr>
                <w:iCs/>
                <w:lang w:val="en-AU"/>
              </w:rPr>
            </w:pPr>
            <w:r w:rsidRPr="00BE056E">
              <w:rPr>
                <w:iCs/>
                <w:lang w:val="en-AU"/>
              </w:rPr>
              <w:t>-</w:t>
            </w:r>
          </w:p>
        </w:tc>
        <w:tc>
          <w:tcPr>
            <w:tcW w:w="630" w:type="pct"/>
            <w:gridSpan w:val="2"/>
            <w:vMerge/>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p>
        </w:tc>
      </w:tr>
      <w:tr w:rsidR="00C31220" w:rsidRPr="00BE056E" w:rsidTr="0088177D">
        <w:tc>
          <w:tcPr>
            <w:tcW w:w="5000" w:type="pct"/>
            <w:gridSpan w:val="9"/>
            <w:shd w:val="clear" w:color="auto" w:fill="auto"/>
            <w:vAlign w:val="center"/>
          </w:tcPr>
          <w:p w:rsidR="00C31220" w:rsidRPr="00BE056E" w:rsidRDefault="00C31220" w:rsidP="00750CE1">
            <w:pPr>
              <w:pStyle w:val="TableText"/>
              <w:keepNext/>
              <w:keepLines/>
              <w:spacing w:before="0" w:after="0" w:line="240" w:lineRule="auto"/>
              <w:rPr>
                <w:b/>
                <w:lang w:val="en-AU"/>
              </w:rPr>
            </w:pPr>
            <w:r w:rsidRPr="00BE056E">
              <w:rPr>
                <w:b/>
                <w:lang w:val="en-AU"/>
              </w:rPr>
              <w:t xml:space="preserve">Overall survival – </w:t>
            </w:r>
            <w:r w:rsidR="00653A2A">
              <w:rPr>
                <w:b/>
                <w:lang w:val="en-AU"/>
              </w:rPr>
              <w:t>Cohort A ITT</w:t>
            </w:r>
          </w:p>
        </w:tc>
      </w:tr>
      <w:tr w:rsidR="00C31220" w:rsidRPr="00BE056E" w:rsidTr="0088177D">
        <w:tc>
          <w:tcPr>
            <w:tcW w:w="1707" w:type="pct"/>
            <w:gridSpan w:val="2"/>
            <w:shd w:val="clear" w:color="auto" w:fill="auto"/>
            <w:vAlign w:val="center"/>
          </w:tcPr>
          <w:p w:rsidR="00C31220" w:rsidRPr="00BE056E" w:rsidRDefault="00C31220" w:rsidP="00750CE1">
            <w:pPr>
              <w:pStyle w:val="TableText"/>
              <w:keepNext/>
              <w:keepLines/>
              <w:spacing w:before="0" w:after="0" w:line="240" w:lineRule="auto"/>
              <w:rPr>
                <w:lang w:val="en-AU"/>
              </w:rPr>
            </w:pPr>
            <w:r w:rsidRPr="00BE056E">
              <w:rPr>
                <w:szCs w:val="20"/>
                <w:lang w:val="en-AU"/>
              </w:rPr>
              <w:t>Died</w:t>
            </w:r>
            <w:r w:rsidR="00D46A7F">
              <w:rPr>
                <w:szCs w:val="20"/>
                <w:lang w:val="en-AU"/>
              </w:rPr>
              <w:t>,</w:t>
            </w:r>
            <w:r w:rsidRPr="00BE056E">
              <w:rPr>
                <w:szCs w:val="20"/>
                <w:lang w:val="en-AU"/>
              </w:rPr>
              <w:t xml:space="preserve"> n (%)</w:t>
            </w:r>
          </w:p>
        </w:tc>
        <w:tc>
          <w:tcPr>
            <w:tcW w:w="861" w:type="pct"/>
            <w:shd w:val="clear" w:color="auto" w:fill="auto"/>
            <w:vAlign w:val="center"/>
          </w:tcPr>
          <w:p w:rsidR="00C31220" w:rsidRPr="00BE056E" w:rsidRDefault="00653A2A" w:rsidP="00750CE1">
            <w:pPr>
              <w:pStyle w:val="TableText"/>
              <w:keepNext/>
              <w:keepLines/>
              <w:spacing w:before="0" w:after="0" w:line="240" w:lineRule="auto"/>
              <w:jc w:val="center"/>
              <w:rPr>
                <w:lang w:val="en-AU"/>
              </w:rPr>
            </w:pPr>
            <w:r>
              <w:rPr>
                <w:szCs w:val="20"/>
                <w:lang w:val="en-AU"/>
              </w:rPr>
              <w:t>91</w:t>
            </w:r>
            <w:r w:rsidR="00C31220" w:rsidRPr="00BE056E">
              <w:rPr>
                <w:szCs w:val="20"/>
                <w:lang w:val="en-AU"/>
              </w:rPr>
              <w:t xml:space="preserve"> (5</w:t>
            </w:r>
            <w:r>
              <w:rPr>
                <w:szCs w:val="20"/>
                <w:lang w:val="en-AU"/>
              </w:rPr>
              <w:t>6.</w:t>
            </w:r>
            <w:r w:rsidR="00C31220" w:rsidRPr="00BE056E">
              <w:rPr>
                <w:szCs w:val="20"/>
                <w:lang w:val="en-AU"/>
              </w:rPr>
              <w:t>2%)</w:t>
            </w:r>
          </w:p>
        </w:tc>
        <w:tc>
          <w:tcPr>
            <w:tcW w:w="940" w:type="pct"/>
            <w:gridSpan w:val="2"/>
            <w:shd w:val="clear" w:color="auto" w:fill="auto"/>
            <w:vAlign w:val="center"/>
          </w:tcPr>
          <w:p w:rsidR="00C31220" w:rsidRPr="00BE056E" w:rsidRDefault="00653A2A" w:rsidP="00750CE1">
            <w:pPr>
              <w:pStyle w:val="TableText"/>
              <w:keepNext/>
              <w:keepLines/>
              <w:spacing w:before="0" w:after="0" w:line="240" w:lineRule="auto"/>
              <w:jc w:val="center"/>
              <w:rPr>
                <w:lang w:val="en-AU"/>
              </w:rPr>
            </w:pPr>
            <w:r>
              <w:rPr>
                <w:szCs w:val="20"/>
                <w:lang w:val="en-AU"/>
              </w:rPr>
              <w:t>57</w:t>
            </w:r>
            <w:r w:rsidR="00C31220" w:rsidRPr="00BE056E">
              <w:rPr>
                <w:szCs w:val="20"/>
                <w:lang w:val="en-AU"/>
              </w:rPr>
              <w:t xml:space="preserve"> (</w:t>
            </w:r>
            <w:r>
              <w:rPr>
                <w:szCs w:val="20"/>
                <w:lang w:val="en-AU"/>
              </w:rPr>
              <w:t>68</w:t>
            </w:r>
            <w:r w:rsidR="00C31220" w:rsidRPr="00BE056E">
              <w:rPr>
                <w:szCs w:val="20"/>
                <w:lang w:val="en-AU"/>
              </w:rPr>
              <w:t>.</w:t>
            </w:r>
            <w:r>
              <w:rPr>
                <w:szCs w:val="20"/>
                <w:lang w:val="en-AU"/>
              </w:rPr>
              <w:t>3</w:t>
            </w:r>
            <w:r w:rsidR="00C31220" w:rsidRPr="00BE056E">
              <w:rPr>
                <w:szCs w:val="20"/>
                <w:lang w:val="en-AU"/>
              </w:rPr>
              <w:t>%)</w:t>
            </w:r>
          </w:p>
        </w:tc>
        <w:tc>
          <w:tcPr>
            <w:tcW w:w="862" w:type="pct"/>
            <w:gridSpan w:val="2"/>
            <w:shd w:val="clear" w:color="auto" w:fill="auto"/>
            <w:vAlign w:val="center"/>
          </w:tcPr>
          <w:p w:rsidR="00C31220" w:rsidRPr="00BE056E" w:rsidRDefault="00C31220" w:rsidP="00750CE1">
            <w:pPr>
              <w:pStyle w:val="TableText"/>
              <w:keepNext/>
              <w:keepLines/>
              <w:spacing w:before="0" w:after="0" w:line="240" w:lineRule="auto"/>
              <w:jc w:val="center"/>
              <w:rPr>
                <w:lang w:val="en-AU"/>
              </w:rPr>
            </w:pPr>
            <w:r w:rsidRPr="00BE056E">
              <w:rPr>
                <w:lang w:val="en-AU"/>
              </w:rPr>
              <w:t>-</w:t>
            </w:r>
          </w:p>
        </w:tc>
        <w:tc>
          <w:tcPr>
            <w:tcW w:w="630" w:type="pct"/>
            <w:gridSpan w:val="2"/>
            <w:vMerge w:val="restart"/>
            <w:shd w:val="clear" w:color="auto" w:fill="auto"/>
            <w:vAlign w:val="center"/>
          </w:tcPr>
          <w:p w:rsidR="00C31220" w:rsidRPr="00BE056E" w:rsidRDefault="00C31220" w:rsidP="00750CE1">
            <w:pPr>
              <w:pStyle w:val="TableText"/>
              <w:keepNext/>
              <w:keepLines/>
              <w:spacing w:before="0" w:after="0" w:line="240" w:lineRule="auto"/>
              <w:jc w:val="center"/>
              <w:rPr>
                <w:b/>
                <w:szCs w:val="20"/>
                <w:lang w:val="en-AU"/>
              </w:rPr>
            </w:pPr>
            <w:r w:rsidRPr="00BE056E">
              <w:rPr>
                <w:b/>
                <w:szCs w:val="20"/>
                <w:lang w:val="en-AU"/>
              </w:rPr>
              <w:t>0.6</w:t>
            </w:r>
            <w:r w:rsidR="00653A2A">
              <w:rPr>
                <w:b/>
                <w:szCs w:val="20"/>
                <w:lang w:val="en-AU"/>
              </w:rPr>
              <w:t>9</w:t>
            </w:r>
          </w:p>
          <w:p w:rsidR="00C31220" w:rsidRPr="00BE056E" w:rsidRDefault="00C31220" w:rsidP="00750CE1">
            <w:pPr>
              <w:pStyle w:val="TableText"/>
              <w:keepNext/>
              <w:keepLines/>
              <w:spacing w:before="0" w:after="0" w:line="240" w:lineRule="auto"/>
              <w:jc w:val="center"/>
              <w:rPr>
                <w:lang w:val="en-AU"/>
              </w:rPr>
            </w:pPr>
            <w:r w:rsidRPr="00BE056E">
              <w:rPr>
                <w:b/>
                <w:szCs w:val="20"/>
                <w:lang w:val="en-AU"/>
              </w:rPr>
              <w:t>(0.</w:t>
            </w:r>
            <w:r w:rsidR="00653A2A">
              <w:rPr>
                <w:b/>
                <w:szCs w:val="20"/>
                <w:lang w:val="en-AU"/>
              </w:rPr>
              <w:t>50</w:t>
            </w:r>
            <w:r w:rsidRPr="00BE056E">
              <w:rPr>
                <w:b/>
                <w:szCs w:val="20"/>
                <w:lang w:val="en-AU"/>
              </w:rPr>
              <w:t>, 0.9</w:t>
            </w:r>
            <w:r w:rsidR="00653A2A">
              <w:rPr>
                <w:b/>
                <w:szCs w:val="20"/>
                <w:lang w:val="en-AU"/>
              </w:rPr>
              <w:t>7</w:t>
            </w:r>
            <w:r w:rsidRPr="00BE056E">
              <w:rPr>
                <w:b/>
                <w:szCs w:val="20"/>
                <w:lang w:val="en-AU"/>
              </w:rPr>
              <w:t>)</w:t>
            </w:r>
          </w:p>
        </w:tc>
      </w:tr>
      <w:tr w:rsidR="00C31220" w:rsidRPr="00BE056E" w:rsidTr="0088177D">
        <w:tc>
          <w:tcPr>
            <w:tcW w:w="1707" w:type="pct"/>
            <w:gridSpan w:val="2"/>
            <w:shd w:val="clear" w:color="auto" w:fill="auto"/>
            <w:vAlign w:val="center"/>
          </w:tcPr>
          <w:p w:rsidR="00C31220" w:rsidRPr="00BE056E" w:rsidRDefault="00C31220" w:rsidP="00750CE1">
            <w:pPr>
              <w:pStyle w:val="TableText"/>
              <w:keepNext/>
              <w:keepLines/>
              <w:spacing w:before="0" w:after="0" w:line="240" w:lineRule="auto"/>
              <w:rPr>
                <w:szCs w:val="20"/>
                <w:lang w:val="en-AU"/>
              </w:rPr>
            </w:pPr>
            <w:r w:rsidRPr="00BE056E">
              <w:rPr>
                <w:lang w:val="en-AU"/>
              </w:rPr>
              <w:t xml:space="preserve">% alive </w:t>
            </w:r>
            <w:r w:rsidRPr="00BE056E">
              <w:rPr>
                <w:szCs w:val="20"/>
                <w:lang w:val="en-AU"/>
              </w:rPr>
              <w:t>(95% CI)</w:t>
            </w:r>
          </w:p>
        </w:tc>
        <w:tc>
          <w:tcPr>
            <w:tcW w:w="861" w:type="pct"/>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4</w:t>
            </w:r>
            <w:r w:rsidR="00653A2A">
              <w:rPr>
                <w:szCs w:val="20"/>
                <w:lang w:val="en-AU"/>
              </w:rPr>
              <w:t>3.</w:t>
            </w:r>
            <w:r w:rsidRPr="00BE056E">
              <w:rPr>
                <w:szCs w:val="20"/>
                <w:lang w:val="en-AU"/>
              </w:rPr>
              <w:t>8% (NR)</w:t>
            </w:r>
          </w:p>
        </w:tc>
        <w:tc>
          <w:tcPr>
            <w:tcW w:w="940" w:type="pct"/>
            <w:gridSpan w:val="2"/>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3</w:t>
            </w:r>
            <w:r w:rsidR="00653A2A">
              <w:rPr>
                <w:szCs w:val="20"/>
                <w:lang w:val="en-AU"/>
              </w:rPr>
              <w:t>1.7</w:t>
            </w:r>
            <w:r w:rsidRPr="00BE056E">
              <w:rPr>
                <w:szCs w:val="20"/>
                <w:lang w:val="en-AU"/>
              </w:rPr>
              <w:t>% (NR)</w:t>
            </w:r>
          </w:p>
        </w:tc>
        <w:tc>
          <w:tcPr>
            <w:tcW w:w="862" w:type="pct"/>
            <w:gridSpan w:val="2"/>
            <w:shd w:val="clear" w:color="auto" w:fill="auto"/>
            <w:vAlign w:val="center"/>
          </w:tcPr>
          <w:p w:rsidR="00C31220" w:rsidRPr="00BE056E" w:rsidRDefault="00C31220" w:rsidP="00750CE1">
            <w:pPr>
              <w:pStyle w:val="TableText"/>
              <w:keepNext/>
              <w:keepLines/>
              <w:spacing w:before="0" w:after="0" w:line="240" w:lineRule="auto"/>
              <w:jc w:val="center"/>
              <w:rPr>
                <w:lang w:val="en-AU"/>
              </w:rPr>
            </w:pPr>
            <w:r w:rsidRPr="00BE056E">
              <w:rPr>
                <w:lang w:val="en-AU"/>
              </w:rPr>
              <w:t>1</w:t>
            </w:r>
            <w:r w:rsidR="00653A2A">
              <w:rPr>
                <w:lang w:val="en-AU"/>
              </w:rPr>
              <w:t>2.1</w:t>
            </w:r>
          </w:p>
        </w:tc>
        <w:tc>
          <w:tcPr>
            <w:tcW w:w="630" w:type="pct"/>
            <w:gridSpan w:val="2"/>
            <w:vMerge/>
            <w:shd w:val="clear" w:color="auto" w:fill="auto"/>
            <w:vAlign w:val="bottom"/>
          </w:tcPr>
          <w:p w:rsidR="00C31220" w:rsidRPr="00BE056E" w:rsidRDefault="00C31220" w:rsidP="00750CE1">
            <w:pPr>
              <w:pStyle w:val="TableText"/>
              <w:keepNext/>
              <w:keepLines/>
              <w:spacing w:before="0" w:after="0" w:line="240" w:lineRule="auto"/>
              <w:jc w:val="center"/>
              <w:rPr>
                <w:b/>
                <w:szCs w:val="20"/>
                <w:lang w:val="en-AU"/>
              </w:rPr>
            </w:pPr>
          </w:p>
        </w:tc>
      </w:tr>
      <w:tr w:rsidR="00C31220" w:rsidRPr="00BE056E" w:rsidTr="0088177D">
        <w:tc>
          <w:tcPr>
            <w:tcW w:w="1707" w:type="pct"/>
            <w:gridSpan w:val="2"/>
            <w:shd w:val="clear" w:color="auto" w:fill="auto"/>
            <w:vAlign w:val="center"/>
          </w:tcPr>
          <w:p w:rsidR="00C31220" w:rsidRPr="00BE056E" w:rsidRDefault="005A7F22" w:rsidP="00750CE1">
            <w:pPr>
              <w:pStyle w:val="TableText"/>
              <w:keepNext/>
              <w:keepLines/>
              <w:spacing w:before="0" w:after="0" w:line="240" w:lineRule="auto"/>
              <w:rPr>
                <w:lang w:val="en-AU"/>
              </w:rPr>
            </w:pPr>
            <w:r>
              <w:rPr>
                <w:szCs w:val="20"/>
                <w:lang w:val="en-AU"/>
              </w:rPr>
              <w:t>Median months to death (95% CI)</w:t>
            </w:r>
          </w:p>
        </w:tc>
        <w:tc>
          <w:tcPr>
            <w:tcW w:w="861" w:type="pct"/>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rFonts w:cs="Arial"/>
                <w:szCs w:val="20"/>
                <w:lang w:val="en-AU"/>
              </w:rPr>
              <w:t>1</w:t>
            </w:r>
            <w:r w:rsidR="00653A2A">
              <w:rPr>
                <w:rFonts w:cs="Arial"/>
                <w:szCs w:val="20"/>
                <w:lang w:val="en-AU"/>
              </w:rPr>
              <w:t>9.09</w:t>
            </w:r>
            <w:r w:rsidRPr="00BE056E">
              <w:rPr>
                <w:rFonts w:cs="Arial"/>
                <w:szCs w:val="20"/>
                <w:lang w:val="en-AU"/>
              </w:rPr>
              <w:t xml:space="preserve"> (17.35, 2</w:t>
            </w:r>
            <w:r w:rsidR="00653A2A">
              <w:rPr>
                <w:rFonts w:cs="Arial"/>
                <w:szCs w:val="20"/>
                <w:lang w:val="en-AU"/>
              </w:rPr>
              <w:t>3.43</w:t>
            </w:r>
            <w:r w:rsidRPr="00BE056E">
              <w:rPr>
                <w:rFonts w:cs="Arial"/>
                <w:szCs w:val="20"/>
                <w:lang w:val="en-AU"/>
              </w:rPr>
              <w:t>)</w:t>
            </w:r>
          </w:p>
        </w:tc>
        <w:tc>
          <w:tcPr>
            <w:tcW w:w="940" w:type="pct"/>
            <w:gridSpan w:val="2"/>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rFonts w:cs="Arial"/>
                <w:szCs w:val="20"/>
                <w:lang w:val="en-AU"/>
              </w:rPr>
              <w:t>14.</w:t>
            </w:r>
            <w:r w:rsidR="00653A2A">
              <w:rPr>
                <w:rFonts w:cs="Arial"/>
                <w:szCs w:val="20"/>
                <w:lang w:val="en-AU"/>
              </w:rPr>
              <w:t>69</w:t>
            </w:r>
            <w:r w:rsidRPr="00BE056E">
              <w:rPr>
                <w:rFonts w:cs="Arial"/>
                <w:szCs w:val="20"/>
                <w:lang w:val="en-AU"/>
              </w:rPr>
              <w:t xml:space="preserve"> (1</w:t>
            </w:r>
            <w:r w:rsidR="00653A2A">
              <w:rPr>
                <w:rFonts w:cs="Arial"/>
                <w:szCs w:val="20"/>
                <w:lang w:val="en-AU"/>
              </w:rPr>
              <w:t>1.93</w:t>
            </w:r>
            <w:r w:rsidRPr="00BE056E">
              <w:rPr>
                <w:rFonts w:cs="Arial"/>
                <w:szCs w:val="20"/>
                <w:lang w:val="en-AU"/>
              </w:rPr>
              <w:t>, 18.</w:t>
            </w:r>
            <w:r w:rsidR="00653A2A">
              <w:rPr>
                <w:rFonts w:cs="Arial"/>
                <w:szCs w:val="20"/>
                <w:lang w:val="en-AU"/>
              </w:rPr>
              <w:t>7</w:t>
            </w:r>
            <w:r w:rsidRPr="00BE056E">
              <w:rPr>
                <w:rFonts w:cs="Arial"/>
                <w:szCs w:val="20"/>
                <w:lang w:val="en-AU"/>
              </w:rPr>
              <w:t>9)</w:t>
            </w:r>
          </w:p>
        </w:tc>
        <w:tc>
          <w:tcPr>
            <w:tcW w:w="862" w:type="pct"/>
            <w:gridSpan w:val="2"/>
            <w:shd w:val="clear" w:color="auto" w:fill="auto"/>
            <w:vAlign w:val="center"/>
          </w:tcPr>
          <w:p w:rsidR="00C31220" w:rsidRPr="00BE056E" w:rsidRDefault="00653A2A" w:rsidP="00750CE1">
            <w:pPr>
              <w:pStyle w:val="TableText"/>
              <w:keepNext/>
              <w:keepLines/>
              <w:spacing w:before="0" w:after="0" w:line="240" w:lineRule="auto"/>
              <w:jc w:val="center"/>
              <w:rPr>
                <w:iCs/>
                <w:lang w:val="en-AU"/>
              </w:rPr>
            </w:pPr>
            <w:r>
              <w:rPr>
                <w:iCs/>
                <w:lang w:val="en-AU"/>
              </w:rPr>
              <w:t>4.4</w:t>
            </w:r>
          </w:p>
        </w:tc>
        <w:tc>
          <w:tcPr>
            <w:tcW w:w="630" w:type="pct"/>
            <w:gridSpan w:val="2"/>
            <w:vMerge/>
            <w:shd w:val="clear" w:color="auto" w:fill="auto"/>
            <w:vAlign w:val="center"/>
          </w:tcPr>
          <w:p w:rsidR="00C31220" w:rsidRPr="00BE056E" w:rsidRDefault="00C31220" w:rsidP="00750CE1">
            <w:pPr>
              <w:pStyle w:val="TableText"/>
              <w:keepNext/>
              <w:keepLines/>
              <w:spacing w:before="0" w:after="0" w:line="240" w:lineRule="auto"/>
              <w:jc w:val="center"/>
              <w:rPr>
                <w:lang w:val="en-AU"/>
              </w:rPr>
            </w:pPr>
          </w:p>
        </w:tc>
      </w:tr>
      <w:tr w:rsidR="00C31220" w:rsidRPr="00BE056E" w:rsidTr="0088177D">
        <w:tc>
          <w:tcPr>
            <w:tcW w:w="1707" w:type="pct"/>
            <w:gridSpan w:val="2"/>
            <w:shd w:val="clear" w:color="auto" w:fill="auto"/>
            <w:vAlign w:val="center"/>
          </w:tcPr>
          <w:p w:rsidR="00C31220" w:rsidRPr="00BE056E" w:rsidRDefault="00C31220" w:rsidP="000761CF">
            <w:pPr>
              <w:pStyle w:val="TableText"/>
              <w:keepNext/>
              <w:keepLines/>
              <w:spacing w:before="0" w:after="0" w:line="240" w:lineRule="auto"/>
              <w:rPr>
                <w:lang w:val="en-AU"/>
              </w:rPr>
            </w:pPr>
            <w:r w:rsidRPr="00BE056E">
              <w:rPr>
                <w:lang w:val="en-AU"/>
              </w:rPr>
              <w:t xml:space="preserve">% alive at 6 </w:t>
            </w:r>
            <w:proofErr w:type="spellStart"/>
            <w:r w:rsidRPr="00BE056E">
              <w:rPr>
                <w:lang w:val="en-AU"/>
              </w:rPr>
              <w:t>mths</w:t>
            </w:r>
            <w:proofErr w:type="spellEnd"/>
            <w:r w:rsidRPr="00BE056E">
              <w:rPr>
                <w:lang w:val="en-AU"/>
              </w:rPr>
              <w:t xml:space="preserve"> </w:t>
            </w:r>
            <w:r w:rsidRPr="00BE056E">
              <w:rPr>
                <w:szCs w:val="20"/>
                <w:lang w:val="en-AU"/>
              </w:rPr>
              <w:t>(95% CI)</w:t>
            </w:r>
          </w:p>
        </w:tc>
        <w:tc>
          <w:tcPr>
            <w:tcW w:w="861" w:type="pct"/>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NR</w:t>
            </w:r>
          </w:p>
        </w:tc>
        <w:tc>
          <w:tcPr>
            <w:tcW w:w="940" w:type="pct"/>
            <w:gridSpan w:val="2"/>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NR</w:t>
            </w:r>
          </w:p>
        </w:tc>
        <w:tc>
          <w:tcPr>
            <w:tcW w:w="862" w:type="pct"/>
            <w:gridSpan w:val="2"/>
            <w:shd w:val="clear" w:color="auto" w:fill="auto"/>
            <w:vAlign w:val="center"/>
          </w:tcPr>
          <w:p w:rsidR="00C31220" w:rsidRPr="00BE056E" w:rsidRDefault="00C31220" w:rsidP="00750CE1">
            <w:pPr>
              <w:pStyle w:val="TableText"/>
              <w:keepNext/>
              <w:keepLines/>
              <w:spacing w:before="0" w:after="0" w:line="240" w:lineRule="auto"/>
              <w:jc w:val="center"/>
              <w:rPr>
                <w:iCs/>
                <w:lang w:val="en-AU"/>
              </w:rPr>
            </w:pPr>
            <w:r w:rsidRPr="00BE056E">
              <w:rPr>
                <w:iCs/>
                <w:lang w:val="en-AU"/>
              </w:rPr>
              <w:t>-</w:t>
            </w:r>
          </w:p>
        </w:tc>
        <w:tc>
          <w:tcPr>
            <w:tcW w:w="630" w:type="pct"/>
            <w:gridSpan w:val="2"/>
            <w:vMerge/>
            <w:shd w:val="clear" w:color="auto" w:fill="auto"/>
            <w:vAlign w:val="center"/>
          </w:tcPr>
          <w:p w:rsidR="00C31220" w:rsidRPr="00BE056E" w:rsidRDefault="00C31220" w:rsidP="00750CE1">
            <w:pPr>
              <w:pStyle w:val="TableText"/>
              <w:keepNext/>
              <w:keepLines/>
              <w:spacing w:before="0" w:after="0" w:line="240" w:lineRule="auto"/>
              <w:jc w:val="center"/>
              <w:rPr>
                <w:lang w:val="en-AU"/>
              </w:rPr>
            </w:pPr>
          </w:p>
        </w:tc>
      </w:tr>
      <w:tr w:rsidR="00C31220" w:rsidRPr="00BE056E" w:rsidTr="0088177D">
        <w:tc>
          <w:tcPr>
            <w:tcW w:w="1707" w:type="pct"/>
            <w:gridSpan w:val="2"/>
            <w:shd w:val="clear" w:color="auto" w:fill="auto"/>
            <w:vAlign w:val="center"/>
          </w:tcPr>
          <w:p w:rsidR="00C31220" w:rsidRPr="00BE056E" w:rsidRDefault="00C31220" w:rsidP="000761CF">
            <w:pPr>
              <w:pStyle w:val="TableText"/>
              <w:keepNext/>
              <w:keepLines/>
              <w:spacing w:before="0" w:after="0" w:line="240" w:lineRule="auto"/>
              <w:rPr>
                <w:lang w:val="en-AU"/>
              </w:rPr>
            </w:pPr>
            <w:r w:rsidRPr="00BE056E">
              <w:rPr>
                <w:lang w:val="en-AU"/>
              </w:rPr>
              <w:t xml:space="preserve">% alive at 12 </w:t>
            </w:r>
            <w:proofErr w:type="spellStart"/>
            <w:r w:rsidRPr="00BE056E">
              <w:rPr>
                <w:lang w:val="en-AU"/>
              </w:rPr>
              <w:t>mths</w:t>
            </w:r>
            <w:proofErr w:type="spellEnd"/>
            <w:r w:rsidRPr="00BE056E">
              <w:rPr>
                <w:lang w:val="en-AU"/>
              </w:rPr>
              <w:t xml:space="preserve"> </w:t>
            </w:r>
            <w:r w:rsidRPr="00BE056E">
              <w:rPr>
                <w:szCs w:val="20"/>
                <w:lang w:val="en-AU"/>
              </w:rPr>
              <w:t>(95% CI)</w:t>
            </w:r>
          </w:p>
        </w:tc>
        <w:tc>
          <w:tcPr>
            <w:tcW w:w="861" w:type="pct"/>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NR</w:t>
            </w:r>
          </w:p>
        </w:tc>
        <w:tc>
          <w:tcPr>
            <w:tcW w:w="940" w:type="pct"/>
            <w:gridSpan w:val="2"/>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NR</w:t>
            </w:r>
          </w:p>
        </w:tc>
        <w:tc>
          <w:tcPr>
            <w:tcW w:w="862" w:type="pct"/>
            <w:gridSpan w:val="2"/>
            <w:shd w:val="clear" w:color="auto" w:fill="auto"/>
            <w:vAlign w:val="center"/>
          </w:tcPr>
          <w:p w:rsidR="00C31220" w:rsidRPr="00BE056E" w:rsidRDefault="00C31220" w:rsidP="00750CE1">
            <w:pPr>
              <w:pStyle w:val="TableText"/>
              <w:keepNext/>
              <w:keepLines/>
              <w:spacing w:before="0" w:after="0" w:line="240" w:lineRule="auto"/>
              <w:jc w:val="center"/>
              <w:rPr>
                <w:iCs/>
                <w:lang w:val="en-AU"/>
              </w:rPr>
            </w:pPr>
            <w:r w:rsidRPr="00BE056E">
              <w:rPr>
                <w:iCs/>
                <w:lang w:val="en-AU"/>
              </w:rPr>
              <w:t>-</w:t>
            </w:r>
          </w:p>
        </w:tc>
        <w:tc>
          <w:tcPr>
            <w:tcW w:w="630" w:type="pct"/>
            <w:gridSpan w:val="2"/>
            <w:vMerge/>
            <w:shd w:val="clear" w:color="auto" w:fill="auto"/>
            <w:vAlign w:val="center"/>
          </w:tcPr>
          <w:p w:rsidR="00C31220" w:rsidRPr="00BE056E" w:rsidRDefault="00C31220" w:rsidP="00750CE1">
            <w:pPr>
              <w:pStyle w:val="TableText"/>
              <w:keepNext/>
              <w:keepLines/>
              <w:spacing w:before="0" w:after="0" w:line="240" w:lineRule="auto"/>
              <w:jc w:val="center"/>
              <w:rPr>
                <w:lang w:val="en-AU"/>
              </w:rPr>
            </w:pPr>
          </w:p>
        </w:tc>
      </w:tr>
      <w:tr w:rsidR="00C31220" w:rsidRPr="00BE056E" w:rsidTr="0088177D">
        <w:tc>
          <w:tcPr>
            <w:tcW w:w="5000" w:type="pct"/>
            <w:gridSpan w:val="9"/>
            <w:shd w:val="clear" w:color="auto" w:fill="auto"/>
          </w:tcPr>
          <w:p w:rsidR="00C31220" w:rsidRPr="00BE056E" w:rsidRDefault="00C31220" w:rsidP="00750CE1">
            <w:pPr>
              <w:pStyle w:val="TableText"/>
              <w:keepNext/>
              <w:keepLines/>
              <w:spacing w:before="0" w:after="0" w:line="240" w:lineRule="auto"/>
              <w:rPr>
                <w:b/>
                <w:u w:val="single"/>
                <w:lang w:val="en-AU"/>
              </w:rPr>
            </w:pPr>
            <w:r w:rsidRPr="00BE056E">
              <w:rPr>
                <w:b/>
                <w:u w:val="single"/>
                <w:lang w:val="en-AU"/>
              </w:rPr>
              <w:t xml:space="preserve">Harms – </w:t>
            </w:r>
            <w:proofErr w:type="spellStart"/>
            <w:r w:rsidRPr="00BE056E">
              <w:rPr>
                <w:b/>
                <w:u w:val="single"/>
                <w:lang w:val="en-AU"/>
              </w:rPr>
              <w:t>PROfound</w:t>
            </w:r>
            <w:proofErr w:type="spellEnd"/>
          </w:p>
        </w:tc>
      </w:tr>
      <w:tr w:rsidR="00C31220" w:rsidRPr="00BE056E" w:rsidTr="0088177D">
        <w:trPr>
          <w:trHeight w:val="70"/>
        </w:trPr>
        <w:tc>
          <w:tcPr>
            <w:tcW w:w="757" w:type="pct"/>
            <w:vMerge w:val="restart"/>
            <w:shd w:val="clear" w:color="auto" w:fill="auto"/>
            <w:vAlign w:val="center"/>
          </w:tcPr>
          <w:p w:rsidR="00C31220" w:rsidRPr="00BE056E" w:rsidRDefault="005A7F22" w:rsidP="000761CF">
            <w:pPr>
              <w:pStyle w:val="TableText"/>
              <w:keepNext/>
              <w:keepLines/>
              <w:spacing w:before="0" w:after="0" w:line="240" w:lineRule="auto"/>
              <w:rPr>
                <w:lang w:val="en-AU"/>
              </w:rPr>
            </w:pPr>
            <w:r>
              <w:rPr>
                <w:b/>
                <w:lang w:val="en-AU"/>
              </w:rPr>
              <w:t>Cohort A+</w:t>
            </w:r>
            <w:r w:rsidR="00D46A7F">
              <w:rPr>
                <w:b/>
                <w:lang w:val="en-AU"/>
              </w:rPr>
              <w:t>B</w:t>
            </w:r>
          </w:p>
        </w:tc>
        <w:tc>
          <w:tcPr>
            <w:tcW w:w="950" w:type="pct"/>
            <w:vMerge w:val="restart"/>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proofErr w:type="spellStart"/>
            <w:r w:rsidRPr="00BE056E">
              <w:rPr>
                <w:b/>
                <w:lang w:val="en-AU"/>
              </w:rPr>
              <w:t>Olaparib</w:t>
            </w:r>
            <w:proofErr w:type="spellEnd"/>
          </w:p>
          <w:p w:rsidR="00C31220" w:rsidRPr="00BE056E" w:rsidRDefault="00C31220" w:rsidP="00750CE1">
            <w:pPr>
              <w:pStyle w:val="TableText"/>
              <w:keepNext/>
              <w:keepLines/>
              <w:spacing w:before="0" w:after="0" w:line="240" w:lineRule="auto"/>
              <w:jc w:val="center"/>
              <w:rPr>
                <w:b/>
                <w:lang w:val="en-AU"/>
              </w:rPr>
            </w:pPr>
            <w:r w:rsidRPr="00BE056E">
              <w:rPr>
                <w:b/>
                <w:lang w:val="en-AU"/>
              </w:rPr>
              <w:t>N=256</w:t>
            </w:r>
          </w:p>
        </w:tc>
        <w:tc>
          <w:tcPr>
            <w:tcW w:w="861" w:type="pct"/>
            <w:vMerge w:val="restart"/>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r w:rsidRPr="00BE056E">
              <w:rPr>
                <w:b/>
                <w:lang w:val="en-AU"/>
              </w:rPr>
              <w:t>NHA</w:t>
            </w:r>
          </w:p>
          <w:p w:rsidR="00C31220" w:rsidRPr="00BE056E" w:rsidRDefault="00C31220" w:rsidP="00750CE1">
            <w:pPr>
              <w:pStyle w:val="TableText"/>
              <w:keepNext/>
              <w:keepLines/>
              <w:spacing w:before="0" w:after="0" w:line="240" w:lineRule="auto"/>
              <w:jc w:val="center"/>
              <w:rPr>
                <w:b/>
                <w:lang w:val="en-AU"/>
              </w:rPr>
            </w:pPr>
            <w:r w:rsidRPr="00BE056E">
              <w:rPr>
                <w:b/>
                <w:lang w:val="en-AU"/>
              </w:rPr>
              <w:t>N=130</w:t>
            </w:r>
          </w:p>
        </w:tc>
        <w:tc>
          <w:tcPr>
            <w:tcW w:w="786" w:type="pct"/>
            <w:vMerge w:val="restart"/>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r w:rsidRPr="00BE056E">
              <w:rPr>
                <w:b/>
                <w:lang w:val="en-AU"/>
              </w:rPr>
              <w:t>RR</w:t>
            </w:r>
          </w:p>
          <w:p w:rsidR="00C31220" w:rsidRPr="00BE056E" w:rsidRDefault="00C31220" w:rsidP="00750CE1">
            <w:pPr>
              <w:pStyle w:val="TableText"/>
              <w:keepNext/>
              <w:keepLines/>
              <w:spacing w:before="0" w:after="0" w:line="240" w:lineRule="auto"/>
              <w:jc w:val="center"/>
              <w:rPr>
                <w:b/>
                <w:lang w:val="en-AU"/>
              </w:rPr>
            </w:pPr>
            <w:r w:rsidRPr="00BE056E">
              <w:rPr>
                <w:b/>
                <w:lang w:val="en-AU"/>
              </w:rPr>
              <w:t>(95% CI)</w:t>
            </w:r>
          </w:p>
        </w:tc>
        <w:tc>
          <w:tcPr>
            <w:tcW w:w="1034" w:type="pct"/>
            <w:gridSpan w:val="4"/>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r w:rsidRPr="00BE056E">
              <w:rPr>
                <w:b/>
                <w:lang w:val="en-AU"/>
              </w:rPr>
              <w:t>Events/100 patients</w:t>
            </w:r>
          </w:p>
        </w:tc>
        <w:tc>
          <w:tcPr>
            <w:tcW w:w="611" w:type="pct"/>
            <w:vMerge w:val="restart"/>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r w:rsidRPr="00BE056E">
              <w:rPr>
                <w:b/>
                <w:lang w:val="en-AU"/>
              </w:rPr>
              <w:t>RD</w:t>
            </w:r>
          </w:p>
          <w:p w:rsidR="00C31220" w:rsidRPr="00BE056E" w:rsidRDefault="00C31220" w:rsidP="00750CE1">
            <w:pPr>
              <w:pStyle w:val="TableText"/>
              <w:keepNext/>
              <w:keepLines/>
              <w:spacing w:before="0" w:after="0" w:line="240" w:lineRule="auto"/>
              <w:jc w:val="center"/>
              <w:rPr>
                <w:b/>
                <w:lang w:val="en-AU"/>
              </w:rPr>
            </w:pPr>
            <w:r w:rsidRPr="00BE056E">
              <w:rPr>
                <w:b/>
                <w:lang w:val="en-AU"/>
              </w:rPr>
              <w:t>(95% CI)</w:t>
            </w:r>
          </w:p>
        </w:tc>
      </w:tr>
      <w:tr w:rsidR="00C31220" w:rsidRPr="00BE056E" w:rsidTr="0088177D">
        <w:trPr>
          <w:trHeight w:val="143"/>
        </w:trPr>
        <w:tc>
          <w:tcPr>
            <w:tcW w:w="757" w:type="pct"/>
            <w:vMerge/>
            <w:shd w:val="clear" w:color="auto" w:fill="auto"/>
            <w:vAlign w:val="center"/>
          </w:tcPr>
          <w:p w:rsidR="00C31220" w:rsidRPr="00BE056E" w:rsidRDefault="00C31220" w:rsidP="00750CE1">
            <w:pPr>
              <w:pStyle w:val="TableText"/>
              <w:keepNext/>
              <w:keepLines/>
              <w:spacing w:before="0" w:after="0" w:line="240" w:lineRule="auto"/>
              <w:rPr>
                <w:lang w:val="en-AU"/>
              </w:rPr>
            </w:pPr>
          </w:p>
        </w:tc>
        <w:tc>
          <w:tcPr>
            <w:tcW w:w="950" w:type="pct"/>
            <w:vMerge/>
            <w:shd w:val="clear" w:color="auto" w:fill="auto"/>
            <w:vAlign w:val="center"/>
          </w:tcPr>
          <w:p w:rsidR="00C31220" w:rsidRPr="00BE056E" w:rsidRDefault="00C31220" w:rsidP="00750CE1">
            <w:pPr>
              <w:pStyle w:val="TableText"/>
              <w:keepNext/>
              <w:keepLines/>
              <w:spacing w:before="0" w:after="0" w:line="240" w:lineRule="auto"/>
              <w:rPr>
                <w:lang w:val="en-AU"/>
              </w:rPr>
            </w:pPr>
          </w:p>
        </w:tc>
        <w:tc>
          <w:tcPr>
            <w:tcW w:w="861" w:type="pct"/>
            <w:vMerge/>
            <w:shd w:val="clear" w:color="auto" w:fill="auto"/>
            <w:vAlign w:val="center"/>
          </w:tcPr>
          <w:p w:rsidR="00C31220" w:rsidRPr="00BE056E" w:rsidRDefault="00C31220" w:rsidP="00750CE1">
            <w:pPr>
              <w:pStyle w:val="TableText"/>
              <w:keepNext/>
              <w:keepLines/>
              <w:spacing w:before="0" w:after="0" w:line="240" w:lineRule="auto"/>
              <w:rPr>
                <w:lang w:val="en-AU"/>
              </w:rPr>
            </w:pPr>
          </w:p>
        </w:tc>
        <w:tc>
          <w:tcPr>
            <w:tcW w:w="786" w:type="pct"/>
            <w:vMerge/>
            <w:shd w:val="clear" w:color="auto" w:fill="auto"/>
            <w:vAlign w:val="center"/>
          </w:tcPr>
          <w:p w:rsidR="00C31220" w:rsidRPr="00BE056E" w:rsidRDefault="00C31220" w:rsidP="00750CE1">
            <w:pPr>
              <w:pStyle w:val="TableText"/>
              <w:keepNext/>
              <w:keepLines/>
              <w:spacing w:before="0" w:after="0" w:line="240" w:lineRule="auto"/>
              <w:rPr>
                <w:lang w:val="en-AU"/>
              </w:rPr>
            </w:pPr>
          </w:p>
        </w:tc>
        <w:tc>
          <w:tcPr>
            <w:tcW w:w="549" w:type="pct"/>
            <w:gridSpan w:val="2"/>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proofErr w:type="spellStart"/>
            <w:r w:rsidRPr="00BE056E">
              <w:rPr>
                <w:b/>
                <w:lang w:val="en-AU"/>
              </w:rPr>
              <w:t>Olaparib</w:t>
            </w:r>
            <w:proofErr w:type="spellEnd"/>
          </w:p>
        </w:tc>
        <w:tc>
          <w:tcPr>
            <w:tcW w:w="486" w:type="pct"/>
            <w:gridSpan w:val="2"/>
            <w:shd w:val="clear" w:color="auto" w:fill="auto"/>
            <w:vAlign w:val="center"/>
          </w:tcPr>
          <w:p w:rsidR="00C31220" w:rsidRPr="00BE056E" w:rsidRDefault="00C31220" w:rsidP="00750CE1">
            <w:pPr>
              <w:pStyle w:val="TableText"/>
              <w:keepNext/>
              <w:keepLines/>
              <w:spacing w:before="0" w:after="0" w:line="240" w:lineRule="auto"/>
              <w:jc w:val="center"/>
              <w:rPr>
                <w:b/>
                <w:lang w:val="en-AU"/>
              </w:rPr>
            </w:pPr>
            <w:r w:rsidRPr="00BE056E">
              <w:rPr>
                <w:b/>
                <w:lang w:val="en-AU"/>
              </w:rPr>
              <w:t>NHA</w:t>
            </w:r>
          </w:p>
        </w:tc>
        <w:tc>
          <w:tcPr>
            <w:tcW w:w="611" w:type="pct"/>
            <w:vMerge/>
            <w:shd w:val="clear" w:color="auto" w:fill="auto"/>
            <w:vAlign w:val="center"/>
          </w:tcPr>
          <w:p w:rsidR="00C31220" w:rsidRPr="00BE056E" w:rsidRDefault="00C31220" w:rsidP="00750CE1">
            <w:pPr>
              <w:pStyle w:val="TableText"/>
              <w:keepNext/>
              <w:keepLines/>
              <w:spacing w:before="0" w:after="0" w:line="240" w:lineRule="auto"/>
              <w:rPr>
                <w:lang w:val="en-AU"/>
              </w:rPr>
            </w:pPr>
          </w:p>
        </w:tc>
      </w:tr>
      <w:tr w:rsidR="00C31220" w:rsidRPr="00BE056E" w:rsidTr="0088177D">
        <w:tc>
          <w:tcPr>
            <w:tcW w:w="757" w:type="pct"/>
            <w:shd w:val="clear" w:color="auto" w:fill="auto"/>
            <w:vAlign w:val="center"/>
          </w:tcPr>
          <w:p w:rsidR="00C31220" w:rsidRPr="00BE056E" w:rsidRDefault="00C31220" w:rsidP="00750CE1">
            <w:pPr>
              <w:pStyle w:val="TableText"/>
              <w:keepNext/>
              <w:keepLines/>
              <w:spacing w:before="0" w:after="0" w:line="240" w:lineRule="auto"/>
              <w:rPr>
                <w:szCs w:val="20"/>
                <w:lang w:val="en-AU"/>
              </w:rPr>
            </w:pPr>
            <w:r w:rsidRPr="00BE056E">
              <w:rPr>
                <w:szCs w:val="20"/>
                <w:lang w:val="en-AU"/>
              </w:rPr>
              <w:t>Anaemia</w:t>
            </w:r>
          </w:p>
        </w:tc>
        <w:tc>
          <w:tcPr>
            <w:tcW w:w="950" w:type="pct"/>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52 (22.7%)</w:t>
            </w:r>
          </w:p>
        </w:tc>
        <w:tc>
          <w:tcPr>
            <w:tcW w:w="861" w:type="pct"/>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7 (5.4%)</w:t>
            </w:r>
          </w:p>
        </w:tc>
        <w:tc>
          <w:tcPr>
            <w:tcW w:w="786" w:type="pct"/>
            <w:shd w:val="clear" w:color="auto" w:fill="auto"/>
            <w:vAlign w:val="center"/>
          </w:tcPr>
          <w:p w:rsidR="00C31220" w:rsidRPr="00BE056E" w:rsidRDefault="00C31220" w:rsidP="00750CE1">
            <w:pPr>
              <w:keepNext/>
              <w:keepLines/>
              <w:spacing w:before="0"/>
              <w:jc w:val="center"/>
              <w:rPr>
                <w:rFonts w:ascii="Arial Narrow" w:hAnsi="Arial Narrow"/>
                <w:sz w:val="20"/>
                <w:szCs w:val="20"/>
                <w:lang w:val="en-AU" w:eastAsia="en-AU"/>
              </w:rPr>
            </w:pPr>
            <w:r w:rsidRPr="00BE056E">
              <w:rPr>
                <w:rFonts w:ascii="Arial Narrow" w:hAnsi="Arial Narrow"/>
                <w:sz w:val="20"/>
                <w:szCs w:val="20"/>
                <w:lang w:val="en-AU"/>
              </w:rPr>
              <w:t>NR</w:t>
            </w:r>
          </w:p>
        </w:tc>
        <w:tc>
          <w:tcPr>
            <w:tcW w:w="549" w:type="pct"/>
            <w:gridSpan w:val="2"/>
            <w:shd w:val="clear" w:color="auto" w:fill="auto"/>
            <w:vAlign w:val="center"/>
          </w:tcPr>
          <w:p w:rsidR="00C31220" w:rsidRPr="00BE056E" w:rsidRDefault="00C31220" w:rsidP="00750CE1">
            <w:pPr>
              <w:pStyle w:val="TableText"/>
              <w:keepNext/>
              <w:keepLines/>
              <w:spacing w:before="0" w:after="0" w:line="240" w:lineRule="auto"/>
              <w:jc w:val="center"/>
              <w:rPr>
                <w:lang w:val="en-AU"/>
              </w:rPr>
            </w:pPr>
            <w:r w:rsidRPr="00BE056E">
              <w:rPr>
                <w:lang w:val="en-AU"/>
              </w:rPr>
              <w:t>23</w:t>
            </w:r>
          </w:p>
        </w:tc>
        <w:tc>
          <w:tcPr>
            <w:tcW w:w="486" w:type="pct"/>
            <w:gridSpan w:val="2"/>
            <w:shd w:val="clear" w:color="auto" w:fill="auto"/>
            <w:vAlign w:val="center"/>
          </w:tcPr>
          <w:p w:rsidR="00C31220" w:rsidRPr="00BE056E" w:rsidRDefault="00C31220" w:rsidP="00750CE1">
            <w:pPr>
              <w:pStyle w:val="TableText"/>
              <w:keepNext/>
              <w:keepLines/>
              <w:spacing w:before="0" w:after="0" w:line="240" w:lineRule="auto"/>
              <w:jc w:val="center"/>
              <w:rPr>
                <w:lang w:val="en-AU"/>
              </w:rPr>
            </w:pPr>
            <w:r w:rsidRPr="00BE056E">
              <w:rPr>
                <w:lang w:val="en-AU"/>
              </w:rPr>
              <w:t>5</w:t>
            </w:r>
          </w:p>
        </w:tc>
        <w:tc>
          <w:tcPr>
            <w:tcW w:w="611" w:type="pct"/>
            <w:shd w:val="clear" w:color="auto" w:fill="auto"/>
            <w:vAlign w:val="center"/>
          </w:tcPr>
          <w:p w:rsidR="00C31220" w:rsidRPr="00BE056E" w:rsidRDefault="00C31220" w:rsidP="00750CE1">
            <w:pPr>
              <w:keepNext/>
              <w:keepLines/>
              <w:spacing w:before="0"/>
              <w:jc w:val="center"/>
              <w:rPr>
                <w:rFonts w:ascii="Arial Narrow" w:hAnsi="Arial Narrow"/>
                <w:b/>
                <w:bCs/>
                <w:sz w:val="20"/>
                <w:szCs w:val="20"/>
                <w:lang w:val="en-AU"/>
              </w:rPr>
            </w:pPr>
            <w:r w:rsidRPr="00BE056E">
              <w:rPr>
                <w:rFonts w:ascii="Arial Narrow" w:hAnsi="Arial Narrow"/>
                <w:sz w:val="20"/>
                <w:szCs w:val="20"/>
                <w:lang w:val="en-AU"/>
              </w:rPr>
              <w:t>NR</w:t>
            </w:r>
          </w:p>
        </w:tc>
      </w:tr>
      <w:tr w:rsidR="00C31220" w:rsidRPr="00BE056E" w:rsidTr="0088177D">
        <w:tc>
          <w:tcPr>
            <w:tcW w:w="757" w:type="pct"/>
            <w:tcBorders>
              <w:bottom w:val="single" w:sz="4" w:space="0" w:color="auto"/>
            </w:tcBorders>
            <w:shd w:val="clear" w:color="auto" w:fill="auto"/>
            <w:vAlign w:val="center"/>
          </w:tcPr>
          <w:p w:rsidR="00C31220" w:rsidRPr="00BE056E" w:rsidRDefault="00C31220" w:rsidP="00750CE1">
            <w:pPr>
              <w:pStyle w:val="TableText"/>
              <w:keepNext/>
              <w:keepLines/>
              <w:spacing w:before="0" w:after="0" w:line="240" w:lineRule="auto"/>
              <w:rPr>
                <w:lang w:val="en-AU"/>
              </w:rPr>
            </w:pPr>
            <w:r w:rsidRPr="00BE056E">
              <w:rPr>
                <w:szCs w:val="20"/>
                <w:lang w:val="en-AU"/>
              </w:rPr>
              <w:t>Neutropenia</w:t>
            </w:r>
          </w:p>
        </w:tc>
        <w:tc>
          <w:tcPr>
            <w:tcW w:w="950" w:type="pct"/>
            <w:tcBorders>
              <w:bottom w:val="single" w:sz="4" w:space="0" w:color="auto"/>
            </w:tcBorders>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10 (3.9%)</w:t>
            </w:r>
          </w:p>
        </w:tc>
        <w:tc>
          <w:tcPr>
            <w:tcW w:w="861" w:type="pct"/>
            <w:tcBorders>
              <w:bottom w:val="single" w:sz="4" w:space="0" w:color="auto"/>
            </w:tcBorders>
            <w:shd w:val="clear" w:color="auto" w:fill="auto"/>
            <w:vAlign w:val="center"/>
          </w:tcPr>
          <w:p w:rsidR="00C31220" w:rsidRPr="00BE056E" w:rsidRDefault="00C31220" w:rsidP="00750CE1">
            <w:pPr>
              <w:pStyle w:val="TableText"/>
              <w:keepNext/>
              <w:keepLines/>
              <w:spacing w:before="0" w:after="0" w:line="240" w:lineRule="auto"/>
              <w:jc w:val="center"/>
              <w:rPr>
                <w:szCs w:val="20"/>
                <w:lang w:val="en-AU"/>
              </w:rPr>
            </w:pPr>
            <w:r w:rsidRPr="00BE056E">
              <w:rPr>
                <w:szCs w:val="20"/>
                <w:lang w:val="en-AU"/>
              </w:rPr>
              <w:t>0 (0. 0%)</w:t>
            </w:r>
          </w:p>
        </w:tc>
        <w:tc>
          <w:tcPr>
            <w:tcW w:w="786" w:type="pct"/>
            <w:tcBorders>
              <w:bottom w:val="single" w:sz="4" w:space="0" w:color="auto"/>
            </w:tcBorders>
            <w:shd w:val="clear" w:color="auto" w:fill="auto"/>
            <w:vAlign w:val="center"/>
          </w:tcPr>
          <w:p w:rsidR="00C31220" w:rsidRPr="00BE056E" w:rsidRDefault="00C31220" w:rsidP="00750CE1">
            <w:pPr>
              <w:keepNext/>
              <w:keepLines/>
              <w:spacing w:before="0"/>
              <w:jc w:val="center"/>
              <w:rPr>
                <w:rFonts w:ascii="Arial Narrow" w:hAnsi="Arial Narrow"/>
                <w:b/>
                <w:bCs/>
                <w:sz w:val="20"/>
                <w:szCs w:val="20"/>
                <w:lang w:val="en-AU" w:eastAsia="en-AU"/>
              </w:rPr>
            </w:pPr>
            <w:r w:rsidRPr="00BE056E">
              <w:rPr>
                <w:rFonts w:ascii="Arial Narrow" w:hAnsi="Arial Narrow"/>
                <w:sz w:val="20"/>
                <w:szCs w:val="20"/>
                <w:lang w:val="en-AU"/>
              </w:rPr>
              <w:t>NR</w:t>
            </w:r>
          </w:p>
        </w:tc>
        <w:tc>
          <w:tcPr>
            <w:tcW w:w="549" w:type="pct"/>
            <w:gridSpan w:val="2"/>
            <w:tcBorders>
              <w:bottom w:val="single" w:sz="4" w:space="0" w:color="auto"/>
            </w:tcBorders>
            <w:shd w:val="clear" w:color="auto" w:fill="auto"/>
            <w:vAlign w:val="center"/>
          </w:tcPr>
          <w:p w:rsidR="00C31220" w:rsidRPr="00BE056E" w:rsidRDefault="00C31220" w:rsidP="00750CE1">
            <w:pPr>
              <w:pStyle w:val="TableText"/>
              <w:keepNext/>
              <w:keepLines/>
              <w:spacing w:before="0" w:after="0" w:line="240" w:lineRule="auto"/>
              <w:jc w:val="center"/>
              <w:rPr>
                <w:lang w:val="en-AU"/>
              </w:rPr>
            </w:pPr>
            <w:r w:rsidRPr="00BE056E">
              <w:rPr>
                <w:lang w:val="en-AU"/>
              </w:rPr>
              <w:t>4</w:t>
            </w:r>
          </w:p>
        </w:tc>
        <w:tc>
          <w:tcPr>
            <w:tcW w:w="486" w:type="pct"/>
            <w:gridSpan w:val="2"/>
            <w:tcBorders>
              <w:bottom w:val="single" w:sz="4" w:space="0" w:color="auto"/>
            </w:tcBorders>
            <w:shd w:val="clear" w:color="auto" w:fill="auto"/>
            <w:vAlign w:val="center"/>
          </w:tcPr>
          <w:p w:rsidR="00C31220" w:rsidRPr="00BE056E" w:rsidRDefault="00C31220" w:rsidP="00750CE1">
            <w:pPr>
              <w:pStyle w:val="TableText"/>
              <w:keepNext/>
              <w:keepLines/>
              <w:spacing w:before="0" w:after="0" w:line="240" w:lineRule="auto"/>
              <w:jc w:val="center"/>
              <w:rPr>
                <w:lang w:val="en-AU"/>
              </w:rPr>
            </w:pPr>
            <w:r w:rsidRPr="00BE056E">
              <w:rPr>
                <w:lang w:val="en-AU"/>
              </w:rPr>
              <w:t>0</w:t>
            </w:r>
          </w:p>
        </w:tc>
        <w:tc>
          <w:tcPr>
            <w:tcW w:w="611" w:type="pct"/>
            <w:tcBorders>
              <w:bottom w:val="single" w:sz="4" w:space="0" w:color="auto"/>
            </w:tcBorders>
            <w:shd w:val="clear" w:color="auto" w:fill="auto"/>
            <w:vAlign w:val="center"/>
          </w:tcPr>
          <w:p w:rsidR="00C31220" w:rsidRPr="00BE056E" w:rsidRDefault="00C31220" w:rsidP="00750CE1">
            <w:pPr>
              <w:keepNext/>
              <w:keepLines/>
              <w:spacing w:before="0"/>
              <w:jc w:val="center"/>
              <w:rPr>
                <w:rFonts w:ascii="Arial Narrow" w:hAnsi="Arial Narrow"/>
                <w:b/>
                <w:bCs/>
                <w:sz w:val="20"/>
                <w:szCs w:val="20"/>
                <w:lang w:val="en-AU"/>
              </w:rPr>
            </w:pPr>
            <w:r w:rsidRPr="00BE056E">
              <w:rPr>
                <w:rFonts w:ascii="Arial Narrow" w:hAnsi="Arial Narrow"/>
                <w:sz w:val="20"/>
                <w:szCs w:val="20"/>
                <w:lang w:val="en-AU"/>
              </w:rPr>
              <w:t>NR</w:t>
            </w:r>
          </w:p>
        </w:tc>
      </w:tr>
      <w:tr w:rsidR="00C31220" w:rsidRPr="00BE056E" w:rsidTr="0088177D">
        <w:tc>
          <w:tcPr>
            <w:tcW w:w="757" w:type="pct"/>
            <w:shd w:val="clear" w:color="auto" w:fill="auto"/>
            <w:vAlign w:val="center"/>
          </w:tcPr>
          <w:p w:rsidR="00C31220" w:rsidRPr="00BE056E" w:rsidRDefault="00C31220" w:rsidP="00750CE1">
            <w:pPr>
              <w:pStyle w:val="TableText"/>
              <w:keepNext/>
              <w:keepLines/>
              <w:spacing w:before="0" w:after="0" w:line="240" w:lineRule="auto"/>
              <w:rPr>
                <w:lang w:val="en-AU"/>
              </w:rPr>
            </w:pPr>
            <w:r w:rsidRPr="00BE056E">
              <w:rPr>
                <w:szCs w:val="20"/>
                <w:lang w:val="en-AU"/>
              </w:rPr>
              <w:t>Pneumonia</w:t>
            </w:r>
          </w:p>
        </w:tc>
        <w:tc>
          <w:tcPr>
            <w:tcW w:w="950" w:type="pct"/>
            <w:shd w:val="clear" w:color="auto" w:fill="auto"/>
            <w:vAlign w:val="center"/>
          </w:tcPr>
          <w:p w:rsidR="00C31220" w:rsidRPr="00BE056E" w:rsidRDefault="00C31220" w:rsidP="00750CE1">
            <w:pPr>
              <w:pStyle w:val="TableText"/>
              <w:keepNext/>
              <w:keepLines/>
              <w:spacing w:before="0" w:after="0" w:line="240" w:lineRule="auto"/>
              <w:jc w:val="center"/>
              <w:rPr>
                <w:lang w:val="en-AU"/>
              </w:rPr>
            </w:pPr>
            <w:r w:rsidRPr="00BE056E">
              <w:rPr>
                <w:szCs w:val="20"/>
                <w:lang w:val="en-AU"/>
              </w:rPr>
              <w:t>8 (3.1%)</w:t>
            </w:r>
          </w:p>
        </w:tc>
        <w:tc>
          <w:tcPr>
            <w:tcW w:w="861" w:type="pct"/>
            <w:shd w:val="clear" w:color="auto" w:fill="auto"/>
            <w:vAlign w:val="center"/>
          </w:tcPr>
          <w:p w:rsidR="00C31220" w:rsidRPr="00BE056E" w:rsidRDefault="00C31220" w:rsidP="00750CE1">
            <w:pPr>
              <w:pStyle w:val="TableText"/>
              <w:keepNext/>
              <w:keepLines/>
              <w:spacing w:before="0" w:after="0" w:line="240" w:lineRule="auto"/>
              <w:jc w:val="center"/>
              <w:rPr>
                <w:lang w:val="en-AU"/>
              </w:rPr>
            </w:pPr>
            <w:r w:rsidRPr="00BE056E">
              <w:rPr>
                <w:szCs w:val="20"/>
                <w:lang w:val="en-AU"/>
              </w:rPr>
              <w:t>3 (2.3%)</w:t>
            </w:r>
          </w:p>
        </w:tc>
        <w:tc>
          <w:tcPr>
            <w:tcW w:w="786" w:type="pct"/>
            <w:shd w:val="clear" w:color="auto" w:fill="auto"/>
            <w:vAlign w:val="center"/>
          </w:tcPr>
          <w:p w:rsidR="00C31220" w:rsidRPr="00BE056E" w:rsidRDefault="00C31220" w:rsidP="00750CE1">
            <w:pPr>
              <w:keepNext/>
              <w:keepLines/>
              <w:spacing w:before="0"/>
              <w:jc w:val="center"/>
              <w:rPr>
                <w:rFonts w:ascii="Arial Narrow" w:hAnsi="Arial Narrow"/>
                <w:b/>
                <w:bCs/>
                <w:sz w:val="20"/>
                <w:szCs w:val="20"/>
                <w:lang w:val="en-AU" w:eastAsia="en-AU"/>
              </w:rPr>
            </w:pPr>
            <w:r w:rsidRPr="00BE056E">
              <w:rPr>
                <w:rFonts w:ascii="Arial Narrow" w:hAnsi="Arial Narrow"/>
                <w:sz w:val="20"/>
                <w:szCs w:val="20"/>
                <w:lang w:val="en-AU"/>
              </w:rPr>
              <w:t>NR</w:t>
            </w:r>
          </w:p>
        </w:tc>
        <w:tc>
          <w:tcPr>
            <w:tcW w:w="549" w:type="pct"/>
            <w:gridSpan w:val="2"/>
            <w:shd w:val="clear" w:color="auto" w:fill="auto"/>
            <w:vAlign w:val="center"/>
          </w:tcPr>
          <w:p w:rsidR="00C31220" w:rsidRPr="00BE056E" w:rsidRDefault="00C31220" w:rsidP="00750CE1">
            <w:pPr>
              <w:pStyle w:val="TableText"/>
              <w:keepNext/>
              <w:keepLines/>
              <w:spacing w:before="0" w:after="0" w:line="240" w:lineRule="auto"/>
              <w:jc w:val="center"/>
              <w:rPr>
                <w:lang w:val="en-AU"/>
              </w:rPr>
            </w:pPr>
            <w:r w:rsidRPr="00BE056E">
              <w:rPr>
                <w:lang w:val="en-AU"/>
              </w:rPr>
              <w:t>3</w:t>
            </w:r>
          </w:p>
        </w:tc>
        <w:tc>
          <w:tcPr>
            <w:tcW w:w="486" w:type="pct"/>
            <w:gridSpan w:val="2"/>
            <w:shd w:val="clear" w:color="auto" w:fill="auto"/>
            <w:vAlign w:val="center"/>
          </w:tcPr>
          <w:p w:rsidR="00C31220" w:rsidRPr="00BE056E" w:rsidRDefault="00C31220" w:rsidP="00750CE1">
            <w:pPr>
              <w:pStyle w:val="TableText"/>
              <w:keepNext/>
              <w:keepLines/>
              <w:spacing w:before="0" w:after="0" w:line="240" w:lineRule="auto"/>
              <w:jc w:val="center"/>
              <w:rPr>
                <w:lang w:val="en-AU"/>
              </w:rPr>
            </w:pPr>
            <w:r w:rsidRPr="00BE056E">
              <w:rPr>
                <w:lang w:val="en-AU"/>
              </w:rPr>
              <w:t>2</w:t>
            </w:r>
          </w:p>
        </w:tc>
        <w:tc>
          <w:tcPr>
            <w:tcW w:w="611" w:type="pct"/>
            <w:shd w:val="clear" w:color="auto" w:fill="auto"/>
            <w:vAlign w:val="center"/>
          </w:tcPr>
          <w:p w:rsidR="00C31220" w:rsidRPr="00BE056E" w:rsidRDefault="00C31220" w:rsidP="00750CE1">
            <w:pPr>
              <w:keepNext/>
              <w:keepLines/>
              <w:spacing w:before="0"/>
              <w:jc w:val="center"/>
              <w:rPr>
                <w:rFonts w:ascii="Arial Narrow" w:hAnsi="Arial Narrow"/>
                <w:b/>
                <w:bCs/>
                <w:sz w:val="20"/>
                <w:szCs w:val="20"/>
                <w:lang w:val="en-AU"/>
              </w:rPr>
            </w:pPr>
            <w:r w:rsidRPr="00BE056E">
              <w:rPr>
                <w:rFonts w:ascii="Arial Narrow" w:hAnsi="Arial Narrow"/>
                <w:sz w:val="20"/>
                <w:szCs w:val="20"/>
                <w:lang w:val="en-AU"/>
              </w:rPr>
              <w:t>NR</w:t>
            </w:r>
          </w:p>
        </w:tc>
      </w:tr>
    </w:tbl>
    <w:p w:rsidR="00C31220" w:rsidRPr="00BE056E" w:rsidRDefault="00C31220" w:rsidP="00C31220">
      <w:pPr>
        <w:pStyle w:val="TableFooter"/>
      </w:pPr>
      <w:r w:rsidRPr="00BE056E">
        <w:t>Source: Compiled during the evaluation</w:t>
      </w:r>
      <w:r w:rsidR="009528FB">
        <w:t>.</w:t>
      </w:r>
    </w:p>
    <w:p w:rsidR="00C31220" w:rsidRPr="00BE056E" w:rsidRDefault="00C31220" w:rsidP="00C31220">
      <w:pPr>
        <w:pStyle w:val="TableFooter"/>
      </w:pPr>
      <w:r w:rsidRPr="00BE056E">
        <w:t>CI</w:t>
      </w:r>
      <w:r w:rsidR="000761CF">
        <w:t xml:space="preserve"> </w:t>
      </w:r>
      <w:r w:rsidRPr="00BE056E">
        <w:t>=</w:t>
      </w:r>
      <w:r w:rsidR="000761CF">
        <w:t xml:space="preserve"> </w:t>
      </w:r>
      <w:r w:rsidRPr="00BE056E">
        <w:t>confidence interval; HR</w:t>
      </w:r>
      <w:r w:rsidR="000761CF">
        <w:t xml:space="preserve"> </w:t>
      </w:r>
      <w:r w:rsidRPr="00BE056E">
        <w:t>=</w:t>
      </w:r>
      <w:r w:rsidR="000761CF">
        <w:t xml:space="preserve"> </w:t>
      </w:r>
      <w:r w:rsidRPr="00BE056E">
        <w:t xml:space="preserve">hazard ratio; </w:t>
      </w:r>
      <w:proofErr w:type="spellStart"/>
      <w:r w:rsidR="000761CF">
        <w:t>mths</w:t>
      </w:r>
      <w:proofErr w:type="spellEnd"/>
      <w:r w:rsidR="000761CF">
        <w:t xml:space="preserve"> = months; </w:t>
      </w:r>
      <w:r w:rsidRPr="00BE056E">
        <w:t>NHA</w:t>
      </w:r>
      <w:r w:rsidR="000761CF">
        <w:t xml:space="preserve"> </w:t>
      </w:r>
      <w:r w:rsidRPr="00BE056E">
        <w:t>=</w:t>
      </w:r>
      <w:r w:rsidR="000761CF">
        <w:t xml:space="preserve"> </w:t>
      </w:r>
      <w:r w:rsidRPr="00BE056E">
        <w:t>novel hormonal agent; NR</w:t>
      </w:r>
      <w:r w:rsidR="000761CF">
        <w:t xml:space="preserve"> </w:t>
      </w:r>
      <w:r w:rsidRPr="00BE056E">
        <w:t>=</w:t>
      </w:r>
      <w:r w:rsidR="000761CF">
        <w:t xml:space="preserve"> </w:t>
      </w:r>
      <w:r w:rsidRPr="00BE056E">
        <w:t>not reported; RD</w:t>
      </w:r>
      <w:r w:rsidR="000761CF">
        <w:t xml:space="preserve"> </w:t>
      </w:r>
      <w:r w:rsidRPr="00BE056E">
        <w:t>=</w:t>
      </w:r>
      <w:r w:rsidR="000761CF">
        <w:t xml:space="preserve"> </w:t>
      </w:r>
      <w:r w:rsidRPr="00BE056E">
        <w:t xml:space="preserve">risk difference; </w:t>
      </w:r>
      <w:proofErr w:type="spellStart"/>
      <w:r w:rsidRPr="00BE056E">
        <w:t>rPFS</w:t>
      </w:r>
      <w:proofErr w:type="spellEnd"/>
      <w:r w:rsidR="000761CF">
        <w:t xml:space="preserve"> </w:t>
      </w:r>
      <w:r w:rsidRPr="00BE056E">
        <w:t>=</w:t>
      </w:r>
      <w:r w:rsidR="000761CF">
        <w:t xml:space="preserve"> </w:t>
      </w:r>
      <w:r w:rsidRPr="00BE056E">
        <w:t>radiological progression-free survival; RR</w:t>
      </w:r>
      <w:r w:rsidR="000761CF">
        <w:t xml:space="preserve"> </w:t>
      </w:r>
      <w:r w:rsidRPr="00BE056E">
        <w:t>=</w:t>
      </w:r>
      <w:r w:rsidR="000761CF">
        <w:t xml:space="preserve"> </w:t>
      </w:r>
      <w:r w:rsidRPr="00BE056E">
        <w:t>relative risk</w:t>
      </w:r>
      <w:r w:rsidR="00D46A7F">
        <w:t>.</w:t>
      </w:r>
    </w:p>
    <w:p w:rsidR="005F0077" w:rsidRPr="000F2527" w:rsidRDefault="00C31220" w:rsidP="00C31220">
      <w:pPr>
        <w:pStyle w:val="ListParagraph"/>
        <w:rPr>
          <w:color w:val="auto"/>
        </w:rPr>
      </w:pPr>
      <w:r w:rsidRPr="000F2527">
        <w:rPr>
          <w:iCs/>
          <w:color w:val="auto"/>
        </w:rPr>
        <w:lastRenderedPageBreak/>
        <w:t xml:space="preserve">On the basis of the evidence presented by the submission for the </w:t>
      </w:r>
      <w:r w:rsidRPr="005139AD">
        <w:rPr>
          <w:i/>
          <w:iCs/>
          <w:color w:val="auto"/>
        </w:rPr>
        <w:t>BRCA1/2</w:t>
      </w:r>
      <w:r w:rsidRPr="000F2527">
        <w:rPr>
          <w:iCs/>
          <w:color w:val="auto"/>
        </w:rPr>
        <w:t xml:space="preserve"> subgroup, no statements regarding the number of patients progression-free or number of patients alive when treated with </w:t>
      </w:r>
      <w:proofErr w:type="spellStart"/>
      <w:r w:rsidRPr="000F2527">
        <w:rPr>
          <w:iCs/>
          <w:color w:val="auto"/>
        </w:rPr>
        <w:t>olaparib</w:t>
      </w:r>
      <w:proofErr w:type="spellEnd"/>
      <w:r w:rsidRPr="000F2527">
        <w:rPr>
          <w:iCs/>
          <w:color w:val="auto"/>
        </w:rPr>
        <w:t xml:space="preserve"> compared to NHA can be made, given the required data was not provided by the submission.</w:t>
      </w:r>
    </w:p>
    <w:p w:rsidR="00C31220" w:rsidRPr="00BE056E" w:rsidRDefault="00C31220" w:rsidP="00C31220">
      <w:pPr>
        <w:pStyle w:val="ListParagraph"/>
        <w:rPr>
          <w:color w:val="auto"/>
        </w:rPr>
      </w:pPr>
      <w:r w:rsidRPr="000F2527">
        <w:rPr>
          <w:color w:val="auto"/>
        </w:rPr>
        <w:t xml:space="preserve">In regard to harms, for every 100 patients treated with </w:t>
      </w:r>
      <w:proofErr w:type="spellStart"/>
      <w:r w:rsidRPr="000F2527">
        <w:rPr>
          <w:color w:val="auto"/>
        </w:rPr>
        <w:t>olaparib</w:t>
      </w:r>
      <w:proofErr w:type="spellEnd"/>
      <w:r w:rsidRPr="000F2527">
        <w:rPr>
          <w:color w:val="auto"/>
        </w:rPr>
        <w:t xml:space="preserve">, approximately 18 additional patients would experience anaemia, </w:t>
      </w:r>
      <w:proofErr w:type="gramStart"/>
      <w:r w:rsidRPr="000F2527">
        <w:rPr>
          <w:color w:val="auto"/>
        </w:rPr>
        <w:t>4</w:t>
      </w:r>
      <w:proofErr w:type="gramEnd"/>
      <w:r w:rsidRPr="000F2527">
        <w:rPr>
          <w:color w:val="auto"/>
        </w:rPr>
        <w:t xml:space="preserve"> additional</w:t>
      </w:r>
      <w:r w:rsidRPr="00BE056E">
        <w:rPr>
          <w:color w:val="auto"/>
        </w:rPr>
        <w:t xml:space="preserve"> patients would experience neutropenia and 1 additional patient would experience pneumonia</w:t>
      </w:r>
      <w:r w:rsidR="009F6680">
        <w:rPr>
          <w:color w:val="auto"/>
        </w:rPr>
        <w:t xml:space="preserve"> over 277 days of treatment</w:t>
      </w:r>
      <w:r w:rsidRPr="00BE056E">
        <w:rPr>
          <w:color w:val="auto"/>
        </w:rPr>
        <w:t>.</w:t>
      </w:r>
    </w:p>
    <w:p w:rsidR="00C31220" w:rsidRPr="004F0D62" w:rsidRDefault="004F0D62" w:rsidP="00C31220">
      <w:pPr>
        <w:pStyle w:val="PBACESHeading2"/>
        <w:rPr>
          <w:rFonts w:asciiTheme="minorHAnsi" w:hAnsiTheme="minorHAnsi" w:cstheme="minorHAnsi"/>
        </w:rPr>
      </w:pPr>
      <w:r w:rsidRPr="004F0D62">
        <w:rPr>
          <w:rFonts w:asciiTheme="minorHAnsi" w:hAnsiTheme="minorHAnsi" w:cstheme="minorHAnsi"/>
        </w:rPr>
        <w:t>Clinical claim</w:t>
      </w:r>
    </w:p>
    <w:p w:rsidR="00C31220" w:rsidRPr="000F2527" w:rsidRDefault="00C31220" w:rsidP="00C31220">
      <w:pPr>
        <w:pStyle w:val="ListParagraph"/>
        <w:rPr>
          <w:color w:val="auto"/>
        </w:rPr>
      </w:pPr>
      <w:r w:rsidRPr="000F2527">
        <w:t xml:space="preserve">The submission claimed that </w:t>
      </w:r>
      <w:proofErr w:type="spellStart"/>
      <w:r w:rsidRPr="000F2527">
        <w:t>olaparib</w:t>
      </w:r>
      <w:proofErr w:type="spellEnd"/>
      <w:r w:rsidRPr="000F2527">
        <w:t xml:space="preserve"> has superior efficacy and an increased but manageable toxicity burden compared to currently listed NHA treatments for the treatment of </w:t>
      </w:r>
      <w:r w:rsidRPr="005139AD">
        <w:rPr>
          <w:i/>
          <w:iCs/>
        </w:rPr>
        <w:t>BRCA1/2</w:t>
      </w:r>
      <w:r w:rsidRPr="000F2527">
        <w:t xml:space="preserve"> positive </w:t>
      </w:r>
      <w:proofErr w:type="spellStart"/>
      <w:r w:rsidRPr="000F2527">
        <w:t>mCRPC</w:t>
      </w:r>
      <w:proofErr w:type="spellEnd"/>
      <w:r w:rsidRPr="000F2527">
        <w:t xml:space="preserve">. </w:t>
      </w:r>
      <w:r w:rsidR="00F00AC5" w:rsidRPr="004F0D62">
        <w:t>The ESC</w:t>
      </w:r>
      <w:r w:rsidR="00F6431B" w:rsidRPr="004F0D62">
        <w:t>s</w:t>
      </w:r>
      <w:r w:rsidR="00F00AC5" w:rsidRPr="004F0D62">
        <w:t xml:space="preserve"> considered that</w:t>
      </w:r>
      <w:r w:rsidR="00F00AC5">
        <w:t xml:space="preserve"> w</w:t>
      </w:r>
      <w:r w:rsidRPr="000F2527">
        <w:rPr>
          <w:iCs/>
        </w:rPr>
        <w:t xml:space="preserve">hile the evidence demonstrated statistically significant advantages for </w:t>
      </w:r>
      <w:proofErr w:type="spellStart"/>
      <w:r w:rsidRPr="000F2527">
        <w:rPr>
          <w:iCs/>
        </w:rPr>
        <w:t>olaparib</w:t>
      </w:r>
      <w:proofErr w:type="spellEnd"/>
      <w:r w:rsidRPr="000F2527">
        <w:rPr>
          <w:iCs/>
        </w:rPr>
        <w:t xml:space="preserve"> compared to the NHAs of abiraterone and enzalutamide, there remain</w:t>
      </w:r>
      <w:r w:rsidR="00D66F5C" w:rsidRPr="000F2527">
        <w:rPr>
          <w:iCs/>
        </w:rPr>
        <w:t>ed</w:t>
      </w:r>
      <w:r w:rsidRPr="000F2527">
        <w:rPr>
          <w:iCs/>
        </w:rPr>
        <w:t xml:space="preserve"> a number of concerns</w:t>
      </w:r>
      <w:r w:rsidR="00F00AC5">
        <w:rPr>
          <w:iCs/>
        </w:rPr>
        <w:t>, including</w:t>
      </w:r>
      <w:r w:rsidRPr="000F2527">
        <w:rPr>
          <w:iCs/>
        </w:rPr>
        <w:t>:</w:t>
      </w:r>
    </w:p>
    <w:p w:rsidR="00F44505" w:rsidRPr="000F2527" w:rsidRDefault="0078151A" w:rsidP="002A2035">
      <w:pPr>
        <w:pStyle w:val="ListParagraph"/>
        <w:numPr>
          <w:ilvl w:val="0"/>
          <w:numId w:val="16"/>
        </w:numPr>
        <w:spacing w:before="40" w:after="40"/>
        <w:ind w:left="993" w:hanging="284"/>
        <w:rPr>
          <w:rFonts w:ascii="Calibri" w:hAnsi="Calibri" w:cs="Calibri"/>
          <w:iCs/>
          <w:color w:val="000000"/>
        </w:rPr>
      </w:pPr>
      <w:r w:rsidRPr="000F2527">
        <w:rPr>
          <w:iCs/>
        </w:rPr>
        <w:t>The nominated comparator</w:t>
      </w:r>
      <w:r w:rsidR="00A242E4" w:rsidRPr="000F2527">
        <w:rPr>
          <w:iCs/>
        </w:rPr>
        <w:t xml:space="preserve"> of NHAs </w:t>
      </w:r>
      <w:r w:rsidRPr="000F2527">
        <w:rPr>
          <w:iCs/>
        </w:rPr>
        <w:t xml:space="preserve">does not </w:t>
      </w:r>
      <w:r w:rsidRPr="000F2527">
        <w:rPr>
          <w:rFonts w:ascii="Calibri" w:hAnsi="Calibri" w:cs="Calibri"/>
          <w:iCs/>
          <w:color w:val="000000"/>
        </w:rPr>
        <w:t>reflect current Australian practice and ignores the PBS listing criteria for both abiraterone and enzalutamide, which expressly prevent sequential use of NHAs</w:t>
      </w:r>
      <w:r w:rsidR="0077115F" w:rsidRPr="000F2527">
        <w:rPr>
          <w:rFonts w:ascii="Calibri" w:hAnsi="Calibri" w:cs="Calibri"/>
          <w:iCs/>
          <w:color w:val="000000"/>
        </w:rPr>
        <w:t>.</w:t>
      </w:r>
      <w:r w:rsidR="00750579" w:rsidRPr="000F2527">
        <w:rPr>
          <w:rFonts w:ascii="Calibri" w:hAnsi="Calibri" w:cs="Calibri"/>
          <w:iCs/>
          <w:color w:val="000000"/>
        </w:rPr>
        <w:t xml:space="preserve"> </w:t>
      </w:r>
      <w:r w:rsidR="0087774F" w:rsidRPr="000F2527">
        <w:rPr>
          <w:rFonts w:ascii="Calibri" w:hAnsi="Calibri" w:cs="Calibri"/>
          <w:iCs/>
          <w:color w:val="000000"/>
        </w:rPr>
        <w:t>The PBAC ha</w:t>
      </w:r>
      <w:r w:rsidR="00F6431B">
        <w:rPr>
          <w:rFonts w:ascii="Calibri" w:hAnsi="Calibri" w:cs="Calibri"/>
          <w:iCs/>
          <w:color w:val="000000"/>
        </w:rPr>
        <w:t>s</w:t>
      </w:r>
      <w:r w:rsidR="0087774F" w:rsidRPr="000F2527">
        <w:rPr>
          <w:rFonts w:ascii="Calibri" w:hAnsi="Calibri" w:cs="Calibri"/>
          <w:iCs/>
          <w:color w:val="000000"/>
        </w:rPr>
        <w:t xml:space="preserve"> </w:t>
      </w:r>
      <w:r w:rsidR="00D262A5" w:rsidRPr="000F2527">
        <w:rPr>
          <w:rFonts w:ascii="Calibri" w:hAnsi="Calibri" w:cs="Calibri"/>
          <w:iCs/>
          <w:color w:val="000000"/>
        </w:rPr>
        <w:t xml:space="preserve">previously </w:t>
      </w:r>
      <w:r w:rsidR="0087774F" w:rsidRPr="000F2527">
        <w:rPr>
          <w:rFonts w:ascii="Calibri" w:hAnsi="Calibri" w:cs="Calibri"/>
          <w:iCs/>
          <w:color w:val="000000"/>
        </w:rPr>
        <w:t>considered it unlikely subsequent NHA would demonstrate efficacy following progression on a prior NHA due to pharmacological similarity.</w:t>
      </w:r>
      <w:r w:rsidR="00A242E4" w:rsidRPr="000F2527">
        <w:rPr>
          <w:rFonts w:ascii="Calibri" w:hAnsi="Calibri" w:cs="Calibri"/>
          <w:iCs/>
          <w:color w:val="000000"/>
        </w:rPr>
        <w:t xml:space="preserve"> As such, </w:t>
      </w:r>
      <w:r w:rsidR="00F6431B">
        <w:rPr>
          <w:rFonts w:ascii="Calibri" w:hAnsi="Calibri" w:cs="Calibri"/>
          <w:iCs/>
          <w:color w:val="000000"/>
        </w:rPr>
        <w:t xml:space="preserve">the </w:t>
      </w:r>
      <w:r w:rsidR="00F00AC5" w:rsidRPr="004F0D62">
        <w:rPr>
          <w:rFonts w:ascii="Calibri" w:hAnsi="Calibri" w:cs="Calibri"/>
          <w:iCs/>
          <w:color w:val="000000"/>
        </w:rPr>
        <w:t>ESC</w:t>
      </w:r>
      <w:r w:rsidR="00F6431B" w:rsidRPr="004F0D62">
        <w:rPr>
          <w:rFonts w:ascii="Calibri" w:hAnsi="Calibri" w:cs="Calibri"/>
          <w:iCs/>
          <w:color w:val="000000"/>
        </w:rPr>
        <w:t>s</w:t>
      </w:r>
      <w:r w:rsidR="00F00AC5" w:rsidRPr="004F0D62">
        <w:rPr>
          <w:rFonts w:ascii="Calibri" w:hAnsi="Calibri" w:cs="Calibri"/>
          <w:iCs/>
          <w:color w:val="000000"/>
        </w:rPr>
        <w:t xml:space="preserve"> considered that</w:t>
      </w:r>
      <w:r w:rsidR="00F00AC5">
        <w:rPr>
          <w:rFonts w:ascii="Calibri" w:hAnsi="Calibri" w:cs="Calibri"/>
          <w:iCs/>
          <w:color w:val="000000"/>
        </w:rPr>
        <w:t xml:space="preserve"> </w:t>
      </w:r>
      <w:r w:rsidR="00A242E4" w:rsidRPr="000F2527">
        <w:rPr>
          <w:rFonts w:ascii="Calibri" w:hAnsi="Calibri" w:cs="Calibri"/>
          <w:iCs/>
          <w:color w:val="000000"/>
        </w:rPr>
        <w:t xml:space="preserve">the results of </w:t>
      </w:r>
      <w:proofErr w:type="spellStart"/>
      <w:r w:rsidR="00A242E4" w:rsidRPr="000F2527">
        <w:rPr>
          <w:rFonts w:ascii="Calibri" w:hAnsi="Calibri" w:cs="Calibri"/>
          <w:iCs/>
          <w:color w:val="000000"/>
        </w:rPr>
        <w:t>PROfound</w:t>
      </w:r>
      <w:proofErr w:type="spellEnd"/>
      <w:r w:rsidR="00A242E4" w:rsidRPr="000F2527">
        <w:rPr>
          <w:rFonts w:ascii="Calibri" w:hAnsi="Calibri" w:cs="Calibri"/>
          <w:iCs/>
          <w:color w:val="000000"/>
        </w:rPr>
        <w:t xml:space="preserve"> were likely to b</w:t>
      </w:r>
      <w:r w:rsidR="00D46A7F">
        <w:rPr>
          <w:rFonts w:ascii="Calibri" w:hAnsi="Calibri" w:cs="Calibri"/>
          <w:iCs/>
          <w:color w:val="000000"/>
        </w:rPr>
        <w:t xml:space="preserve">e biased in favour of </w:t>
      </w:r>
      <w:proofErr w:type="spellStart"/>
      <w:r w:rsidR="00D46A7F">
        <w:rPr>
          <w:rFonts w:ascii="Calibri" w:hAnsi="Calibri" w:cs="Calibri"/>
          <w:iCs/>
          <w:color w:val="000000"/>
        </w:rPr>
        <w:t>olaparib</w:t>
      </w:r>
      <w:proofErr w:type="spellEnd"/>
      <w:r w:rsidR="00D46A7F">
        <w:rPr>
          <w:rFonts w:ascii="Calibri" w:hAnsi="Calibri" w:cs="Calibri"/>
          <w:iCs/>
          <w:color w:val="000000"/>
        </w:rPr>
        <w:t>.</w:t>
      </w:r>
    </w:p>
    <w:p w:rsidR="00124CC2" w:rsidRPr="00AA6D4A" w:rsidRDefault="00E24518">
      <w:pPr>
        <w:pStyle w:val="ListParagraph"/>
        <w:numPr>
          <w:ilvl w:val="0"/>
          <w:numId w:val="16"/>
        </w:numPr>
        <w:spacing w:before="40" w:after="40"/>
        <w:ind w:left="993" w:hanging="284"/>
        <w:rPr>
          <w:iCs/>
        </w:rPr>
      </w:pPr>
      <w:r w:rsidRPr="000F2527">
        <w:rPr>
          <w:rFonts w:ascii="Calibri" w:hAnsi="Calibri" w:cs="Calibri"/>
          <w:iCs/>
          <w:color w:val="000000"/>
        </w:rPr>
        <w:t>T</w:t>
      </w:r>
      <w:r w:rsidR="00A242E4" w:rsidRPr="000F2527">
        <w:rPr>
          <w:rFonts w:ascii="Calibri" w:hAnsi="Calibri" w:cs="Calibri"/>
          <w:iCs/>
          <w:color w:val="000000"/>
        </w:rPr>
        <w:t xml:space="preserve">he key trial results </w:t>
      </w:r>
      <w:r w:rsidRPr="000F2527">
        <w:rPr>
          <w:rFonts w:ascii="Calibri" w:hAnsi="Calibri" w:cs="Calibri"/>
          <w:iCs/>
          <w:color w:val="000000"/>
        </w:rPr>
        <w:t>we</w:t>
      </w:r>
      <w:r w:rsidR="00A242E4" w:rsidRPr="000F2527">
        <w:rPr>
          <w:rFonts w:ascii="Calibri" w:hAnsi="Calibri" w:cs="Calibri"/>
          <w:iCs/>
          <w:color w:val="000000"/>
        </w:rPr>
        <w:t xml:space="preserve">re based on the </w:t>
      </w:r>
      <w:r w:rsidR="00A242E4" w:rsidRPr="00FF00E5">
        <w:rPr>
          <w:rFonts w:ascii="Calibri" w:hAnsi="Calibri" w:cs="Calibri"/>
          <w:i/>
          <w:iCs/>
          <w:color w:val="000000"/>
        </w:rPr>
        <w:t>BRCA1/2</w:t>
      </w:r>
      <w:r w:rsidR="00A242E4" w:rsidRPr="000F2527">
        <w:rPr>
          <w:rFonts w:ascii="Calibri" w:hAnsi="Calibri" w:cs="Calibri"/>
          <w:iCs/>
          <w:color w:val="000000"/>
        </w:rPr>
        <w:t xml:space="preserve"> subgroup from </w:t>
      </w:r>
      <w:proofErr w:type="spellStart"/>
      <w:r w:rsidR="00A242E4" w:rsidRPr="000F2527">
        <w:rPr>
          <w:rFonts w:ascii="Calibri" w:hAnsi="Calibri" w:cs="Calibri"/>
          <w:iCs/>
          <w:color w:val="000000"/>
        </w:rPr>
        <w:t>PROfound</w:t>
      </w:r>
      <w:proofErr w:type="spellEnd"/>
      <w:r w:rsidR="00A242E4" w:rsidRPr="000F2527">
        <w:rPr>
          <w:rFonts w:ascii="Calibri" w:hAnsi="Calibri" w:cs="Calibri"/>
          <w:iCs/>
          <w:color w:val="000000"/>
        </w:rPr>
        <w:t>, which correspond</w:t>
      </w:r>
      <w:r w:rsidRPr="000F2527">
        <w:rPr>
          <w:rFonts w:ascii="Calibri" w:hAnsi="Calibri" w:cs="Calibri"/>
          <w:iCs/>
          <w:color w:val="000000"/>
        </w:rPr>
        <w:t>ed to the proposed PBS population</w:t>
      </w:r>
      <w:r w:rsidR="00F6431B">
        <w:rPr>
          <w:rFonts w:ascii="Calibri" w:hAnsi="Calibri" w:cs="Calibri"/>
          <w:iCs/>
          <w:color w:val="000000"/>
        </w:rPr>
        <w:t>.</w:t>
      </w:r>
      <w:r w:rsidRPr="000F2527">
        <w:rPr>
          <w:rFonts w:ascii="Calibri" w:hAnsi="Calibri" w:cs="Calibri"/>
          <w:iCs/>
          <w:color w:val="000000"/>
        </w:rPr>
        <w:t xml:space="preserve"> </w:t>
      </w:r>
      <w:r w:rsidR="007C6078" w:rsidRPr="000F2527">
        <w:rPr>
          <w:rFonts w:ascii="Calibri" w:hAnsi="Calibri" w:cs="Calibri"/>
          <w:iCs/>
          <w:color w:val="000000"/>
        </w:rPr>
        <w:t>T</w:t>
      </w:r>
      <w:r w:rsidR="00A242E4" w:rsidRPr="000F2527">
        <w:rPr>
          <w:rFonts w:ascii="Calibri" w:hAnsi="Calibri" w:cs="Calibri"/>
          <w:iCs/>
          <w:color w:val="000000"/>
        </w:rPr>
        <w:t xml:space="preserve">he </w:t>
      </w:r>
      <w:r w:rsidR="00EF4F91">
        <w:rPr>
          <w:rFonts w:ascii="Calibri" w:hAnsi="Calibri" w:cs="Calibri"/>
          <w:iCs/>
          <w:color w:val="000000"/>
        </w:rPr>
        <w:t>C</w:t>
      </w:r>
      <w:r w:rsidR="00F6431B">
        <w:rPr>
          <w:rFonts w:ascii="Calibri" w:hAnsi="Calibri" w:cs="Calibri"/>
          <w:iCs/>
          <w:color w:val="000000"/>
        </w:rPr>
        <w:t xml:space="preserve">ommentary considered that the </w:t>
      </w:r>
      <w:r w:rsidR="00A242E4" w:rsidRPr="000F2527">
        <w:rPr>
          <w:rFonts w:ascii="Calibri" w:hAnsi="Calibri" w:cs="Calibri"/>
          <w:iCs/>
          <w:color w:val="000000"/>
        </w:rPr>
        <w:t xml:space="preserve">submission </w:t>
      </w:r>
      <w:r w:rsidR="00FF00E5">
        <w:rPr>
          <w:rFonts w:ascii="Calibri" w:hAnsi="Calibri" w:cs="Calibri"/>
          <w:iCs/>
          <w:color w:val="000000"/>
        </w:rPr>
        <w:t>did</w:t>
      </w:r>
      <w:r w:rsidR="00FF00E5" w:rsidRPr="000F2527">
        <w:rPr>
          <w:rFonts w:ascii="Calibri" w:hAnsi="Calibri" w:cs="Calibri"/>
          <w:iCs/>
          <w:color w:val="000000"/>
        </w:rPr>
        <w:t xml:space="preserve"> </w:t>
      </w:r>
      <w:r w:rsidR="00A242E4" w:rsidRPr="000F2527">
        <w:rPr>
          <w:rFonts w:ascii="Calibri" w:hAnsi="Calibri" w:cs="Calibri"/>
          <w:iCs/>
          <w:color w:val="000000"/>
        </w:rPr>
        <w:t>not provid</w:t>
      </w:r>
      <w:r w:rsidR="00AC4CBA">
        <w:rPr>
          <w:rFonts w:ascii="Calibri" w:hAnsi="Calibri" w:cs="Calibri"/>
          <w:iCs/>
          <w:color w:val="000000"/>
        </w:rPr>
        <w:t>e</w:t>
      </w:r>
      <w:r w:rsidR="00124CC2" w:rsidRPr="000F2527">
        <w:rPr>
          <w:rFonts w:ascii="Calibri" w:hAnsi="Calibri" w:cs="Calibri"/>
          <w:iCs/>
          <w:color w:val="000000"/>
        </w:rPr>
        <w:t xml:space="preserve"> adequate information to determine to reliability of the subgroup evidence</w:t>
      </w:r>
      <w:r w:rsidR="00F6431B">
        <w:rPr>
          <w:rFonts w:ascii="Calibri" w:hAnsi="Calibri" w:cs="Calibri"/>
          <w:iCs/>
          <w:color w:val="000000"/>
        </w:rPr>
        <w:t>,</w:t>
      </w:r>
      <w:r w:rsidR="00F6431B" w:rsidRPr="006802DC">
        <w:rPr>
          <w:rFonts w:ascii="Calibri" w:hAnsi="Calibri" w:cs="Calibri"/>
          <w:i/>
          <w:iCs/>
          <w:color w:val="000000"/>
        </w:rPr>
        <w:t xml:space="preserve"> </w:t>
      </w:r>
      <w:r w:rsidR="00F6431B" w:rsidRPr="00AA6D4A">
        <w:rPr>
          <w:rFonts w:ascii="Calibri" w:hAnsi="Calibri" w:cs="Calibri"/>
          <w:iCs/>
          <w:color w:val="000000"/>
        </w:rPr>
        <w:t xml:space="preserve">however the ESCs considered that further information provided in the PSCR helped support </w:t>
      </w:r>
      <w:r w:rsidR="006802DC" w:rsidRPr="00AA6D4A">
        <w:rPr>
          <w:rFonts w:ascii="Calibri" w:hAnsi="Calibri" w:cs="Calibri"/>
          <w:iCs/>
          <w:color w:val="000000"/>
        </w:rPr>
        <w:t>reliance on</w:t>
      </w:r>
      <w:r w:rsidR="00F6431B" w:rsidRPr="00AA6D4A">
        <w:rPr>
          <w:rFonts w:ascii="Calibri" w:hAnsi="Calibri" w:cs="Calibri"/>
          <w:iCs/>
          <w:color w:val="000000"/>
        </w:rPr>
        <w:t xml:space="preserve"> the </w:t>
      </w:r>
      <w:r w:rsidR="006802DC" w:rsidRPr="00AA6D4A">
        <w:rPr>
          <w:rFonts w:ascii="Calibri" w:hAnsi="Calibri" w:cs="Calibri"/>
          <w:iCs/>
          <w:color w:val="000000"/>
        </w:rPr>
        <w:t xml:space="preserve">results for </w:t>
      </w:r>
      <w:r w:rsidR="00F6431B" w:rsidRPr="00AA6D4A">
        <w:rPr>
          <w:rFonts w:ascii="Calibri" w:hAnsi="Calibri" w:cs="Calibri"/>
          <w:iCs/>
          <w:color w:val="000000"/>
        </w:rPr>
        <w:t>the</w:t>
      </w:r>
      <w:r w:rsidR="00F6431B" w:rsidRPr="006802DC">
        <w:rPr>
          <w:rFonts w:ascii="Calibri" w:hAnsi="Calibri" w:cs="Calibri"/>
          <w:i/>
          <w:iCs/>
          <w:color w:val="000000"/>
        </w:rPr>
        <w:t xml:space="preserve"> BRCA1/2 </w:t>
      </w:r>
      <w:r w:rsidR="00F6431B" w:rsidRPr="00AA6D4A">
        <w:rPr>
          <w:rFonts w:ascii="Calibri" w:hAnsi="Calibri" w:cs="Calibri"/>
          <w:iCs/>
          <w:color w:val="000000"/>
        </w:rPr>
        <w:t>subgroup</w:t>
      </w:r>
      <w:r w:rsidR="006802DC" w:rsidRPr="00AA6D4A">
        <w:rPr>
          <w:rFonts w:ascii="Calibri" w:hAnsi="Calibri" w:cs="Calibri"/>
          <w:iCs/>
          <w:color w:val="000000"/>
        </w:rPr>
        <w:t xml:space="preserve"> over those for the ITT population</w:t>
      </w:r>
      <w:r w:rsidR="00582278">
        <w:rPr>
          <w:rFonts w:ascii="Calibri" w:hAnsi="Calibri" w:cs="Calibri"/>
          <w:iCs/>
          <w:color w:val="000000"/>
        </w:rPr>
        <w:t xml:space="preserve"> of Cohort A</w:t>
      </w:r>
      <w:r w:rsidR="00D46A7F">
        <w:rPr>
          <w:rFonts w:ascii="Calibri" w:hAnsi="Calibri" w:cs="Calibri"/>
          <w:iCs/>
          <w:color w:val="000000"/>
        </w:rPr>
        <w:t>.</w:t>
      </w:r>
    </w:p>
    <w:p w:rsidR="00C31220" w:rsidRPr="000F2527" w:rsidRDefault="00D35817" w:rsidP="00066CC4">
      <w:pPr>
        <w:pStyle w:val="ListParagraph"/>
        <w:numPr>
          <w:ilvl w:val="0"/>
          <w:numId w:val="16"/>
        </w:numPr>
        <w:spacing w:before="40" w:after="40"/>
        <w:ind w:left="993" w:hanging="284"/>
        <w:rPr>
          <w:iCs/>
        </w:rPr>
      </w:pPr>
      <w:r w:rsidRPr="00AA6D4A">
        <w:rPr>
          <w:iCs/>
        </w:rPr>
        <w:t xml:space="preserve">The </w:t>
      </w:r>
      <w:r w:rsidR="00582278">
        <w:rPr>
          <w:iCs/>
        </w:rPr>
        <w:t xml:space="preserve">OS results for the </w:t>
      </w:r>
      <w:r w:rsidRPr="009632E5">
        <w:rPr>
          <w:i/>
          <w:iCs/>
        </w:rPr>
        <w:t xml:space="preserve">BRCA1/2 </w:t>
      </w:r>
      <w:r w:rsidRPr="00AA6D4A">
        <w:rPr>
          <w:iCs/>
        </w:rPr>
        <w:t xml:space="preserve">subgroup </w:t>
      </w:r>
      <w:r w:rsidR="00582278">
        <w:rPr>
          <w:iCs/>
        </w:rPr>
        <w:t>were</w:t>
      </w:r>
      <w:r w:rsidRPr="00AA6D4A">
        <w:rPr>
          <w:iCs/>
        </w:rPr>
        <w:t xml:space="preserve"> adjusted for treatment switching using the RPSFTM method (Cox proportional hazards model with </w:t>
      </w:r>
      <w:proofErr w:type="spellStart"/>
      <w:r w:rsidRPr="00AA6D4A">
        <w:rPr>
          <w:iCs/>
        </w:rPr>
        <w:t>recensoring</w:t>
      </w:r>
      <w:proofErr w:type="spellEnd"/>
      <w:r w:rsidRPr="00AA6D4A">
        <w:rPr>
          <w:iCs/>
        </w:rPr>
        <w:t xml:space="preserve">). This resulted in an adjusted hazard ratio of </w:t>
      </w:r>
      <w:r w:rsidR="00E60C03">
        <w:rPr>
          <w:iCs/>
          <w:noProof/>
          <w:color w:val="000000"/>
          <w:highlight w:val="black"/>
        </w:rPr>
        <w:t>'''''''' ''''''''' ''''' ''''''''' '''''''''</w:t>
      </w:r>
      <w:r w:rsidR="00014FF5">
        <w:rPr>
          <w:rStyle w:val="FootnoteReference"/>
          <w:iCs/>
        </w:rPr>
        <w:footnoteReference w:id="8"/>
      </w:r>
      <w:r w:rsidRPr="00AA6D4A">
        <w:rPr>
          <w:iCs/>
        </w:rPr>
        <w:t xml:space="preserve"> for OS in the </w:t>
      </w:r>
      <w:r w:rsidRPr="00C26913">
        <w:rPr>
          <w:i/>
          <w:iCs/>
        </w:rPr>
        <w:t>BRCA1/2</w:t>
      </w:r>
      <w:r w:rsidRPr="006802DC">
        <w:rPr>
          <w:i/>
          <w:iCs/>
        </w:rPr>
        <w:t xml:space="preserve"> </w:t>
      </w:r>
      <w:r w:rsidRPr="00AA6D4A">
        <w:rPr>
          <w:iCs/>
        </w:rPr>
        <w:t xml:space="preserve">subgroup, which was significantly lower than the unadjusted hazard ratio in the </w:t>
      </w:r>
      <w:r w:rsidRPr="00C26913">
        <w:rPr>
          <w:i/>
          <w:iCs/>
        </w:rPr>
        <w:t xml:space="preserve">BRCA1/2 </w:t>
      </w:r>
      <w:r w:rsidRPr="00AA6D4A">
        <w:rPr>
          <w:iCs/>
        </w:rPr>
        <w:t>subgroup population (HR = 0.69; 95% CI:</w:t>
      </w:r>
      <w:r w:rsidRPr="00AA6D4A">
        <w:t xml:space="preserve"> </w:t>
      </w:r>
      <w:r w:rsidRPr="00AA6D4A">
        <w:rPr>
          <w:iCs/>
        </w:rPr>
        <w:t>0.50, 0.97)</w:t>
      </w:r>
      <w:r w:rsidR="00F15CE5">
        <w:rPr>
          <w:iCs/>
        </w:rPr>
        <w:t xml:space="preserve">. </w:t>
      </w:r>
      <w:r w:rsidR="00066CC4" w:rsidRPr="006F10C4">
        <w:rPr>
          <w:iCs/>
        </w:rPr>
        <w:t>The sponsor presented two statistical approaches to adjust for switching (RPS</w:t>
      </w:r>
      <w:r w:rsidR="00B126A7">
        <w:rPr>
          <w:iCs/>
        </w:rPr>
        <w:t xml:space="preserve">FT models with and without </w:t>
      </w:r>
      <w:proofErr w:type="spellStart"/>
      <w:r w:rsidR="00B126A7">
        <w:rPr>
          <w:iCs/>
        </w:rPr>
        <w:t>rece</w:t>
      </w:r>
      <w:r w:rsidR="00066CC4" w:rsidRPr="006F10C4">
        <w:rPr>
          <w:iCs/>
        </w:rPr>
        <w:t>nsoring</w:t>
      </w:r>
      <w:proofErr w:type="spellEnd"/>
      <w:r w:rsidR="00066CC4" w:rsidRPr="006F10C4">
        <w:rPr>
          <w:iCs/>
        </w:rPr>
        <w:t>). The results were materially different, increasing uncertainty</w:t>
      </w:r>
      <w:r w:rsidR="00066CC4">
        <w:rPr>
          <w:rFonts w:eastAsia="TimesNewRoman"/>
          <w:iCs/>
        </w:rPr>
        <w:t xml:space="preserve"> about the treatment effect for</w:t>
      </w:r>
      <w:r w:rsidR="00FC6D3A" w:rsidRPr="000F2527">
        <w:rPr>
          <w:rFonts w:eastAsia="TimesNewRoman"/>
          <w:iCs/>
        </w:rPr>
        <w:t xml:space="preserve"> OS in the proposed PBS population.</w:t>
      </w:r>
    </w:p>
    <w:bookmarkEnd w:id="33"/>
    <w:p w:rsidR="00AA6D4A" w:rsidRPr="00202D2A" w:rsidRDefault="00202D2A" w:rsidP="00AA6D4A">
      <w:pPr>
        <w:pStyle w:val="ListParagraph"/>
        <w:rPr>
          <w:snapToGrid w:val="0"/>
          <w:lang w:eastAsia="en-US"/>
        </w:rPr>
      </w:pPr>
      <w:r>
        <w:rPr>
          <w:snapToGrid w:val="0"/>
          <w:lang w:eastAsia="en-US"/>
        </w:rPr>
        <w:lastRenderedPageBreak/>
        <w:t xml:space="preserve">The PBAC considered that </w:t>
      </w:r>
      <w:r w:rsidR="00300231">
        <w:rPr>
          <w:snapToGrid w:val="0"/>
          <w:lang w:eastAsia="en-US"/>
        </w:rPr>
        <w:t xml:space="preserve">the use of NHA as the comparator was not appropriate, but that </w:t>
      </w:r>
      <w:proofErr w:type="spellStart"/>
      <w:r w:rsidR="00DA77B2">
        <w:rPr>
          <w:snapToGrid w:val="0"/>
          <w:lang w:eastAsia="en-US"/>
        </w:rPr>
        <w:t>o</w:t>
      </w:r>
      <w:r w:rsidR="00286E29">
        <w:rPr>
          <w:snapToGrid w:val="0"/>
          <w:lang w:eastAsia="en-US"/>
        </w:rPr>
        <w:t>laparib</w:t>
      </w:r>
      <w:proofErr w:type="spellEnd"/>
      <w:r w:rsidR="00286E29">
        <w:rPr>
          <w:snapToGrid w:val="0"/>
          <w:lang w:eastAsia="en-US"/>
        </w:rPr>
        <w:t xml:space="preserve"> demonstrated clinical efficacy in the </w:t>
      </w:r>
      <w:r w:rsidR="00286E29" w:rsidRPr="00BF2A96">
        <w:rPr>
          <w:i/>
          <w:snapToGrid w:val="0"/>
          <w:lang w:eastAsia="en-US"/>
        </w:rPr>
        <w:t>BRCA1/2</w:t>
      </w:r>
      <w:r w:rsidR="00286E29">
        <w:rPr>
          <w:snapToGrid w:val="0"/>
          <w:lang w:eastAsia="en-US"/>
        </w:rPr>
        <w:t xml:space="preserve"> subgroup and a</w:t>
      </w:r>
      <w:r>
        <w:rPr>
          <w:snapToGrid w:val="0"/>
          <w:lang w:eastAsia="en-US"/>
        </w:rPr>
        <w:t xml:space="preserve"> claim of superior comparativ</w:t>
      </w:r>
      <w:r w:rsidR="00D46A7F">
        <w:rPr>
          <w:snapToGrid w:val="0"/>
          <w:lang w:eastAsia="en-US"/>
        </w:rPr>
        <w:t xml:space="preserve">e effectiveness </w:t>
      </w:r>
      <w:r w:rsidR="00300231">
        <w:rPr>
          <w:snapToGrid w:val="0"/>
          <w:lang w:eastAsia="en-US"/>
        </w:rPr>
        <w:t xml:space="preserve">over best supportive care </w:t>
      </w:r>
      <w:r w:rsidR="00D46A7F">
        <w:rPr>
          <w:snapToGrid w:val="0"/>
          <w:lang w:eastAsia="en-US"/>
        </w:rPr>
        <w:t>was reasonable.</w:t>
      </w:r>
    </w:p>
    <w:p w:rsidR="00AA6D4A" w:rsidRPr="00202D2A" w:rsidRDefault="00202D2A" w:rsidP="00AA6D4A">
      <w:pPr>
        <w:pStyle w:val="ListParagraph"/>
        <w:rPr>
          <w:snapToGrid w:val="0"/>
          <w:lang w:eastAsia="en-US"/>
        </w:rPr>
      </w:pPr>
      <w:r>
        <w:rPr>
          <w:snapToGrid w:val="0"/>
          <w:lang w:eastAsia="en-US"/>
        </w:rPr>
        <w:t xml:space="preserve">The PBAC considered that </w:t>
      </w:r>
      <w:proofErr w:type="spellStart"/>
      <w:r w:rsidR="0000771F" w:rsidRPr="00202D2A">
        <w:rPr>
          <w:snapToGrid w:val="0"/>
          <w:lang w:eastAsia="en-US"/>
        </w:rPr>
        <w:t>olaparib</w:t>
      </w:r>
      <w:proofErr w:type="spellEnd"/>
      <w:r w:rsidR="0000771F" w:rsidRPr="00202D2A">
        <w:rPr>
          <w:snapToGrid w:val="0"/>
          <w:lang w:eastAsia="en-US"/>
        </w:rPr>
        <w:t xml:space="preserve"> demonstrated </w:t>
      </w:r>
      <w:r>
        <w:rPr>
          <w:snapToGrid w:val="0"/>
          <w:lang w:eastAsia="en-US"/>
        </w:rPr>
        <w:t>inferior comparative safety compared to sequential NHA use</w:t>
      </w:r>
      <w:r w:rsidR="00A873C4">
        <w:rPr>
          <w:snapToGrid w:val="0"/>
          <w:lang w:eastAsia="en-US"/>
        </w:rPr>
        <w:t xml:space="preserve"> or BSC.</w:t>
      </w:r>
    </w:p>
    <w:p w:rsidR="00AA6D4A" w:rsidRPr="00AA6D4A" w:rsidRDefault="00AA6D4A" w:rsidP="00AA6D4A">
      <w:pPr>
        <w:pStyle w:val="PBACESHeading2"/>
        <w:rPr>
          <w:rFonts w:asciiTheme="minorHAnsi" w:hAnsiTheme="minorHAnsi" w:cstheme="minorHAnsi"/>
        </w:rPr>
      </w:pPr>
      <w:bookmarkStart w:id="34" w:name="_Toc58779761"/>
      <w:bookmarkStart w:id="35" w:name="_Toc62027847"/>
      <w:r w:rsidRPr="00AA6D4A">
        <w:rPr>
          <w:rFonts w:asciiTheme="minorHAnsi" w:hAnsiTheme="minorHAnsi" w:cstheme="minorHAnsi"/>
        </w:rPr>
        <w:t>Economic analysis</w:t>
      </w:r>
      <w:bookmarkEnd w:id="34"/>
      <w:bookmarkEnd w:id="35"/>
    </w:p>
    <w:p w:rsidR="00C31220" w:rsidRPr="00BE056E" w:rsidRDefault="00C31220" w:rsidP="00C31220">
      <w:pPr>
        <w:pStyle w:val="ListParagraph"/>
        <w:rPr>
          <w:color w:val="auto"/>
        </w:rPr>
      </w:pPr>
      <w:r w:rsidRPr="00BE056E">
        <w:t xml:space="preserve">The submission presented a stepped economic evaluation based on the </w:t>
      </w:r>
      <w:proofErr w:type="spellStart"/>
      <w:proofErr w:type="gramStart"/>
      <w:r w:rsidRPr="00BE056E">
        <w:t>PROfound</w:t>
      </w:r>
      <w:proofErr w:type="spellEnd"/>
      <w:proofErr w:type="gramEnd"/>
      <w:r w:rsidRPr="00BE056E">
        <w:t xml:space="preserve"> trial, comparing </w:t>
      </w:r>
      <w:proofErr w:type="spellStart"/>
      <w:r w:rsidRPr="00BE056E">
        <w:t>olaparib</w:t>
      </w:r>
      <w:proofErr w:type="spellEnd"/>
      <w:r w:rsidRPr="00BE056E">
        <w:t xml:space="preserve"> to NHA. A cost-utility analysis using a partitioned survival model with three health states was provided. The table below provides a summary of model components.</w:t>
      </w:r>
    </w:p>
    <w:p w:rsidR="00C31220" w:rsidRPr="00BE056E" w:rsidRDefault="00D6660D" w:rsidP="00781284">
      <w:pPr>
        <w:pStyle w:val="Caption"/>
      </w:pPr>
      <w:r w:rsidRPr="00D6660D">
        <w:t xml:space="preserve">Table </w:t>
      </w:r>
      <w:r w:rsidR="00CD4B9C">
        <w:rPr>
          <w:noProof/>
        </w:rPr>
        <w:t>11</w:t>
      </w:r>
      <w:r w:rsidR="0073766D">
        <w:rPr>
          <w:noProof/>
        </w:rPr>
        <w:t>:</w:t>
      </w:r>
      <w:r w:rsidR="00D46A7F">
        <w:rPr>
          <w:noProof/>
        </w:rPr>
        <w:tab/>
      </w:r>
      <w:r w:rsidR="00C31220" w:rsidRPr="00BE056E">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79"/>
        <w:gridCol w:w="6737"/>
      </w:tblGrid>
      <w:tr w:rsidR="00C31220" w:rsidRPr="00BE056E" w:rsidTr="0096410D">
        <w:tc>
          <w:tcPr>
            <w:tcW w:w="1264" w:type="pct"/>
            <w:shd w:val="clear" w:color="auto" w:fill="auto"/>
            <w:vAlign w:val="bottom"/>
          </w:tcPr>
          <w:p w:rsidR="00C31220" w:rsidRPr="00BE056E" w:rsidRDefault="00C31220" w:rsidP="00750CE1">
            <w:pPr>
              <w:pStyle w:val="TableText"/>
              <w:spacing w:before="0" w:after="0" w:line="240" w:lineRule="auto"/>
              <w:rPr>
                <w:b/>
              </w:rPr>
            </w:pPr>
            <w:r w:rsidRPr="00BE056E">
              <w:rPr>
                <w:b/>
              </w:rPr>
              <w:t>Component</w:t>
            </w:r>
          </w:p>
        </w:tc>
        <w:tc>
          <w:tcPr>
            <w:tcW w:w="3736" w:type="pct"/>
            <w:shd w:val="clear" w:color="auto" w:fill="auto"/>
            <w:vAlign w:val="bottom"/>
          </w:tcPr>
          <w:p w:rsidR="00C31220" w:rsidRPr="00BE056E" w:rsidRDefault="00C31220" w:rsidP="00750CE1">
            <w:pPr>
              <w:pStyle w:val="TableText"/>
              <w:spacing w:before="0" w:after="0" w:line="240" w:lineRule="auto"/>
              <w:jc w:val="center"/>
              <w:rPr>
                <w:b/>
              </w:rPr>
            </w:pPr>
            <w:r w:rsidRPr="00BE056E">
              <w:rPr>
                <w:b/>
              </w:rPr>
              <w:t>Summary</w:t>
            </w:r>
          </w:p>
        </w:tc>
      </w:tr>
      <w:tr w:rsidR="00C31220" w:rsidRPr="00BE056E" w:rsidTr="0096410D">
        <w:tc>
          <w:tcPr>
            <w:tcW w:w="1264" w:type="pct"/>
            <w:shd w:val="clear" w:color="auto" w:fill="auto"/>
            <w:vAlign w:val="center"/>
          </w:tcPr>
          <w:p w:rsidR="00C31220" w:rsidRPr="00BE056E" w:rsidRDefault="00C31220" w:rsidP="00750CE1">
            <w:pPr>
              <w:pStyle w:val="TableText"/>
              <w:spacing w:before="0" w:after="0" w:line="240" w:lineRule="auto"/>
            </w:pPr>
            <w:r w:rsidRPr="00BE056E">
              <w:t>Time horizon</w:t>
            </w:r>
          </w:p>
        </w:tc>
        <w:tc>
          <w:tcPr>
            <w:tcW w:w="3736" w:type="pct"/>
            <w:shd w:val="clear" w:color="auto" w:fill="auto"/>
            <w:vAlign w:val="center"/>
          </w:tcPr>
          <w:p w:rsidR="00C31220" w:rsidRPr="00BE056E" w:rsidRDefault="00C31220" w:rsidP="00750CE1">
            <w:pPr>
              <w:pStyle w:val="TableText"/>
              <w:spacing w:before="0" w:after="0" w:line="240" w:lineRule="auto"/>
              <w:rPr>
                <w:rFonts w:ascii="Times" w:hAnsi="Times"/>
              </w:rPr>
            </w:pPr>
            <w:r w:rsidRPr="00BE056E">
              <w:t>Lifetime (10 years)</w:t>
            </w:r>
          </w:p>
        </w:tc>
      </w:tr>
      <w:tr w:rsidR="00C31220" w:rsidRPr="00BE056E" w:rsidTr="0096410D">
        <w:tc>
          <w:tcPr>
            <w:tcW w:w="1264" w:type="pct"/>
            <w:shd w:val="clear" w:color="auto" w:fill="auto"/>
            <w:vAlign w:val="center"/>
          </w:tcPr>
          <w:p w:rsidR="00C31220" w:rsidRPr="00BE056E" w:rsidRDefault="00C31220" w:rsidP="00750CE1">
            <w:pPr>
              <w:pStyle w:val="TableText"/>
              <w:spacing w:before="0" w:after="0" w:line="240" w:lineRule="auto"/>
              <w:rPr>
                <w:rFonts w:ascii="Times" w:hAnsi="Times"/>
              </w:rPr>
            </w:pPr>
            <w:r w:rsidRPr="00BE056E">
              <w:t>Outcomes</w:t>
            </w:r>
          </w:p>
        </w:tc>
        <w:tc>
          <w:tcPr>
            <w:tcW w:w="3736" w:type="pct"/>
            <w:shd w:val="clear" w:color="auto" w:fill="auto"/>
            <w:vAlign w:val="center"/>
          </w:tcPr>
          <w:p w:rsidR="00C31220" w:rsidRPr="00BE056E" w:rsidRDefault="00C31220" w:rsidP="00D46A7F">
            <w:pPr>
              <w:pStyle w:val="TableText"/>
              <w:spacing w:before="0" w:after="0" w:line="240" w:lineRule="auto"/>
              <w:rPr>
                <w:rFonts w:ascii="Times" w:hAnsi="Times"/>
              </w:rPr>
            </w:pPr>
            <w:r w:rsidRPr="00BE056E">
              <w:t>Progression-free years gained, life-years gained, quality-adjusted life</w:t>
            </w:r>
            <w:r w:rsidR="00D46A7F">
              <w:t>-</w:t>
            </w:r>
            <w:r w:rsidRPr="00BE056E">
              <w:t>years gained</w:t>
            </w:r>
            <w:r w:rsidR="00125AE8">
              <w:t>, AEs</w:t>
            </w:r>
          </w:p>
        </w:tc>
      </w:tr>
      <w:tr w:rsidR="00C31220" w:rsidRPr="00BE056E" w:rsidTr="0096410D">
        <w:tc>
          <w:tcPr>
            <w:tcW w:w="1264" w:type="pct"/>
            <w:shd w:val="clear" w:color="auto" w:fill="auto"/>
            <w:vAlign w:val="center"/>
          </w:tcPr>
          <w:p w:rsidR="00C31220" w:rsidRPr="00BE056E" w:rsidRDefault="00C31220" w:rsidP="00750CE1">
            <w:pPr>
              <w:pStyle w:val="TableText"/>
              <w:spacing w:before="0" w:after="0" w:line="240" w:lineRule="auto"/>
              <w:rPr>
                <w:rFonts w:ascii="Times" w:hAnsi="Times"/>
              </w:rPr>
            </w:pPr>
            <w:r w:rsidRPr="00BE056E">
              <w:t>Methods used to generate results</w:t>
            </w:r>
          </w:p>
        </w:tc>
        <w:tc>
          <w:tcPr>
            <w:tcW w:w="3736" w:type="pct"/>
            <w:shd w:val="clear" w:color="auto" w:fill="auto"/>
            <w:vAlign w:val="center"/>
          </w:tcPr>
          <w:p w:rsidR="00C31220" w:rsidRPr="00BE056E" w:rsidRDefault="00C31220" w:rsidP="00750CE1">
            <w:pPr>
              <w:pStyle w:val="TableText"/>
              <w:spacing w:before="0" w:after="0" w:line="240" w:lineRule="auto"/>
              <w:rPr>
                <w:rFonts w:ascii="Times" w:hAnsi="Times"/>
              </w:rPr>
            </w:pPr>
            <w:r w:rsidRPr="00BE056E">
              <w:t>Partitioned survival model</w:t>
            </w:r>
          </w:p>
        </w:tc>
      </w:tr>
      <w:tr w:rsidR="00C31220" w:rsidRPr="00BE056E" w:rsidTr="0096410D">
        <w:tc>
          <w:tcPr>
            <w:tcW w:w="1264" w:type="pct"/>
            <w:shd w:val="clear" w:color="auto" w:fill="auto"/>
            <w:vAlign w:val="center"/>
          </w:tcPr>
          <w:p w:rsidR="00C31220" w:rsidRPr="00BE056E" w:rsidRDefault="00C31220" w:rsidP="00750CE1">
            <w:pPr>
              <w:pStyle w:val="TableText"/>
              <w:spacing w:before="0" w:after="0" w:line="240" w:lineRule="auto"/>
              <w:rPr>
                <w:rFonts w:ascii="Times" w:hAnsi="Times"/>
              </w:rPr>
            </w:pPr>
            <w:r w:rsidRPr="00BE056E">
              <w:t>Health states</w:t>
            </w:r>
          </w:p>
        </w:tc>
        <w:tc>
          <w:tcPr>
            <w:tcW w:w="3736" w:type="pct"/>
            <w:shd w:val="clear" w:color="auto" w:fill="auto"/>
            <w:vAlign w:val="center"/>
          </w:tcPr>
          <w:p w:rsidR="00C31220" w:rsidRPr="00BE056E" w:rsidRDefault="00C31220" w:rsidP="00750CE1">
            <w:pPr>
              <w:pStyle w:val="TableText"/>
              <w:spacing w:before="0" w:after="0" w:line="240" w:lineRule="auto"/>
            </w:pPr>
            <w:r w:rsidRPr="00BE056E">
              <w:t>Progression free (PF); progressed disease (PD); death</w:t>
            </w:r>
          </w:p>
        </w:tc>
      </w:tr>
      <w:tr w:rsidR="00C31220" w:rsidRPr="00BE056E" w:rsidTr="0096410D">
        <w:tc>
          <w:tcPr>
            <w:tcW w:w="1264" w:type="pct"/>
            <w:shd w:val="clear" w:color="auto" w:fill="auto"/>
            <w:vAlign w:val="center"/>
          </w:tcPr>
          <w:p w:rsidR="00C31220" w:rsidRPr="00BE056E" w:rsidRDefault="00C31220" w:rsidP="00750CE1">
            <w:pPr>
              <w:pStyle w:val="TableText"/>
              <w:spacing w:before="0" w:after="0" w:line="240" w:lineRule="auto"/>
              <w:rPr>
                <w:rFonts w:ascii="Times" w:hAnsi="Times"/>
              </w:rPr>
            </w:pPr>
            <w:r w:rsidRPr="00BE056E">
              <w:t>Utilities</w:t>
            </w:r>
          </w:p>
        </w:tc>
        <w:tc>
          <w:tcPr>
            <w:tcW w:w="3736" w:type="pct"/>
            <w:shd w:val="clear" w:color="auto" w:fill="auto"/>
            <w:vAlign w:val="center"/>
          </w:tcPr>
          <w:p w:rsidR="00C31220" w:rsidRPr="00BE056E" w:rsidRDefault="00C31220" w:rsidP="00750CE1">
            <w:pPr>
              <w:pStyle w:val="TableText"/>
              <w:spacing w:before="0" w:after="0" w:line="240" w:lineRule="auto"/>
              <w:rPr>
                <w:rFonts w:ascii="Times" w:hAnsi="Times"/>
              </w:rPr>
            </w:pPr>
            <w:r w:rsidRPr="00BE056E">
              <w:t xml:space="preserve">Based on EQ-5D-5L values from </w:t>
            </w:r>
            <w:proofErr w:type="spellStart"/>
            <w:r w:rsidRPr="00BE056E">
              <w:t>PROfound</w:t>
            </w:r>
            <w:proofErr w:type="spellEnd"/>
            <w:r w:rsidRPr="00BE056E">
              <w:t xml:space="preserve">; disutility for AEs and SREs from </w:t>
            </w:r>
            <w:proofErr w:type="spellStart"/>
            <w:r w:rsidRPr="00BE056E">
              <w:t>PROfound</w:t>
            </w:r>
            <w:proofErr w:type="spellEnd"/>
            <w:r w:rsidRPr="00BE056E">
              <w:t xml:space="preserve"> </w:t>
            </w:r>
          </w:p>
        </w:tc>
      </w:tr>
      <w:tr w:rsidR="00C31220" w:rsidRPr="00BE056E" w:rsidTr="0096410D">
        <w:tc>
          <w:tcPr>
            <w:tcW w:w="1264" w:type="pct"/>
            <w:shd w:val="clear" w:color="auto" w:fill="auto"/>
            <w:vAlign w:val="center"/>
          </w:tcPr>
          <w:p w:rsidR="00C31220" w:rsidRPr="00BE056E" w:rsidRDefault="00C31220" w:rsidP="00750CE1">
            <w:pPr>
              <w:pStyle w:val="TableText"/>
              <w:spacing w:before="0" w:after="0" w:line="240" w:lineRule="auto"/>
              <w:rPr>
                <w:rFonts w:ascii="Times" w:hAnsi="Times"/>
              </w:rPr>
            </w:pPr>
            <w:r w:rsidRPr="00BE056E">
              <w:t>Cycle length</w:t>
            </w:r>
          </w:p>
        </w:tc>
        <w:tc>
          <w:tcPr>
            <w:tcW w:w="3736" w:type="pct"/>
            <w:shd w:val="clear" w:color="auto" w:fill="auto"/>
            <w:vAlign w:val="center"/>
          </w:tcPr>
          <w:p w:rsidR="00C31220" w:rsidRPr="00BE056E" w:rsidRDefault="00C31220" w:rsidP="00750CE1">
            <w:pPr>
              <w:pStyle w:val="TableText"/>
              <w:spacing w:before="0" w:after="0" w:line="240" w:lineRule="auto"/>
              <w:rPr>
                <w:rFonts w:ascii="Times" w:hAnsi="Times"/>
              </w:rPr>
            </w:pPr>
            <w:r w:rsidRPr="00BE056E">
              <w:t>Monthly</w:t>
            </w:r>
          </w:p>
        </w:tc>
      </w:tr>
      <w:tr w:rsidR="00C31220" w:rsidRPr="00BE056E" w:rsidTr="0096410D">
        <w:tc>
          <w:tcPr>
            <w:tcW w:w="1264" w:type="pct"/>
            <w:shd w:val="clear" w:color="auto" w:fill="auto"/>
            <w:vAlign w:val="center"/>
          </w:tcPr>
          <w:p w:rsidR="00C31220" w:rsidRPr="00BE056E" w:rsidRDefault="00C31220" w:rsidP="00750CE1">
            <w:pPr>
              <w:pStyle w:val="TableText"/>
              <w:spacing w:before="0" w:after="0" w:line="240" w:lineRule="auto"/>
              <w:rPr>
                <w:rFonts w:ascii="Times" w:hAnsi="Times"/>
              </w:rPr>
            </w:pPr>
            <w:r w:rsidRPr="00BE056E">
              <w:t>Transition probabilities</w:t>
            </w:r>
          </w:p>
        </w:tc>
        <w:tc>
          <w:tcPr>
            <w:tcW w:w="3736" w:type="pct"/>
            <w:shd w:val="clear" w:color="auto" w:fill="auto"/>
            <w:vAlign w:val="center"/>
          </w:tcPr>
          <w:p w:rsidR="00C31220" w:rsidRPr="00BE056E" w:rsidRDefault="00C31220" w:rsidP="00750CE1">
            <w:pPr>
              <w:pStyle w:val="TableText"/>
              <w:spacing w:before="0" w:after="0" w:line="240" w:lineRule="auto"/>
              <w:rPr>
                <w:rFonts w:ascii="Times" w:hAnsi="Times"/>
              </w:rPr>
            </w:pPr>
            <w:r w:rsidRPr="00BE056E">
              <w:t xml:space="preserve">No specific transition probabilities were modelled; health state allocation was determined by </w:t>
            </w:r>
            <w:proofErr w:type="spellStart"/>
            <w:r w:rsidRPr="00BE056E">
              <w:t>rPFS</w:t>
            </w:r>
            <w:proofErr w:type="spellEnd"/>
            <w:r w:rsidRPr="00BE056E">
              <w:t xml:space="preserve"> and OS curves, which were based on </w:t>
            </w:r>
            <w:proofErr w:type="spellStart"/>
            <w:r w:rsidRPr="00BE056E">
              <w:t>P</w:t>
            </w:r>
            <w:r w:rsidR="00D46A7F">
              <w:t>ROfound</w:t>
            </w:r>
            <w:proofErr w:type="spellEnd"/>
            <w:r w:rsidR="00D46A7F">
              <w:t xml:space="preserve"> data with extrapolation</w:t>
            </w:r>
          </w:p>
        </w:tc>
      </w:tr>
      <w:tr w:rsidR="00125AE8" w:rsidRPr="00BE056E" w:rsidTr="0096410D">
        <w:tc>
          <w:tcPr>
            <w:tcW w:w="1264" w:type="pct"/>
            <w:shd w:val="clear" w:color="auto" w:fill="auto"/>
            <w:vAlign w:val="center"/>
          </w:tcPr>
          <w:p w:rsidR="00125AE8" w:rsidRPr="00BE056E" w:rsidRDefault="00087EAB" w:rsidP="00750CE1">
            <w:pPr>
              <w:pStyle w:val="TableText"/>
              <w:spacing w:before="0" w:after="0" w:line="240" w:lineRule="auto"/>
            </w:pPr>
            <w:proofErr w:type="spellStart"/>
            <w:r>
              <w:t>PROfound</w:t>
            </w:r>
            <w:proofErr w:type="spellEnd"/>
            <w:r>
              <w:t xml:space="preserve"> population – data sources</w:t>
            </w:r>
          </w:p>
        </w:tc>
        <w:tc>
          <w:tcPr>
            <w:tcW w:w="3736" w:type="pct"/>
            <w:shd w:val="clear" w:color="auto" w:fill="auto"/>
            <w:vAlign w:val="center"/>
          </w:tcPr>
          <w:p w:rsidR="00125AE8" w:rsidRDefault="00125AE8" w:rsidP="00750CE1">
            <w:pPr>
              <w:pStyle w:val="TableText"/>
              <w:spacing w:before="0" w:after="0" w:line="240" w:lineRule="auto"/>
            </w:pPr>
            <w:proofErr w:type="spellStart"/>
            <w:r>
              <w:t>rPFS</w:t>
            </w:r>
            <w:proofErr w:type="spellEnd"/>
            <w:r>
              <w:t xml:space="preserve">: </w:t>
            </w:r>
            <w:r w:rsidRPr="00087EAB">
              <w:rPr>
                <w:i/>
                <w:iCs/>
              </w:rPr>
              <w:t>BRCA1/2</w:t>
            </w:r>
            <w:r>
              <w:t xml:space="preserve"> subgroup of </w:t>
            </w:r>
            <w:proofErr w:type="spellStart"/>
            <w:r>
              <w:t>PROfound</w:t>
            </w:r>
            <w:proofErr w:type="spellEnd"/>
          </w:p>
          <w:p w:rsidR="00125AE8" w:rsidRDefault="00125AE8" w:rsidP="00750CE1">
            <w:pPr>
              <w:pStyle w:val="TableText"/>
              <w:spacing w:before="0" w:after="0" w:line="240" w:lineRule="auto"/>
            </w:pPr>
            <w:r>
              <w:t xml:space="preserve">OS: </w:t>
            </w:r>
            <w:r w:rsidRPr="00087EAB">
              <w:rPr>
                <w:i/>
                <w:iCs/>
              </w:rPr>
              <w:t>BRCA1/2</w:t>
            </w:r>
            <w:r>
              <w:t xml:space="preserve"> subgroup of </w:t>
            </w:r>
            <w:proofErr w:type="spellStart"/>
            <w:r>
              <w:t>PROfound</w:t>
            </w:r>
            <w:proofErr w:type="spellEnd"/>
            <w:r>
              <w:t>, adjusted for treatment switching</w:t>
            </w:r>
          </w:p>
          <w:p w:rsidR="00125AE8" w:rsidRDefault="00125AE8" w:rsidP="00750CE1">
            <w:pPr>
              <w:pStyle w:val="TableText"/>
              <w:spacing w:before="0" w:after="0" w:line="240" w:lineRule="auto"/>
            </w:pPr>
            <w:r>
              <w:t xml:space="preserve">AEs: Cohort A </w:t>
            </w:r>
            <w:r w:rsidR="00D002D2">
              <w:t xml:space="preserve">+ </w:t>
            </w:r>
            <w:r>
              <w:t xml:space="preserve">B of </w:t>
            </w:r>
            <w:proofErr w:type="spellStart"/>
            <w:r>
              <w:t>PROfound</w:t>
            </w:r>
            <w:proofErr w:type="spellEnd"/>
          </w:p>
          <w:p w:rsidR="005E0487" w:rsidRPr="00BE056E" w:rsidRDefault="005E0487" w:rsidP="00750CE1">
            <w:pPr>
              <w:pStyle w:val="TableText"/>
              <w:spacing w:before="0" w:after="0" w:line="240" w:lineRule="auto"/>
            </w:pPr>
            <w:r>
              <w:t>Utilities: Cohort A</w:t>
            </w:r>
            <w:r w:rsidR="009F513A">
              <w:t xml:space="preserve"> (ITT population)</w:t>
            </w:r>
          </w:p>
        </w:tc>
      </w:tr>
      <w:tr w:rsidR="00C31220" w:rsidRPr="00BE056E" w:rsidTr="0096410D">
        <w:tc>
          <w:tcPr>
            <w:tcW w:w="1264" w:type="pct"/>
            <w:shd w:val="clear" w:color="auto" w:fill="auto"/>
            <w:vAlign w:val="center"/>
          </w:tcPr>
          <w:p w:rsidR="00C31220" w:rsidRPr="00BE056E" w:rsidRDefault="00C31220" w:rsidP="00750CE1">
            <w:pPr>
              <w:pStyle w:val="TableText"/>
              <w:spacing w:before="0" w:after="0" w:line="240" w:lineRule="auto"/>
            </w:pPr>
            <w:r w:rsidRPr="00BE056E">
              <w:t>Test parameters</w:t>
            </w:r>
          </w:p>
        </w:tc>
        <w:tc>
          <w:tcPr>
            <w:tcW w:w="3736" w:type="pct"/>
            <w:shd w:val="clear" w:color="auto" w:fill="auto"/>
            <w:vAlign w:val="center"/>
          </w:tcPr>
          <w:p w:rsidR="00C31220" w:rsidRPr="00BE056E" w:rsidRDefault="00C31220" w:rsidP="00750CE1">
            <w:pPr>
              <w:pStyle w:val="TableText"/>
              <w:spacing w:before="0" w:after="0" w:line="240" w:lineRule="auto"/>
            </w:pPr>
            <w:r w:rsidRPr="00BE056E">
              <w:t>A tes</w:t>
            </w:r>
            <w:r w:rsidR="00D46A7F">
              <w:t>t + drug model was not provided</w:t>
            </w:r>
          </w:p>
        </w:tc>
      </w:tr>
      <w:tr w:rsidR="00C31220" w:rsidRPr="00BE056E" w:rsidTr="0096410D">
        <w:tc>
          <w:tcPr>
            <w:tcW w:w="1264" w:type="pct"/>
            <w:shd w:val="clear" w:color="auto" w:fill="auto"/>
            <w:vAlign w:val="center"/>
          </w:tcPr>
          <w:p w:rsidR="00C31220" w:rsidRPr="00BE056E" w:rsidRDefault="00C31220" w:rsidP="00750CE1">
            <w:pPr>
              <w:pStyle w:val="TableText"/>
              <w:spacing w:before="0" w:after="0" w:line="240" w:lineRule="auto"/>
            </w:pPr>
            <w:r w:rsidRPr="00BE056E">
              <w:t>False positives/negatives</w:t>
            </w:r>
          </w:p>
        </w:tc>
        <w:tc>
          <w:tcPr>
            <w:tcW w:w="3736" w:type="pct"/>
            <w:shd w:val="clear" w:color="auto" w:fill="auto"/>
            <w:vAlign w:val="center"/>
          </w:tcPr>
          <w:p w:rsidR="00C31220" w:rsidRPr="00BE056E" w:rsidRDefault="00D46A7F" w:rsidP="00750CE1">
            <w:pPr>
              <w:pStyle w:val="TableText"/>
              <w:spacing w:before="0" w:after="0" w:line="240" w:lineRule="auto"/>
            </w:pPr>
            <w:r>
              <w:t>Not included</w:t>
            </w:r>
          </w:p>
        </w:tc>
      </w:tr>
    </w:tbl>
    <w:p w:rsidR="00C31220" w:rsidRPr="00BE056E" w:rsidRDefault="00C31220" w:rsidP="00C31220">
      <w:pPr>
        <w:pStyle w:val="TableFooter"/>
      </w:pPr>
      <w:r w:rsidRPr="00BE056E">
        <w:t>Source: Table 3.1, p154 of the submission.</w:t>
      </w:r>
    </w:p>
    <w:p w:rsidR="00C31220" w:rsidRPr="00BE056E" w:rsidRDefault="00C31220" w:rsidP="00C31220">
      <w:pPr>
        <w:pStyle w:val="TableFooter"/>
      </w:pPr>
      <w:r w:rsidRPr="00BE056E">
        <w:t>AE=</w:t>
      </w:r>
      <w:r w:rsidR="000761CF">
        <w:t xml:space="preserve"> </w:t>
      </w:r>
      <w:r w:rsidRPr="00BE056E">
        <w:t>adverse events OS</w:t>
      </w:r>
      <w:r w:rsidR="000761CF">
        <w:t xml:space="preserve"> </w:t>
      </w:r>
      <w:r w:rsidRPr="00BE056E">
        <w:t>=</w:t>
      </w:r>
      <w:r w:rsidR="000761CF">
        <w:t xml:space="preserve"> </w:t>
      </w:r>
      <w:r w:rsidRPr="00BE056E">
        <w:t xml:space="preserve">overall survival; </w:t>
      </w:r>
      <w:proofErr w:type="spellStart"/>
      <w:r w:rsidRPr="00BE056E">
        <w:t>rPFS</w:t>
      </w:r>
      <w:proofErr w:type="spellEnd"/>
      <w:r w:rsidR="000761CF">
        <w:t xml:space="preserve"> </w:t>
      </w:r>
      <w:r w:rsidRPr="00BE056E">
        <w:t>=</w:t>
      </w:r>
      <w:r w:rsidR="000761CF">
        <w:t xml:space="preserve"> </w:t>
      </w:r>
      <w:r w:rsidRPr="00BE056E">
        <w:t>radiological progression-free survival; SRE</w:t>
      </w:r>
      <w:r w:rsidR="000761CF">
        <w:t xml:space="preserve"> </w:t>
      </w:r>
      <w:r w:rsidRPr="00BE056E">
        <w:t>=</w:t>
      </w:r>
      <w:r w:rsidR="000761CF">
        <w:t xml:space="preserve"> </w:t>
      </w:r>
      <w:r w:rsidRPr="00BE056E">
        <w:t>skeletal-related events</w:t>
      </w:r>
      <w:r w:rsidR="00D46A7F">
        <w:t>.</w:t>
      </w:r>
    </w:p>
    <w:p w:rsidR="00A532E5" w:rsidRDefault="00A532E5">
      <w:pPr>
        <w:spacing w:before="0" w:line="259" w:lineRule="auto"/>
        <w:jc w:val="left"/>
        <w:rPr>
          <w:color w:val="000000" w:themeColor="text1"/>
        </w:rPr>
      </w:pPr>
      <w:r>
        <w:br w:type="page"/>
      </w:r>
    </w:p>
    <w:p w:rsidR="00C31220" w:rsidRPr="00BE056E" w:rsidRDefault="00C31220" w:rsidP="00C31220">
      <w:pPr>
        <w:pStyle w:val="ListParagraph"/>
        <w:rPr>
          <w:color w:val="auto"/>
        </w:rPr>
      </w:pPr>
      <w:r w:rsidRPr="00BE056E">
        <w:lastRenderedPageBreak/>
        <w:t>A summary of the key drivers of the model is provided in the table below.</w:t>
      </w:r>
    </w:p>
    <w:p w:rsidR="00C31220" w:rsidRPr="00BE056E" w:rsidRDefault="00D6660D" w:rsidP="00781284">
      <w:pPr>
        <w:pStyle w:val="Caption"/>
      </w:pPr>
      <w:r w:rsidRPr="00D6660D">
        <w:t xml:space="preserve">Table </w:t>
      </w:r>
      <w:r w:rsidR="00CD4B9C">
        <w:rPr>
          <w:noProof/>
        </w:rPr>
        <w:t>12</w:t>
      </w:r>
      <w:r w:rsidR="0073766D">
        <w:rPr>
          <w:noProof/>
        </w:rPr>
        <w:t>:</w:t>
      </w:r>
      <w:r w:rsidR="00D46A7F">
        <w:rPr>
          <w:noProof/>
        </w:rPr>
        <w:tab/>
      </w:r>
      <w:r w:rsidR="00C31220" w:rsidRPr="00BE056E">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4"/>
        <w:gridCol w:w="6091"/>
        <w:gridCol w:w="1641"/>
      </w:tblGrid>
      <w:tr w:rsidR="00C31220" w:rsidRPr="00BE056E" w:rsidTr="0088177D">
        <w:trPr>
          <w:tblHeader/>
        </w:trPr>
        <w:tc>
          <w:tcPr>
            <w:tcW w:w="712" w:type="pct"/>
            <w:shd w:val="clear" w:color="auto" w:fill="auto"/>
            <w:vAlign w:val="bottom"/>
          </w:tcPr>
          <w:p w:rsidR="00C31220" w:rsidRPr="00BE056E" w:rsidRDefault="00C31220" w:rsidP="00750CE1">
            <w:pPr>
              <w:pStyle w:val="TableText"/>
              <w:keepNext/>
              <w:keepLines/>
              <w:spacing w:before="0" w:after="0" w:line="240" w:lineRule="auto"/>
              <w:rPr>
                <w:b/>
                <w:bCs/>
              </w:rPr>
            </w:pPr>
            <w:r w:rsidRPr="00BE056E">
              <w:rPr>
                <w:b/>
                <w:bCs/>
              </w:rPr>
              <w:t>Description</w:t>
            </w:r>
          </w:p>
        </w:tc>
        <w:tc>
          <w:tcPr>
            <w:tcW w:w="3378" w:type="pct"/>
            <w:shd w:val="clear" w:color="auto" w:fill="auto"/>
            <w:vAlign w:val="bottom"/>
          </w:tcPr>
          <w:p w:rsidR="00C31220" w:rsidRPr="00BE056E" w:rsidRDefault="00C31220" w:rsidP="00750CE1">
            <w:pPr>
              <w:pStyle w:val="TableText"/>
              <w:keepNext/>
              <w:keepLines/>
              <w:spacing w:before="0" w:after="0" w:line="240" w:lineRule="auto"/>
              <w:jc w:val="center"/>
              <w:rPr>
                <w:b/>
                <w:bCs/>
              </w:rPr>
            </w:pPr>
            <w:r w:rsidRPr="00BE056E">
              <w:rPr>
                <w:b/>
                <w:bCs/>
              </w:rPr>
              <w:t>Method/Value</w:t>
            </w:r>
          </w:p>
        </w:tc>
        <w:tc>
          <w:tcPr>
            <w:tcW w:w="910" w:type="pct"/>
            <w:shd w:val="clear" w:color="auto" w:fill="auto"/>
            <w:vAlign w:val="bottom"/>
          </w:tcPr>
          <w:p w:rsidR="00C31220" w:rsidRPr="00BE056E" w:rsidRDefault="00C31220" w:rsidP="00750CE1">
            <w:pPr>
              <w:pStyle w:val="TableText"/>
              <w:keepNext/>
              <w:keepLines/>
              <w:spacing w:before="0" w:after="0" w:line="240" w:lineRule="auto"/>
              <w:jc w:val="center"/>
              <w:rPr>
                <w:b/>
                <w:bCs/>
              </w:rPr>
            </w:pPr>
            <w:r w:rsidRPr="00BE056E">
              <w:rPr>
                <w:b/>
                <w:bCs/>
              </w:rPr>
              <w:t>Impact</w:t>
            </w:r>
          </w:p>
        </w:tc>
      </w:tr>
      <w:tr w:rsidR="00846040" w:rsidRPr="00BE056E" w:rsidTr="0088177D">
        <w:tc>
          <w:tcPr>
            <w:tcW w:w="712" w:type="pct"/>
            <w:shd w:val="clear" w:color="auto" w:fill="auto"/>
            <w:vAlign w:val="center"/>
          </w:tcPr>
          <w:p w:rsidR="00F77A41" w:rsidRDefault="00F77A41" w:rsidP="00750CE1">
            <w:pPr>
              <w:pStyle w:val="TableText"/>
              <w:keepNext/>
              <w:keepLines/>
              <w:spacing w:before="0" w:after="0" w:line="240" w:lineRule="auto"/>
            </w:pPr>
            <w:r>
              <w:t>Model comparator</w:t>
            </w:r>
          </w:p>
        </w:tc>
        <w:tc>
          <w:tcPr>
            <w:tcW w:w="3378" w:type="pct"/>
            <w:shd w:val="clear" w:color="auto" w:fill="auto"/>
            <w:vAlign w:val="center"/>
          </w:tcPr>
          <w:p w:rsidR="00F77A41" w:rsidRPr="000F2527" w:rsidRDefault="00F77A41" w:rsidP="0023183E">
            <w:pPr>
              <w:pStyle w:val="TableText"/>
              <w:keepNext/>
              <w:keepLines/>
              <w:spacing w:before="0" w:after="0" w:line="240" w:lineRule="auto"/>
              <w:rPr>
                <w:iCs/>
              </w:rPr>
            </w:pPr>
            <w:r w:rsidRPr="000F2527">
              <w:rPr>
                <w:iCs/>
              </w:rPr>
              <w:t xml:space="preserve">The nominated comparator of subsequent NHA was not appropriate and does not reflect </w:t>
            </w:r>
            <w:r w:rsidR="00BB3934" w:rsidRPr="000F2527">
              <w:rPr>
                <w:iCs/>
              </w:rPr>
              <w:t>the</w:t>
            </w:r>
            <w:r w:rsidRPr="000F2527">
              <w:rPr>
                <w:iCs/>
              </w:rPr>
              <w:t xml:space="preserve"> Australia</w:t>
            </w:r>
            <w:r w:rsidR="00BB3934" w:rsidRPr="000F2527">
              <w:rPr>
                <w:iCs/>
              </w:rPr>
              <w:t>n setting</w:t>
            </w:r>
            <w:r w:rsidRPr="000F2527">
              <w:rPr>
                <w:iCs/>
              </w:rPr>
              <w:t>.</w:t>
            </w:r>
            <w:r w:rsidR="00BE5025" w:rsidRPr="000F2527">
              <w:rPr>
                <w:iCs/>
              </w:rPr>
              <w:t xml:space="preserve"> </w:t>
            </w:r>
            <w:r w:rsidR="00846040" w:rsidRPr="000F2527">
              <w:rPr>
                <w:iCs/>
              </w:rPr>
              <w:t>Subsequent NHA is likely to have minimal activity due to cross resistance.</w:t>
            </w:r>
          </w:p>
        </w:tc>
        <w:tc>
          <w:tcPr>
            <w:tcW w:w="910" w:type="pct"/>
            <w:shd w:val="clear" w:color="auto" w:fill="auto"/>
            <w:vAlign w:val="center"/>
          </w:tcPr>
          <w:p w:rsidR="00F77A41" w:rsidRPr="000F2527" w:rsidRDefault="00F77A41" w:rsidP="00750CE1">
            <w:pPr>
              <w:pStyle w:val="TableText"/>
              <w:keepNext/>
              <w:keepLines/>
              <w:spacing w:before="0" w:after="0" w:line="240" w:lineRule="auto"/>
              <w:rPr>
                <w:iCs/>
              </w:rPr>
            </w:pPr>
            <w:r w:rsidRPr="000F2527">
              <w:rPr>
                <w:iCs/>
              </w:rPr>
              <w:t xml:space="preserve">Likely </w:t>
            </w:r>
            <w:r w:rsidR="00750CE1">
              <w:rPr>
                <w:iCs/>
              </w:rPr>
              <w:t>h</w:t>
            </w:r>
            <w:r w:rsidRPr="000F2527">
              <w:rPr>
                <w:iCs/>
              </w:rPr>
              <w:t>igh (however</w:t>
            </w:r>
            <w:r w:rsidR="00EB602F" w:rsidRPr="000F2527">
              <w:rPr>
                <w:iCs/>
              </w:rPr>
              <w:t xml:space="preserve"> effect not able to be </w:t>
            </w:r>
            <w:r w:rsidR="00C26913" w:rsidRPr="00AB439B">
              <w:rPr>
                <w:iCs/>
              </w:rPr>
              <w:t>fully</w:t>
            </w:r>
            <w:r w:rsidR="00C26913">
              <w:rPr>
                <w:iCs/>
              </w:rPr>
              <w:t xml:space="preserve"> </w:t>
            </w:r>
            <w:r w:rsidR="00EB602F" w:rsidRPr="000F2527">
              <w:rPr>
                <w:iCs/>
              </w:rPr>
              <w:t>tested).</w:t>
            </w:r>
          </w:p>
        </w:tc>
      </w:tr>
      <w:tr w:rsidR="00C31220" w:rsidRPr="00BE056E" w:rsidTr="0088177D">
        <w:tc>
          <w:tcPr>
            <w:tcW w:w="712" w:type="pct"/>
            <w:shd w:val="clear" w:color="auto" w:fill="auto"/>
            <w:vAlign w:val="center"/>
          </w:tcPr>
          <w:p w:rsidR="00C31220" w:rsidRPr="00BE056E" w:rsidRDefault="0088512C" w:rsidP="00750CE1">
            <w:pPr>
              <w:pStyle w:val="TableText"/>
              <w:keepNext/>
              <w:keepLines/>
              <w:spacing w:before="0" w:after="0" w:line="240" w:lineRule="auto"/>
            </w:pPr>
            <w:r>
              <w:t>OS evidence used in the model</w:t>
            </w:r>
          </w:p>
        </w:tc>
        <w:tc>
          <w:tcPr>
            <w:tcW w:w="3378" w:type="pct"/>
            <w:shd w:val="clear" w:color="auto" w:fill="auto"/>
            <w:vAlign w:val="center"/>
          </w:tcPr>
          <w:p w:rsidR="00C31220" w:rsidRPr="000F2527" w:rsidRDefault="00105867">
            <w:pPr>
              <w:pStyle w:val="TableText"/>
              <w:keepNext/>
              <w:keepLines/>
              <w:spacing w:before="0" w:after="0" w:line="240" w:lineRule="auto"/>
              <w:rPr>
                <w:iCs/>
              </w:rPr>
            </w:pPr>
            <w:r w:rsidRPr="000F2527">
              <w:rPr>
                <w:iCs/>
              </w:rPr>
              <w:t xml:space="preserve">The applied adjusted HR of </w:t>
            </w:r>
            <w:r w:rsidR="00E60C03">
              <w:rPr>
                <w:iCs/>
                <w:noProof/>
                <w:color w:val="000000"/>
                <w:highlight w:val="black"/>
              </w:rPr>
              <w:t>'''''''''''</w:t>
            </w:r>
            <w:r w:rsidR="00014FF5">
              <w:rPr>
                <w:iCs/>
                <w:vertAlign w:val="superscript"/>
              </w:rPr>
              <w:t>2</w:t>
            </w:r>
            <w:r w:rsidRPr="000F2527">
              <w:rPr>
                <w:iCs/>
              </w:rPr>
              <w:t xml:space="preserve"> </w:t>
            </w:r>
            <w:r w:rsidR="000761CF">
              <w:rPr>
                <w:iCs/>
              </w:rPr>
              <w:t>wa</w:t>
            </w:r>
            <w:r w:rsidRPr="000F2527">
              <w:rPr>
                <w:iCs/>
              </w:rPr>
              <w:t>s significantly lower than unadjusted result</w:t>
            </w:r>
            <w:r w:rsidR="00EB602F" w:rsidRPr="000F2527">
              <w:rPr>
                <w:iCs/>
              </w:rPr>
              <w:t xml:space="preserve">s for the same subgroup (0.63) </w:t>
            </w:r>
            <w:r w:rsidR="002B144A">
              <w:rPr>
                <w:iCs/>
              </w:rPr>
              <w:t>and</w:t>
            </w:r>
            <w:r w:rsidR="00EB602F" w:rsidRPr="000F2527">
              <w:rPr>
                <w:iCs/>
              </w:rPr>
              <w:t xml:space="preserve"> the ITT (0.69)</w:t>
            </w:r>
            <w:r w:rsidR="009759AD">
              <w:rPr>
                <w:iCs/>
              </w:rPr>
              <w:t>.</w:t>
            </w:r>
          </w:p>
        </w:tc>
        <w:tc>
          <w:tcPr>
            <w:tcW w:w="910" w:type="pct"/>
            <w:shd w:val="clear" w:color="auto" w:fill="auto"/>
            <w:vAlign w:val="center"/>
          </w:tcPr>
          <w:p w:rsidR="007C4A5B" w:rsidRPr="000F2527" w:rsidRDefault="0088512C" w:rsidP="00750CE1">
            <w:pPr>
              <w:pStyle w:val="TableText"/>
              <w:keepNext/>
              <w:keepLines/>
              <w:spacing w:before="0" w:after="0" w:line="240" w:lineRule="auto"/>
              <w:rPr>
                <w:iCs/>
              </w:rPr>
            </w:pPr>
            <w:r w:rsidRPr="000F2527">
              <w:rPr>
                <w:iCs/>
              </w:rPr>
              <w:t xml:space="preserve">High, favours </w:t>
            </w:r>
            <w:proofErr w:type="spellStart"/>
            <w:r w:rsidRPr="000F2527">
              <w:rPr>
                <w:iCs/>
              </w:rPr>
              <w:t>olaparib</w:t>
            </w:r>
            <w:proofErr w:type="spellEnd"/>
            <w:r w:rsidR="007C4A5B" w:rsidRPr="000F2527">
              <w:rPr>
                <w:iCs/>
              </w:rPr>
              <w:t>.</w:t>
            </w:r>
          </w:p>
          <w:p w:rsidR="00C31220" w:rsidRPr="000F4D7C" w:rsidRDefault="007C4A5B">
            <w:pPr>
              <w:pStyle w:val="TableText"/>
              <w:keepNext/>
              <w:keepLines/>
              <w:spacing w:before="0" w:after="0" w:line="240" w:lineRule="auto"/>
              <w:rPr>
                <w:iCs/>
                <w:vertAlign w:val="superscript"/>
              </w:rPr>
            </w:pPr>
            <w:r w:rsidRPr="000F2527">
              <w:rPr>
                <w:iCs/>
              </w:rPr>
              <w:t>U</w:t>
            </w:r>
            <w:r w:rsidR="00BD1C10" w:rsidRPr="000F2527">
              <w:rPr>
                <w:iCs/>
              </w:rPr>
              <w:t xml:space="preserve">sing the unadjusted HR, </w:t>
            </w:r>
            <w:r w:rsidR="00750CE1">
              <w:rPr>
                <w:iCs/>
              </w:rPr>
              <w:t xml:space="preserve">increased </w:t>
            </w:r>
            <w:r w:rsidR="00BD1C10" w:rsidRPr="000F2527">
              <w:rPr>
                <w:iCs/>
              </w:rPr>
              <w:t>the ICER to $</w:t>
            </w:r>
            <w:r w:rsidR="000F4D7C">
              <w:rPr>
                <w:iCs/>
                <w:noProof/>
                <w:color w:val="000000"/>
                <w:highlight w:val="black"/>
              </w:rPr>
              <w:t>''''''''''''''''''''</w:t>
            </w:r>
            <w:r w:rsidR="00AF23EA">
              <w:rPr>
                <w:iCs/>
                <w:vertAlign w:val="superscript"/>
              </w:rPr>
              <w:t>1</w:t>
            </w:r>
            <w:r w:rsidR="00BD1C10" w:rsidRPr="000F2527">
              <w:rPr>
                <w:iCs/>
              </w:rPr>
              <w:t>/QALY.</w:t>
            </w:r>
          </w:p>
        </w:tc>
      </w:tr>
      <w:tr w:rsidR="00C31220" w:rsidRPr="00BE056E" w:rsidTr="0088177D">
        <w:tc>
          <w:tcPr>
            <w:tcW w:w="712" w:type="pct"/>
            <w:shd w:val="clear" w:color="auto" w:fill="auto"/>
            <w:vAlign w:val="center"/>
          </w:tcPr>
          <w:p w:rsidR="00C31220" w:rsidRPr="00BE056E" w:rsidRDefault="006B534D" w:rsidP="00750CE1">
            <w:pPr>
              <w:pStyle w:val="TableText"/>
              <w:keepNext/>
              <w:keepLines/>
              <w:spacing w:before="0" w:after="0" w:line="240" w:lineRule="auto"/>
            </w:pPr>
            <w:r w:rsidRPr="00BE056E">
              <w:t>Adjustment for treatment switching</w:t>
            </w:r>
          </w:p>
        </w:tc>
        <w:tc>
          <w:tcPr>
            <w:tcW w:w="3378" w:type="pct"/>
            <w:shd w:val="clear" w:color="auto" w:fill="auto"/>
            <w:vAlign w:val="center"/>
          </w:tcPr>
          <w:p w:rsidR="00C31220" w:rsidRPr="000F2527" w:rsidRDefault="00EB7A23" w:rsidP="00BC40BD">
            <w:pPr>
              <w:pStyle w:val="TableText"/>
              <w:keepNext/>
              <w:keepLines/>
              <w:spacing w:before="0" w:after="0" w:line="240" w:lineRule="auto"/>
              <w:rPr>
                <w:iCs/>
              </w:rPr>
            </w:pPr>
            <w:r w:rsidRPr="000F2527">
              <w:rPr>
                <w:rFonts w:cs="Calibri"/>
                <w:iCs/>
                <w:color w:val="000000"/>
              </w:rPr>
              <w:t xml:space="preserve">The use of the RPSFTM to adjust for treatment switching </w:t>
            </w:r>
            <w:r w:rsidR="00077040">
              <w:rPr>
                <w:rFonts w:cs="Calibri"/>
                <w:iCs/>
                <w:color w:val="000000"/>
              </w:rPr>
              <w:t>may not have been the most</w:t>
            </w:r>
            <w:r w:rsidRPr="000F2527">
              <w:rPr>
                <w:rFonts w:cs="Calibri"/>
                <w:iCs/>
                <w:color w:val="000000"/>
              </w:rPr>
              <w:t xml:space="preserve"> appropriate method to use</w:t>
            </w:r>
            <w:r w:rsidR="00E52A61">
              <w:rPr>
                <w:rFonts w:cs="Calibri"/>
                <w:iCs/>
                <w:color w:val="000000"/>
              </w:rPr>
              <w:t xml:space="preserve"> as</w:t>
            </w:r>
            <w:r w:rsidRPr="000F2527">
              <w:rPr>
                <w:iCs/>
              </w:rPr>
              <w:t xml:space="preserve"> </w:t>
            </w:r>
            <w:proofErr w:type="spellStart"/>
            <w:r w:rsidRPr="000F2527">
              <w:rPr>
                <w:iCs/>
              </w:rPr>
              <w:t>PROfound</w:t>
            </w:r>
            <w:proofErr w:type="spellEnd"/>
            <w:r w:rsidRPr="000F2527">
              <w:rPr>
                <w:iCs/>
              </w:rPr>
              <w:t xml:space="preserve"> </w:t>
            </w:r>
            <w:r w:rsidR="00E52A61">
              <w:rPr>
                <w:iCs/>
              </w:rPr>
              <w:t>is unlikely to</w:t>
            </w:r>
            <w:r w:rsidRPr="000F2527">
              <w:rPr>
                <w:iCs/>
              </w:rPr>
              <w:t xml:space="preserve"> meet the common treatment effect assumption that underlies RPSFTM analyses.</w:t>
            </w:r>
            <w:r w:rsidR="00D343B4">
              <w:rPr>
                <w:iCs/>
              </w:rPr>
              <w:t xml:space="preserve"> In addition, the</w:t>
            </w:r>
            <w:r w:rsidR="00D343B4" w:rsidRPr="00657160">
              <w:rPr>
                <w:i/>
                <w:iCs/>
              </w:rPr>
              <w:t xml:space="preserve"> </w:t>
            </w:r>
            <w:r w:rsidR="00D343B4" w:rsidRPr="00AA6D4A">
              <w:rPr>
                <w:iCs/>
              </w:rPr>
              <w:t xml:space="preserve">ESCs advised that </w:t>
            </w:r>
            <w:proofErr w:type="spellStart"/>
            <w:r w:rsidR="00D343B4" w:rsidRPr="00AA6D4A">
              <w:rPr>
                <w:iCs/>
              </w:rPr>
              <w:t>recensoring</w:t>
            </w:r>
            <w:proofErr w:type="spellEnd"/>
            <w:r w:rsidR="00D343B4" w:rsidRPr="00AA6D4A">
              <w:rPr>
                <w:iCs/>
              </w:rPr>
              <w:t xml:space="preserve"> should not be used. </w:t>
            </w:r>
            <w:r w:rsidR="00D343B4" w:rsidRPr="00AA6D4A">
              <w:rPr>
                <w:rFonts w:cstheme="minorHAnsi"/>
              </w:rPr>
              <w:t xml:space="preserve">Without </w:t>
            </w:r>
            <w:proofErr w:type="spellStart"/>
            <w:r w:rsidR="00D343B4" w:rsidRPr="00AA6D4A">
              <w:rPr>
                <w:rFonts w:cstheme="minorHAnsi"/>
              </w:rPr>
              <w:t>recensoring</w:t>
            </w:r>
            <w:proofErr w:type="spellEnd"/>
            <w:r w:rsidR="00D343B4" w:rsidRPr="00AA6D4A">
              <w:rPr>
                <w:rFonts w:cstheme="minorHAnsi"/>
              </w:rPr>
              <w:t xml:space="preserve"> the OS HR for the </w:t>
            </w:r>
            <w:r w:rsidR="00D343B4">
              <w:rPr>
                <w:rFonts w:cstheme="minorHAnsi"/>
                <w:i/>
              </w:rPr>
              <w:t xml:space="preserve">BRCA1/2 </w:t>
            </w:r>
            <w:r w:rsidR="00D343B4" w:rsidRPr="00AA6D4A">
              <w:rPr>
                <w:rFonts w:cstheme="minorHAnsi"/>
              </w:rPr>
              <w:t xml:space="preserve">subgroup, using the RPSFTM method (Cox proportional hazards model), increased to </w:t>
            </w:r>
            <w:r w:rsidR="00E60C03">
              <w:rPr>
                <w:rFonts w:cstheme="minorHAnsi"/>
                <w:noProof/>
                <w:color w:val="000000"/>
                <w:highlight w:val="black"/>
              </w:rPr>
              <w:t>''''''''''' ''''''''''''' '''''''' ''''''''''''' '''''''''''</w:t>
            </w:r>
            <w:r w:rsidR="00014FF5">
              <w:rPr>
                <w:rFonts w:cstheme="minorHAnsi"/>
                <w:vertAlign w:val="superscript"/>
              </w:rPr>
              <w:t>2</w:t>
            </w:r>
            <w:r w:rsidR="00D343B4" w:rsidRPr="00AA6D4A">
              <w:rPr>
                <w:rFonts w:cstheme="minorHAnsi"/>
              </w:rPr>
              <w:t>.</w:t>
            </w:r>
          </w:p>
        </w:tc>
        <w:tc>
          <w:tcPr>
            <w:tcW w:w="910" w:type="pct"/>
            <w:shd w:val="clear" w:color="auto" w:fill="auto"/>
            <w:vAlign w:val="center"/>
          </w:tcPr>
          <w:p w:rsidR="00C31220" w:rsidRPr="000F2527" w:rsidRDefault="00C31220" w:rsidP="00750CE1">
            <w:pPr>
              <w:pStyle w:val="TableText"/>
              <w:keepNext/>
              <w:keepLines/>
              <w:spacing w:before="0" w:after="0" w:line="240" w:lineRule="auto"/>
            </w:pPr>
            <w:r w:rsidRPr="000F2527">
              <w:rPr>
                <w:iCs/>
              </w:rPr>
              <w:t xml:space="preserve">High, favours </w:t>
            </w:r>
            <w:proofErr w:type="spellStart"/>
            <w:r w:rsidRPr="000F2527">
              <w:rPr>
                <w:iCs/>
              </w:rPr>
              <w:t>olaparib</w:t>
            </w:r>
            <w:proofErr w:type="spellEnd"/>
            <w:r w:rsidR="007C4A5B" w:rsidRPr="000F2527">
              <w:rPr>
                <w:iCs/>
              </w:rPr>
              <w:t xml:space="preserve"> (as above)</w:t>
            </w:r>
          </w:p>
        </w:tc>
      </w:tr>
      <w:tr w:rsidR="00C31220" w:rsidRPr="00BE056E" w:rsidTr="0088177D">
        <w:tc>
          <w:tcPr>
            <w:tcW w:w="712" w:type="pct"/>
            <w:shd w:val="clear" w:color="auto" w:fill="auto"/>
            <w:vAlign w:val="center"/>
          </w:tcPr>
          <w:p w:rsidR="00C31220" w:rsidRPr="00BE056E" w:rsidRDefault="00C31220" w:rsidP="00750CE1">
            <w:pPr>
              <w:pStyle w:val="TableText"/>
              <w:keepNext/>
              <w:keepLines/>
              <w:spacing w:before="0" w:after="0" w:line="240" w:lineRule="auto"/>
            </w:pPr>
            <w:r w:rsidRPr="00BE056E">
              <w:t>Utilities</w:t>
            </w:r>
          </w:p>
        </w:tc>
        <w:tc>
          <w:tcPr>
            <w:tcW w:w="3378" w:type="pct"/>
            <w:shd w:val="clear" w:color="auto" w:fill="auto"/>
            <w:vAlign w:val="center"/>
          </w:tcPr>
          <w:p w:rsidR="00C31220" w:rsidRPr="000F2527" w:rsidRDefault="00C31220" w:rsidP="002A2035">
            <w:pPr>
              <w:pStyle w:val="TableText"/>
              <w:keepNext/>
              <w:keepLines/>
              <w:spacing w:before="0" w:after="0" w:line="240" w:lineRule="auto"/>
            </w:pPr>
            <w:r w:rsidRPr="000F2527">
              <w:rPr>
                <w:iCs/>
              </w:rPr>
              <w:t>While the utility values were trial-based, the</w:t>
            </w:r>
            <w:r w:rsidR="002B144A">
              <w:rPr>
                <w:iCs/>
              </w:rPr>
              <w:t xml:space="preserve"> </w:t>
            </w:r>
            <w:r w:rsidR="002B144A" w:rsidRPr="00AB439B">
              <w:rPr>
                <w:iCs/>
              </w:rPr>
              <w:t>ESC</w:t>
            </w:r>
            <w:r w:rsidR="0087556D" w:rsidRPr="00AB439B">
              <w:rPr>
                <w:iCs/>
              </w:rPr>
              <w:t>s</w:t>
            </w:r>
            <w:r w:rsidR="002B144A" w:rsidRPr="00AB439B">
              <w:rPr>
                <w:iCs/>
              </w:rPr>
              <w:t xml:space="preserve"> considered that they were </w:t>
            </w:r>
            <w:r w:rsidRPr="00AB439B">
              <w:rPr>
                <w:iCs/>
              </w:rPr>
              <w:t xml:space="preserve">high </w:t>
            </w:r>
            <w:r w:rsidR="002B144A" w:rsidRPr="00AB439B">
              <w:rPr>
                <w:iCs/>
              </w:rPr>
              <w:t>compared to other esti</w:t>
            </w:r>
            <w:r w:rsidR="002A2035" w:rsidRPr="00AB439B">
              <w:rPr>
                <w:iCs/>
              </w:rPr>
              <w:t>m</w:t>
            </w:r>
            <w:r w:rsidR="002B144A" w:rsidRPr="00AB439B">
              <w:rPr>
                <w:iCs/>
              </w:rPr>
              <w:t>ates in the literature</w:t>
            </w:r>
            <w:r w:rsidR="002B144A">
              <w:rPr>
                <w:iCs/>
              </w:rPr>
              <w:t xml:space="preserve"> </w:t>
            </w:r>
            <w:r w:rsidRPr="000F2527">
              <w:rPr>
                <w:iCs/>
              </w:rPr>
              <w:t xml:space="preserve">(0.7532 for progression-free survival and 0.7034 for progressed disease). The submission also applied the same values to </w:t>
            </w:r>
            <w:proofErr w:type="spellStart"/>
            <w:r w:rsidRPr="000F2527">
              <w:rPr>
                <w:iCs/>
              </w:rPr>
              <w:t>olaparib</w:t>
            </w:r>
            <w:proofErr w:type="spellEnd"/>
            <w:r w:rsidRPr="000F2527">
              <w:rPr>
                <w:iCs/>
              </w:rPr>
              <w:t xml:space="preserve"> and </w:t>
            </w:r>
            <w:r w:rsidR="00EB7A23" w:rsidRPr="000F2527">
              <w:rPr>
                <w:iCs/>
              </w:rPr>
              <w:t>NHA</w:t>
            </w:r>
            <w:r w:rsidRPr="000F2527">
              <w:rPr>
                <w:iCs/>
              </w:rPr>
              <w:t>-treated patients</w:t>
            </w:r>
            <w:r w:rsidR="00A86200" w:rsidRPr="000F2527">
              <w:rPr>
                <w:iCs/>
              </w:rPr>
              <w:t xml:space="preserve">, which may not be reasonable given more AEs are expected with </w:t>
            </w:r>
            <w:proofErr w:type="spellStart"/>
            <w:r w:rsidR="00A86200" w:rsidRPr="000F2527">
              <w:rPr>
                <w:iCs/>
              </w:rPr>
              <w:t>olaparib</w:t>
            </w:r>
            <w:proofErr w:type="spellEnd"/>
            <w:r w:rsidR="00A86200" w:rsidRPr="000F2527">
              <w:rPr>
                <w:iCs/>
              </w:rPr>
              <w:t xml:space="preserve"> treatment.</w:t>
            </w:r>
            <w:r w:rsidR="002B144A">
              <w:rPr>
                <w:iCs/>
              </w:rPr>
              <w:t xml:space="preserve"> </w:t>
            </w:r>
            <w:r w:rsidR="002B144A" w:rsidRPr="00AA6D4A">
              <w:rPr>
                <w:iCs/>
              </w:rPr>
              <w:t xml:space="preserve">The PSCR stated that decrements in utility due to AEs were captured via an AE-related disutility applied in the model </w:t>
            </w:r>
            <w:r w:rsidR="00BC40BD">
              <w:rPr>
                <w:iCs/>
              </w:rPr>
              <w:br/>
            </w:r>
            <w:r w:rsidR="002B144A" w:rsidRPr="00AA6D4A">
              <w:rPr>
                <w:iCs/>
              </w:rPr>
              <w:t xml:space="preserve">(-0.0393 for </w:t>
            </w:r>
            <w:proofErr w:type="spellStart"/>
            <w:r w:rsidR="002B144A" w:rsidRPr="00AA6D4A">
              <w:rPr>
                <w:iCs/>
              </w:rPr>
              <w:t>olaparib</w:t>
            </w:r>
            <w:proofErr w:type="spellEnd"/>
            <w:r w:rsidR="002B144A" w:rsidRPr="00AA6D4A">
              <w:rPr>
                <w:iCs/>
              </w:rPr>
              <w:t xml:space="preserve"> and 0.0218 for NHAs).</w:t>
            </w:r>
          </w:p>
        </w:tc>
        <w:tc>
          <w:tcPr>
            <w:tcW w:w="910" w:type="pct"/>
            <w:shd w:val="clear" w:color="auto" w:fill="auto"/>
            <w:vAlign w:val="center"/>
          </w:tcPr>
          <w:p w:rsidR="00C31220" w:rsidRPr="000F2527" w:rsidRDefault="00A86200" w:rsidP="00750CE1">
            <w:pPr>
              <w:pStyle w:val="TableText"/>
              <w:keepNext/>
              <w:keepLines/>
              <w:spacing w:before="0" w:after="0" w:line="240" w:lineRule="auto"/>
            </w:pPr>
            <w:r w:rsidRPr="000F2527">
              <w:t>Moderate</w:t>
            </w:r>
            <w:r w:rsidR="00C31220" w:rsidRPr="000F2527">
              <w:t xml:space="preserve">, favours </w:t>
            </w:r>
            <w:proofErr w:type="spellStart"/>
            <w:r w:rsidR="00C31220" w:rsidRPr="000F2527">
              <w:t>olaparib</w:t>
            </w:r>
            <w:proofErr w:type="spellEnd"/>
          </w:p>
        </w:tc>
      </w:tr>
    </w:tbl>
    <w:p w:rsidR="00C31220" w:rsidRPr="00BE056E" w:rsidRDefault="00C31220" w:rsidP="00C31220">
      <w:pPr>
        <w:pStyle w:val="TableFooter"/>
      </w:pPr>
      <w:r w:rsidRPr="00BE056E">
        <w:t>Source: Compiled during the evaluation.</w:t>
      </w:r>
    </w:p>
    <w:p w:rsidR="00C31220" w:rsidRDefault="00077040" w:rsidP="00C31220">
      <w:pPr>
        <w:pStyle w:val="TableFooter"/>
      </w:pPr>
      <w:r w:rsidRPr="00077040">
        <w:rPr>
          <w:iCs/>
        </w:rPr>
        <w:t>AE = adverse event;</w:t>
      </w:r>
      <w:r>
        <w:rPr>
          <w:i/>
          <w:iCs/>
        </w:rPr>
        <w:t xml:space="preserve"> </w:t>
      </w:r>
      <w:r w:rsidR="00C31220" w:rsidRPr="00BE056E">
        <w:rPr>
          <w:i/>
          <w:iCs/>
        </w:rPr>
        <w:t>BRCA</w:t>
      </w:r>
      <w:r w:rsidR="000761CF">
        <w:rPr>
          <w:i/>
          <w:iCs/>
        </w:rPr>
        <w:t xml:space="preserve"> </w:t>
      </w:r>
      <w:r w:rsidR="00C31220" w:rsidRPr="00BE056E">
        <w:t>=</w:t>
      </w:r>
      <w:r w:rsidR="000761CF">
        <w:t xml:space="preserve"> </w:t>
      </w:r>
      <w:r w:rsidR="00C31220" w:rsidRPr="00BE056E">
        <w:t>breast cancer gene;</w:t>
      </w:r>
      <w:r w:rsidR="00EB7A23">
        <w:t xml:space="preserve"> </w:t>
      </w:r>
      <w:r w:rsidR="000761CF">
        <w:t xml:space="preserve">CI = confidence interval; </w:t>
      </w:r>
      <w:r w:rsidR="00EB7A23">
        <w:t>HR</w:t>
      </w:r>
      <w:r w:rsidR="000761CF">
        <w:t xml:space="preserve"> </w:t>
      </w:r>
      <w:r w:rsidR="00EB7A23">
        <w:t>=</w:t>
      </w:r>
      <w:r w:rsidR="000761CF">
        <w:t xml:space="preserve"> </w:t>
      </w:r>
      <w:r w:rsidR="00EB7A23">
        <w:t>hazard ratio;</w:t>
      </w:r>
      <w:r w:rsidR="000761CF">
        <w:t xml:space="preserve"> </w:t>
      </w:r>
      <w:r>
        <w:t xml:space="preserve">ICER = incremental cost-effectiveness ratio; </w:t>
      </w:r>
      <w:r w:rsidR="000761CF">
        <w:t>ITT = intention to treat;</w:t>
      </w:r>
      <w:r w:rsidR="00C31220" w:rsidRPr="00BE056E">
        <w:t xml:space="preserve"> NHA</w:t>
      </w:r>
      <w:r w:rsidR="000761CF">
        <w:t xml:space="preserve"> </w:t>
      </w:r>
      <w:r w:rsidR="00C31220" w:rsidRPr="00BE056E">
        <w:t>=</w:t>
      </w:r>
      <w:r w:rsidR="000761CF">
        <w:t xml:space="preserve"> </w:t>
      </w:r>
      <w:r w:rsidR="00C31220" w:rsidRPr="00BE056E">
        <w:t>novel hormonal agent</w:t>
      </w:r>
      <w:r w:rsidR="00EB7A23">
        <w:t xml:space="preserve">; </w:t>
      </w:r>
      <w:r w:rsidR="000761CF">
        <w:t xml:space="preserve">OS = overall survival; PSCR = pre-Sub-Committee Response; </w:t>
      </w:r>
      <w:r>
        <w:t xml:space="preserve">QALY = quality adjusted life year; </w:t>
      </w:r>
      <w:r w:rsidR="00EB7A23">
        <w:t>RPSFTM</w:t>
      </w:r>
      <w:r w:rsidR="000761CF">
        <w:t xml:space="preserve"> </w:t>
      </w:r>
      <w:r w:rsidR="00EB7A23">
        <w:t>=</w:t>
      </w:r>
      <w:r w:rsidR="000761CF">
        <w:t xml:space="preserve"> </w:t>
      </w:r>
      <w:r w:rsidR="00EB7A23">
        <w:t>rank preserving structural failure time model</w:t>
      </w:r>
      <w:r w:rsidR="00D46A7F">
        <w:t>.</w:t>
      </w:r>
    </w:p>
    <w:p w:rsidR="00AF23EA" w:rsidRPr="000F4D7C" w:rsidRDefault="00AF23EA" w:rsidP="00C31220">
      <w:pPr>
        <w:pStyle w:val="TableFooter"/>
        <w:rPr>
          <w:i/>
        </w:rPr>
      </w:pPr>
      <w:r w:rsidRPr="000F4D7C">
        <w:rPr>
          <w:i/>
        </w:rPr>
        <w:t>The redacted values correspond to the following ranges:</w:t>
      </w:r>
    </w:p>
    <w:p w:rsidR="00AF23EA" w:rsidRDefault="00AF23EA" w:rsidP="00C31220">
      <w:pPr>
        <w:pStyle w:val="TableFooter"/>
        <w:rPr>
          <w:i/>
        </w:rPr>
      </w:pPr>
      <w:r>
        <w:rPr>
          <w:i/>
          <w:vertAlign w:val="superscript"/>
        </w:rPr>
        <w:t>1</w:t>
      </w:r>
      <w:r w:rsidRPr="000F4D7C">
        <w:rPr>
          <w:i/>
        </w:rPr>
        <w:t>$135,000 to &lt; $155,000</w:t>
      </w:r>
    </w:p>
    <w:p w:rsidR="00014FF5" w:rsidRPr="00014FF5" w:rsidRDefault="00014FF5" w:rsidP="00C31220">
      <w:pPr>
        <w:pStyle w:val="TableFooter"/>
        <w:rPr>
          <w:i/>
        </w:rPr>
      </w:pPr>
      <w:r>
        <w:rPr>
          <w:i/>
          <w:vertAlign w:val="superscript"/>
        </w:rPr>
        <w:t xml:space="preserve">2 </w:t>
      </w:r>
      <w:r w:rsidRPr="00014FF5">
        <w:rPr>
          <w:i/>
        </w:rPr>
        <w:t>Adjusted OS hazard ratio: manuscript submitted to European Urology for publication.</w:t>
      </w:r>
    </w:p>
    <w:p w:rsidR="00A532E5" w:rsidRDefault="00A532E5">
      <w:pPr>
        <w:spacing w:before="0" w:line="259" w:lineRule="auto"/>
        <w:jc w:val="left"/>
      </w:pPr>
      <w:r>
        <w:br w:type="page"/>
      </w:r>
    </w:p>
    <w:p w:rsidR="00C31220" w:rsidRPr="00D46A7F" w:rsidRDefault="00C31220" w:rsidP="00C31220">
      <w:pPr>
        <w:pStyle w:val="ListParagraph"/>
        <w:rPr>
          <w:color w:val="auto"/>
        </w:rPr>
      </w:pPr>
      <w:r w:rsidRPr="00BE056E">
        <w:rPr>
          <w:color w:val="auto"/>
        </w:rPr>
        <w:lastRenderedPageBreak/>
        <w:t>The results of the stepped economic evaluation are provided in the following table.</w:t>
      </w:r>
    </w:p>
    <w:p w:rsidR="00C31220" w:rsidRPr="00BE056E" w:rsidRDefault="00D6660D" w:rsidP="00781284">
      <w:pPr>
        <w:pStyle w:val="Caption"/>
      </w:pPr>
      <w:r w:rsidRPr="00D6660D">
        <w:t xml:space="preserve">Table </w:t>
      </w:r>
      <w:r w:rsidR="00CD4B9C">
        <w:rPr>
          <w:noProof/>
        </w:rPr>
        <w:t>13</w:t>
      </w:r>
      <w:r w:rsidR="0073766D">
        <w:rPr>
          <w:noProof/>
        </w:rPr>
        <w:t>:</w:t>
      </w:r>
      <w:r w:rsidR="00D46A7F">
        <w:rPr>
          <w:noProof/>
        </w:rPr>
        <w:tab/>
      </w:r>
      <w:r w:rsidR="00C31220" w:rsidRPr="00BE056E">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200"/>
        <w:gridCol w:w="2126"/>
        <w:gridCol w:w="1933"/>
      </w:tblGrid>
      <w:tr w:rsidR="00C31220" w:rsidRPr="00BE056E" w:rsidTr="00281158">
        <w:trPr>
          <w:tblHeader/>
        </w:trPr>
        <w:tc>
          <w:tcPr>
            <w:tcW w:w="1529" w:type="pct"/>
            <w:vAlign w:val="center"/>
          </w:tcPr>
          <w:p w:rsidR="00C31220" w:rsidRPr="00077040" w:rsidRDefault="00C31220" w:rsidP="00750CE1">
            <w:pPr>
              <w:keepNext/>
              <w:keepLines/>
              <w:widowControl w:val="0"/>
              <w:spacing w:before="0" w:after="0"/>
              <w:rPr>
                <w:rFonts w:ascii="Arial Narrow" w:hAnsi="Arial Narrow"/>
                <w:b/>
                <w:bCs/>
                <w:sz w:val="20"/>
                <w:szCs w:val="20"/>
              </w:rPr>
            </w:pPr>
            <w:r w:rsidRPr="00077040">
              <w:rPr>
                <w:rFonts w:ascii="Arial Narrow" w:hAnsi="Arial Narrow"/>
                <w:b/>
                <w:bCs/>
                <w:sz w:val="20"/>
                <w:szCs w:val="20"/>
              </w:rPr>
              <w:t>Step and component</w:t>
            </w:r>
          </w:p>
        </w:tc>
        <w:tc>
          <w:tcPr>
            <w:tcW w:w="1220" w:type="pct"/>
            <w:vAlign w:val="center"/>
          </w:tcPr>
          <w:p w:rsidR="00C31220" w:rsidRPr="006E4BB4" w:rsidRDefault="00C31220" w:rsidP="00750CE1">
            <w:pPr>
              <w:keepNext/>
              <w:keepLines/>
              <w:widowControl w:val="0"/>
              <w:spacing w:before="0" w:after="0"/>
              <w:jc w:val="center"/>
              <w:rPr>
                <w:rFonts w:ascii="Arial Narrow" w:hAnsi="Arial Narrow"/>
                <w:b/>
                <w:bCs/>
                <w:sz w:val="20"/>
                <w:szCs w:val="20"/>
              </w:rPr>
            </w:pPr>
            <w:proofErr w:type="spellStart"/>
            <w:r w:rsidRPr="006E4BB4">
              <w:rPr>
                <w:rFonts w:ascii="Arial Narrow" w:hAnsi="Arial Narrow"/>
                <w:b/>
                <w:bCs/>
                <w:sz w:val="20"/>
                <w:szCs w:val="20"/>
              </w:rPr>
              <w:t>Olaparib</w:t>
            </w:r>
            <w:proofErr w:type="spellEnd"/>
          </w:p>
        </w:tc>
        <w:tc>
          <w:tcPr>
            <w:tcW w:w="1179" w:type="pct"/>
            <w:vAlign w:val="center"/>
          </w:tcPr>
          <w:p w:rsidR="00C31220" w:rsidRPr="00077040" w:rsidRDefault="00C31220" w:rsidP="00750CE1">
            <w:pPr>
              <w:keepNext/>
              <w:keepLines/>
              <w:widowControl w:val="0"/>
              <w:spacing w:before="0" w:after="0"/>
              <w:jc w:val="center"/>
              <w:rPr>
                <w:rFonts w:ascii="Arial Narrow" w:hAnsi="Arial Narrow"/>
                <w:b/>
                <w:bCs/>
                <w:sz w:val="20"/>
                <w:szCs w:val="20"/>
              </w:rPr>
            </w:pPr>
            <w:r w:rsidRPr="00077040">
              <w:rPr>
                <w:rFonts w:ascii="Arial Narrow" w:hAnsi="Arial Narrow"/>
                <w:b/>
                <w:bCs/>
                <w:sz w:val="20"/>
                <w:szCs w:val="20"/>
              </w:rPr>
              <w:t>NHA</w:t>
            </w:r>
          </w:p>
        </w:tc>
        <w:tc>
          <w:tcPr>
            <w:tcW w:w="1072" w:type="pct"/>
            <w:vAlign w:val="center"/>
          </w:tcPr>
          <w:p w:rsidR="00C31220" w:rsidRPr="00077040" w:rsidRDefault="00C31220" w:rsidP="00750CE1">
            <w:pPr>
              <w:keepNext/>
              <w:keepLines/>
              <w:widowControl w:val="0"/>
              <w:spacing w:before="0" w:after="0"/>
              <w:jc w:val="center"/>
              <w:rPr>
                <w:rFonts w:ascii="Arial Narrow" w:hAnsi="Arial Narrow"/>
                <w:b/>
                <w:bCs/>
                <w:sz w:val="20"/>
                <w:szCs w:val="20"/>
              </w:rPr>
            </w:pPr>
            <w:r w:rsidRPr="00077040">
              <w:rPr>
                <w:rFonts w:ascii="Arial Narrow" w:hAnsi="Arial Narrow"/>
                <w:b/>
                <w:bCs/>
                <w:sz w:val="20"/>
                <w:szCs w:val="20"/>
              </w:rPr>
              <w:t>Increment</w:t>
            </w:r>
          </w:p>
        </w:tc>
      </w:tr>
      <w:tr w:rsidR="00C31220" w:rsidRPr="00BE056E" w:rsidTr="0096410D">
        <w:tc>
          <w:tcPr>
            <w:tcW w:w="5000" w:type="pct"/>
            <w:gridSpan w:val="4"/>
            <w:vAlign w:val="center"/>
          </w:tcPr>
          <w:p w:rsidR="00C31220" w:rsidRPr="00077040" w:rsidRDefault="00C31220" w:rsidP="00750CE1">
            <w:pPr>
              <w:keepNext/>
              <w:keepLines/>
              <w:widowControl w:val="0"/>
              <w:spacing w:before="0" w:after="0"/>
              <w:rPr>
                <w:rFonts w:ascii="Arial Narrow" w:hAnsi="Arial Narrow"/>
                <w:b/>
                <w:bCs/>
                <w:sz w:val="20"/>
                <w:szCs w:val="20"/>
              </w:rPr>
            </w:pPr>
            <w:r w:rsidRPr="00077040">
              <w:rPr>
                <w:rFonts w:ascii="Arial Narrow" w:hAnsi="Arial Narrow"/>
                <w:b/>
                <w:bCs/>
                <w:sz w:val="20"/>
                <w:szCs w:val="20"/>
              </w:rPr>
              <w:t>Step 1: trial-based - 36 month time horizon</w:t>
            </w:r>
          </w:p>
        </w:tc>
      </w:tr>
      <w:tr w:rsidR="00C31220" w:rsidRPr="00BE056E" w:rsidTr="00281158">
        <w:tc>
          <w:tcPr>
            <w:tcW w:w="1529" w:type="pct"/>
            <w:vAlign w:val="center"/>
          </w:tcPr>
          <w:p w:rsidR="00C31220" w:rsidRPr="00077040" w:rsidRDefault="00C31220" w:rsidP="00750CE1">
            <w:pPr>
              <w:keepNext/>
              <w:keepLines/>
              <w:widowControl w:val="0"/>
              <w:spacing w:before="0" w:after="0"/>
              <w:rPr>
                <w:rFonts w:ascii="Arial Narrow" w:hAnsi="Arial Narrow"/>
                <w:sz w:val="20"/>
                <w:szCs w:val="20"/>
              </w:rPr>
            </w:pPr>
            <w:r w:rsidRPr="00077040">
              <w:rPr>
                <w:rFonts w:ascii="Arial Narrow" w:hAnsi="Arial Narrow"/>
                <w:sz w:val="20"/>
                <w:szCs w:val="20"/>
              </w:rPr>
              <w:t>Costs</w:t>
            </w:r>
          </w:p>
        </w:tc>
        <w:tc>
          <w:tcPr>
            <w:tcW w:w="1220" w:type="pct"/>
          </w:tcPr>
          <w:p w:rsidR="00C31220" w:rsidRPr="00947CF0" w:rsidRDefault="00C31220" w:rsidP="00750CE1">
            <w:pPr>
              <w:keepNext/>
              <w:keepLines/>
              <w:widowControl w:val="0"/>
              <w:spacing w:before="0" w:after="0"/>
              <w:jc w:val="center"/>
              <w:rPr>
                <w:rFonts w:ascii="Arial Narrow" w:hAnsi="Arial Narrow"/>
                <w:sz w:val="20"/>
                <w:szCs w:val="20"/>
              </w:rPr>
            </w:pPr>
            <w:r w:rsidRPr="006E4BB4">
              <w:rPr>
                <w:rFonts w:ascii="Arial Narrow" w:hAnsi="Arial Narrow" w:cs="Arial"/>
                <w:sz w:val="20"/>
                <w:szCs w:val="20"/>
              </w:rPr>
              <w:t>$</w:t>
            </w:r>
            <w:r w:rsidR="000F4D7C">
              <w:rPr>
                <w:rFonts w:ascii="Arial Narrow" w:hAnsi="Arial Narrow" w:cs="Arial"/>
                <w:noProof/>
                <w:color w:val="000000"/>
                <w:sz w:val="20"/>
                <w:szCs w:val="20"/>
                <w:highlight w:val="black"/>
              </w:rPr>
              <w:t>''''''''''''''''''</w:t>
            </w:r>
          </w:p>
        </w:tc>
        <w:tc>
          <w:tcPr>
            <w:tcW w:w="1179" w:type="pct"/>
          </w:tcPr>
          <w:p w:rsidR="00C31220" w:rsidRPr="000F4D7C" w:rsidRDefault="00C31220" w:rsidP="00750CE1">
            <w:pPr>
              <w:keepNext/>
              <w:keepLines/>
              <w:widowControl w:val="0"/>
              <w:spacing w:before="0" w:after="0"/>
              <w:jc w:val="center"/>
              <w:rPr>
                <w:rFonts w:ascii="Arial Narrow" w:hAnsi="Arial Narrow"/>
                <w:sz w:val="20"/>
                <w:szCs w:val="20"/>
                <w:vertAlign w:val="superscript"/>
              </w:rPr>
            </w:pPr>
            <w:r w:rsidRPr="00077040">
              <w:rPr>
                <w:rFonts w:ascii="Arial Narrow" w:hAnsi="Arial Narrow" w:cs="Arial"/>
                <w:sz w:val="20"/>
                <w:szCs w:val="20"/>
              </w:rPr>
              <w:t>$21,714</w:t>
            </w:r>
          </w:p>
        </w:tc>
        <w:tc>
          <w:tcPr>
            <w:tcW w:w="1072" w:type="pct"/>
          </w:tcPr>
          <w:p w:rsidR="00C31220" w:rsidRPr="00077040" w:rsidRDefault="00C31220" w:rsidP="00750CE1">
            <w:pPr>
              <w:keepNext/>
              <w:keepLines/>
              <w:widowControl w:val="0"/>
              <w:spacing w:before="0" w:after="0"/>
              <w:jc w:val="center"/>
              <w:rPr>
                <w:rFonts w:ascii="Arial Narrow" w:hAnsi="Arial Narrow"/>
                <w:sz w:val="20"/>
                <w:szCs w:val="20"/>
              </w:rPr>
            </w:pPr>
            <w:r w:rsidRPr="00077040">
              <w:rPr>
                <w:rFonts w:ascii="Arial Narrow" w:hAnsi="Arial Narrow" w:cs="Arial"/>
                <w:sz w:val="20"/>
                <w:szCs w:val="20"/>
              </w:rPr>
              <w:t>$</w:t>
            </w:r>
            <w:r w:rsidR="000F4D7C">
              <w:rPr>
                <w:rFonts w:ascii="Arial Narrow" w:hAnsi="Arial Narrow" w:cs="Arial"/>
                <w:noProof/>
                <w:color w:val="000000"/>
                <w:sz w:val="20"/>
                <w:szCs w:val="20"/>
                <w:highlight w:val="black"/>
              </w:rPr>
              <w:t>'''''''''''''''''</w:t>
            </w:r>
          </w:p>
        </w:tc>
      </w:tr>
      <w:tr w:rsidR="00C31220" w:rsidRPr="00BE056E" w:rsidTr="00281158">
        <w:tc>
          <w:tcPr>
            <w:tcW w:w="1529" w:type="pct"/>
            <w:vAlign w:val="center"/>
          </w:tcPr>
          <w:p w:rsidR="00C31220" w:rsidRPr="00077040" w:rsidRDefault="00C31220" w:rsidP="00750CE1">
            <w:pPr>
              <w:keepNext/>
              <w:keepLines/>
              <w:widowControl w:val="0"/>
              <w:spacing w:before="0" w:after="0"/>
              <w:rPr>
                <w:rFonts w:ascii="Arial Narrow" w:hAnsi="Arial Narrow"/>
                <w:sz w:val="20"/>
                <w:szCs w:val="20"/>
              </w:rPr>
            </w:pPr>
            <w:r w:rsidRPr="00077040">
              <w:rPr>
                <w:rFonts w:ascii="Arial Narrow" w:hAnsi="Arial Narrow"/>
                <w:sz w:val="20"/>
                <w:szCs w:val="20"/>
              </w:rPr>
              <w:t>PFLY</w:t>
            </w:r>
          </w:p>
        </w:tc>
        <w:tc>
          <w:tcPr>
            <w:tcW w:w="1220" w:type="pct"/>
          </w:tcPr>
          <w:p w:rsidR="00C31220" w:rsidRPr="00947CF0" w:rsidRDefault="00C31220" w:rsidP="00750CE1">
            <w:pPr>
              <w:keepNext/>
              <w:keepLines/>
              <w:widowControl w:val="0"/>
              <w:spacing w:before="0" w:after="0"/>
              <w:jc w:val="center"/>
              <w:rPr>
                <w:rFonts w:ascii="Arial Narrow" w:hAnsi="Arial Narrow"/>
                <w:sz w:val="20"/>
                <w:szCs w:val="20"/>
              </w:rPr>
            </w:pPr>
            <w:r w:rsidRPr="006E4BB4">
              <w:rPr>
                <w:rFonts w:ascii="Arial Narrow" w:hAnsi="Arial Narrow" w:cs="Arial"/>
                <w:color w:val="000000"/>
                <w:sz w:val="20"/>
                <w:szCs w:val="20"/>
              </w:rPr>
              <w:t>0.841</w:t>
            </w:r>
          </w:p>
        </w:tc>
        <w:tc>
          <w:tcPr>
            <w:tcW w:w="1179" w:type="pct"/>
          </w:tcPr>
          <w:p w:rsidR="00C31220" w:rsidRPr="00077040" w:rsidRDefault="00C31220" w:rsidP="00750CE1">
            <w:pPr>
              <w:keepNext/>
              <w:keepLines/>
              <w:widowControl w:val="0"/>
              <w:spacing w:before="0" w:after="0"/>
              <w:jc w:val="center"/>
              <w:rPr>
                <w:rFonts w:ascii="Arial Narrow" w:hAnsi="Arial Narrow"/>
                <w:sz w:val="20"/>
                <w:szCs w:val="20"/>
              </w:rPr>
            </w:pPr>
            <w:r w:rsidRPr="00077040">
              <w:rPr>
                <w:rFonts w:ascii="Arial Narrow" w:hAnsi="Arial Narrow" w:cs="Arial"/>
                <w:color w:val="000000"/>
                <w:sz w:val="20"/>
                <w:szCs w:val="20"/>
              </w:rPr>
              <w:t>0.280</w:t>
            </w:r>
          </w:p>
        </w:tc>
        <w:tc>
          <w:tcPr>
            <w:tcW w:w="1072" w:type="pct"/>
          </w:tcPr>
          <w:p w:rsidR="00C31220" w:rsidRPr="00077040" w:rsidRDefault="00C31220" w:rsidP="00750CE1">
            <w:pPr>
              <w:keepNext/>
              <w:keepLines/>
              <w:widowControl w:val="0"/>
              <w:spacing w:before="0" w:after="0"/>
              <w:jc w:val="center"/>
              <w:rPr>
                <w:rFonts w:ascii="Arial Narrow" w:hAnsi="Arial Narrow"/>
                <w:sz w:val="20"/>
                <w:szCs w:val="20"/>
              </w:rPr>
            </w:pPr>
            <w:r w:rsidRPr="00077040">
              <w:rPr>
                <w:rFonts w:ascii="Arial Narrow" w:hAnsi="Arial Narrow" w:cs="Arial"/>
                <w:color w:val="000000"/>
                <w:sz w:val="20"/>
                <w:szCs w:val="20"/>
              </w:rPr>
              <w:t>0.561</w:t>
            </w:r>
          </w:p>
        </w:tc>
      </w:tr>
      <w:tr w:rsidR="00C31220" w:rsidRPr="00BE056E" w:rsidTr="00281158">
        <w:tc>
          <w:tcPr>
            <w:tcW w:w="1529" w:type="pct"/>
            <w:vAlign w:val="center"/>
          </w:tcPr>
          <w:p w:rsidR="00C31220" w:rsidRPr="00077040" w:rsidRDefault="00C31220" w:rsidP="00750CE1">
            <w:pPr>
              <w:keepNext/>
              <w:keepLines/>
              <w:widowControl w:val="0"/>
              <w:spacing w:before="0" w:after="0"/>
              <w:rPr>
                <w:rFonts w:ascii="Arial Narrow" w:hAnsi="Arial Narrow"/>
                <w:sz w:val="20"/>
                <w:szCs w:val="20"/>
              </w:rPr>
            </w:pPr>
            <w:r w:rsidRPr="00077040">
              <w:rPr>
                <w:rFonts w:ascii="Arial Narrow" w:hAnsi="Arial Narrow"/>
                <w:sz w:val="20"/>
                <w:szCs w:val="20"/>
              </w:rPr>
              <w:t>LY</w:t>
            </w:r>
          </w:p>
        </w:tc>
        <w:tc>
          <w:tcPr>
            <w:tcW w:w="1220" w:type="pct"/>
          </w:tcPr>
          <w:p w:rsidR="00C31220" w:rsidRPr="006E4BB4" w:rsidRDefault="00C31220" w:rsidP="00750CE1">
            <w:pPr>
              <w:keepNext/>
              <w:keepLines/>
              <w:widowControl w:val="0"/>
              <w:spacing w:before="0" w:after="0"/>
              <w:jc w:val="center"/>
              <w:rPr>
                <w:rFonts w:ascii="Arial Narrow" w:hAnsi="Arial Narrow" w:cs="Arial"/>
                <w:color w:val="000000"/>
                <w:sz w:val="20"/>
                <w:szCs w:val="20"/>
              </w:rPr>
            </w:pPr>
            <w:r w:rsidRPr="006E4BB4">
              <w:rPr>
                <w:rFonts w:ascii="Arial Narrow" w:hAnsi="Arial Narrow" w:cs="Arial"/>
                <w:color w:val="000000"/>
                <w:sz w:val="20"/>
                <w:szCs w:val="20"/>
              </w:rPr>
              <w:t>1.708</w:t>
            </w:r>
          </w:p>
        </w:tc>
        <w:tc>
          <w:tcPr>
            <w:tcW w:w="1179" w:type="pct"/>
          </w:tcPr>
          <w:p w:rsidR="00C31220" w:rsidRPr="00077040" w:rsidRDefault="00C31220" w:rsidP="00750CE1">
            <w:pPr>
              <w:keepNext/>
              <w:keepLines/>
              <w:widowControl w:val="0"/>
              <w:spacing w:before="0" w:after="0"/>
              <w:jc w:val="center"/>
              <w:rPr>
                <w:rFonts w:ascii="Arial Narrow" w:hAnsi="Arial Narrow" w:cs="Arial"/>
                <w:color w:val="000000"/>
                <w:sz w:val="20"/>
                <w:szCs w:val="20"/>
              </w:rPr>
            </w:pPr>
            <w:r w:rsidRPr="00077040">
              <w:rPr>
                <w:rFonts w:ascii="Arial Narrow" w:hAnsi="Arial Narrow" w:cs="Arial"/>
                <w:color w:val="000000"/>
                <w:sz w:val="20"/>
                <w:szCs w:val="20"/>
              </w:rPr>
              <w:t>0.742</w:t>
            </w:r>
          </w:p>
        </w:tc>
        <w:tc>
          <w:tcPr>
            <w:tcW w:w="1072" w:type="pct"/>
          </w:tcPr>
          <w:p w:rsidR="00C31220" w:rsidRPr="00077040" w:rsidRDefault="00C31220" w:rsidP="00750CE1">
            <w:pPr>
              <w:keepNext/>
              <w:keepLines/>
              <w:widowControl w:val="0"/>
              <w:spacing w:before="0" w:after="0"/>
              <w:jc w:val="center"/>
              <w:rPr>
                <w:rFonts w:ascii="Arial Narrow" w:hAnsi="Arial Narrow" w:cs="Arial"/>
                <w:color w:val="000000"/>
                <w:sz w:val="20"/>
                <w:szCs w:val="20"/>
              </w:rPr>
            </w:pPr>
            <w:r w:rsidRPr="00077040">
              <w:rPr>
                <w:rFonts w:ascii="Arial Narrow" w:hAnsi="Arial Narrow" w:cs="Arial"/>
                <w:color w:val="000000"/>
                <w:sz w:val="20"/>
                <w:szCs w:val="20"/>
              </w:rPr>
              <w:t>0.966</w:t>
            </w:r>
          </w:p>
        </w:tc>
      </w:tr>
      <w:tr w:rsidR="00C31220" w:rsidRPr="00BE056E" w:rsidTr="00281158">
        <w:tc>
          <w:tcPr>
            <w:tcW w:w="3928" w:type="pct"/>
            <w:gridSpan w:val="3"/>
            <w:vAlign w:val="center"/>
          </w:tcPr>
          <w:p w:rsidR="00C31220" w:rsidRPr="00077040" w:rsidRDefault="00C31220" w:rsidP="00750CE1">
            <w:pPr>
              <w:keepNext/>
              <w:keepLines/>
              <w:widowControl w:val="0"/>
              <w:spacing w:before="0" w:after="0"/>
              <w:rPr>
                <w:rFonts w:ascii="Arial Narrow" w:hAnsi="Arial Narrow" w:cs="Arial"/>
                <w:color w:val="000000"/>
                <w:sz w:val="20"/>
                <w:szCs w:val="20"/>
              </w:rPr>
            </w:pPr>
            <w:r w:rsidRPr="00077040">
              <w:rPr>
                <w:rFonts w:ascii="Arial Narrow" w:hAnsi="Arial Narrow"/>
                <w:sz w:val="20"/>
                <w:szCs w:val="20"/>
              </w:rPr>
              <w:t>Incremental cost/extra PFLY gained</w:t>
            </w:r>
          </w:p>
        </w:tc>
        <w:tc>
          <w:tcPr>
            <w:tcW w:w="1072" w:type="pct"/>
            <w:vAlign w:val="center"/>
          </w:tcPr>
          <w:p w:rsidR="00C31220" w:rsidRPr="006E4BB4" w:rsidRDefault="00C31220" w:rsidP="00750CE1">
            <w:pPr>
              <w:keepNext/>
              <w:keepLines/>
              <w:widowControl w:val="0"/>
              <w:spacing w:before="0" w:after="0"/>
              <w:jc w:val="center"/>
              <w:rPr>
                <w:rFonts w:ascii="Arial Narrow" w:hAnsi="Arial Narrow" w:cs="Arial"/>
                <w:color w:val="000000"/>
                <w:sz w:val="20"/>
                <w:szCs w:val="20"/>
              </w:rPr>
            </w:pPr>
            <w:r w:rsidRPr="006E4BB4">
              <w:rPr>
                <w:rFonts w:ascii="Arial Narrow" w:hAnsi="Arial Narrow" w:cs="Arial"/>
                <w:color w:val="000000"/>
                <w:sz w:val="20"/>
                <w:szCs w:val="20"/>
              </w:rPr>
              <w:t>$</w:t>
            </w:r>
            <w:r w:rsidR="000F4D7C">
              <w:rPr>
                <w:rFonts w:ascii="Arial Narrow" w:hAnsi="Arial Narrow" w:cs="Arial"/>
                <w:noProof/>
                <w:color w:val="000000"/>
                <w:sz w:val="20"/>
                <w:szCs w:val="20"/>
                <w:highlight w:val="black"/>
              </w:rPr>
              <w:t>''''''''''''''''</w:t>
            </w:r>
            <w:r w:rsidR="00AF23EA">
              <w:rPr>
                <w:rFonts w:ascii="Arial Narrow" w:hAnsi="Arial Narrow" w:cs="Arial"/>
                <w:sz w:val="20"/>
                <w:szCs w:val="20"/>
                <w:vertAlign w:val="superscript"/>
              </w:rPr>
              <w:t>1</w:t>
            </w:r>
          </w:p>
        </w:tc>
      </w:tr>
      <w:tr w:rsidR="00C31220" w:rsidRPr="00BE056E" w:rsidTr="00281158">
        <w:tc>
          <w:tcPr>
            <w:tcW w:w="3928" w:type="pct"/>
            <w:gridSpan w:val="3"/>
            <w:vAlign w:val="center"/>
          </w:tcPr>
          <w:p w:rsidR="00C31220" w:rsidRPr="00077040" w:rsidRDefault="00C31220" w:rsidP="00750CE1">
            <w:pPr>
              <w:keepNext/>
              <w:keepLines/>
              <w:widowControl w:val="0"/>
              <w:spacing w:before="0" w:after="0"/>
              <w:rPr>
                <w:rFonts w:ascii="Arial Narrow" w:hAnsi="Arial Narrow"/>
                <w:sz w:val="20"/>
                <w:szCs w:val="20"/>
              </w:rPr>
            </w:pPr>
            <w:r w:rsidRPr="00077040">
              <w:rPr>
                <w:rFonts w:ascii="Arial Narrow" w:hAnsi="Arial Narrow"/>
                <w:sz w:val="20"/>
                <w:szCs w:val="20"/>
              </w:rPr>
              <w:t>Incremental</w:t>
            </w:r>
            <w:r w:rsidR="00E76B35">
              <w:rPr>
                <w:rFonts w:ascii="Arial Narrow" w:hAnsi="Arial Narrow"/>
                <w:sz w:val="20"/>
                <w:szCs w:val="20"/>
              </w:rPr>
              <w:t xml:space="preserve"> cost/extra LY gained</w:t>
            </w:r>
          </w:p>
        </w:tc>
        <w:tc>
          <w:tcPr>
            <w:tcW w:w="1072" w:type="pct"/>
            <w:vAlign w:val="center"/>
          </w:tcPr>
          <w:p w:rsidR="00C31220" w:rsidRPr="006E4BB4" w:rsidRDefault="00C31220" w:rsidP="00750CE1">
            <w:pPr>
              <w:keepNext/>
              <w:keepLines/>
              <w:widowControl w:val="0"/>
              <w:spacing w:before="0" w:after="0"/>
              <w:jc w:val="center"/>
              <w:rPr>
                <w:rFonts w:ascii="Arial Narrow" w:hAnsi="Arial Narrow" w:cs="Arial"/>
                <w:color w:val="000000"/>
                <w:sz w:val="20"/>
                <w:szCs w:val="20"/>
              </w:rPr>
            </w:pPr>
            <w:r w:rsidRPr="006E4BB4">
              <w:rPr>
                <w:rFonts w:ascii="Arial Narrow" w:hAnsi="Arial Narrow" w:cs="Arial"/>
                <w:color w:val="000000"/>
                <w:sz w:val="20"/>
                <w:szCs w:val="20"/>
              </w:rPr>
              <w:t>$</w:t>
            </w:r>
            <w:r w:rsidR="000F4D7C">
              <w:rPr>
                <w:rFonts w:ascii="Arial Narrow" w:hAnsi="Arial Narrow" w:cs="Arial"/>
                <w:noProof/>
                <w:color w:val="000000"/>
                <w:sz w:val="20"/>
                <w:szCs w:val="20"/>
                <w:highlight w:val="black"/>
              </w:rPr>
              <w:t>'''''''''''''''</w:t>
            </w:r>
            <w:r w:rsidR="00AF23EA">
              <w:rPr>
                <w:rFonts w:ascii="Arial Narrow" w:hAnsi="Arial Narrow" w:cs="Arial"/>
                <w:sz w:val="20"/>
                <w:szCs w:val="20"/>
                <w:vertAlign w:val="superscript"/>
              </w:rPr>
              <w:t>2</w:t>
            </w:r>
          </w:p>
        </w:tc>
      </w:tr>
      <w:tr w:rsidR="00C31220" w:rsidRPr="00BE056E" w:rsidTr="0096410D">
        <w:tc>
          <w:tcPr>
            <w:tcW w:w="5000" w:type="pct"/>
            <w:gridSpan w:val="4"/>
            <w:tcBorders>
              <w:top w:val="double" w:sz="4" w:space="0" w:color="auto"/>
            </w:tcBorders>
            <w:vAlign w:val="center"/>
          </w:tcPr>
          <w:p w:rsidR="00C31220" w:rsidRPr="00077040" w:rsidRDefault="00C31220" w:rsidP="00750CE1">
            <w:pPr>
              <w:pStyle w:val="TableFooter"/>
              <w:keepNext/>
              <w:keepLines/>
              <w:spacing w:after="0"/>
              <w:rPr>
                <w:b/>
                <w:sz w:val="20"/>
              </w:rPr>
            </w:pPr>
            <w:r w:rsidRPr="00077040">
              <w:rPr>
                <w:b/>
                <w:sz w:val="20"/>
              </w:rPr>
              <w:t xml:space="preserve">Step 2: </w:t>
            </w:r>
            <w:r w:rsidRPr="00077040">
              <w:rPr>
                <w:b/>
                <w:bCs/>
                <w:sz w:val="20"/>
              </w:rPr>
              <w:t>trial-based - 36 month time horizon</w:t>
            </w:r>
            <w:r w:rsidRPr="00077040">
              <w:rPr>
                <w:b/>
                <w:sz w:val="20"/>
              </w:rPr>
              <w:t xml:space="preserve"> with AE and SRE cost</w:t>
            </w:r>
          </w:p>
        </w:tc>
      </w:tr>
      <w:tr w:rsidR="00C31220" w:rsidRPr="00BE056E" w:rsidTr="00281158">
        <w:tc>
          <w:tcPr>
            <w:tcW w:w="1529" w:type="pct"/>
            <w:vAlign w:val="center"/>
          </w:tcPr>
          <w:p w:rsidR="00C31220" w:rsidRPr="00077040" w:rsidRDefault="00C31220" w:rsidP="00750CE1">
            <w:pPr>
              <w:pStyle w:val="TableFooter"/>
              <w:keepNext/>
              <w:keepLines/>
              <w:spacing w:after="0"/>
              <w:rPr>
                <w:rFonts w:ascii="Times" w:hAnsi="Times"/>
                <w:sz w:val="20"/>
              </w:rPr>
            </w:pPr>
            <w:r w:rsidRPr="00077040">
              <w:rPr>
                <w:sz w:val="20"/>
              </w:rPr>
              <w:t>Costs</w:t>
            </w:r>
          </w:p>
        </w:tc>
        <w:tc>
          <w:tcPr>
            <w:tcW w:w="1220" w:type="pct"/>
          </w:tcPr>
          <w:p w:rsidR="00C31220" w:rsidRPr="006E4BB4" w:rsidRDefault="00C31220" w:rsidP="00750CE1">
            <w:pPr>
              <w:pStyle w:val="TableFooter"/>
              <w:keepNext/>
              <w:keepLines/>
              <w:spacing w:after="0"/>
              <w:jc w:val="center"/>
              <w:rPr>
                <w:sz w:val="20"/>
              </w:rPr>
            </w:pPr>
            <w:r w:rsidRPr="006E4BB4">
              <w:rPr>
                <w:sz w:val="20"/>
              </w:rPr>
              <w:t>$</w:t>
            </w:r>
            <w:r w:rsidR="000F4D7C">
              <w:rPr>
                <w:noProof/>
                <w:color w:val="000000"/>
                <w:sz w:val="20"/>
                <w:highlight w:val="black"/>
              </w:rPr>
              <w:t>'''''''''''''''</w:t>
            </w:r>
          </w:p>
        </w:tc>
        <w:tc>
          <w:tcPr>
            <w:tcW w:w="1179" w:type="pct"/>
          </w:tcPr>
          <w:p w:rsidR="00C31220" w:rsidRPr="00077040" w:rsidRDefault="00C31220" w:rsidP="00750CE1">
            <w:pPr>
              <w:pStyle w:val="TableFooter"/>
              <w:keepNext/>
              <w:keepLines/>
              <w:spacing w:after="0"/>
              <w:jc w:val="center"/>
              <w:rPr>
                <w:sz w:val="20"/>
              </w:rPr>
            </w:pPr>
            <w:r w:rsidRPr="00077040">
              <w:rPr>
                <w:sz w:val="20"/>
              </w:rPr>
              <w:t>$24,685</w:t>
            </w:r>
          </w:p>
        </w:tc>
        <w:tc>
          <w:tcPr>
            <w:tcW w:w="1072" w:type="pct"/>
          </w:tcPr>
          <w:p w:rsidR="00C31220" w:rsidRPr="00077040" w:rsidRDefault="00C31220" w:rsidP="00750CE1">
            <w:pPr>
              <w:pStyle w:val="TableFooter"/>
              <w:keepNext/>
              <w:keepLines/>
              <w:spacing w:after="0"/>
              <w:jc w:val="center"/>
              <w:rPr>
                <w:sz w:val="20"/>
              </w:rPr>
            </w:pPr>
            <w:r w:rsidRPr="00077040">
              <w:rPr>
                <w:sz w:val="20"/>
              </w:rPr>
              <w:t>$</w:t>
            </w:r>
            <w:r w:rsidR="000F4D7C">
              <w:rPr>
                <w:noProof/>
                <w:color w:val="000000"/>
                <w:sz w:val="20"/>
                <w:highlight w:val="black"/>
              </w:rPr>
              <w:t>'''''''''''''''''</w:t>
            </w:r>
          </w:p>
        </w:tc>
      </w:tr>
      <w:tr w:rsidR="00C31220" w:rsidRPr="00BE056E" w:rsidTr="00281158">
        <w:tc>
          <w:tcPr>
            <w:tcW w:w="1529" w:type="pct"/>
            <w:vAlign w:val="center"/>
          </w:tcPr>
          <w:p w:rsidR="00C31220" w:rsidRPr="00077040" w:rsidRDefault="00C31220" w:rsidP="00750CE1">
            <w:pPr>
              <w:pStyle w:val="TableFooter"/>
              <w:keepNext/>
              <w:keepLines/>
              <w:spacing w:after="0"/>
              <w:rPr>
                <w:sz w:val="20"/>
              </w:rPr>
            </w:pPr>
            <w:r w:rsidRPr="00077040">
              <w:rPr>
                <w:sz w:val="20"/>
              </w:rPr>
              <w:t>PFLY</w:t>
            </w:r>
          </w:p>
        </w:tc>
        <w:tc>
          <w:tcPr>
            <w:tcW w:w="1220" w:type="pct"/>
          </w:tcPr>
          <w:p w:rsidR="00C31220" w:rsidRPr="00947CF0" w:rsidRDefault="00C31220" w:rsidP="00750CE1">
            <w:pPr>
              <w:pStyle w:val="TableFooter"/>
              <w:keepNext/>
              <w:keepLines/>
              <w:spacing w:after="0"/>
              <w:jc w:val="center"/>
              <w:rPr>
                <w:sz w:val="20"/>
              </w:rPr>
            </w:pPr>
            <w:r w:rsidRPr="006E4BB4">
              <w:rPr>
                <w:color w:val="000000"/>
                <w:sz w:val="20"/>
              </w:rPr>
              <w:t>0.841</w:t>
            </w:r>
          </w:p>
        </w:tc>
        <w:tc>
          <w:tcPr>
            <w:tcW w:w="1179" w:type="pct"/>
          </w:tcPr>
          <w:p w:rsidR="00C31220" w:rsidRPr="00077040" w:rsidRDefault="00C31220" w:rsidP="00750CE1">
            <w:pPr>
              <w:pStyle w:val="TableFooter"/>
              <w:keepNext/>
              <w:keepLines/>
              <w:spacing w:after="0"/>
              <w:jc w:val="center"/>
              <w:rPr>
                <w:sz w:val="20"/>
              </w:rPr>
            </w:pPr>
            <w:r w:rsidRPr="00077040">
              <w:rPr>
                <w:color w:val="000000"/>
                <w:sz w:val="20"/>
              </w:rPr>
              <w:t>0.280</w:t>
            </w:r>
          </w:p>
        </w:tc>
        <w:tc>
          <w:tcPr>
            <w:tcW w:w="1072" w:type="pct"/>
          </w:tcPr>
          <w:p w:rsidR="00C31220" w:rsidRPr="00077040" w:rsidRDefault="00C31220" w:rsidP="00750CE1">
            <w:pPr>
              <w:pStyle w:val="TableFooter"/>
              <w:keepNext/>
              <w:keepLines/>
              <w:spacing w:after="0"/>
              <w:jc w:val="center"/>
              <w:rPr>
                <w:sz w:val="20"/>
              </w:rPr>
            </w:pPr>
            <w:r w:rsidRPr="00077040">
              <w:rPr>
                <w:color w:val="000000"/>
                <w:sz w:val="20"/>
              </w:rPr>
              <w:t>0.561</w:t>
            </w:r>
          </w:p>
        </w:tc>
      </w:tr>
      <w:tr w:rsidR="00C31220" w:rsidRPr="00BE056E" w:rsidTr="00281158">
        <w:tc>
          <w:tcPr>
            <w:tcW w:w="1529" w:type="pct"/>
            <w:vAlign w:val="center"/>
          </w:tcPr>
          <w:p w:rsidR="00C31220" w:rsidRPr="00077040" w:rsidRDefault="00C31220" w:rsidP="00750CE1">
            <w:pPr>
              <w:pStyle w:val="TableFooter"/>
              <w:keepNext/>
              <w:keepLines/>
              <w:spacing w:after="0"/>
              <w:rPr>
                <w:sz w:val="20"/>
              </w:rPr>
            </w:pPr>
            <w:r w:rsidRPr="00077040">
              <w:rPr>
                <w:sz w:val="20"/>
              </w:rPr>
              <w:t>LY</w:t>
            </w:r>
          </w:p>
        </w:tc>
        <w:tc>
          <w:tcPr>
            <w:tcW w:w="1220" w:type="pct"/>
          </w:tcPr>
          <w:p w:rsidR="00C31220" w:rsidRPr="00947CF0" w:rsidRDefault="00C31220" w:rsidP="00750CE1">
            <w:pPr>
              <w:pStyle w:val="TableFooter"/>
              <w:keepNext/>
              <w:keepLines/>
              <w:spacing w:after="0"/>
              <w:jc w:val="center"/>
              <w:rPr>
                <w:sz w:val="20"/>
              </w:rPr>
            </w:pPr>
            <w:r w:rsidRPr="006E4BB4">
              <w:rPr>
                <w:color w:val="000000"/>
                <w:sz w:val="20"/>
              </w:rPr>
              <w:t>1.708</w:t>
            </w:r>
          </w:p>
        </w:tc>
        <w:tc>
          <w:tcPr>
            <w:tcW w:w="1179" w:type="pct"/>
          </w:tcPr>
          <w:p w:rsidR="00C31220" w:rsidRPr="00077040" w:rsidRDefault="00C31220" w:rsidP="00750CE1">
            <w:pPr>
              <w:pStyle w:val="TableFooter"/>
              <w:keepNext/>
              <w:keepLines/>
              <w:spacing w:after="0"/>
              <w:jc w:val="center"/>
              <w:rPr>
                <w:sz w:val="20"/>
              </w:rPr>
            </w:pPr>
            <w:r w:rsidRPr="00077040">
              <w:rPr>
                <w:color w:val="000000"/>
                <w:sz w:val="20"/>
              </w:rPr>
              <w:t>0.742</w:t>
            </w:r>
          </w:p>
        </w:tc>
        <w:tc>
          <w:tcPr>
            <w:tcW w:w="1072" w:type="pct"/>
          </w:tcPr>
          <w:p w:rsidR="00C31220" w:rsidRPr="00077040" w:rsidRDefault="00C31220" w:rsidP="00750CE1">
            <w:pPr>
              <w:pStyle w:val="TableFooter"/>
              <w:keepNext/>
              <w:keepLines/>
              <w:spacing w:after="0"/>
              <w:jc w:val="center"/>
              <w:rPr>
                <w:sz w:val="20"/>
              </w:rPr>
            </w:pPr>
            <w:r w:rsidRPr="00077040">
              <w:rPr>
                <w:color w:val="000000"/>
                <w:sz w:val="20"/>
              </w:rPr>
              <w:t>0.966</w:t>
            </w:r>
          </w:p>
        </w:tc>
      </w:tr>
      <w:tr w:rsidR="00C31220" w:rsidRPr="00BE056E" w:rsidTr="00281158">
        <w:tc>
          <w:tcPr>
            <w:tcW w:w="3928" w:type="pct"/>
            <w:gridSpan w:val="3"/>
            <w:vAlign w:val="center"/>
          </w:tcPr>
          <w:p w:rsidR="00C31220" w:rsidRPr="00077040" w:rsidRDefault="00C31220" w:rsidP="00750CE1">
            <w:pPr>
              <w:pStyle w:val="TableFooter"/>
              <w:keepNext/>
              <w:keepLines/>
              <w:spacing w:after="0"/>
              <w:rPr>
                <w:sz w:val="20"/>
              </w:rPr>
            </w:pPr>
            <w:r w:rsidRPr="00077040">
              <w:rPr>
                <w:sz w:val="20"/>
              </w:rPr>
              <w:t>Incremental cost/extra PFLY gained</w:t>
            </w:r>
          </w:p>
        </w:tc>
        <w:tc>
          <w:tcPr>
            <w:tcW w:w="1072" w:type="pct"/>
            <w:vAlign w:val="center"/>
          </w:tcPr>
          <w:p w:rsidR="00C31220" w:rsidRPr="006E4BB4" w:rsidRDefault="00C31220" w:rsidP="00750CE1">
            <w:pPr>
              <w:pStyle w:val="TableFooter"/>
              <w:keepNext/>
              <w:keepLines/>
              <w:spacing w:after="0"/>
              <w:jc w:val="center"/>
              <w:rPr>
                <w:sz w:val="20"/>
              </w:rPr>
            </w:pPr>
            <w:r w:rsidRPr="006E4BB4">
              <w:rPr>
                <w:sz w:val="20"/>
              </w:rPr>
              <w:t>$</w:t>
            </w:r>
            <w:r w:rsidR="000F4D7C">
              <w:rPr>
                <w:noProof/>
                <w:color w:val="000000"/>
                <w:sz w:val="20"/>
                <w:highlight w:val="black"/>
              </w:rPr>
              <w:t>'''''''''''''''''</w:t>
            </w:r>
            <w:r w:rsidR="00AF23EA">
              <w:rPr>
                <w:sz w:val="20"/>
                <w:vertAlign w:val="superscript"/>
              </w:rPr>
              <w:t>1</w:t>
            </w:r>
          </w:p>
        </w:tc>
      </w:tr>
      <w:tr w:rsidR="00C31220" w:rsidRPr="00BE056E" w:rsidTr="00281158">
        <w:tc>
          <w:tcPr>
            <w:tcW w:w="3928" w:type="pct"/>
            <w:gridSpan w:val="3"/>
            <w:vAlign w:val="center"/>
          </w:tcPr>
          <w:p w:rsidR="00C31220" w:rsidRPr="00077040" w:rsidRDefault="00C31220" w:rsidP="00E76B35">
            <w:pPr>
              <w:pStyle w:val="TableFooter"/>
              <w:keepNext/>
              <w:keepLines/>
              <w:spacing w:after="0"/>
              <w:jc w:val="left"/>
              <w:rPr>
                <w:sz w:val="20"/>
              </w:rPr>
            </w:pPr>
            <w:r w:rsidRPr="00077040">
              <w:rPr>
                <w:sz w:val="20"/>
              </w:rPr>
              <w:t>Incremental cost/extra LY gained</w:t>
            </w:r>
          </w:p>
        </w:tc>
        <w:tc>
          <w:tcPr>
            <w:tcW w:w="1072" w:type="pct"/>
          </w:tcPr>
          <w:p w:rsidR="00C31220" w:rsidRPr="006E4BB4" w:rsidRDefault="00C31220" w:rsidP="00750CE1">
            <w:pPr>
              <w:pStyle w:val="TableFooter"/>
              <w:keepNext/>
              <w:keepLines/>
              <w:spacing w:after="0"/>
              <w:jc w:val="center"/>
              <w:rPr>
                <w:sz w:val="20"/>
              </w:rPr>
            </w:pPr>
            <w:r w:rsidRPr="006E4BB4">
              <w:rPr>
                <w:sz w:val="20"/>
              </w:rPr>
              <w:t>$</w:t>
            </w:r>
            <w:r w:rsidR="000F4D7C">
              <w:rPr>
                <w:noProof/>
                <w:color w:val="000000"/>
                <w:sz w:val="20"/>
                <w:highlight w:val="black"/>
              </w:rPr>
              <w:t>''''''''''''''''''</w:t>
            </w:r>
            <w:r w:rsidR="00AF23EA">
              <w:rPr>
                <w:sz w:val="20"/>
                <w:vertAlign w:val="superscript"/>
              </w:rPr>
              <w:t>2</w:t>
            </w:r>
          </w:p>
        </w:tc>
      </w:tr>
      <w:tr w:rsidR="00C31220" w:rsidRPr="00BE056E" w:rsidTr="0096410D">
        <w:tc>
          <w:tcPr>
            <w:tcW w:w="5000" w:type="pct"/>
            <w:gridSpan w:val="4"/>
            <w:tcBorders>
              <w:top w:val="double" w:sz="4" w:space="0" w:color="auto"/>
            </w:tcBorders>
            <w:vAlign w:val="center"/>
          </w:tcPr>
          <w:p w:rsidR="00C31220" w:rsidRPr="00077040" w:rsidRDefault="00C31220" w:rsidP="00750CE1">
            <w:pPr>
              <w:pStyle w:val="TableFooter"/>
              <w:keepNext/>
              <w:keepLines/>
              <w:spacing w:after="0"/>
              <w:rPr>
                <w:b/>
                <w:sz w:val="20"/>
              </w:rPr>
            </w:pPr>
            <w:r w:rsidRPr="00077040">
              <w:rPr>
                <w:b/>
                <w:sz w:val="20"/>
              </w:rPr>
              <w:t xml:space="preserve">Step 3: </w:t>
            </w:r>
            <w:r w:rsidRPr="00077040">
              <w:rPr>
                <w:b/>
                <w:bCs/>
                <w:sz w:val="20"/>
              </w:rPr>
              <w:t>trial-based - 36 month time horizon with utilities (first-line treatment) and</w:t>
            </w:r>
            <w:r w:rsidRPr="00077040">
              <w:rPr>
                <w:b/>
                <w:sz w:val="20"/>
              </w:rPr>
              <w:t xml:space="preserve"> AE and SRE cost</w:t>
            </w:r>
          </w:p>
        </w:tc>
      </w:tr>
      <w:tr w:rsidR="00C31220" w:rsidRPr="00BE056E" w:rsidTr="00281158">
        <w:tc>
          <w:tcPr>
            <w:tcW w:w="1529" w:type="pct"/>
            <w:vAlign w:val="center"/>
          </w:tcPr>
          <w:p w:rsidR="00C31220" w:rsidRPr="00077040" w:rsidRDefault="00C31220" w:rsidP="00750CE1">
            <w:pPr>
              <w:pStyle w:val="TableFooter"/>
              <w:keepNext/>
              <w:keepLines/>
              <w:spacing w:after="0"/>
              <w:rPr>
                <w:sz w:val="20"/>
              </w:rPr>
            </w:pPr>
            <w:r w:rsidRPr="00077040">
              <w:rPr>
                <w:sz w:val="20"/>
              </w:rPr>
              <w:t>Costs</w:t>
            </w:r>
          </w:p>
        </w:tc>
        <w:tc>
          <w:tcPr>
            <w:tcW w:w="1220" w:type="pct"/>
          </w:tcPr>
          <w:p w:rsidR="00C31220" w:rsidRPr="006E4BB4" w:rsidRDefault="00C31220" w:rsidP="00750CE1">
            <w:pPr>
              <w:pStyle w:val="TableFooter"/>
              <w:keepNext/>
              <w:keepLines/>
              <w:spacing w:after="0"/>
              <w:jc w:val="center"/>
              <w:rPr>
                <w:sz w:val="20"/>
              </w:rPr>
            </w:pPr>
            <w:r w:rsidRPr="006E4BB4">
              <w:rPr>
                <w:sz w:val="20"/>
              </w:rPr>
              <w:t>$</w:t>
            </w:r>
            <w:r w:rsidR="000F4D7C">
              <w:rPr>
                <w:noProof/>
                <w:color w:val="000000"/>
                <w:sz w:val="20"/>
                <w:highlight w:val="black"/>
              </w:rPr>
              <w:t>'''''''''''''''''</w:t>
            </w:r>
          </w:p>
        </w:tc>
        <w:tc>
          <w:tcPr>
            <w:tcW w:w="1179" w:type="pct"/>
          </w:tcPr>
          <w:p w:rsidR="00C31220" w:rsidRPr="00077040" w:rsidRDefault="00C31220" w:rsidP="00750CE1">
            <w:pPr>
              <w:pStyle w:val="TableFooter"/>
              <w:keepNext/>
              <w:keepLines/>
              <w:spacing w:after="0"/>
              <w:jc w:val="center"/>
              <w:rPr>
                <w:sz w:val="20"/>
              </w:rPr>
            </w:pPr>
            <w:r w:rsidRPr="00077040">
              <w:rPr>
                <w:sz w:val="20"/>
              </w:rPr>
              <w:t>$24,685</w:t>
            </w:r>
          </w:p>
        </w:tc>
        <w:tc>
          <w:tcPr>
            <w:tcW w:w="1072" w:type="pct"/>
          </w:tcPr>
          <w:p w:rsidR="00C31220" w:rsidRPr="00077040" w:rsidRDefault="00C31220" w:rsidP="00750CE1">
            <w:pPr>
              <w:pStyle w:val="TableFooter"/>
              <w:keepNext/>
              <w:keepLines/>
              <w:spacing w:after="0"/>
              <w:jc w:val="center"/>
              <w:rPr>
                <w:sz w:val="20"/>
              </w:rPr>
            </w:pPr>
            <w:r w:rsidRPr="00077040">
              <w:rPr>
                <w:sz w:val="20"/>
              </w:rPr>
              <w:t>$</w:t>
            </w:r>
            <w:r w:rsidR="000F4D7C">
              <w:rPr>
                <w:noProof/>
                <w:color w:val="000000"/>
                <w:sz w:val="20"/>
                <w:highlight w:val="black"/>
              </w:rPr>
              <w:t>'''''''''''''''''</w:t>
            </w:r>
          </w:p>
        </w:tc>
      </w:tr>
      <w:tr w:rsidR="00C31220" w:rsidRPr="00BE056E" w:rsidTr="00281158">
        <w:tc>
          <w:tcPr>
            <w:tcW w:w="1529" w:type="pct"/>
            <w:vAlign w:val="center"/>
          </w:tcPr>
          <w:p w:rsidR="00C31220" w:rsidRPr="00077040" w:rsidRDefault="00C31220" w:rsidP="00750CE1">
            <w:pPr>
              <w:pStyle w:val="TableFooter"/>
              <w:keepNext/>
              <w:keepLines/>
              <w:spacing w:after="0"/>
              <w:rPr>
                <w:sz w:val="20"/>
              </w:rPr>
            </w:pPr>
            <w:r w:rsidRPr="00077040">
              <w:rPr>
                <w:sz w:val="20"/>
              </w:rPr>
              <w:t>QALY</w:t>
            </w:r>
          </w:p>
        </w:tc>
        <w:tc>
          <w:tcPr>
            <w:tcW w:w="1220" w:type="pct"/>
          </w:tcPr>
          <w:p w:rsidR="00C31220" w:rsidRPr="006E4BB4" w:rsidRDefault="00C31220" w:rsidP="00750CE1">
            <w:pPr>
              <w:pStyle w:val="TableFooter"/>
              <w:keepNext/>
              <w:keepLines/>
              <w:spacing w:after="0"/>
              <w:jc w:val="center"/>
              <w:rPr>
                <w:sz w:val="20"/>
              </w:rPr>
            </w:pPr>
            <w:r w:rsidRPr="006E4BB4">
              <w:rPr>
                <w:sz w:val="20"/>
              </w:rPr>
              <w:t>1.186</w:t>
            </w:r>
          </w:p>
        </w:tc>
        <w:tc>
          <w:tcPr>
            <w:tcW w:w="1179" w:type="pct"/>
          </w:tcPr>
          <w:p w:rsidR="00C31220" w:rsidRPr="00077040" w:rsidRDefault="00C31220" w:rsidP="00750CE1">
            <w:pPr>
              <w:pStyle w:val="TableFooter"/>
              <w:keepNext/>
              <w:keepLines/>
              <w:spacing w:after="0"/>
              <w:jc w:val="center"/>
              <w:rPr>
                <w:sz w:val="20"/>
              </w:rPr>
            </w:pPr>
            <w:r w:rsidRPr="00077040">
              <w:rPr>
                <w:sz w:val="20"/>
              </w:rPr>
              <w:t>0.510</w:t>
            </w:r>
          </w:p>
        </w:tc>
        <w:tc>
          <w:tcPr>
            <w:tcW w:w="1072" w:type="pct"/>
          </w:tcPr>
          <w:p w:rsidR="00C31220" w:rsidRPr="00077040" w:rsidRDefault="00C31220" w:rsidP="00750CE1">
            <w:pPr>
              <w:pStyle w:val="TableFooter"/>
              <w:keepNext/>
              <w:keepLines/>
              <w:spacing w:after="0"/>
              <w:jc w:val="center"/>
              <w:rPr>
                <w:sz w:val="20"/>
              </w:rPr>
            </w:pPr>
            <w:r w:rsidRPr="00077040">
              <w:rPr>
                <w:sz w:val="20"/>
              </w:rPr>
              <w:t>0.676</w:t>
            </w:r>
          </w:p>
        </w:tc>
      </w:tr>
      <w:tr w:rsidR="00C31220" w:rsidRPr="00BE056E" w:rsidTr="00281158">
        <w:tc>
          <w:tcPr>
            <w:tcW w:w="3928" w:type="pct"/>
            <w:gridSpan w:val="3"/>
            <w:vAlign w:val="center"/>
          </w:tcPr>
          <w:p w:rsidR="00C31220" w:rsidRPr="00077040" w:rsidRDefault="00C31220" w:rsidP="00750CE1">
            <w:pPr>
              <w:pStyle w:val="TableFooter"/>
              <w:keepNext/>
              <w:keepLines/>
              <w:spacing w:after="0"/>
              <w:rPr>
                <w:bCs/>
                <w:sz w:val="20"/>
              </w:rPr>
            </w:pPr>
            <w:r w:rsidRPr="00077040">
              <w:rPr>
                <w:bCs/>
                <w:sz w:val="20"/>
              </w:rPr>
              <w:t>Incremental cost/extra QALY gained</w:t>
            </w:r>
          </w:p>
        </w:tc>
        <w:tc>
          <w:tcPr>
            <w:tcW w:w="1072" w:type="pct"/>
          </w:tcPr>
          <w:p w:rsidR="00C31220" w:rsidRPr="006E4BB4" w:rsidRDefault="00C31220" w:rsidP="00750CE1">
            <w:pPr>
              <w:pStyle w:val="TableFooter"/>
              <w:keepNext/>
              <w:keepLines/>
              <w:spacing w:after="0"/>
              <w:jc w:val="center"/>
              <w:rPr>
                <w:sz w:val="20"/>
              </w:rPr>
            </w:pPr>
            <w:r w:rsidRPr="006E4BB4">
              <w:rPr>
                <w:sz w:val="20"/>
              </w:rPr>
              <w:t>$</w:t>
            </w:r>
            <w:r w:rsidR="000F4D7C">
              <w:rPr>
                <w:noProof/>
                <w:color w:val="000000"/>
                <w:sz w:val="20"/>
                <w:highlight w:val="black"/>
              </w:rPr>
              <w:t>'''''''''''''''</w:t>
            </w:r>
            <w:r w:rsidR="00AF23EA">
              <w:rPr>
                <w:sz w:val="20"/>
                <w:vertAlign w:val="superscript"/>
              </w:rPr>
              <w:t>3</w:t>
            </w:r>
          </w:p>
        </w:tc>
      </w:tr>
      <w:tr w:rsidR="00C31220" w:rsidRPr="00BE056E" w:rsidTr="0096410D">
        <w:tc>
          <w:tcPr>
            <w:tcW w:w="5000" w:type="pct"/>
            <w:gridSpan w:val="4"/>
            <w:tcBorders>
              <w:top w:val="double" w:sz="4" w:space="0" w:color="auto"/>
            </w:tcBorders>
            <w:vAlign w:val="center"/>
          </w:tcPr>
          <w:p w:rsidR="00C31220" w:rsidRPr="00077040" w:rsidRDefault="00E76B35" w:rsidP="00750CE1">
            <w:pPr>
              <w:pStyle w:val="Tabletext1"/>
              <w:keepNext/>
              <w:keepLines/>
              <w:widowControl w:val="0"/>
              <w:rPr>
                <w:b/>
                <w:bCs/>
                <w:szCs w:val="20"/>
              </w:rPr>
            </w:pPr>
            <w:r>
              <w:rPr>
                <w:b/>
                <w:szCs w:val="20"/>
              </w:rPr>
              <w:t>Step 4: 10-</w:t>
            </w:r>
            <w:r w:rsidR="00C31220" w:rsidRPr="00077040">
              <w:rPr>
                <w:b/>
                <w:szCs w:val="20"/>
              </w:rPr>
              <w:t>year time horizon with utilities and discounted costs</w:t>
            </w:r>
          </w:p>
        </w:tc>
      </w:tr>
      <w:tr w:rsidR="00C31220" w:rsidRPr="00BE056E" w:rsidTr="00281158">
        <w:tc>
          <w:tcPr>
            <w:tcW w:w="1529" w:type="pct"/>
            <w:vAlign w:val="center"/>
          </w:tcPr>
          <w:p w:rsidR="00C31220" w:rsidRPr="00077040" w:rsidRDefault="00C31220" w:rsidP="00750CE1">
            <w:pPr>
              <w:pStyle w:val="Tabletext1"/>
              <w:keepNext/>
              <w:keepLines/>
              <w:widowControl w:val="0"/>
              <w:rPr>
                <w:szCs w:val="20"/>
              </w:rPr>
            </w:pPr>
            <w:r w:rsidRPr="00077040">
              <w:rPr>
                <w:szCs w:val="20"/>
              </w:rPr>
              <w:t>Costs</w:t>
            </w:r>
          </w:p>
        </w:tc>
        <w:tc>
          <w:tcPr>
            <w:tcW w:w="1220" w:type="pct"/>
          </w:tcPr>
          <w:p w:rsidR="00C31220" w:rsidRPr="006E4BB4" w:rsidRDefault="00C31220" w:rsidP="00750CE1">
            <w:pPr>
              <w:pStyle w:val="Tabletext1"/>
              <w:keepNext/>
              <w:keepLines/>
              <w:widowControl w:val="0"/>
              <w:jc w:val="center"/>
              <w:rPr>
                <w:szCs w:val="20"/>
              </w:rPr>
            </w:pPr>
            <w:r w:rsidRPr="006E4BB4">
              <w:rPr>
                <w:szCs w:val="20"/>
              </w:rPr>
              <w:t>$</w:t>
            </w:r>
            <w:r w:rsidR="000F4D7C">
              <w:rPr>
                <w:noProof/>
                <w:color w:val="000000"/>
                <w:szCs w:val="20"/>
                <w:highlight w:val="black"/>
              </w:rPr>
              <w:t>''''''''''''''''</w:t>
            </w:r>
          </w:p>
        </w:tc>
        <w:tc>
          <w:tcPr>
            <w:tcW w:w="1179" w:type="pct"/>
          </w:tcPr>
          <w:p w:rsidR="00C31220" w:rsidRPr="00077040" w:rsidRDefault="00C31220" w:rsidP="00750CE1">
            <w:pPr>
              <w:pStyle w:val="Tabletext1"/>
              <w:keepNext/>
              <w:keepLines/>
              <w:widowControl w:val="0"/>
              <w:jc w:val="center"/>
              <w:rPr>
                <w:szCs w:val="20"/>
              </w:rPr>
            </w:pPr>
            <w:r w:rsidRPr="00077040">
              <w:rPr>
                <w:szCs w:val="20"/>
              </w:rPr>
              <w:t>$52,882</w:t>
            </w:r>
          </w:p>
        </w:tc>
        <w:tc>
          <w:tcPr>
            <w:tcW w:w="1072" w:type="pct"/>
          </w:tcPr>
          <w:p w:rsidR="00C31220" w:rsidRPr="00077040" w:rsidRDefault="00C31220" w:rsidP="00750CE1">
            <w:pPr>
              <w:pStyle w:val="Tabletext1"/>
              <w:keepNext/>
              <w:keepLines/>
              <w:widowControl w:val="0"/>
              <w:jc w:val="center"/>
              <w:rPr>
                <w:szCs w:val="20"/>
              </w:rPr>
            </w:pPr>
            <w:r w:rsidRPr="00077040">
              <w:rPr>
                <w:szCs w:val="20"/>
              </w:rPr>
              <w:t>$</w:t>
            </w:r>
            <w:r w:rsidR="000F4D7C">
              <w:rPr>
                <w:noProof/>
                <w:color w:val="000000"/>
                <w:szCs w:val="20"/>
                <w:highlight w:val="black"/>
              </w:rPr>
              <w:t>'''''''''''''''''</w:t>
            </w:r>
          </w:p>
        </w:tc>
      </w:tr>
      <w:tr w:rsidR="00C31220" w:rsidRPr="00BE056E" w:rsidTr="00281158">
        <w:tc>
          <w:tcPr>
            <w:tcW w:w="1529" w:type="pct"/>
            <w:vAlign w:val="center"/>
          </w:tcPr>
          <w:p w:rsidR="00C31220" w:rsidRPr="00077040" w:rsidRDefault="00C31220" w:rsidP="00750CE1">
            <w:pPr>
              <w:pStyle w:val="Tabletext1"/>
              <w:keepNext/>
              <w:keepLines/>
              <w:widowControl w:val="0"/>
              <w:rPr>
                <w:szCs w:val="20"/>
              </w:rPr>
            </w:pPr>
            <w:r w:rsidRPr="00077040">
              <w:rPr>
                <w:szCs w:val="20"/>
              </w:rPr>
              <w:t>LY</w:t>
            </w:r>
          </w:p>
        </w:tc>
        <w:tc>
          <w:tcPr>
            <w:tcW w:w="1220" w:type="pct"/>
          </w:tcPr>
          <w:p w:rsidR="00C31220" w:rsidRPr="006E4BB4" w:rsidRDefault="00C31220" w:rsidP="00750CE1">
            <w:pPr>
              <w:pStyle w:val="Tabletext1"/>
              <w:keepNext/>
              <w:keepLines/>
              <w:widowControl w:val="0"/>
              <w:jc w:val="center"/>
              <w:rPr>
                <w:szCs w:val="20"/>
              </w:rPr>
            </w:pPr>
            <w:r w:rsidRPr="006E4BB4">
              <w:rPr>
                <w:szCs w:val="20"/>
              </w:rPr>
              <w:t>1.821</w:t>
            </w:r>
          </w:p>
        </w:tc>
        <w:tc>
          <w:tcPr>
            <w:tcW w:w="1179" w:type="pct"/>
          </w:tcPr>
          <w:p w:rsidR="00C31220" w:rsidRPr="00077040" w:rsidRDefault="00C31220" w:rsidP="00750CE1">
            <w:pPr>
              <w:pStyle w:val="Tabletext1"/>
              <w:keepNext/>
              <w:keepLines/>
              <w:widowControl w:val="0"/>
              <w:jc w:val="center"/>
              <w:rPr>
                <w:szCs w:val="20"/>
              </w:rPr>
            </w:pPr>
            <w:r w:rsidRPr="00077040">
              <w:rPr>
                <w:szCs w:val="20"/>
              </w:rPr>
              <w:t>0.790</w:t>
            </w:r>
          </w:p>
        </w:tc>
        <w:tc>
          <w:tcPr>
            <w:tcW w:w="1072" w:type="pct"/>
          </w:tcPr>
          <w:p w:rsidR="00C31220" w:rsidRPr="00077040" w:rsidRDefault="00C31220" w:rsidP="00750CE1">
            <w:pPr>
              <w:pStyle w:val="Tabletext1"/>
              <w:keepNext/>
              <w:keepLines/>
              <w:widowControl w:val="0"/>
              <w:jc w:val="center"/>
              <w:rPr>
                <w:szCs w:val="20"/>
              </w:rPr>
            </w:pPr>
            <w:r w:rsidRPr="00077040">
              <w:rPr>
                <w:szCs w:val="20"/>
              </w:rPr>
              <w:t>1.03</w:t>
            </w:r>
          </w:p>
        </w:tc>
      </w:tr>
      <w:tr w:rsidR="00C31220" w:rsidRPr="00BE056E" w:rsidTr="00281158">
        <w:tc>
          <w:tcPr>
            <w:tcW w:w="3928" w:type="pct"/>
            <w:gridSpan w:val="3"/>
            <w:vAlign w:val="center"/>
          </w:tcPr>
          <w:p w:rsidR="00C31220" w:rsidRPr="00077040" w:rsidRDefault="00C31220" w:rsidP="00750CE1">
            <w:pPr>
              <w:pStyle w:val="Tabletext1"/>
              <w:keepNext/>
              <w:keepLines/>
              <w:widowControl w:val="0"/>
              <w:rPr>
                <w:szCs w:val="20"/>
              </w:rPr>
            </w:pPr>
            <w:r w:rsidRPr="00077040">
              <w:rPr>
                <w:szCs w:val="20"/>
              </w:rPr>
              <w:t>Incremental discounted cost/extra LY gained (base case)</w:t>
            </w:r>
          </w:p>
        </w:tc>
        <w:tc>
          <w:tcPr>
            <w:tcW w:w="1072" w:type="pct"/>
          </w:tcPr>
          <w:p w:rsidR="00C31220" w:rsidRPr="006E4BB4" w:rsidRDefault="00C31220" w:rsidP="00750CE1">
            <w:pPr>
              <w:pStyle w:val="Tabletext1"/>
              <w:keepNext/>
              <w:keepLines/>
              <w:widowControl w:val="0"/>
              <w:jc w:val="center"/>
              <w:rPr>
                <w:szCs w:val="20"/>
              </w:rPr>
            </w:pPr>
            <w:r w:rsidRPr="006E4BB4">
              <w:rPr>
                <w:szCs w:val="20"/>
              </w:rPr>
              <w:t>$</w:t>
            </w:r>
            <w:r w:rsidR="000F4D7C">
              <w:rPr>
                <w:noProof/>
                <w:color w:val="000000"/>
                <w:szCs w:val="20"/>
                <w:highlight w:val="black"/>
              </w:rPr>
              <w:t>''''''''''''''''''</w:t>
            </w:r>
            <w:r w:rsidR="00AF23EA">
              <w:rPr>
                <w:rFonts w:cs="Arial"/>
                <w:szCs w:val="20"/>
                <w:vertAlign w:val="superscript"/>
              </w:rPr>
              <w:t>3</w:t>
            </w:r>
          </w:p>
        </w:tc>
      </w:tr>
      <w:tr w:rsidR="00C31220" w:rsidRPr="00BE056E" w:rsidTr="00281158">
        <w:tc>
          <w:tcPr>
            <w:tcW w:w="1529" w:type="pct"/>
            <w:vAlign w:val="center"/>
          </w:tcPr>
          <w:p w:rsidR="00C31220" w:rsidRPr="00077040" w:rsidRDefault="00C31220" w:rsidP="00750CE1">
            <w:pPr>
              <w:pStyle w:val="Tabletext1"/>
              <w:keepNext/>
              <w:keepLines/>
              <w:widowControl w:val="0"/>
              <w:rPr>
                <w:szCs w:val="20"/>
              </w:rPr>
            </w:pPr>
            <w:r w:rsidRPr="00077040">
              <w:rPr>
                <w:szCs w:val="20"/>
              </w:rPr>
              <w:t>QALY</w:t>
            </w:r>
          </w:p>
        </w:tc>
        <w:tc>
          <w:tcPr>
            <w:tcW w:w="1220" w:type="pct"/>
          </w:tcPr>
          <w:p w:rsidR="00C31220" w:rsidRPr="00947CF0" w:rsidRDefault="00C31220" w:rsidP="00750CE1">
            <w:pPr>
              <w:pStyle w:val="Tabletext1"/>
              <w:keepNext/>
              <w:keepLines/>
              <w:widowControl w:val="0"/>
              <w:jc w:val="center"/>
              <w:rPr>
                <w:szCs w:val="20"/>
              </w:rPr>
            </w:pPr>
            <w:r w:rsidRPr="006E4BB4">
              <w:rPr>
                <w:szCs w:val="20"/>
              </w:rPr>
              <w:t>1.223</w:t>
            </w:r>
          </w:p>
        </w:tc>
        <w:tc>
          <w:tcPr>
            <w:tcW w:w="1179" w:type="pct"/>
          </w:tcPr>
          <w:p w:rsidR="00C31220" w:rsidRPr="00077040" w:rsidRDefault="00C31220" w:rsidP="00750CE1">
            <w:pPr>
              <w:pStyle w:val="Tabletext1"/>
              <w:keepNext/>
              <w:keepLines/>
              <w:widowControl w:val="0"/>
              <w:jc w:val="center"/>
              <w:rPr>
                <w:szCs w:val="20"/>
              </w:rPr>
            </w:pPr>
            <w:r w:rsidRPr="00077040">
              <w:rPr>
                <w:szCs w:val="20"/>
              </w:rPr>
              <w:t>0.471</w:t>
            </w:r>
          </w:p>
        </w:tc>
        <w:tc>
          <w:tcPr>
            <w:tcW w:w="1072" w:type="pct"/>
          </w:tcPr>
          <w:p w:rsidR="00C31220" w:rsidRPr="00077040" w:rsidRDefault="00C31220" w:rsidP="00750CE1">
            <w:pPr>
              <w:pStyle w:val="Tabletext1"/>
              <w:keepNext/>
              <w:keepLines/>
              <w:widowControl w:val="0"/>
              <w:jc w:val="center"/>
              <w:rPr>
                <w:szCs w:val="20"/>
              </w:rPr>
            </w:pPr>
            <w:r w:rsidRPr="00077040">
              <w:rPr>
                <w:szCs w:val="20"/>
              </w:rPr>
              <w:t>0.751</w:t>
            </w:r>
          </w:p>
        </w:tc>
      </w:tr>
      <w:tr w:rsidR="00C31220" w:rsidRPr="00BE056E" w:rsidTr="00281158">
        <w:tc>
          <w:tcPr>
            <w:tcW w:w="3928" w:type="pct"/>
            <w:gridSpan w:val="3"/>
            <w:vAlign w:val="center"/>
          </w:tcPr>
          <w:p w:rsidR="00C31220" w:rsidRPr="00077040" w:rsidRDefault="00C31220" w:rsidP="00750CE1">
            <w:pPr>
              <w:pStyle w:val="Tabletext1"/>
              <w:keepNext/>
              <w:keepLines/>
              <w:widowControl w:val="0"/>
              <w:rPr>
                <w:szCs w:val="20"/>
              </w:rPr>
            </w:pPr>
            <w:r w:rsidRPr="00077040">
              <w:rPr>
                <w:b/>
                <w:szCs w:val="20"/>
              </w:rPr>
              <w:t>Incremental discounted cost/extra QALY gained</w:t>
            </w:r>
          </w:p>
        </w:tc>
        <w:tc>
          <w:tcPr>
            <w:tcW w:w="1072" w:type="pct"/>
          </w:tcPr>
          <w:p w:rsidR="00C31220" w:rsidRPr="006E4BB4" w:rsidRDefault="00C31220" w:rsidP="00750CE1">
            <w:pPr>
              <w:pStyle w:val="Tabletext1"/>
              <w:keepNext/>
              <w:keepLines/>
              <w:widowControl w:val="0"/>
              <w:jc w:val="center"/>
              <w:rPr>
                <w:b/>
                <w:bCs/>
                <w:szCs w:val="20"/>
              </w:rPr>
            </w:pPr>
            <w:r w:rsidRPr="006E4BB4">
              <w:rPr>
                <w:b/>
                <w:bCs/>
                <w:szCs w:val="20"/>
              </w:rPr>
              <w:t>$</w:t>
            </w:r>
            <w:r w:rsidR="000F4D7C">
              <w:rPr>
                <w:b/>
                <w:bCs/>
                <w:noProof/>
                <w:color w:val="000000"/>
                <w:szCs w:val="20"/>
                <w:highlight w:val="black"/>
              </w:rPr>
              <w:t>'''''''''''''</w:t>
            </w:r>
            <w:r w:rsidR="00AF23EA">
              <w:rPr>
                <w:rFonts w:cs="Arial"/>
                <w:szCs w:val="20"/>
                <w:vertAlign w:val="superscript"/>
              </w:rPr>
              <w:t>1</w:t>
            </w:r>
          </w:p>
        </w:tc>
      </w:tr>
    </w:tbl>
    <w:p w:rsidR="00C31220" w:rsidRPr="00BE056E" w:rsidRDefault="00C31220" w:rsidP="00C31220">
      <w:pPr>
        <w:pStyle w:val="TableFooter"/>
        <w:keepNext/>
        <w:keepLines/>
      </w:pPr>
      <w:r w:rsidRPr="00BE056E">
        <w:t>Source: Table 3.29 of the submission.</w:t>
      </w:r>
    </w:p>
    <w:p w:rsidR="00C31220" w:rsidRDefault="00C31220" w:rsidP="000F4D7C">
      <w:pPr>
        <w:pStyle w:val="TableFooter"/>
        <w:keepNext/>
        <w:keepLines/>
      </w:pPr>
      <w:r w:rsidRPr="00BE056E">
        <w:t>AE</w:t>
      </w:r>
      <w:r w:rsidR="00077040">
        <w:t xml:space="preserve"> </w:t>
      </w:r>
      <w:r w:rsidRPr="00BE056E">
        <w:t>=</w:t>
      </w:r>
      <w:r w:rsidR="00077040">
        <w:t xml:space="preserve"> </w:t>
      </w:r>
      <w:r w:rsidRPr="00BE056E">
        <w:t>adverse event; LY</w:t>
      </w:r>
      <w:r w:rsidR="00077040">
        <w:t xml:space="preserve"> </w:t>
      </w:r>
      <w:r w:rsidRPr="00BE056E">
        <w:t>=</w:t>
      </w:r>
      <w:r w:rsidR="00077040">
        <w:t xml:space="preserve"> </w:t>
      </w:r>
      <w:r w:rsidRPr="00BE056E">
        <w:t>life year; NHA</w:t>
      </w:r>
      <w:r w:rsidR="00077040">
        <w:t xml:space="preserve"> </w:t>
      </w:r>
      <w:r w:rsidRPr="00BE056E">
        <w:t>=</w:t>
      </w:r>
      <w:r w:rsidR="00077040">
        <w:t xml:space="preserve"> </w:t>
      </w:r>
      <w:r w:rsidRPr="00BE056E">
        <w:t xml:space="preserve">novel hormonal agent; </w:t>
      </w:r>
      <w:r w:rsidR="00077040" w:rsidRPr="00BE056E">
        <w:t>PFLY</w:t>
      </w:r>
      <w:r w:rsidR="00077040">
        <w:t xml:space="preserve"> </w:t>
      </w:r>
      <w:r w:rsidR="00077040" w:rsidRPr="00BE056E">
        <w:t>=</w:t>
      </w:r>
      <w:r w:rsidR="00077040">
        <w:t xml:space="preserve"> </w:t>
      </w:r>
      <w:r w:rsidR="00077040" w:rsidRPr="00BE056E">
        <w:t>progression-free life year;</w:t>
      </w:r>
      <w:r w:rsidR="00077040">
        <w:t xml:space="preserve"> </w:t>
      </w:r>
      <w:r w:rsidRPr="00BE056E">
        <w:t>QALY</w:t>
      </w:r>
      <w:r w:rsidR="00077040">
        <w:t xml:space="preserve"> </w:t>
      </w:r>
      <w:r w:rsidRPr="00BE056E">
        <w:t>=</w:t>
      </w:r>
      <w:r w:rsidR="00077040">
        <w:t xml:space="preserve"> </w:t>
      </w:r>
      <w:r w:rsidRPr="00BE056E">
        <w:t>quality adjusted life year; SRE</w:t>
      </w:r>
      <w:r w:rsidR="00077040">
        <w:t xml:space="preserve"> </w:t>
      </w:r>
      <w:r w:rsidRPr="00BE056E">
        <w:t>=</w:t>
      </w:r>
      <w:r w:rsidR="00077040">
        <w:t xml:space="preserve"> </w:t>
      </w:r>
      <w:r w:rsidRPr="00BE056E">
        <w:t>skeletal-related event</w:t>
      </w:r>
      <w:r w:rsidR="00E76B35">
        <w:t>.</w:t>
      </w:r>
    </w:p>
    <w:p w:rsidR="00AF23EA" w:rsidRDefault="00AF23EA" w:rsidP="000F4D7C">
      <w:pPr>
        <w:pStyle w:val="TableFooter"/>
        <w:keepNext/>
        <w:keepLines/>
        <w:rPr>
          <w:i/>
        </w:rPr>
      </w:pPr>
      <w:r w:rsidRPr="009562AC">
        <w:rPr>
          <w:i/>
        </w:rPr>
        <w:t>The redacted values correspond to the following ranges:</w:t>
      </w:r>
    </w:p>
    <w:p w:rsidR="00AF23EA" w:rsidRDefault="00AF23EA" w:rsidP="000F4D7C">
      <w:pPr>
        <w:pStyle w:val="TableFooter"/>
        <w:keepNext/>
        <w:keepLines/>
        <w:rPr>
          <w:i/>
        </w:rPr>
      </w:pPr>
      <w:r w:rsidRPr="009562AC">
        <w:rPr>
          <w:i/>
        </w:rPr>
        <w:t xml:space="preserve"> </w:t>
      </w:r>
      <w:r>
        <w:rPr>
          <w:i/>
          <w:vertAlign w:val="superscript"/>
        </w:rPr>
        <w:t xml:space="preserve">1 </w:t>
      </w:r>
      <w:r w:rsidRPr="00AF23EA">
        <w:rPr>
          <w:i/>
        </w:rPr>
        <w:t>$45,000 to &lt; $55,000</w:t>
      </w:r>
    </w:p>
    <w:p w:rsidR="00AF23EA" w:rsidRDefault="00AF23EA" w:rsidP="000F4D7C">
      <w:pPr>
        <w:pStyle w:val="TableFooter"/>
        <w:keepNext/>
        <w:keepLines/>
        <w:rPr>
          <w:i/>
        </w:rPr>
      </w:pPr>
      <w:r>
        <w:rPr>
          <w:i/>
          <w:vertAlign w:val="superscript"/>
        </w:rPr>
        <w:t xml:space="preserve">2 </w:t>
      </w:r>
      <w:r w:rsidRPr="00AF23EA">
        <w:rPr>
          <w:i/>
        </w:rPr>
        <w:t>$25,000 to &lt; $35,000</w:t>
      </w:r>
    </w:p>
    <w:p w:rsidR="00AF23EA" w:rsidRPr="000F4D7C" w:rsidRDefault="00AF23EA" w:rsidP="000F4D7C">
      <w:pPr>
        <w:pStyle w:val="TableFooter"/>
        <w:keepNext/>
        <w:keepLines/>
        <w:rPr>
          <w:i/>
        </w:rPr>
      </w:pPr>
      <w:r>
        <w:rPr>
          <w:i/>
          <w:vertAlign w:val="superscript"/>
        </w:rPr>
        <w:t xml:space="preserve">3 </w:t>
      </w:r>
      <w:r w:rsidRPr="00AF23EA">
        <w:rPr>
          <w:i/>
        </w:rPr>
        <w:t>$35,000 to &lt; $45,000</w:t>
      </w:r>
    </w:p>
    <w:p w:rsidR="00AF23EA" w:rsidRPr="000F4D7C" w:rsidRDefault="00AF23EA" w:rsidP="00C31220">
      <w:pPr>
        <w:pStyle w:val="TableFooter"/>
        <w:rPr>
          <w:b/>
        </w:rPr>
      </w:pPr>
    </w:p>
    <w:p w:rsidR="00B737AF" w:rsidRPr="000F2527" w:rsidRDefault="001F6EB3" w:rsidP="00AF23EA">
      <w:pPr>
        <w:pStyle w:val="ListParagraph"/>
      </w:pPr>
      <w:r w:rsidRPr="000F2527">
        <w:t xml:space="preserve">The modelled economic evaluation over a period of 10 years estimated an incremental cost/QALY of </w:t>
      </w:r>
      <w:r w:rsidR="00AF23EA" w:rsidRPr="00AF23EA">
        <w:rPr>
          <w:color w:val="auto"/>
        </w:rPr>
        <w:t>$45,000 to &lt; $55,000</w:t>
      </w:r>
      <w:r w:rsidR="00AF23EA">
        <w:rPr>
          <w:color w:val="auto"/>
        </w:rPr>
        <w:t xml:space="preserve">. </w:t>
      </w:r>
      <w:r w:rsidR="003F728B" w:rsidRPr="00AA6D4A">
        <w:t xml:space="preserve">Although the </w:t>
      </w:r>
      <w:proofErr w:type="spellStart"/>
      <w:r w:rsidR="003F728B" w:rsidRPr="00AA6D4A">
        <w:t>PROfound</w:t>
      </w:r>
      <w:proofErr w:type="spellEnd"/>
      <w:r w:rsidR="003F728B" w:rsidRPr="00AA6D4A">
        <w:t xml:space="preserve"> trial demonstrated that </w:t>
      </w:r>
      <w:proofErr w:type="spellStart"/>
      <w:r w:rsidR="003F728B" w:rsidRPr="00AA6D4A">
        <w:t>olaparib</w:t>
      </w:r>
      <w:proofErr w:type="spellEnd"/>
      <w:r w:rsidR="003F728B" w:rsidRPr="00AA6D4A">
        <w:t xml:space="preserve"> treatment results in an </w:t>
      </w:r>
      <w:r w:rsidR="003F728B" w:rsidRPr="00AA6D4A">
        <w:rPr>
          <w:iCs/>
        </w:rPr>
        <w:t>overall survival advantage, t</w:t>
      </w:r>
      <w:r w:rsidR="00C90C95" w:rsidRPr="00AA6D4A">
        <w:t>he ESC</w:t>
      </w:r>
      <w:r w:rsidR="00427EA1" w:rsidRPr="00AA6D4A">
        <w:t>s</w:t>
      </w:r>
      <w:r w:rsidR="00C90C95" w:rsidRPr="00AA6D4A">
        <w:t xml:space="preserve"> considered that </w:t>
      </w:r>
      <w:r w:rsidRPr="000F2527">
        <w:t xml:space="preserve">the </w:t>
      </w:r>
      <w:r w:rsidR="007231DF" w:rsidRPr="000F2527">
        <w:t xml:space="preserve">ICER </w:t>
      </w:r>
      <w:r w:rsidR="003F728B">
        <w:t xml:space="preserve">did not accurately represent the cost-effectiveness </w:t>
      </w:r>
      <w:r w:rsidRPr="000F2527">
        <w:t xml:space="preserve">of </w:t>
      </w:r>
      <w:proofErr w:type="spellStart"/>
      <w:r w:rsidRPr="000F2527">
        <w:t>olaparib</w:t>
      </w:r>
      <w:proofErr w:type="spellEnd"/>
      <w:r w:rsidRPr="000F2527">
        <w:t xml:space="preserve"> in </w:t>
      </w:r>
      <w:proofErr w:type="spellStart"/>
      <w:r w:rsidRPr="000F2527">
        <w:t>mCRPC</w:t>
      </w:r>
      <w:proofErr w:type="spellEnd"/>
      <w:r w:rsidRPr="000F2527">
        <w:t xml:space="preserve"> patients with </w:t>
      </w:r>
      <w:r w:rsidRPr="00C90C95">
        <w:rPr>
          <w:i/>
        </w:rPr>
        <w:t>BRCA1/2</w:t>
      </w:r>
      <w:r w:rsidRPr="000F2527">
        <w:t xml:space="preserve"> pathogenic variants, </w:t>
      </w:r>
      <w:r w:rsidR="003F728B">
        <w:t>as</w:t>
      </w:r>
      <w:r w:rsidRPr="000F2527">
        <w:t>:</w:t>
      </w:r>
    </w:p>
    <w:p w:rsidR="00C31220" w:rsidRPr="00AA6D4A" w:rsidRDefault="001F6EB3" w:rsidP="002A2035">
      <w:pPr>
        <w:pStyle w:val="ListParagraph"/>
        <w:numPr>
          <w:ilvl w:val="0"/>
          <w:numId w:val="17"/>
        </w:numPr>
        <w:spacing w:after="120"/>
        <w:ind w:left="993" w:hanging="284"/>
      </w:pPr>
      <w:r w:rsidRPr="000F2527">
        <w:rPr>
          <w:iCs/>
        </w:rPr>
        <w:t xml:space="preserve">The comparator </w:t>
      </w:r>
      <w:r w:rsidR="0075523D">
        <w:rPr>
          <w:iCs/>
        </w:rPr>
        <w:t xml:space="preserve">(NHAs) </w:t>
      </w:r>
      <w:r w:rsidRPr="000F2527">
        <w:rPr>
          <w:iCs/>
        </w:rPr>
        <w:t xml:space="preserve">in the model was </w:t>
      </w:r>
      <w:r w:rsidR="0075523D" w:rsidRPr="00AA6D4A">
        <w:rPr>
          <w:iCs/>
        </w:rPr>
        <w:t>inconsistent with their PBS restrictions</w:t>
      </w:r>
      <w:r w:rsidR="00DA6097" w:rsidRPr="00AA6D4A">
        <w:rPr>
          <w:iCs/>
        </w:rPr>
        <w:t>.</w:t>
      </w:r>
      <w:r w:rsidR="00492E64" w:rsidRPr="00AA6D4A">
        <w:rPr>
          <w:iCs/>
        </w:rPr>
        <w:t xml:space="preserve"> Sensitivity analyses in which the costs associated with NHA treatment in the comparator arm were removed are presented below.</w:t>
      </w:r>
    </w:p>
    <w:p w:rsidR="00FE5A69" w:rsidRPr="00C656DC" w:rsidRDefault="00FE5A69" w:rsidP="000F4D7C">
      <w:pPr>
        <w:pStyle w:val="ListParagraph"/>
        <w:numPr>
          <w:ilvl w:val="0"/>
          <w:numId w:val="17"/>
        </w:numPr>
        <w:spacing w:after="120"/>
        <w:ind w:left="993" w:hanging="284"/>
        <w:rPr>
          <w:iCs/>
        </w:rPr>
      </w:pPr>
      <w:r w:rsidRPr="000F2527">
        <w:rPr>
          <w:iCs/>
        </w:rPr>
        <w:t xml:space="preserve">For OS, </w:t>
      </w:r>
      <w:r w:rsidRPr="000F2527">
        <w:rPr>
          <w:iCs/>
          <w:color w:val="auto"/>
        </w:rPr>
        <w:t>the model w</w:t>
      </w:r>
      <w:r w:rsidR="002B144A">
        <w:rPr>
          <w:iCs/>
          <w:color w:val="auto"/>
        </w:rPr>
        <w:t xml:space="preserve">as </w:t>
      </w:r>
      <w:r w:rsidRPr="000F2527">
        <w:rPr>
          <w:iCs/>
          <w:color w:val="auto"/>
        </w:rPr>
        <w:t xml:space="preserve">based on the </w:t>
      </w:r>
      <w:r w:rsidRPr="00C90C95">
        <w:rPr>
          <w:i/>
          <w:iCs/>
          <w:color w:val="auto"/>
        </w:rPr>
        <w:t>BRCA1/2</w:t>
      </w:r>
      <w:r w:rsidRPr="000F2527">
        <w:rPr>
          <w:iCs/>
          <w:color w:val="auto"/>
        </w:rPr>
        <w:t xml:space="preserve"> subgroup of </w:t>
      </w:r>
      <w:proofErr w:type="spellStart"/>
      <w:r w:rsidRPr="000F2527">
        <w:rPr>
          <w:iCs/>
          <w:color w:val="auto"/>
        </w:rPr>
        <w:t>PROfound</w:t>
      </w:r>
      <w:proofErr w:type="spellEnd"/>
      <w:r w:rsidRPr="000F2527">
        <w:rPr>
          <w:iCs/>
          <w:color w:val="auto"/>
        </w:rPr>
        <w:t>, adjusted for treatment switching.</w:t>
      </w:r>
      <w:r w:rsidR="00D6660D">
        <w:rPr>
          <w:iCs/>
        </w:rPr>
        <w:t xml:space="preserve"> </w:t>
      </w:r>
      <w:r w:rsidR="00D6660D">
        <w:rPr>
          <w:iCs/>
          <w:color w:val="auto"/>
        </w:rPr>
        <w:t>T</w:t>
      </w:r>
      <w:r w:rsidR="006D406D" w:rsidRPr="000F2527">
        <w:rPr>
          <w:iCs/>
          <w:color w:val="auto"/>
        </w:rPr>
        <w:t xml:space="preserve">he use of RPSFTM </w:t>
      </w:r>
      <w:r w:rsidR="00E9424C" w:rsidRPr="00AA6D4A">
        <w:rPr>
          <w:iCs/>
          <w:color w:val="auto"/>
        </w:rPr>
        <w:t xml:space="preserve">and application of </w:t>
      </w:r>
      <w:proofErr w:type="spellStart"/>
      <w:r w:rsidR="00E9424C" w:rsidRPr="00AA6D4A">
        <w:rPr>
          <w:iCs/>
          <w:color w:val="auto"/>
        </w:rPr>
        <w:t>recensoring</w:t>
      </w:r>
      <w:proofErr w:type="spellEnd"/>
      <w:r w:rsidR="00E9424C">
        <w:rPr>
          <w:iCs/>
          <w:color w:val="auto"/>
        </w:rPr>
        <w:t xml:space="preserve"> </w:t>
      </w:r>
      <w:r w:rsidR="006D406D" w:rsidRPr="000F2527">
        <w:rPr>
          <w:iCs/>
          <w:color w:val="auto"/>
        </w:rPr>
        <w:t xml:space="preserve">to adjust for treatment switching </w:t>
      </w:r>
      <w:r w:rsidR="00C90C95">
        <w:rPr>
          <w:iCs/>
          <w:color w:val="auto"/>
        </w:rPr>
        <w:t xml:space="preserve">may not have been </w:t>
      </w:r>
      <w:r w:rsidR="006D406D" w:rsidRPr="000F2527">
        <w:rPr>
          <w:iCs/>
          <w:color w:val="auto"/>
        </w:rPr>
        <w:t>appropriate.</w:t>
      </w:r>
      <w:r w:rsidRPr="000F2527">
        <w:rPr>
          <w:iCs/>
        </w:rPr>
        <w:t xml:space="preserve"> The change in point </w:t>
      </w:r>
      <w:r w:rsidRPr="000F2527">
        <w:rPr>
          <w:iCs/>
        </w:rPr>
        <w:lastRenderedPageBreak/>
        <w:t xml:space="preserve">estimate with adjustment for switching (HR changed from 0.63 to </w:t>
      </w:r>
      <w:r w:rsidR="00E60C03">
        <w:rPr>
          <w:iCs/>
          <w:noProof/>
          <w:color w:val="000000"/>
          <w:highlight w:val="black"/>
        </w:rPr>
        <w:t>''''''''</w:t>
      </w:r>
      <w:r w:rsidR="00014FF5">
        <w:rPr>
          <w:rStyle w:val="FootnoteReference"/>
          <w:iCs/>
        </w:rPr>
        <w:footnoteReference w:id="9"/>
      </w:r>
      <w:r w:rsidR="00BC40BD">
        <w:rPr>
          <w:iCs/>
          <w:noProof/>
          <w:color w:val="000000"/>
        </w:rPr>
        <w:t>)</w:t>
      </w:r>
      <w:r w:rsidRPr="000F2527">
        <w:rPr>
          <w:iCs/>
        </w:rPr>
        <w:t xml:space="preserve"> was considerable.</w:t>
      </w:r>
      <w:r w:rsidR="00CB3850" w:rsidRPr="000F2527">
        <w:rPr>
          <w:iCs/>
        </w:rPr>
        <w:t xml:space="preserve"> Sensitivity analysis showed the model was sensitive to use</w:t>
      </w:r>
      <w:r w:rsidR="00963319" w:rsidRPr="000F2527">
        <w:rPr>
          <w:iCs/>
        </w:rPr>
        <w:t xml:space="preserve"> </w:t>
      </w:r>
      <w:r w:rsidR="00CB3850" w:rsidRPr="000F2527">
        <w:rPr>
          <w:iCs/>
        </w:rPr>
        <w:t>of adjustment for treatment switching,</w:t>
      </w:r>
      <w:r w:rsidR="00AF23EA">
        <w:rPr>
          <w:iCs/>
        </w:rPr>
        <w:t xml:space="preserve"> </w:t>
      </w:r>
      <w:r w:rsidR="00CB3850" w:rsidRPr="009562AC">
        <w:rPr>
          <w:iCs/>
        </w:rPr>
        <w:t xml:space="preserve">with the ICER increasing from </w:t>
      </w:r>
      <w:r w:rsidR="00AF23EA" w:rsidRPr="009562AC">
        <w:rPr>
          <w:iCs/>
        </w:rPr>
        <w:t>$45,000 to &lt; $55,000</w:t>
      </w:r>
      <w:r w:rsidR="00CB3850" w:rsidRPr="009562AC">
        <w:rPr>
          <w:iCs/>
        </w:rPr>
        <w:t xml:space="preserve">/QALY to </w:t>
      </w:r>
      <w:r w:rsidR="00AF23EA" w:rsidRPr="00AF23EA">
        <w:rPr>
          <w:iCs/>
        </w:rPr>
        <w:t>$135,000 to &lt; $155,000</w:t>
      </w:r>
      <w:r w:rsidR="00CB3850" w:rsidRPr="009562AC">
        <w:rPr>
          <w:iCs/>
        </w:rPr>
        <w:t>/QALY when unadjusted OS data was used.</w:t>
      </w:r>
      <w:r w:rsidR="00255C62" w:rsidRPr="009562AC">
        <w:rPr>
          <w:iCs/>
        </w:rPr>
        <w:t xml:space="preserve"> The ESCs advised that the use of RPSFTM without </w:t>
      </w:r>
      <w:proofErr w:type="spellStart"/>
      <w:r w:rsidR="00255C62" w:rsidRPr="009562AC">
        <w:rPr>
          <w:iCs/>
        </w:rPr>
        <w:t>recensoring</w:t>
      </w:r>
      <w:proofErr w:type="spellEnd"/>
      <w:r w:rsidR="00255C62" w:rsidRPr="009562AC">
        <w:rPr>
          <w:iCs/>
        </w:rPr>
        <w:t xml:space="preserve"> may be preferable.</w:t>
      </w:r>
    </w:p>
    <w:p w:rsidR="006D406D" w:rsidRPr="000F2527" w:rsidRDefault="00CB3850" w:rsidP="002A2035">
      <w:pPr>
        <w:pStyle w:val="ListParagraph"/>
        <w:numPr>
          <w:ilvl w:val="0"/>
          <w:numId w:val="17"/>
        </w:numPr>
        <w:spacing w:after="120"/>
        <w:ind w:left="993" w:hanging="284"/>
      </w:pPr>
      <w:r w:rsidRPr="000F2527">
        <w:rPr>
          <w:iCs/>
        </w:rPr>
        <w:t xml:space="preserve">Costs applied in the model were not likely to be accurate. </w:t>
      </w:r>
      <w:r w:rsidRPr="000F2527">
        <w:rPr>
          <w:iCs/>
          <w:color w:val="auto"/>
        </w:rPr>
        <w:t xml:space="preserve">Testing costs were inappropriately applied to 67% of patients in the NHA arm to account for patients who switched to </w:t>
      </w:r>
      <w:proofErr w:type="spellStart"/>
      <w:r w:rsidRPr="000F2527">
        <w:rPr>
          <w:iCs/>
          <w:color w:val="auto"/>
        </w:rPr>
        <w:t>olaparib</w:t>
      </w:r>
      <w:proofErr w:type="spellEnd"/>
      <w:r w:rsidRPr="000F2527">
        <w:rPr>
          <w:iCs/>
          <w:color w:val="auto"/>
        </w:rPr>
        <w:t xml:space="preserve"> treatment in the </w:t>
      </w:r>
      <w:proofErr w:type="spellStart"/>
      <w:proofErr w:type="gramStart"/>
      <w:r w:rsidRPr="000F2527">
        <w:rPr>
          <w:iCs/>
          <w:color w:val="auto"/>
        </w:rPr>
        <w:t>PROfound</w:t>
      </w:r>
      <w:proofErr w:type="spellEnd"/>
      <w:proofErr w:type="gramEnd"/>
      <w:r w:rsidRPr="000F2527">
        <w:rPr>
          <w:iCs/>
          <w:color w:val="auto"/>
        </w:rPr>
        <w:t xml:space="preserve"> trial</w:t>
      </w:r>
      <w:r w:rsidR="006D406D" w:rsidRPr="000F2527">
        <w:rPr>
          <w:iCs/>
          <w:color w:val="auto"/>
        </w:rPr>
        <w:t xml:space="preserve">. </w:t>
      </w:r>
      <w:r w:rsidR="006D406D" w:rsidRPr="000F2527">
        <w:rPr>
          <w:iCs/>
        </w:rPr>
        <w:t xml:space="preserve">In addition, the submission did not </w:t>
      </w:r>
      <w:r w:rsidR="00260CD7" w:rsidRPr="000F2527">
        <w:rPr>
          <w:iCs/>
        </w:rPr>
        <w:t xml:space="preserve">consider </w:t>
      </w:r>
      <w:r w:rsidR="006D406D" w:rsidRPr="000F2527">
        <w:rPr>
          <w:iCs/>
        </w:rPr>
        <w:t xml:space="preserve">germline testing in patients with a positive </w:t>
      </w:r>
      <w:r w:rsidR="006D406D" w:rsidRPr="00C90C95">
        <w:rPr>
          <w:i/>
          <w:iCs/>
        </w:rPr>
        <w:t>BRCA1/2</w:t>
      </w:r>
      <w:r w:rsidR="006D406D" w:rsidRPr="000F2527">
        <w:rPr>
          <w:iCs/>
        </w:rPr>
        <w:t xml:space="preserve"> somatic test, or cascade testing of family members</w:t>
      </w:r>
      <w:r w:rsidR="00596453" w:rsidRPr="000F2527">
        <w:rPr>
          <w:iCs/>
        </w:rPr>
        <w:t>.</w:t>
      </w:r>
    </w:p>
    <w:p w:rsidR="00CB3850" w:rsidRPr="000F2527" w:rsidRDefault="00106A29" w:rsidP="002A2035">
      <w:pPr>
        <w:pStyle w:val="ListParagraph"/>
        <w:numPr>
          <w:ilvl w:val="0"/>
          <w:numId w:val="17"/>
        </w:numPr>
        <w:spacing w:after="120"/>
        <w:ind w:left="993" w:hanging="284"/>
      </w:pPr>
      <w:r w:rsidRPr="000F2527">
        <w:rPr>
          <w:iCs/>
          <w:color w:val="auto"/>
        </w:rPr>
        <w:t xml:space="preserve">While the utility values were trial-based, they appeared high for </w:t>
      </w:r>
      <w:proofErr w:type="spellStart"/>
      <w:r w:rsidRPr="000F2527">
        <w:rPr>
          <w:iCs/>
          <w:color w:val="auto"/>
        </w:rPr>
        <w:t>mCRPC</w:t>
      </w:r>
      <w:proofErr w:type="spellEnd"/>
      <w:r w:rsidRPr="000F2527">
        <w:rPr>
          <w:iCs/>
          <w:color w:val="auto"/>
        </w:rPr>
        <w:t xml:space="preserve"> patients (0.7532 for progression-free survival and 0.7034 for progressed disease). </w:t>
      </w:r>
      <w:r w:rsidR="009F65B8">
        <w:rPr>
          <w:iCs/>
          <w:color w:val="auto"/>
        </w:rPr>
        <w:t>A</w:t>
      </w:r>
      <w:r w:rsidRPr="000F2527">
        <w:rPr>
          <w:iCs/>
          <w:color w:val="auto"/>
        </w:rPr>
        <w:t xml:space="preserve"> ‘time to death’ disutility was applied</w:t>
      </w:r>
      <w:r w:rsidR="00895700" w:rsidRPr="000F2527">
        <w:rPr>
          <w:iCs/>
          <w:color w:val="auto"/>
        </w:rPr>
        <w:t xml:space="preserve"> (for death within 1 year, value depended on proximity to death) although the ICER was not sensitive to this variable, its use </w:t>
      </w:r>
      <w:r w:rsidRPr="000F2527">
        <w:rPr>
          <w:iCs/>
          <w:color w:val="auto"/>
        </w:rPr>
        <w:t>was not explained or justified by the submission</w:t>
      </w:r>
      <w:r w:rsidR="00D00997" w:rsidRPr="000F2527">
        <w:rPr>
          <w:iCs/>
          <w:color w:val="auto"/>
        </w:rPr>
        <w:t>.</w:t>
      </w:r>
    </w:p>
    <w:p w:rsidR="001F6EB3" w:rsidRPr="009562AC" w:rsidRDefault="00D00997">
      <w:pPr>
        <w:pStyle w:val="ListParagraph"/>
        <w:numPr>
          <w:ilvl w:val="0"/>
          <w:numId w:val="17"/>
        </w:numPr>
        <w:spacing w:after="120"/>
        <w:ind w:left="993" w:hanging="284"/>
        <w:rPr>
          <w:iCs/>
        </w:rPr>
      </w:pPr>
      <w:r w:rsidRPr="000F2527">
        <w:rPr>
          <w:iCs/>
          <w:color w:val="auto"/>
        </w:rPr>
        <w:t xml:space="preserve">The model applied an exponential distribution to time on treatment from </w:t>
      </w:r>
      <w:proofErr w:type="spellStart"/>
      <w:r w:rsidRPr="000F2527">
        <w:rPr>
          <w:iCs/>
          <w:color w:val="auto"/>
        </w:rPr>
        <w:t>PROfound</w:t>
      </w:r>
      <w:proofErr w:type="spellEnd"/>
      <w:r w:rsidRPr="000F2527">
        <w:rPr>
          <w:iCs/>
          <w:color w:val="auto"/>
        </w:rPr>
        <w:t>. The time on treatment extrapolat</w:t>
      </w:r>
      <w:r w:rsidR="00C90C95">
        <w:rPr>
          <w:iCs/>
          <w:color w:val="auto"/>
        </w:rPr>
        <w:t>ions</w:t>
      </w:r>
      <w:r w:rsidRPr="000F2527">
        <w:rPr>
          <w:iCs/>
          <w:color w:val="auto"/>
        </w:rPr>
        <w:t xml:space="preserve"> w</w:t>
      </w:r>
      <w:r w:rsidR="00C90C95">
        <w:rPr>
          <w:iCs/>
          <w:color w:val="auto"/>
        </w:rPr>
        <w:t xml:space="preserve">ere based on </w:t>
      </w:r>
      <w:r w:rsidRPr="000F2527">
        <w:rPr>
          <w:iCs/>
          <w:color w:val="auto"/>
        </w:rPr>
        <w:t>the combined Cohort A and Cohort B populations, which were not representative of the model population</w:t>
      </w:r>
      <w:r w:rsidR="00E9424C">
        <w:rPr>
          <w:iCs/>
          <w:color w:val="auto"/>
        </w:rPr>
        <w:t xml:space="preserve"> (</w:t>
      </w:r>
      <w:r w:rsidRPr="000F2527">
        <w:rPr>
          <w:iCs/>
          <w:color w:val="auto"/>
        </w:rPr>
        <w:t xml:space="preserve">patients with </w:t>
      </w:r>
      <w:r w:rsidRPr="00C90C95">
        <w:rPr>
          <w:i/>
          <w:iCs/>
          <w:color w:val="auto"/>
        </w:rPr>
        <w:t>BRCA1/2</w:t>
      </w:r>
      <w:r w:rsidRPr="000F2527">
        <w:rPr>
          <w:iCs/>
          <w:color w:val="auto"/>
        </w:rPr>
        <w:t xml:space="preserve"> pathogenic gene variants</w:t>
      </w:r>
      <w:r w:rsidR="00E9424C">
        <w:rPr>
          <w:iCs/>
          <w:color w:val="auto"/>
        </w:rPr>
        <w:t>)</w:t>
      </w:r>
      <w:r w:rsidRPr="000F2527">
        <w:rPr>
          <w:iCs/>
          <w:color w:val="auto"/>
        </w:rPr>
        <w:t xml:space="preserve">. Further, the submission’s extrapolation of time on treatment, which </w:t>
      </w:r>
      <w:r w:rsidR="00634480" w:rsidRPr="000F2527">
        <w:rPr>
          <w:iCs/>
          <w:color w:val="auto"/>
        </w:rPr>
        <w:t>used an exponential distribution</w:t>
      </w:r>
      <w:r w:rsidRPr="000F2527">
        <w:rPr>
          <w:iCs/>
          <w:color w:val="auto"/>
        </w:rPr>
        <w:t xml:space="preserve">, resulted in patients being available for treatment for longer than they were predicted to be alive by the model (2.7 years longer for </w:t>
      </w:r>
      <w:proofErr w:type="spellStart"/>
      <w:r w:rsidRPr="000F2527">
        <w:rPr>
          <w:iCs/>
          <w:color w:val="auto"/>
        </w:rPr>
        <w:t>olaparib</w:t>
      </w:r>
      <w:proofErr w:type="spellEnd"/>
      <w:r w:rsidRPr="000F2527">
        <w:rPr>
          <w:iCs/>
          <w:color w:val="auto"/>
        </w:rPr>
        <w:t>-treated patients and 2.6 years longer for NHA-treated patients). While treatment costs were not applied once patients were no longer alive, the extrapolation used did not seem to accurately estimate treatment duration.</w:t>
      </w:r>
      <w:r w:rsidR="00634480" w:rsidRPr="000F2527">
        <w:rPr>
          <w:iCs/>
          <w:color w:val="auto"/>
        </w:rPr>
        <w:t xml:space="preserve"> Further, the time on treatment </w:t>
      </w:r>
      <w:r w:rsidR="00C90C95">
        <w:rPr>
          <w:iCs/>
          <w:color w:val="auto"/>
        </w:rPr>
        <w:t>extrapolations were</w:t>
      </w:r>
      <w:r w:rsidR="00634480" w:rsidRPr="000F2527">
        <w:rPr>
          <w:iCs/>
          <w:color w:val="auto"/>
        </w:rPr>
        <w:t xml:space="preserve"> based on the June 2019 data cut </w:t>
      </w:r>
      <w:r w:rsidR="00C90C95">
        <w:rPr>
          <w:iCs/>
          <w:color w:val="auto"/>
        </w:rPr>
        <w:t>of</w:t>
      </w:r>
      <w:r w:rsidR="00C90C95" w:rsidRPr="000F2527">
        <w:rPr>
          <w:iCs/>
          <w:color w:val="auto"/>
        </w:rPr>
        <w:t xml:space="preserve"> </w:t>
      </w:r>
      <w:proofErr w:type="spellStart"/>
      <w:r w:rsidR="00634480" w:rsidRPr="000F2527">
        <w:rPr>
          <w:iCs/>
          <w:color w:val="auto"/>
        </w:rPr>
        <w:t>PROfound</w:t>
      </w:r>
      <w:proofErr w:type="spellEnd"/>
      <w:r w:rsidR="00C90C95">
        <w:rPr>
          <w:iCs/>
          <w:color w:val="auto"/>
        </w:rPr>
        <w:t>;</w:t>
      </w:r>
      <w:r w:rsidR="00634480" w:rsidRPr="000F2527">
        <w:rPr>
          <w:iCs/>
          <w:color w:val="auto"/>
        </w:rPr>
        <w:t xml:space="preserve"> </w:t>
      </w:r>
      <w:r w:rsidR="00C90C95">
        <w:rPr>
          <w:iCs/>
          <w:color w:val="auto"/>
        </w:rPr>
        <w:t>whereas,</w:t>
      </w:r>
      <w:r w:rsidR="00C90C95" w:rsidRPr="000F2527">
        <w:rPr>
          <w:iCs/>
          <w:color w:val="auto"/>
        </w:rPr>
        <w:t xml:space="preserve"> </w:t>
      </w:r>
      <w:r w:rsidR="00634480" w:rsidRPr="000F2527">
        <w:rPr>
          <w:iCs/>
          <w:color w:val="auto"/>
        </w:rPr>
        <w:t xml:space="preserve">the OS </w:t>
      </w:r>
      <w:r w:rsidR="00C90C95">
        <w:rPr>
          <w:iCs/>
          <w:color w:val="auto"/>
        </w:rPr>
        <w:t>extrapolations</w:t>
      </w:r>
      <w:r w:rsidR="00634480" w:rsidRPr="000F2527">
        <w:rPr>
          <w:iCs/>
          <w:color w:val="auto"/>
        </w:rPr>
        <w:t xml:space="preserve"> were based on the March 2020 data cut. </w:t>
      </w:r>
      <w:r w:rsidR="00E72C54">
        <w:rPr>
          <w:iCs/>
          <w:color w:val="auto"/>
        </w:rPr>
        <w:t>The pre-PBAC response noted that the sensitivity analysis in which patients were assumed to be treated until disease progression in both arms, which would overestimate the duration of treatment as many patients cease treatment prior to progression or experience dose interruptions</w:t>
      </w:r>
      <w:r w:rsidR="00E86A65">
        <w:rPr>
          <w:iCs/>
          <w:color w:val="auto"/>
        </w:rPr>
        <w:t>,</w:t>
      </w:r>
      <w:r w:rsidR="003E0CEF">
        <w:rPr>
          <w:iCs/>
          <w:color w:val="auto"/>
        </w:rPr>
        <w:t xml:space="preserve"> </w:t>
      </w:r>
      <w:r w:rsidR="00E72C54">
        <w:rPr>
          <w:iCs/>
          <w:color w:val="auto"/>
        </w:rPr>
        <w:t>increas</w:t>
      </w:r>
      <w:r w:rsidR="003E0CEF">
        <w:rPr>
          <w:iCs/>
          <w:color w:val="auto"/>
        </w:rPr>
        <w:t xml:space="preserve">ed the ICER to </w:t>
      </w:r>
      <w:r w:rsidR="00AF23EA" w:rsidRPr="00AF23EA">
        <w:rPr>
          <w:iCs/>
        </w:rPr>
        <w:t>$55,000 to &lt; $75,000</w:t>
      </w:r>
      <w:r w:rsidR="00E72C54" w:rsidRPr="000F4D7C">
        <w:rPr>
          <w:iCs/>
          <w:color w:val="auto"/>
        </w:rPr>
        <w:t>/QALY.</w:t>
      </w:r>
    </w:p>
    <w:p w:rsidR="00C31220" w:rsidRPr="0066583B" w:rsidRDefault="00C31220" w:rsidP="00C31220">
      <w:pPr>
        <w:pStyle w:val="ListParagraph"/>
        <w:rPr>
          <w:color w:val="auto"/>
        </w:rPr>
      </w:pPr>
      <w:r w:rsidRPr="000F2527">
        <w:rPr>
          <w:iCs/>
        </w:rPr>
        <w:t xml:space="preserve">Consideration of various </w:t>
      </w:r>
      <w:r w:rsidRPr="003F728B">
        <w:rPr>
          <w:i/>
          <w:iCs/>
        </w:rPr>
        <w:t>BRCA1/2</w:t>
      </w:r>
      <w:r w:rsidRPr="000F2527">
        <w:rPr>
          <w:iCs/>
        </w:rPr>
        <w:t xml:space="preserve"> and </w:t>
      </w:r>
      <w:proofErr w:type="spellStart"/>
      <w:r w:rsidRPr="000F2527">
        <w:rPr>
          <w:iCs/>
        </w:rPr>
        <w:t>olaparib</w:t>
      </w:r>
      <w:proofErr w:type="spellEnd"/>
      <w:r w:rsidR="0030276F" w:rsidRPr="000F2527">
        <w:rPr>
          <w:iCs/>
        </w:rPr>
        <w:t xml:space="preserve"> </w:t>
      </w:r>
      <w:r w:rsidRPr="000F2527">
        <w:rPr>
          <w:iCs/>
        </w:rPr>
        <w:t xml:space="preserve">funding scenarios (test funded by MBS and treatment funded by PBS, respectively) was not possible given the submission did not provide a test and treatment model, and </w:t>
      </w:r>
      <w:r w:rsidR="003F728B">
        <w:rPr>
          <w:iCs/>
        </w:rPr>
        <w:t xml:space="preserve">as </w:t>
      </w:r>
      <w:r w:rsidRPr="000F2527">
        <w:rPr>
          <w:iCs/>
        </w:rPr>
        <w:t xml:space="preserve">the model assumed all patients had a </w:t>
      </w:r>
      <w:r w:rsidRPr="003F728B">
        <w:rPr>
          <w:i/>
          <w:iCs/>
        </w:rPr>
        <w:t>BRCA1/2</w:t>
      </w:r>
      <w:r w:rsidRPr="000F2527">
        <w:rPr>
          <w:iCs/>
        </w:rPr>
        <w:t xml:space="preserve"> pathogenic gene variant.</w:t>
      </w:r>
    </w:p>
    <w:p w:rsidR="0066583B" w:rsidRPr="00BE056E" w:rsidRDefault="00D6660D" w:rsidP="005B0E64">
      <w:pPr>
        <w:pStyle w:val="TableFigureHeading"/>
        <w:keepLines/>
      </w:pPr>
      <w:bookmarkStart w:id="36" w:name="_Ref57913623"/>
      <w:r w:rsidRPr="00BE056E">
        <w:lastRenderedPageBreak/>
        <w:t xml:space="preserve">Table </w:t>
      </w:r>
      <w:r w:rsidR="00CD4B9C">
        <w:rPr>
          <w:noProof/>
        </w:rPr>
        <w:t>14</w:t>
      </w:r>
      <w:r w:rsidR="00E76B35">
        <w:rPr>
          <w:noProof/>
        </w:rPr>
        <w:t>:</w:t>
      </w:r>
      <w:r w:rsidR="00E76B35">
        <w:rPr>
          <w:noProof/>
        </w:rPr>
        <w:tab/>
      </w:r>
      <w:r w:rsidRPr="00BE056E">
        <w:t>Results of sensitivity analyses</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79"/>
        <w:gridCol w:w="1260"/>
        <w:gridCol w:w="1401"/>
        <w:gridCol w:w="1241"/>
        <w:gridCol w:w="1235"/>
      </w:tblGrid>
      <w:tr w:rsidR="0066583B" w:rsidRPr="00BE056E" w:rsidTr="0088177D">
        <w:trPr>
          <w:cantSplit/>
          <w:tblHeader/>
        </w:trPr>
        <w:tc>
          <w:tcPr>
            <w:tcW w:w="2151" w:type="pct"/>
            <w:vAlign w:val="center"/>
          </w:tcPr>
          <w:p w:rsidR="0066583B" w:rsidRPr="00AA6D4A" w:rsidRDefault="0066583B" w:rsidP="005B0E64">
            <w:pPr>
              <w:keepNext/>
              <w:keepLines/>
              <w:tabs>
                <w:tab w:val="left" w:pos="102"/>
              </w:tabs>
              <w:spacing w:before="0" w:after="0"/>
              <w:rPr>
                <w:rFonts w:ascii="Arial Narrow" w:hAnsi="Arial Narrow"/>
                <w:b/>
                <w:bCs/>
                <w:sz w:val="20"/>
                <w:szCs w:val="20"/>
              </w:rPr>
            </w:pPr>
            <w:r w:rsidRPr="00AA6D4A">
              <w:rPr>
                <w:rFonts w:ascii="Arial Narrow" w:hAnsi="Arial Narrow"/>
                <w:b/>
                <w:bCs/>
                <w:sz w:val="20"/>
                <w:szCs w:val="20"/>
              </w:rPr>
              <w:t>Analyses</w:t>
            </w:r>
          </w:p>
        </w:tc>
        <w:tc>
          <w:tcPr>
            <w:tcW w:w="699" w:type="pct"/>
            <w:vAlign w:val="center"/>
          </w:tcPr>
          <w:p w:rsidR="0066583B" w:rsidRPr="00AA6D4A" w:rsidRDefault="0066583B" w:rsidP="005B0E64">
            <w:pPr>
              <w:keepNext/>
              <w:keepLines/>
              <w:spacing w:before="0" w:after="0"/>
              <w:jc w:val="center"/>
              <w:rPr>
                <w:rFonts w:ascii="Arial Narrow" w:hAnsi="Arial Narrow"/>
                <w:b/>
                <w:bCs/>
                <w:sz w:val="20"/>
                <w:szCs w:val="20"/>
              </w:rPr>
            </w:pPr>
            <w:r w:rsidRPr="00AA6D4A">
              <w:rPr>
                <w:rFonts w:ascii="Arial Narrow" w:hAnsi="Arial Narrow"/>
                <w:b/>
                <w:bCs/>
                <w:sz w:val="20"/>
                <w:szCs w:val="20"/>
              </w:rPr>
              <w:t>Incremental cost</w:t>
            </w:r>
          </w:p>
        </w:tc>
        <w:tc>
          <w:tcPr>
            <w:tcW w:w="777" w:type="pct"/>
            <w:vAlign w:val="center"/>
          </w:tcPr>
          <w:p w:rsidR="0066583B" w:rsidRPr="00AA6D4A" w:rsidRDefault="0066583B" w:rsidP="005B0E64">
            <w:pPr>
              <w:keepNext/>
              <w:keepLines/>
              <w:spacing w:before="0" w:after="0"/>
              <w:jc w:val="center"/>
              <w:rPr>
                <w:rFonts w:ascii="Arial Narrow" w:hAnsi="Arial Narrow"/>
                <w:b/>
                <w:bCs/>
                <w:sz w:val="20"/>
                <w:szCs w:val="20"/>
              </w:rPr>
            </w:pPr>
            <w:r w:rsidRPr="00AA6D4A">
              <w:rPr>
                <w:rFonts w:ascii="Arial Narrow" w:hAnsi="Arial Narrow"/>
                <w:b/>
                <w:bCs/>
                <w:sz w:val="20"/>
                <w:szCs w:val="20"/>
              </w:rPr>
              <w:t>Incremental QALY</w:t>
            </w:r>
          </w:p>
        </w:tc>
        <w:tc>
          <w:tcPr>
            <w:tcW w:w="688" w:type="pct"/>
            <w:vAlign w:val="center"/>
          </w:tcPr>
          <w:p w:rsidR="0066583B" w:rsidRPr="00AA6D4A" w:rsidRDefault="0066583B" w:rsidP="005B0E64">
            <w:pPr>
              <w:keepNext/>
              <w:keepLines/>
              <w:spacing w:before="0" w:after="0"/>
              <w:jc w:val="center"/>
              <w:rPr>
                <w:rFonts w:ascii="Arial Narrow" w:hAnsi="Arial Narrow"/>
                <w:b/>
                <w:bCs/>
                <w:sz w:val="20"/>
                <w:szCs w:val="20"/>
              </w:rPr>
            </w:pPr>
            <w:r w:rsidRPr="00AA6D4A">
              <w:rPr>
                <w:rFonts w:ascii="Arial Narrow" w:hAnsi="Arial Narrow"/>
                <w:b/>
                <w:bCs/>
                <w:sz w:val="20"/>
                <w:szCs w:val="20"/>
              </w:rPr>
              <w:t>ICER</w:t>
            </w:r>
          </w:p>
        </w:tc>
        <w:tc>
          <w:tcPr>
            <w:tcW w:w="685" w:type="pct"/>
            <w:vAlign w:val="center"/>
          </w:tcPr>
          <w:p w:rsidR="0066583B" w:rsidRPr="00AA6D4A" w:rsidRDefault="0066583B" w:rsidP="005B0E64">
            <w:pPr>
              <w:keepNext/>
              <w:keepLines/>
              <w:spacing w:before="0" w:after="0"/>
              <w:jc w:val="center"/>
              <w:rPr>
                <w:rFonts w:ascii="Arial Narrow" w:hAnsi="Arial Narrow"/>
                <w:b/>
                <w:bCs/>
                <w:sz w:val="20"/>
                <w:szCs w:val="20"/>
              </w:rPr>
            </w:pPr>
            <w:r w:rsidRPr="00AA6D4A">
              <w:rPr>
                <w:rFonts w:ascii="Arial Narrow" w:hAnsi="Arial Narrow"/>
                <w:b/>
                <w:bCs/>
                <w:sz w:val="20"/>
                <w:szCs w:val="20"/>
              </w:rPr>
              <w:t>% change ICER</w:t>
            </w:r>
          </w:p>
        </w:tc>
      </w:tr>
      <w:tr w:rsidR="0066583B" w:rsidRPr="00BE056E" w:rsidTr="0088177D">
        <w:trPr>
          <w:cantSplit/>
        </w:trPr>
        <w:tc>
          <w:tcPr>
            <w:tcW w:w="2151" w:type="pct"/>
            <w:vAlign w:val="center"/>
          </w:tcPr>
          <w:p w:rsidR="0066583B" w:rsidRPr="00AA6D4A" w:rsidRDefault="0066583B" w:rsidP="005B0E64">
            <w:pPr>
              <w:keepNext/>
              <w:keepLines/>
              <w:tabs>
                <w:tab w:val="left" w:pos="102"/>
              </w:tabs>
              <w:spacing w:before="0" w:after="0"/>
              <w:rPr>
                <w:rFonts w:ascii="Arial Narrow" w:hAnsi="Arial Narrow"/>
                <w:b/>
                <w:bCs/>
                <w:sz w:val="20"/>
                <w:szCs w:val="20"/>
              </w:rPr>
            </w:pPr>
            <w:r w:rsidRPr="00AA6D4A">
              <w:rPr>
                <w:rFonts w:ascii="Arial Narrow" w:hAnsi="Arial Narrow"/>
                <w:b/>
                <w:bCs/>
                <w:sz w:val="20"/>
                <w:szCs w:val="20"/>
              </w:rPr>
              <w:t>Base case</w:t>
            </w:r>
          </w:p>
        </w:tc>
        <w:tc>
          <w:tcPr>
            <w:tcW w:w="699" w:type="pct"/>
            <w:vAlign w:val="center"/>
          </w:tcPr>
          <w:p w:rsidR="0066583B" w:rsidRPr="00AA6D4A" w:rsidRDefault="0066583B" w:rsidP="005B0E64">
            <w:pPr>
              <w:keepNext/>
              <w:keepLines/>
              <w:spacing w:before="0" w:after="0"/>
              <w:jc w:val="center"/>
              <w:rPr>
                <w:rFonts w:ascii="Arial Narrow" w:hAnsi="Arial Narrow"/>
                <w:b/>
                <w:bCs/>
                <w:sz w:val="20"/>
                <w:szCs w:val="20"/>
              </w:rPr>
            </w:pPr>
            <w:r w:rsidRPr="00AA6D4A">
              <w:rPr>
                <w:rFonts w:ascii="Arial Narrow" w:hAnsi="Arial Narrow"/>
                <w:b/>
                <w:bCs/>
                <w:sz w:val="20"/>
                <w:szCs w:val="20"/>
              </w:rPr>
              <w:t>$</w:t>
            </w:r>
            <w:r w:rsidR="000F4D7C">
              <w:rPr>
                <w:rFonts w:ascii="Arial Narrow" w:hAnsi="Arial Narrow"/>
                <w:b/>
                <w:bCs/>
                <w:noProof/>
                <w:color w:val="000000"/>
                <w:sz w:val="20"/>
                <w:szCs w:val="20"/>
                <w:highlight w:val="black"/>
              </w:rPr>
              <w:t>''''''''''''</w:t>
            </w:r>
          </w:p>
        </w:tc>
        <w:tc>
          <w:tcPr>
            <w:tcW w:w="777" w:type="pct"/>
            <w:vAlign w:val="center"/>
          </w:tcPr>
          <w:p w:rsidR="0066583B" w:rsidRPr="00AA6D4A" w:rsidRDefault="0066583B" w:rsidP="005B0E64">
            <w:pPr>
              <w:keepNext/>
              <w:keepLines/>
              <w:spacing w:before="0" w:after="0"/>
              <w:jc w:val="center"/>
              <w:rPr>
                <w:rFonts w:ascii="Arial Narrow" w:hAnsi="Arial Narrow"/>
                <w:b/>
                <w:bCs/>
                <w:sz w:val="20"/>
                <w:szCs w:val="20"/>
              </w:rPr>
            </w:pPr>
            <w:r w:rsidRPr="00AA6D4A">
              <w:rPr>
                <w:rFonts w:ascii="Arial Narrow" w:hAnsi="Arial Narrow"/>
                <w:b/>
                <w:bCs/>
                <w:sz w:val="20"/>
                <w:szCs w:val="20"/>
              </w:rPr>
              <w:t>0.751</w:t>
            </w:r>
          </w:p>
        </w:tc>
        <w:tc>
          <w:tcPr>
            <w:tcW w:w="688" w:type="pct"/>
            <w:vAlign w:val="center"/>
          </w:tcPr>
          <w:p w:rsidR="0066583B" w:rsidRPr="00AA6D4A" w:rsidRDefault="0066583B" w:rsidP="005B0E64">
            <w:pPr>
              <w:keepNext/>
              <w:keepLines/>
              <w:spacing w:before="0" w:after="0"/>
              <w:jc w:val="center"/>
              <w:rPr>
                <w:rFonts w:ascii="Arial Narrow" w:hAnsi="Arial Narrow"/>
                <w:b/>
                <w:bCs/>
                <w:sz w:val="20"/>
                <w:szCs w:val="20"/>
              </w:rPr>
            </w:pPr>
            <w:r w:rsidRPr="00AA6D4A">
              <w:rPr>
                <w:rFonts w:ascii="Arial Narrow" w:hAnsi="Arial Narrow"/>
                <w:b/>
                <w:bCs/>
                <w:sz w:val="20"/>
                <w:szCs w:val="20"/>
              </w:rPr>
              <w:t>$</w:t>
            </w:r>
            <w:r w:rsidR="000F4D7C">
              <w:rPr>
                <w:rFonts w:ascii="Arial Narrow" w:hAnsi="Arial Narrow"/>
                <w:b/>
                <w:bCs/>
                <w:noProof/>
                <w:color w:val="000000"/>
                <w:sz w:val="20"/>
                <w:szCs w:val="20"/>
                <w:highlight w:val="black"/>
              </w:rPr>
              <w:t>''''''''''''''</w:t>
            </w:r>
            <w:r w:rsidR="00F55582">
              <w:rPr>
                <w:rFonts w:ascii="Arial Narrow" w:hAnsi="Arial Narrow"/>
                <w:iCs/>
                <w:sz w:val="20"/>
                <w:szCs w:val="20"/>
                <w:vertAlign w:val="superscript"/>
              </w:rPr>
              <w:t>1</w:t>
            </w:r>
          </w:p>
        </w:tc>
        <w:tc>
          <w:tcPr>
            <w:tcW w:w="685" w:type="pct"/>
            <w:vAlign w:val="center"/>
          </w:tcPr>
          <w:p w:rsidR="0066583B" w:rsidRPr="00AA6D4A" w:rsidRDefault="0066583B" w:rsidP="005B0E64">
            <w:pPr>
              <w:keepNext/>
              <w:keepLines/>
              <w:spacing w:before="0" w:after="0"/>
              <w:jc w:val="center"/>
              <w:rPr>
                <w:rFonts w:ascii="Arial Narrow" w:hAnsi="Arial Narrow"/>
                <w:b/>
                <w:bCs/>
                <w:sz w:val="20"/>
                <w:szCs w:val="20"/>
              </w:rPr>
            </w:pPr>
            <w:r w:rsidRPr="00AA6D4A">
              <w:rPr>
                <w:rFonts w:ascii="Arial Narrow" w:hAnsi="Arial Narrow"/>
                <w:b/>
                <w:bCs/>
                <w:sz w:val="20"/>
                <w:szCs w:val="20"/>
              </w:rPr>
              <w:t>-</w:t>
            </w:r>
          </w:p>
        </w:tc>
      </w:tr>
      <w:tr w:rsidR="0066583B" w:rsidRPr="00721D6C" w:rsidTr="0088177D">
        <w:trPr>
          <w:cantSplit/>
          <w:trHeight w:val="129"/>
        </w:trPr>
        <w:tc>
          <w:tcPr>
            <w:tcW w:w="5000" w:type="pct"/>
            <w:gridSpan w:val="5"/>
            <w:vAlign w:val="center"/>
          </w:tcPr>
          <w:p w:rsidR="0066583B" w:rsidRPr="00AA6D4A" w:rsidRDefault="0066583B" w:rsidP="005B0E64">
            <w:pPr>
              <w:keepNext/>
              <w:keepLines/>
              <w:tabs>
                <w:tab w:val="left" w:pos="102"/>
              </w:tabs>
              <w:spacing w:before="0" w:after="0"/>
              <w:jc w:val="left"/>
              <w:rPr>
                <w:rFonts w:ascii="Arial Narrow" w:hAnsi="Arial Narrow"/>
                <w:iCs/>
                <w:sz w:val="20"/>
                <w:szCs w:val="20"/>
              </w:rPr>
            </w:pPr>
            <w:r w:rsidRPr="00AA6D4A">
              <w:rPr>
                <w:rFonts w:ascii="Arial Narrow" w:hAnsi="Arial Narrow"/>
                <w:iCs/>
                <w:sz w:val="20"/>
                <w:szCs w:val="20"/>
              </w:rPr>
              <w:t xml:space="preserve">OS data (base case: </w:t>
            </w:r>
            <w:r w:rsidRPr="00E76B35">
              <w:rPr>
                <w:rFonts w:ascii="Arial Narrow" w:hAnsi="Arial Narrow"/>
                <w:i/>
                <w:iCs/>
                <w:sz w:val="20"/>
                <w:szCs w:val="20"/>
              </w:rPr>
              <w:t>BRCA1/2</w:t>
            </w:r>
            <w:r w:rsidRPr="00AA6D4A">
              <w:rPr>
                <w:rFonts w:ascii="Arial Narrow" w:hAnsi="Arial Narrow"/>
                <w:iCs/>
                <w:sz w:val="20"/>
                <w:szCs w:val="20"/>
              </w:rPr>
              <w:t xml:space="preserve"> HR</w:t>
            </w:r>
            <w:r w:rsidR="00C20845">
              <w:rPr>
                <w:rFonts w:ascii="Arial Narrow" w:hAnsi="Arial Narrow"/>
                <w:iCs/>
                <w:sz w:val="20"/>
                <w:szCs w:val="20"/>
              </w:rPr>
              <w:t xml:space="preserve"> </w:t>
            </w:r>
            <w:r w:rsidRPr="00AA6D4A">
              <w:rPr>
                <w:rFonts w:ascii="Arial Narrow" w:hAnsi="Arial Narrow"/>
                <w:iCs/>
                <w:sz w:val="20"/>
                <w:szCs w:val="20"/>
              </w:rPr>
              <w:t>=</w:t>
            </w:r>
            <w:r w:rsidR="00C20845">
              <w:rPr>
                <w:rFonts w:ascii="Arial Narrow" w:hAnsi="Arial Narrow"/>
                <w:iCs/>
                <w:sz w:val="20"/>
                <w:szCs w:val="20"/>
              </w:rPr>
              <w:t xml:space="preserve"> </w:t>
            </w:r>
            <w:r w:rsidR="00E60C03">
              <w:rPr>
                <w:rFonts w:ascii="Arial Narrow" w:hAnsi="Arial Narrow"/>
                <w:iCs/>
                <w:noProof/>
                <w:color w:val="000000"/>
                <w:sz w:val="20"/>
                <w:szCs w:val="20"/>
                <w:highlight w:val="black"/>
              </w:rPr>
              <w:t>'''''''''</w:t>
            </w:r>
            <w:r w:rsidR="00014FF5">
              <w:rPr>
                <w:rFonts w:ascii="Arial Narrow" w:hAnsi="Arial Narrow"/>
                <w:iCs/>
                <w:sz w:val="20"/>
                <w:szCs w:val="20"/>
                <w:vertAlign w:val="superscript"/>
              </w:rPr>
              <w:t>a</w:t>
            </w:r>
            <w:r w:rsidRPr="00AA6D4A">
              <w:rPr>
                <w:rFonts w:ascii="Arial Narrow" w:hAnsi="Arial Narrow"/>
                <w:iCs/>
                <w:sz w:val="20"/>
                <w:szCs w:val="20"/>
              </w:rPr>
              <w:t xml:space="preserve"> adjusted for treatment switching)</w:t>
            </w:r>
          </w:p>
        </w:tc>
      </w:tr>
      <w:tr w:rsidR="0066583B" w:rsidRPr="00721D6C" w:rsidTr="0088177D">
        <w:trPr>
          <w:cantSplit/>
          <w:trHeight w:val="129"/>
        </w:trPr>
        <w:tc>
          <w:tcPr>
            <w:tcW w:w="2151" w:type="pct"/>
            <w:vAlign w:val="center"/>
          </w:tcPr>
          <w:p w:rsidR="0066583B" w:rsidRPr="00AA6D4A" w:rsidRDefault="0066583B" w:rsidP="005B0E64">
            <w:pPr>
              <w:keepNext/>
              <w:keepLines/>
              <w:tabs>
                <w:tab w:val="left" w:pos="102"/>
              </w:tabs>
              <w:spacing w:before="0" w:after="0"/>
              <w:rPr>
                <w:rFonts w:ascii="Arial Narrow" w:hAnsi="Arial Narrow"/>
                <w:iCs/>
                <w:sz w:val="20"/>
                <w:szCs w:val="20"/>
              </w:rPr>
            </w:pPr>
            <w:r w:rsidRPr="00AA6D4A">
              <w:rPr>
                <w:rFonts w:ascii="Arial Narrow" w:hAnsi="Arial Narrow"/>
                <w:iCs/>
                <w:sz w:val="20"/>
                <w:szCs w:val="20"/>
              </w:rPr>
              <w:tab/>
              <w:t>Not adjusted for treatment switching (HR</w:t>
            </w:r>
            <w:r w:rsidR="00C20845">
              <w:rPr>
                <w:rFonts w:ascii="Arial Narrow" w:hAnsi="Arial Narrow"/>
                <w:iCs/>
                <w:sz w:val="20"/>
                <w:szCs w:val="20"/>
              </w:rPr>
              <w:t xml:space="preserve"> </w:t>
            </w:r>
            <w:r w:rsidRPr="00AA6D4A">
              <w:rPr>
                <w:rFonts w:ascii="Arial Narrow" w:hAnsi="Arial Narrow"/>
                <w:iCs/>
                <w:sz w:val="20"/>
                <w:szCs w:val="20"/>
              </w:rPr>
              <w:t>=</w:t>
            </w:r>
            <w:r w:rsidR="00C20845">
              <w:rPr>
                <w:rFonts w:ascii="Arial Narrow" w:hAnsi="Arial Narrow"/>
                <w:iCs/>
                <w:sz w:val="20"/>
                <w:szCs w:val="20"/>
              </w:rPr>
              <w:t xml:space="preserve"> </w:t>
            </w:r>
            <w:r w:rsidRPr="00AA6D4A">
              <w:rPr>
                <w:rFonts w:ascii="Arial Narrow" w:hAnsi="Arial Narrow"/>
                <w:iCs/>
                <w:sz w:val="20"/>
                <w:szCs w:val="20"/>
              </w:rPr>
              <w:t>0.63)</w:t>
            </w:r>
          </w:p>
        </w:tc>
        <w:tc>
          <w:tcPr>
            <w:tcW w:w="699" w:type="pct"/>
            <w:vAlign w:val="center"/>
          </w:tcPr>
          <w:p w:rsidR="0066583B" w:rsidRPr="00AA6D4A" w:rsidRDefault="0066583B"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p>
        </w:tc>
        <w:tc>
          <w:tcPr>
            <w:tcW w:w="777" w:type="pct"/>
            <w:vAlign w:val="center"/>
          </w:tcPr>
          <w:p w:rsidR="0066583B" w:rsidRPr="000F4D7C" w:rsidRDefault="0066583B">
            <w:pPr>
              <w:keepNext/>
              <w:keepLines/>
              <w:spacing w:before="0" w:after="0"/>
              <w:jc w:val="center"/>
              <w:rPr>
                <w:rFonts w:ascii="Arial Narrow" w:hAnsi="Arial Narrow"/>
                <w:iCs/>
                <w:sz w:val="20"/>
                <w:szCs w:val="20"/>
                <w:vertAlign w:val="superscript"/>
              </w:rPr>
            </w:pPr>
            <w:r w:rsidRPr="00AA6D4A">
              <w:rPr>
                <w:rFonts w:ascii="Arial Narrow" w:hAnsi="Arial Narrow"/>
                <w:iCs/>
                <w:sz w:val="20"/>
                <w:szCs w:val="20"/>
              </w:rPr>
              <w:t>0.275</w:t>
            </w:r>
          </w:p>
        </w:tc>
        <w:tc>
          <w:tcPr>
            <w:tcW w:w="688" w:type="pct"/>
            <w:vAlign w:val="center"/>
          </w:tcPr>
          <w:p w:rsidR="0066583B" w:rsidRPr="00AA6D4A" w:rsidRDefault="0066583B"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r w:rsidR="00F55582">
              <w:rPr>
                <w:rFonts w:ascii="Arial Narrow" w:hAnsi="Arial Narrow"/>
                <w:iCs/>
                <w:sz w:val="20"/>
                <w:szCs w:val="20"/>
                <w:vertAlign w:val="superscript"/>
              </w:rPr>
              <w:t>2</w:t>
            </w:r>
          </w:p>
        </w:tc>
        <w:tc>
          <w:tcPr>
            <w:tcW w:w="685" w:type="pct"/>
            <w:vAlign w:val="center"/>
          </w:tcPr>
          <w:p w:rsidR="0066583B" w:rsidRPr="00AA6D4A" w:rsidRDefault="0066583B"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+166.3%</w:t>
            </w:r>
          </w:p>
        </w:tc>
      </w:tr>
      <w:tr w:rsidR="00721D6C" w:rsidRPr="00BE056E" w:rsidTr="0088177D">
        <w:trPr>
          <w:cantSplit/>
          <w:trHeight w:val="129"/>
        </w:trPr>
        <w:tc>
          <w:tcPr>
            <w:tcW w:w="5000" w:type="pct"/>
            <w:gridSpan w:val="5"/>
            <w:vAlign w:val="center"/>
          </w:tcPr>
          <w:p w:rsidR="00721D6C" w:rsidRPr="00AA6D4A" w:rsidRDefault="00721D6C" w:rsidP="005B0E64">
            <w:pPr>
              <w:keepNext/>
              <w:keepLines/>
              <w:spacing w:before="0" w:after="0"/>
              <w:jc w:val="left"/>
              <w:rPr>
                <w:rFonts w:ascii="Arial Narrow" w:hAnsi="Arial Narrow"/>
                <w:iCs/>
                <w:sz w:val="20"/>
                <w:szCs w:val="20"/>
              </w:rPr>
            </w:pPr>
            <w:r w:rsidRPr="00AA6D4A">
              <w:rPr>
                <w:rFonts w:ascii="Arial Narrow" w:hAnsi="Arial Narrow"/>
                <w:iCs/>
                <w:sz w:val="20"/>
                <w:szCs w:val="20"/>
              </w:rPr>
              <w:t>Comparator arm (NHA) treatment costs (base case: $</w:t>
            </w:r>
            <w:r w:rsidR="000F4D7C">
              <w:rPr>
                <w:rFonts w:ascii="Arial Narrow" w:hAnsi="Arial Narrow"/>
                <w:iCs/>
                <w:noProof/>
                <w:color w:val="000000"/>
                <w:sz w:val="20"/>
                <w:szCs w:val="20"/>
                <w:highlight w:val="black"/>
              </w:rPr>
              <w:t>''''''''''''''''''''''</w:t>
            </w:r>
            <w:r w:rsidRPr="00AA6D4A">
              <w:rPr>
                <w:rFonts w:ascii="Arial Narrow" w:hAnsi="Arial Narrow"/>
                <w:iCs/>
                <w:sz w:val="20"/>
                <w:szCs w:val="20"/>
              </w:rPr>
              <w:t xml:space="preserve">) </w:t>
            </w:r>
          </w:p>
        </w:tc>
      </w:tr>
      <w:tr w:rsidR="00721D6C" w:rsidRPr="00BE056E" w:rsidTr="0088177D">
        <w:trPr>
          <w:cantSplit/>
          <w:trHeight w:val="129"/>
        </w:trPr>
        <w:tc>
          <w:tcPr>
            <w:tcW w:w="2151" w:type="pct"/>
            <w:vAlign w:val="center"/>
          </w:tcPr>
          <w:p w:rsidR="00721D6C" w:rsidRPr="00AA6D4A" w:rsidRDefault="007C6078" w:rsidP="005B0E64">
            <w:pPr>
              <w:keepNext/>
              <w:keepLines/>
              <w:tabs>
                <w:tab w:val="left" w:pos="102"/>
              </w:tabs>
              <w:spacing w:before="0" w:after="0"/>
              <w:rPr>
                <w:rFonts w:ascii="Arial Narrow" w:hAnsi="Arial Narrow"/>
                <w:iCs/>
                <w:sz w:val="20"/>
                <w:szCs w:val="20"/>
              </w:rPr>
            </w:pPr>
            <w:r w:rsidRPr="00AA6D4A">
              <w:rPr>
                <w:rFonts w:ascii="Arial Narrow" w:hAnsi="Arial Narrow"/>
                <w:sz w:val="20"/>
                <w:szCs w:val="20"/>
              </w:rPr>
              <w:tab/>
            </w:r>
            <w:r w:rsidR="00721D6C" w:rsidRPr="00AA6D4A">
              <w:rPr>
                <w:rFonts w:ascii="Arial Narrow" w:hAnsi="Arial Narrow"/>
                <w:iCs/>
                <w:sz w:val="20"/>
                <w:szCs w:val="20"/>
              </w:rPr>
              <w:t>Removal of comparator arm (NHA) costs</w:t>
            </w:r>
          </w:p>
        </w:tc>
        <w:tc>
          <w:tcPr>
            <w:tcW w:w="699" w:type="pct"/>
            <w:vAlign w:val="center"/>
          </w:tcPr>
          <w:p w:rsidR="00721D6C" w:rsidRPr="00AA6D4A" w:rsidRDefault="00721D6C"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p>
        </w:tc>
        <w:tc>
          <w:tcPr>
            <w:tcW w:w="777" w:type="pct"/>
            <w:vAlign w:val="center"/>
          </w:tcPr>
          <w:p w:rsidR="00721D6C" w:rsidRPr="00AA6D4A" w:rsidRDefault="00721D6C"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0.751</w:t>
            </w:r>
          </w:p>
        </w:tc>
        <w:tc>
          <w:tcPr>
            <w:tcW w:w="688" w:type="pct"/>
            <w:vAlign w:val="center"/>
          </w:tcPr>
          <w:p w:rsidR="00721D6C" w:rsidRPr="00AA6D4A" w:rsidRDefault="00721D6C"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r w:rsidR="00F55582">
              <w:rPr>
                <w:rFonts w:ascii="Arial Narrow" w:hAnsi="Arial Narrow"/>
                <w:iCs/>
                <w:sz w:val="20"/>
                <w:szCs w:val="20"/>
                <w:vertAlign w:val="superscript"/>
              </w:rPr>
              <w:t>3</w:t>
            </w:r>
          </w:p>
        </w:tc>
        <w:tc>
          <w:tcPr>
            <w:tcW w:w="685" w:type="pct"/>
            <w:vAlign w:val="center"/>
          </w:tcPr>
          <w:p w:rsidR="00721D6C" w:rsidRPr="00AA6D4A" w:rsidRDefault="00492E64"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+54.7%</w:t>
            </w:r>
          </w:p>
        </w:tc>
      </w:tr>
      <w:tr w:rsidR="0066583B" w:rsidRPr="00BE056E" w:rsidTr="0088177D">
        <w:trPr>
          <w:cantSplit/>
          <w:trHeight w:val="129"/>
        </w:trPr>
        <w:tc>
          <w:tcPr>
            <w:tcW w:w="5000" w:type="pct"/>
            <w:gridSpan w:val="5"/>
            <w:vAlign w:val="center"/>
          </w:tcPr>
          <w:p w:rsidR="0066583B" w:rsidRPr="00AA6D4A" w:rsidRDefault="0066583B" w:rsidP="005B0E64">
            <w:pPr>
              <w:keepNext/>
              <w:keepLines/>
              <w:tabs>
                <w:tab w:val="left" w:pos="102"/>
              </w:tabs>
              <w:spacing w:before="0" w:after="0"/>
              <w:jc w:val="left"/>
              <w:rPr>
                <w:rFonts w:ascii="Arial Narrow" w:hAnsi="Arial Narrow"/>
                <w:sz w:val="20"/>
                <w:szCs w:val="20"/>
              </w:rPr>
            </w:pPr>
            <w:r w:rsidRPr="00AA6D4A">
              <w:rPr>
                <w:rFonts w:ascii="Arial Narrow" w:hAnsi="Arial Narrow"/>
                <w:sz w:val="20"/>
                <w:szCs w:val="20"/>
              </w:rPr>
              <w:t xml:space="preserve">Utility values (base case: </w:t>
            </w:r>
            <w:proofErr w:type="spellStart"/>
            <w:r w:rsidRPr="00AA6D4A">
              <w:rPr>
                <w:rFonts w:ascii="Arial Narrow" w:hAnsi="Arial Narrow"/>
                <w:sz w:val="20"/>
                <w:szCs w:val="20"/>
              </w:rPr>
              <w:t>PROfound</w:t>
            </w:r>
            <w:proofErr w:type="spellEnd"/>
            <w:r w:rsidRPr="00AA6D4A">
              <w:rPr>
                <w:rFonts w:ascii="Arial Narrow" w:hAnsi="Arial Narrow"/>
                <w:sz w:val="20"/>
                <w:szCs w:val="20"/>
              </w:rPr>
              <w:t>; 0.7532 for PF, 0.7034 for post-progression based on time to death)</w:t>
            </w:r>
          </w:p>
        </w:tc>
      </w:tr>
      <w:tr w:rsidR="0066583B" w:rsidRPr="00BE056E" w:rsidTr="0088177D">
        <w:trPr>
          <w:cantSplit/>
          <w:trHeight w:val="129"/>
        </w:trPr>
        <w:tc>
          <w:tcPr>
            <w:tcW w:w="2151" w:type="pct"/>
            <w:vAlign w:val="center"/>
          </w:tcPr>
          <w:p w:rsidR="0066583B" w:rsidRPr="00AA6D4A" w:rsidRDefault="0066583B" w:rsidP="005B0E64">
            <w:pPr>
              <w:keepNext/>
              <w:keepLines/>
              <w:tabs>
                <w:tab w:val="left" w:pos="102"/>
              </w:tabs>
              <w:spacing w:before="0" w:after="0"/>
              <w:rPr>
                <w:rFonts w:ascii="Arial Narrow" w:hAnsi="Arial Narrow"/>
                <w:sz w:val="20"/>
                <w:szCs w:val="20"/>
              </w:rPr>
            </w:pPr>
            <w:r w:rsidRPr="00AA6D4A">
              <w:rPr>
                <w:rFonts w:ascii="Arial Narrow" w:hAnsi="Arial Narrow"/>
                <w:sz w:val="20"/>
                <w:szCs w:val="20"/>
              </w:rPr>
              <w:tab/>
              <w:t>Literature (0.7150 PF; 0.5380 post-progression)</w:t>
            </w:r>
          </w:p>
        </w:tc>
        <w:tc>
          <w:tcPr>
            <w:tcW w:w="699"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w:t>
            </w:r>
            <w:r w:rsidR="000F4D7C">
              <w:rPr>
                <w:rFonts w:ascii="Arial Narrow" w:hAnsi="Arial Narrow"/>
                <w:iCs/>
                <w:noProof/>
                <w:color w:val="000000"/>
                <w:sz w:val="20"/>
                <w:szCs w:val="20"/>
                <w:highlight w:val="black"/>
              </w:rPr>
              <w:t>'''''''''''''''''</w:t>
            </w:r>
          </w:p>
        </w:tc>
        <w:tc>
          <w:tcPr>
            <w:tcW w:w="777"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0.654</w:t>
            </w:r>
          </w:p>
        </w:tc>
        <w:tc>
          <w:tcPr>
            <w:tcW w:w="688"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w:t>
            </w:r>
            <w:r w:rsidR="000F4D7C">
              <w:rPr>
                <w:rFonts w:ascii="Arial Narrow" w:hAnsi="Arial Narrow"/>
                <w:iCs/>
                <w:noProof/>
                <w:color w:val="000000"/>
                <w:sz w:val="20"/>
                <w:szCs w:val="20"/>
                <w:highlight w:val="black"/>
              </w:rPr>
              <w:t>'''''''''''''''''</w:t>
            </w:r>
            <w:r w:rsidR="00F55582">
              <w:rPr>
                <w:rFonts w:ascii="Arial Narrow" w:hAnsi="Arial Narrow"/>
                <w:iCs/>
                <w:sz w:val="20"/>
                <w:szCs w:val="20"/>
                <w:vertAlign w:val="superscript"/>
              </w:rPr>
              <w:t>4</w:t>
            </w:r>
          </w:p>
        </w:tc>
        <w:tc>
          <w:tcPr>
            <w:tcW w:w="685"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+15.0%</w:t>
            </w:r>
          </w:p>
        </w:tc>
      </w:tr>
      <w:tr w:rsidR="0066583B" w:rsidRPr="00BE056E" w:rsidTr="0088177D">
        <w:trPr>
          <w:cantSplit/>
          <w:trHeight w:val="129"/>
        </w:trPr>
        <w:tc>
          <w:tcPr>
            <w:tcW w:w="2151" w:type="pct"/>
            <w:vAlign w:val="center"/>
          </w:tcPr>
          <w:p w:rsidR="0066583B" w:rsidRPr="00AA6D4A" w:rsidRDefault="0066583B" w:rsidP="005B0E64">
            <w:pPr>
              <w:keepNext/>
              <w:keepLines/>
              <w:tabs>
                <w:tab w:val="left" w:pos="102"/>
              </w:tabs>
              <w:spacing w:before="0" w:after="0"/>
              <w:rPr>
                <w:rFonts w:ascii="Arial Narrow" w:hAnsi="Arial Narrow"/>
                <w:sz w:val="20"/>
                <w:szCs w:val="20"/>
              </w:rPr>
            </w:pPr>
            <w:r w:rsidRPr="00AA6D4A">
              <w:rPr>
                <w:rFonts w:ascii="Arial Narrow" w:hAnsi="Arial Narrow"/>
                <w:sz w:val="20"/>
                <w:szCs w:val="20"/>
              </w:rPr>
              <w:tab/>
              <w:t>Based on progression status (0.7261, 0.6642)</w:t>
            </w:r>
          </w:p>
        </w:tc>
        <w:tc>
          <w:tcPr>
            <w:tcW w:w="699"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w:t>
            </w:r>
            <w:r w:rsidR="000F4D7C">
              <w:rPr>
                <w:rFonts w:ascii="Arial Narrow" w:hAnsi="Arial Narrow"/>
                <w:iCs/>
                <w:noProof/>
                <w:color w:val="000000"/>
                <w:sz w:val="20"/>
                <w:szCs w:val="20"/>
                <w:highlight w:val="black"/>
              </w:rPr>
              <w:t>'''''''''''''''</w:t>
            </w:r>
          </w:p>
        </w:tc>
        <w:tc>
          <w:tcPr>
            <w:tcW w:w="777"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0.719</w:t>
            </w:r>
          </w:p>
        </w:tc>
        <w:tc>
          <w:tcPr>
            <w:tcW w:w="688"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w:t>
            </w:r>
            <w:r w:rsidR="000F4D7C">
              <w:rPr>
                <w:rFonts w:ascii="Arial Narrow" w:hAnsi="Arial Narrow"/>
                <w:iCs/>
                <w:noProof/>
                <w:color w:val="000000"/>
                <w:sz w:val="20"/>
                <w:szCs w:val="20"/>
                <w:highlight w:val="black"/>
              </w:rPr>
              <w:t>''''''''''''''''</w:t>
            </w:r>
            <w:r w:rsidR="00F55582">
              <w:rPr>
                <w:rFonts w:ascii="Arial Narrow" w:hAnsi="Arial Narrow"/>
                <w:iCs/>
                <w:sz w:val="20"/>
                <w:szCs w:val="20"/>
                <w:vertAlign w:val="superscript"/>
              </w:rPr>
              <w:t>1</w:t>
            </w:r>
          </w:p>
        </w:tc>
        <w:tc>
          <w:tcPr>
            <w:tcW w:w="685"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+4.5%</w:t>
            </w:r>
          </w:p>
        </w:tc>
      </w:tr>
      <w:tr w:rsidR="0066583B" w:rsidRPr="00BE056E" w:rsidTr="0088177D">
        <w:trPr>
          <w:cantSplit/>
          <w:trHeight w:val="129"/>
        </w:trPr>
        <w:tc>
          <w:tcPr>
            <w:tcW w:w="5000" w:type="pct"/>
            <w:gridSpan w:val="5"/>
            <w:vAlign w:val="center"/>
          </w:tcPr>
          <w:p w:rsidR="0066583B" w:rsidRPr="00AA6D4A" w:rsidRDefault="0066583B" w:rsidP="005B0E64">
            <w:pPr>
              <w:keepNext/>
              <w:keepLines/>
              <w:tabs>
                <w:tab w:val="left" w:pos="102"/>
              </w:tabs>
              <w:spacing w:before="0" w:after="0"/>
              <w:jc w:val="left"/>
              <w:rPr>
                <w:rFonts w:ascii="Arial Narrow" w:hAnsi="Arial Narrow"/>
                <w:sz w:val="20"/>
                <w:szCs w:val="20"/>
              </w:rPr>
            </w:pPr>
            <w:r w:rsidRPr="00AA6D4A">
              <w:rPr>
                <w:rFonts w:ascii="Arial Narrow" w:hAnsi="Arial Narrow"/>
                <w:sz w:val="20"/>
                <w:szCs w:val="20"/>
              </w:rPr>
              <w:t>Treatment discontinuation (base case: median treatment duration)</w:t>
            </w:r>
          </w:p>
        </w:tc>
      </w:tr>
      <w:tr w:rsidR="0066583B" w:rsidRPr="00BE056E" w:rsidTr="0088177D">
        <w:trPr>
          <w:cantSplit/>
          <w:trHeight w:val="129"/>
        </w:trPr>
        <w:tc>
          <w:tcPr>
            <w:tcW w:w="2151" w:type="pct"/>
            <w:vAlign w:val="center"/>
          </w:tcPr>
          <w:p w:rsidR="0066583B" w:rsidRPr="00AA6D4A" w:rsidRDefault="0066583B" w:rsidP="005B0E64">
            <w:pPr>
              <w:keepNext/>
              <w:keepLines/>
              <w:tabs>
                <w:tab w:val="left" w:pos="102"/>
              </w:tabs>
              <w:spacing w:before="0" w:after="0"/>
              <w:rPr>
                <w:rFonts w:ascii="Arial Narrow" w:hAnsi="Arial Narrow"/>
                <w:sz w:val="20"/>
                <w:szCs w:val="20"/>
              </w:rPr>
            </w:pPr>
            <w:r w:rsidRPr="00AA6D4A">
              <w:rPr>
                <w:rFonts w:ascii="Arial Narrow" w:hAnsi="Arial Narrow"/>
                <w:sz w:val="20"/>
                <w:szCs w:val="20"/>
              </w:rPr>
              <w:tab/>
              <w:t>Treated until progression</w:t>
            </w:r>
          </w:p>
        </w:tc>
        <w:tc>
          <w:tcPr>
            <w:tcW w:w="699"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w:t>
            </w:r>
            <w:r w:rsidR="000F4D7C">
              <w:rPr>
                <w:rFonts w:ascii="Arial Narrow" w:hAnsi="Arial Narrow"/>
                <w:iCs/>
                <w:noProof/>
                <w:color w:val="000000"/>
                <w:sz w:val="20"/>
                <w:szCs w:val="20"/>
                <w:highlight w:val="black"/>
              </w:rPr>
              <w:t>'''''''''''''''</w:t>
            </w:r>
          </w:p>
        </w:tc>
        <w:tc>
          <w:tcPr>
            <w:tcW w:w="777"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0.751</w:t>
            </w:r>
          </w:p>
        </w:tc>
        <w:tc>
          <w:tcPr>
            <w:tcW w:w="688"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w:t>
            </w:r>
            <w:r w:rsidR="000F4D7C">
              <w:rPr>
                <w:rFonts w:ascii="Arial Narrow" w:hAnsi="Arial Narrow"/>
                <w:iCs/>
                <w:noProof/>
                <w:color w:val="000000"/>
                <w:sz w:val="20"/>
                <w:szCs w:val="20"/>
                <w:highlight w:val="black"/>
              </w:rPr>
              <w:t>'''''''''''''''</w:t>
            </w:r>
            <w:r w:rsidR="00F55582">
              <w:rPr>
                <w:rFonts w:ascii="Arial Narrow" w:hAnsi="Arial Narrow"/>
                <w:iCs/>
                <w:sz w:val="20"/>
                <w:szCs w:val="20"/>
                <w:vertAlign w:val="superscript"/>
              </w:rPr>
              <w:t>4</w:t>
            </w:r>
          </w:p>
        </w:tc>
        <w:tc>
          <w:tcPr>
            <w:tcW w:w="685"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+17.6%</w:t>
            </w:r>
          </w:p>
        </w:tc>
      </w:tr>
      <w:tr w:rsidR="0066583B" w:rsidRPr="00BE056E" w:rsidTr="0088177D">
        <w:trPr>
          <w:cantSplit/>
          <w:trHeight w:val="129"/>
        </w:trPr>
        <w:tc>
          <w:tcPr>
            <w:tcW w:w="5000" w:type="pct"/>
            <w:gridSpan w:val="5"/>
            <w:vAlign w:val="center"/>
          </w:tcPr>
          <w:p w:rsidR="0066583B" w:rsidRPr="00AA6D4A" w:rsidRDefault="0066583B" w:rsidP="005B0E64">
            <w:pPr>
              <w:keepNext/>
              <w:keepLines/>
              <w:tabs>
                <w:tab w:val="left" w:pos="102"/>
              </w:tabs>
              <w:spacing w:before="0" w:after="0"/>
              <w:jc w:val="left"/>
              <w:rPr>
                <w:rFonts w:ascii="Arial Narrow" w:hAnsi="Arial Narrow"/>
                <w:sz w:val="20"/>
                <w:szCs w:val="20"/>
              </w:rPr>
            </w:pPr>
            <w:r w:rsidRPr="00AA6D4A">
              <w:rPr>
                <w:rFonts w:ascii="Arial Narrow" w:hAnsi="Arial Narrow"/>
                <w:sz w:val="20"/>
                <w:szCs w:val="20"/>
              </w:rPr>
              <w:t>Time horizon (base case: 10 years)</w:t>
            </w:r>
          </w:p>
        </w:tc>
      </w:tr>
      <w:tr w:rsidR="0066583B" w:rsidRPr="00BE056E" w:rsidTr="0088177D">
        <w:trPr>
          <w:cantSplit/>
          <w:trHeight w:val="129"/>
        </w:trPr>
        <w:tc>
          <w:tcPr>
            <w:tcW w:w="2151" w:type="pct"/>
            <w:vAlign w:val="center"/>
          </w:tcPr>
          <w:p w:rsidR="0066583B" w:rsidRPr="00AA6D4A" w:rsidRDefault="0066583B" w:rsidP="005B0E64">
            <w:pPr>
              <w:keepNext/>
              <w:keepLines/>
              <w:tabs>
                <w:tab w:val="left" w:pos="102"/>
              </w:tabs>
              <w:spacing w:before="0" w:after="0"/>
              <w:rPr>
                <w:rFonts w:ascii="Arial Narrow" w:hAnsi="Arial Narrow"/>
                <w:sz w:val="20"/>
                <w:szCs w:val="20"/>
              </w:rPr>
            </w:pPr>
            <w:r w:rsidRPr="00AA6D4A">
              <w:rPr>
                <w:rFonts w:ascii="Arial Narrow" w:hAnsi="Arial Narrow"/>
                <w:sz w:val="20"/>
                <w:szCs w:val="20"/>
              </w:rPr>
              <w:tab/>
              <w:t>5 years</w:t>
            </w:r>
          </w:p>
        </w:tc>
        <w:tc>
          <w:tcPr>
            <w:tcW w:w="699"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w:t>
            </w:r>
            <w:r w:rsidR="000F4D7C">
              <w:rPr>
                <w:rFonts w:ascii="Arial Narrow" w:hAnsi="Arial Narrow"/>
                <w:iCs/>
                <w:noProof/>
                <w:color w:val="000000"/>
                <w:sz w:val="20"/>
                <w:szCs w:val="20"/>
                <w:highlight w:val="black"/>
              </w:rPr>
              <w:t>''''''''''''''''''</w:t>
            </w:r>
          </w:p>
        </w:tc>
        <w:tc>
          <w:tcPr>
            <w:tcW w:w="777"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0.751</w:t>
            </w:r>
          </w:p>
        </w:tc>
        <w:tc>
          <w:tcPr>
            <w:tcW w:w="688"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w:t>
            </w:r>
            <w:r w:rsidR="000F4D7C">
              <w:rPr>
                <w:rFonts w:ascii="Arial Narrow" w:hAnsi="Arial Narrow"/>
                <w:iCs/>
                <w:noProof/>
                <w:color w:val="000000"/>
                <w:sz w:val="20"/>
                <w:szCs w:val="20"/>
                <w:highlight w:val="black"/>
              </w:rPr>
              <w:t>'''''''''''''''</w:t>
            </w:r>
            <w:r w:rsidR="00F55582">
              <w:rPr>
                <w:rFonts w:ascii="Arial Narrow" w:hAnsi="Arial Narrow"/>
                <w:iCs/>
                <w:sz w:val="20"/>
                <w:szCs w:val="20"/>
                <w:vertAlign w:val="superscript"/>
              </w:rPr>
              <w:t>1</w:t>
            </w:r>
          </w:p>
        </w:tc>
        <w:tc>
          <w:tcPr>
            <w:tcW w:w="685" w:type="pct"/>
            <w:vAlign w:val="center"/>
          </w:tcPr>
          <w:p w:rsidR="0066583B" w:rsidRPr="00AA6D4A" w:rsidRDefault="0066583B" w:rsidP="005B0E64">
            <w:pPr>
              <w:keepNext/>
              <w:keepLines/>
              <w:spacing w:before="0" w:after="0"/>
              <w:jc w:val="center"/>
              <w:rPr>
                <w:rFonts w:ascii="Arial Narrow" w:hAnsi="Arial Narrow"/>
                <w:sz w:val="20"/>
                <w:szCs w:val="20"/>
              </w:rPr>
            </w:pPr>
            <w:r w:rsidRPr="00AA6D4A">
              <w:rPr>
                <w:rFonts w:ascii="Arial Narrow" w:hAnsi="Arial Narrow"/>
                <w:sz w:val="20"/>
                <w:szCs w:val="20"/>
              </w:rPr>
              <w:t>-0.3%</w:t>
            </w:r>
          </w:p>
        </w:tc>
      </w:tr>
      <w:tr w:rsidR="0066583B" w:rsidRPr="00BE056E" w:rsidTr="0088177D">
        <w:trPr>
          <w:cantSplit/>
          <w:trHeight w:val="129"/>
        </w:trPr>
        <w:tc>
          <w:tcPr>
            <w:tcW w:w="5000" w:type="pct"/>
            <w:gridSpan w:val="5"/>
            <w:vAlign w:val="center"/>
          </w:tcPr>
          <w:p w:rsidR="0066583B" w:rsidRPr="00AA6D4A" w:rsidRDefault="0066583B" w:rsidP="005B0E64">
            <w:pPr>
              <w:pStyle w:val="ListParagraph"/>
              <w:keepNext/>
              <w:keepLines/>
              <w:numPr>
                <w:ilvl w:val="0"/>
                <w:numId w:val="0"/>
              </w:numPr>
              <w:spacing w:before="0" w:after="0"/>
              <w:ind w:left="38"/>
              <w:jc w:val="left"/>
              <w:rPr>
                <w:rFonts w:ascii="Arial Narrow" w:hAnsi="Arial Narrow"/>
                <w:iCs/>
                <w:sz w:val="20"/>
                <w:szCs w:val="20"/>
              </w:rPr>
            </w:pPr>
            <w:r w:rsidRPr="00AA6D4A">
              <w:rPr>
                <w:rFonts w:ascii="Arial Narrow" w:hAnsi="Arial Narrow"/>
                <w:iCs/>
                <w:sz w:val="20"/>
                <w:szCs w:val="20"/>
              </w:rPr>
              <w:t>Multivariate analyses</w:t>
            </w:r>
          </w:p>
        </w:tc>
      </w:tr>
      <w:tr w:rsidR="0066583B" w:rsidRPr="00AC3B07" w:rsidTr="0088177D">
        <w:trPr>
          <w:cantSplit/>
          <w:trHeight w:val="129"/>
        </w:trPr>
        <w:tc>
          <w:tcPr>
            <w:tcW w:w="2151" w:type="pct"/>
            <w:vAlign w:val="center"/>
          </w:tcPr>
          <w:p w:rsidR="0066583B" w:rsidRPr="00AA6D4A" w:rsidRDefault="0066583B" w:rsidP="005B0E64">
            <w:pPr>
              <w:keepNext/>
              <w:keepLines/>
              <w:tabs>
                <w:tab w:val="left" w:pos="102"/>
              </w:tabs>
              <w:spacing w:before="0" w:after="0"/>
              <w:ind w:left="102" w:hanging="102"/>
              <w:rPr>
                <w:rFonts w:ascii="Arial Narrow" w:hAnsi="Arial Narrow"/>
                <w:iCs/>
                <w:sz w:val="20"/>
                <w:szCs w:val="20"/>
              </w:rPr>
            </w:pPr>
            <w:r w:rsidRPr="00AA6D4A">
              <w:rPr>
                <w:rFonts w:ascii="Arial Narrow" w:hAnsi="Arial Narrow"/>
                <w:iCs/>
                <w:sz w:val="20"/>
                <w:szCs w:val="20"/>
              </w:rPr>
              <w:tab/>
              <w:t>Treated until progressi</w:t>
            </w:r>
            <w:r w:rsidR="00161AD9">
              <w:rPr>
                <w:rFonts w:ascii="Arial Narrow" w:hAnsi="Arial Narrow"/>
                <w:iCs/>
                <w:sz w:val="20"/>
                <w:szCs w:val="20"/>
              </w:rPr>
              <w:t xml:space="preserve">on and utility values based on </w:t>
            </w:r>
            <w:r w:rsidRPr="00AA6D4A">
              <w:rPr>
                <w:rFonts w:ascii="Arial Narrow" w:hAnsi="Arial Narrow"/>
                <w:iCs/>
                <w:sz w:val="20"/>
                <w:szCs w:val="20"/>
              </w:rPr>
              <w:t>progression status</w:t>
            </w:r>
          </w:p>
        </w:tc>
        <w:tc>
          <w:tcPr>
            <w:tcW w:w="699" w:type="pct"/>
            <w:vAlign w:val="center"/>
          </w:tcPr>
          <w:p w:rsidR="0066583B" w:rsidRPr="00AA6D4A" w:rsidRDefault="0066583B"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p>
        </w:tc>
        <w:tc>
          <w:tcPr>
            <w:tcW w:w="777" w:type="pct"/>
            <w:vAlign w:val="center"/>
          </w:tcPr>
          <w:p w:rsidR="0066583B" w:rsidRPr="00AA6D4A" w:rsidRDefault="0066583B"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0.719</w:t>
            </w:r>
          </w:p>
        </w:tc>
        <w:tc>
          <w:tcPr>
            <w:tcW w:w="688" w:type="pct"/>
            <w:vAlign w:val="center"/>
          </w:tcPr>
          <w:p w:rsidR="0066583B" w:rsidRPr="00AA6D4A" w:rsidRDefault="0066583B"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r w:rsidR="00F55582">
              <w:rPr>
                <w:rFonts w:ascii="Arial Narrow" w:hAnsi="Arial Narrow"/>
                <w:iCs/>
                <w:sz w:val="20"/>
                <w:szCs w:val="20"/>
                <w:vertAlign w:val="superscript"/>
              </w:rPr>
              <w:t>4</w:t>
            </w:r>
          </w:p>
        </w:tc>
        <w:tc>
          <w:tcPr>
            <w:tcW w:w="685" w:type="pct"/>
            <w:vAlign w:val="center"/>
          </w:tcPr>
          <w:p w:rsidR="0066583B" w:rsidRPr="00AA6D4A" w:rsidRDefault="0066583B" w:rsidP="005B0E64">
            <w:pPr>
              <w:pStyle w:val="ListParagraph"/>
              <w:keepNext/>
              <w:keepLines/>
              <w:numPr>
                <w:ilvl w:val="0"/>
                <w:numId w:val="0"/>
              </w:numPr>
              <w:spacing w:before="0" w:after="0"/>
              <w:ind w:left="38"/>
              <w:jc w:val="center"/>
              <w:rPr>
                <w:rFonts w:ascii="Arial Narrow" w:hAnsi="Arial Narrow"/>
                <w:iCs/>
                <w:sz w:val="20"/>
                <w:szCs w:val="20"/>
              </w:rPr>
            </w:pPr>
            <w:r w:rsidRPr="00AA6D4A">
              <w:rPr>
                <w:rFonts w:ascii="Arial Narrow" w:hAnsi="Arial Narrow"/>
                <w:iCs/>
                <w:sz w:val="20"/>
                <w:szCs w:val="20"/>
              </w:rPr>
              <w:t>+23.0%</w:t>
            </w:r>
          </w:p>
        </w:tc>
      </w:tr>
      <w:tr w:rsidR="0066583B" w:rsidRPr="00AC3B07" w:rsidTr="0088177D">
        <w:trPr>
          <w:cantSplit/>
          <w:trHeight w:val="129"/>
        </w:trPr>
        <w:tc>
          <w:tcPr>
            <w:tcW w:w="2151" w:type="pct"/>
            <w:vAlign w:val="center"/>
          </w:tcPr>
          <w:p w:rsidR="0066583B" w:rsidRPr="00AA6D4A" w:rsidRDefault="0066583B" w:rsidP="005B0E64">
            <w:pPr>
              <w:keepNext/>
              <w:keepLines/>
              <w:tabs>
                <w:tab w:val="left" w:pos="102"/>
              </w:tabs>
              <w:spacing w:before="0" w:after="0"/>
              <w:ind w:left="102" w:hanging="102"/>
              <w:rPr>
                <w:rFonts w:ascii="Arial Narrow" w:hAnsi="Arial Narrow"/>
                <w:iCs/>
                <w:sz w:val="20"/>
                <w:szCs w:val="20"/>
              </w:rPr>
            </w:pPr>
            <w:r w:rsidRPr="00AA6D4A">
              <w:rPr>
                <w:rFonts w:ascii="Arial Narrow" w:hAnsi="Arial Narrow"/>
                <w:iCs/>
                <w:sz w:val="20"/>
                <w:szCs w:val="20"/>
              </w:rPr>
              <w:tab/>
              <w:t>Treated until progression and literature-based utility values</w:t>
            </w:r>
          </w:p>
        </w:tc>
        <w:tc>
          <w:tcPr>
            <w:tcW w:w="699" w:type="pct"/>
            <w:vAlign w:val="center"/>
          </w:tcPr>
          <w:p w:rsidR="0066583B" w:rsidRPr="00AA6D4A" w:rsidRDefault="0066583B"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p>
        </w:tc>
        <w:tc>
          <w:tcPr>
            <w:tcW w:w="777" w:type="pct"/>
            <w:vAlign w:val="center"/>
          </w:tcPr>
          <w:p w:rsidR="0066583B" w:rsidRPr="00AA6D4A" w:rsidRDefault="0066583B"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0.654</w:t>
            </w:r>
          </w:p>
        </w:tc>
        <w:tc>
          <w:tcPr>
            <w:tcW w:w="688" w:type="pct"/>
            <w:vAlign w:val="center"/>
          </w:tcPr>
          <w:p w:rsidR="0066583B" w:rsidRPr="00AA6D4A" w:rsidRDefault="0066583B"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r w:rsidR="00F55582">
              <w:rPr>
                <w:rFonts w:ascii="Arial Narrow" w:hAnsi="Arial Narrow"/>
                <w:iCs/>
                <w:sz w:val="20"/>
                <w:szCs w:val="20"/>
                <w:vertAlign w:val="superscript"/>
              </w:rPr>
              <w:t>4</w:t>
            </w:r>
          </w:p>
        </w:tc>
        <w:tc>
          <w:tcPr>
            <w:tcW w:w="685" w:type="pct"/>
            <w:vAlign w:val="center"/>
          </w:tcPr>
          <w:p w:rsidR="0066583B" w:rsidRPr="00AA6D4A" w:rsidRDefault="0066583B" w:rsidP="005B0E64">
            <w:pPr>
              <w:pStyle w:val="ListParagraph"/>
              <w:keepNext/>
              <w:keepLines/>
              <w:numPr>
                <w:ilvl w:val="0"/>
                <w:numId w:val="0"/>
              </w:numPr>
              <w:spacing w:before="0" w:after="0"/>
              <w:ind w:left="38"/>
              <w:jc w:val="center"/>
              <w:rPr>
                <w:rFonts w:ascii="Arial Narrow" w:hAnsi="Arial Narrow"/>
                <w:iCs/>
                <w:sz w:val="20"/>
                <w:szCs w:val="20"/>
              </w:rPr>
            </w:pPr>
            <w:r w:rsidRPr="00AA6D4A">
              <w:rPr>
                <w:rFonts w:ascii="Arial Narrow" w:hAnsi="Arial Narrow"/>
                <w:iCs/>
                <w:sz w:val="20"/>
                <w:szCs w:val="20"/>
              </w:rPr>
              <w:t>+35.3%</w:t>
            </w:r>
          </w:p>
        </w:tc>
      </w:tr>
      <w:tr w:rsidR="00AC3B07" w:rsidRPr="00BE056E" w:rsidTr="0088177D">
        <w:trPr>
          <w:cantSplit/>
          <w:trHeight w:val="129"/>
        </w:trPr>
        <w:tc>
          <w:tcPr>
            <w:tcW w:w="2151" w:type="pct"/>
            <w:vAlign w:val="center"/>
          </w:tcPr>
          <w:p w:rsidR="00AC3B07" w:rsidRPr="00AA6D4A" w:rsidRDefault="007C6078" w:rsidP="005B0E64">
            <w:pPr>
              <w:keepNext/>
              <w:keepLines/>
              <w:tabs>
                <w:tab w:val="left" w:pos="102"/>
              </w:tabs>
              <w:spacing w:before="0" w:after="0"/>
              <w:ind w:left="102" w:hanging="102"/>
              <w:rPr>
                <w:rFonts w:ascii="Arial Narrow" w:hAnsi="Arial Narrow"/>
                <w:iCs/>
                <w:sz w:val="20"/>
                <w:szCs w:val="20"/>
              </w:rPr>
            </w:pPr>
            <w:r w:rsidRPr="00AA6D4A">
              <w:rPr>
                <w:rFonts w:ascii="Arial Narrow" w:hAnsi="Arial Narrow"/>
                <w:sz w:val="20"/>
                <w:szCs w:val="20"/>
              </w:rPr>
              <w:tab/>
            </w:r>
            <w:r w:rsidR="00AC3B07" w:rsidRPr="00AA6D4A">
              <w:rPr>
                <w:rFonts w:ascii="Arial Narrow" w:hAnsi="Arial Narrow"/>
                <w:iCs/>
                <w:sz w:val="20"/>
                <w:szCs w:val="20"/>
              </w:rPr>
              <w:t>OS HR not adjusted for treatment switching and removal of comparator arm (NHA) costs</w:t>
            </w:r>
          </w:p>
        </w:tc>
        <w:tc>
          <w:tcPr>
            <w:tcW w:w="699" w:type="pct"/>
            <w:vAlign w:val="center"/>
          </w:tcPr>
          <w:p w:rsidR="00AC3B07" w:rsidRPr="00AA6D4A" w:rsidRDefault="00A61130"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p>
        </w:tc>
        <w:tc>
          <w:tcPr>
            <w:tcW w:w="777" w:type="pct"/>
            <w:vAlign w:val="center"/>
          </w:tcPr>
          <w:p w:rsidR="00AC3B07" w:rsidRPr="00AA6D4A" w:rsidRDefault="00A61130"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0.275</w:t>
            </w:r>
          </w:p>
        </w:tc>
        <w:tc>
          <w:tcPr>
            <w:tcW w:w="688" w:type="pct"/>
            <w:vAlign w:val="center"/>
          </w:tcPr>
          <w:p w:rsidR="00AC3B07" w:rsidRPr="00AA6D4A" w:rsidRDefault="00A61130"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r w:rsidR="00F55582">
              <w:rPr>
                <w:rFonts w:ascii="Arial Narrow" w:hAnsi="Arial Narrow"/>
                <w:iCs/>
                <w:sz w:val="20"/>
                <w:szCs w:val="20"/>
                <w:vertAlign w:val="superscript"/>
              </w:rPr>
              <w:t>5</w:t>
            </w:r>
          </w:p>
        </w:tc>
        <w:tc>
          <w:tcPr>
            <w:tcW w:w="685" w:type="pct"/>
            <w:vAlign w:val="center"/>
          </w:tcPr>
          <w:p w:rsidR="00AC3B07" w:rsidRPr="00AA6D4A" w:rsidRDefault="00A61130" w:rsidP="005B0E64">
            <w:pPr>
              <w:pStyle w:val="ListParagraph"/>
              <w:keepNext/>
              <w:keepLines/>
              <w:numPr>
                <w:ilvl w:val="0"/>
                <w:numId w:val="0"/>
              </w:numPr>
              <w:spacing w:before="0" w:after="0"/>
              <w:ind w:left="38"/>
              <w:jc w:val="center"/>
              <w:rPr>
                <w:rFonts w:ascii="Arial Narrow" w:hAnsi="Arial Narrow"/>
                <w:iCs/>
                <w:sz w:val="20"/>
                <w:szCs w:val="20"/>
              </w:rPr>
            </w:pPr>
            <w:r w:rsidRPr="00AA6D4A">
              <w:rPr>
                <w:rFonts w:ascii="Arial Narrow" w:hAnsi="Arial Narrow"/>
                <w:iCs/>
                <w:sz w:val="20"/>
                <w:szCs w:val="20"/>
              </w:rPr>
              <w:t>+</w:t>
            </w:r>
            <w:r w:rsidR="00332DE9" w:rsidRPr="00AA6D4A">
              <w:rPr>
                <w:rFonts w:ascii="Arial Narrow" w:hAnsi="Arial Narrow"/>
                <w:iCs/>
                <w:sz w:val="20"/>
                <w:szCs w:val="20"/>
              </w:rPr>
              <w:t>319.8</w:t>
            </w:r>
            <w:r w:rsidRPr="00AA6D4A">
              <w:rPr>
                <w:rFonts w:ascii="Arial Narrow" w:hAnsi="Arial Narrow"/>
                <w:iCs/>
                <w:sz w:val="20"/>
                <w:szCs w:val="20"/>
              </w:rPr>
              <w:t>%</w:t>
            </w:r>
          </w:p>
        </w:tc>
      </w:tr>
      <w:tr w:rsidR="00332DE9" w:rsidRPr="00BE056E" w:rsidTr="0088177D">
        <w:trPr>
          <w:cantSplit/>
          <w:trHeight w:val="129"/>
        </w:trPr>
        <w:tc>
          <w:tcPr>
            <w:tcW w:w="2151" w:type="pct"/>
            <w:vAlign w:val="center"/>
          </w:tcPr>
          <w:p w:rsidR="00332DE9" w:rsidRPr="00AA6D4A" w:rsidRDefault="00161AD9" w:rsidP="005B0E64">
            <w:pPr>
              <w:keepNext/>
              <w:keepLines/>
              <w:tabs>
                <w:tab w:val="left" w:pos="102"/>
              </w:tabs>
              <w:spacing w:before="0" w:after="0"/>
              <w:ind w:left="102" w:hanging="102"/>
              <w:rPr>
                <w:rFonts w:ascii="Arial Narrow" w:hAnsi="Arial Narrow"/>
                <w:iCs/>
                <w:sz w:val="20"/>
                <w:szCs w:val="20"/>
              </w:rPr>
            </w:pPr>
            <w:r w:rsidRPr="00AA6D4A">
              <w:rPr>
                <w:rFonts w:ascii="Arial Narrow" w:hAnsi="Arial Narrow"/>
                <w:sz w:val="20"/>
                <w:szCs w:val="20"/>
              </w:rPr>
              <w:tab/>
            </w:r>
            <w:r w:rsidR="00332DE9" w:rsidRPr="00AA6D4A">
              <w:rPr>
                <w:rFonts w:ascii="Arial Narrow" w:hAnsi="Arial Narrow"/>
                <w:iCs/>
                <w:sz w:val="20"/>
                <w:szCs w:val="20"/>
              </w:rPr>
              <w:t>OS HR not adjusted for treatment switching, removal of comparator arm (NHA) costs and utility values based on progression status</w:t>
            </w:r>
          </w:p>
        </w:tc>
        <w:tc>
          <w:tcPr>
            <w:tcW w:w="699" w:type="pct"/>
            <w:vAlign w:val="center"/>
          </w:tcPr>
          <w:p w:rsidR="00332DE9" w:rsidRPr="00AA6D4A" w:rsidRDefault="00332DE9"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p>
        </w:tc>
        <w:tc>
          <w:tcPr>
            <w:tcW w:w="777" w:type="pct"/>
            <w:vAlign w:val="center"/>
          </w:tcPr>
          <w:p w:rsidR="00332DE9" w:rsidRPr="00AA6D4A" w:rsidRDefault="00332DE9"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0.270</w:t>
            </w:r>
          </w:p>
        </w:tc>
        <w:tc>
          <w:tcPr>
            <w:tcW w:w="688" w:type="pct"/>
            <w:vAlign w:val="center"/>
          </w:tcPr>
          <w:p w:rsidR="00332DE9" w:rsidRPr="00AA6D4A" w:rsidRDefault="00332DE9" w:rsidP="005B0E64">
            <w:pPr>
              <w:keepNext/>
              <w:keepLines/>
              <w:spacing w:before="0" w:after="0"/>
              <w:jc w:val="center"/>
              <w:rPr>
                <w:rFonts w:ascii="Arial Narrow" w:hAnsi="Arial Narrow"/>
                <w:iCs/>
                <w:sz w:val="20"/>
                <w:szCs w:val="20"/>
              </w:rPr>
            </w:pPr>
            <w:r w:rsidRPr="00AA6D4A">
              <w:rPr>
                <w:rFonts w:ascii="Arial Narrow" w:hAnsi="Arial Narrow"/>
                <w:iCs/>
                <w:sz w:val="20"/>
                <w:szCs w:val="20"/>
              </w:rPr>
              <w:t>$</w:t>
            </w:r>
            <w:r w:rsidR="000F4D7C">
              <w:rPr>
                <w:rFonts w:ascii="Arial Narrow" w:hAnsi="Arial Narrow"/>
                <w:iCs/>
                <w:noProof/>
                <w:color w:val="000000"/>
                <w:sz w:val="20"/>
                <w:szCs w:val="20"/>
                <w:highlight w:val="black"/>
              </w:rPr>
              <w:t>''''''''''''''''''</w:t>
            </w:r>
            <w:r w:rsidR="00F55582">
              <w:rPr>
                <w:rFonts w:ascii="Arial Narrow" w:hAnsi="Arial Narrow"/>
                <w:iCs/>
                <w:sz w:val="20"/>
                <w:szCs w:val="20"/>
                <w:vertAlign w:val="superscript"/>
              </w:rPr>
              <w:t>5</w:t>
            </w:r>
          </w:p>
        </w:tc>
        <w:tc>
          <w:tcPr>
            <w:tcW w:w="685" w:type="pct"/>
            <w:vAlign w:val="center"/>
          </w:tcPr>
          <w:p w:rsidR="00332DE9" w:rsidRPr="00AA6D4A" w:rsidRDefault="00332DE9" w:rsidP="005B0E64">
            <w:pPr>
              <w:pStyle w:val="ListParagraph"/>
              <w:keepNext/>
              <w:keepLines/>
              <w:numPr>
                <w:ilvl w:val="0"/>
                <w:numId w:val="0"/>
              </w:numPr>
              <w:spacing w:before="0" w:after="0"/>
              <w:ind w:left="38"/>
              <w:jc w:val="center"/>
              <w:rPr>
                <w:rFonts w:ascii="Arial Narrow" w:hAnsi="Arial Narrow"/>
                <w:iCs/>
                <w:color w:val="auto"/>
                <w:sz w:val="20"/>
                <w:szCs w:val="20"/>
              </w:rPr>
            </w:pPr>
            <w:r w:rsidRPr="00AA6D4A">
              <w:rPr>
                <w:rFonts w:ascii="Arial Narrow" w:hAnsi="Arial Narrow"/>
                <w:iCs/>
                <w:color w:val="auto"/>
                <w:sz w:val="20"/>
                <w:szCs w:val="20"/>
              </w:rPr>
              <w:t>+327.4%</w:t>
            </w:r>
          </w:p>
        </w:tc>
      </w:tr>
    </w:tbl>
    <w:p w:rsidR="0066583B" w:rsidRDefault="0066583B" w:rsidP="005B0E64">
      <w:pPr>
        <w:pStyle w:val="TableFigureFooter"/>
        <w:keepNext/>
        <w:keepLines/>
      </w:pPr>
      <w:r w:rsidRPr="00BE056E">
        <w:t>Source: Table 3.34</w:t>
      </w:r>
      <w:r w:rsidR="00AF23EA">
        <w:t xml:space="preserve"> </w:t>
      </w:r>
      <w:r w:rsidRPr="00BE056E">
        <w:t>of the submission.</w:t>
      </w:r>
    </w:p>
    <w:p w:rsidR="00492E64" w:rsidRDefault="00492E64" w:rsidP="005B0E64">
      <w:pPr>
        <w:pStyle w:val="TableFigureFooter"/>
        <w:keepNext/>
        <w:keepLines/>
      </w:pPr>
      <w:r w:rsidRPr="00E76B35">
        <w:rPr>
          <w:i/>
        </w:rPr>
        <w:t>BRCA1/2</w:t>
      </w:r>
      <w:r>
        <w:t xml:space="preserve"> = breast cancer genes 1 and 2; HR = hazard ratio; ICER = incremental cost effectiveness ratio; </w:t>
      </w:r>
      <w:r w:rsidR="00332DE9">
        <w:t xml:space="preserve">NHA = novel hormonal agents; </w:t>
      </w:r>
      <w:r>
        <w:t>OS = overall survival; PF = progression free; QALY = quality adjusted life year</w:t>
      </w:r>
    </w:p>
    <w:p w:rsidR="00F55582" w:rsidRPr="009868C4" w:rsidRDefault="00F55582" w:rsidP="00F55582">
      <w:pPr>
        <w:pStyle w:val="TableFigureFooter"/>
        <w:spacing w:after="0"/>
        <w:contextualSpacing w:val="0"/>
      </w:pPr>
      <w:r w:rsidRPr="009868C4">
        <w:rPr>
          <w:i/>
        </w:rPr>
        <w:t>The redacted values correspond to the following ranges</w:t>
      </w:r>
      <w:r>
        <w:rPr>
          <w:i/>
        </w:rPr>
        <w:t xml:space="preserve">: </w:t>
      </w:r>
    </w:p>
    <w:p w:rsidR="00F55582" w:rsidRPr="000F4D7C" w:rsidRDefault="00F55582" w:rsidP="005B0E64">
      <w:pPr>
        <w:pStyle w:val="TableFigureFooter"/>
        <w:keepNext/>
        <w:keepLines/>
        <w:rPr>
          <w:i/>
        </w:rPr>
      </w:pPr>
      <w:r>
        <w:rPr>
          <w:i/>
          <w:vertAlign w:val="superscript"/>
        </w:rPr>
        <w:t xml:space="preserve">1 </w:t>
      </w:r>
      <w:r w:rsidRPr="000F4D7C">
        <w:rPr>
          <w:i/>
        </w:rPr>
        <w:t>$45,000 to &lt; $55,000</w:t>
      </w:r>
      <w:r w:rsidR="005645DC">
        <w:rPr>
          <w:i/>
        </w:rPr>
        <w:t xml:space="preserve"> /QALY</w:t>
      </w:r>
    </w:p>
    <w:p w:rsidR="00F55582" w:rsidRPr="000F4D7C" w:rsidRDefault="00F55582" w:rsidP="005B0E64">
      <w:pPr>
        <w:pStyle w:val="TableFigureFooter"/>
        <w:keepNext/>
        <w:keepLines/>
        <w:rPr>
          <w:i/>
        </w:rPr>
      </w:pPr>
      <w:r>
        <w:rPr>
          <w:i/>
          <w:vertAlign w:val="superscript"/>
        </w:rPr>
        <w:t xml:space="preserve">2 </w:t>
      </w:r>
      <w:r w:rsidRPr="000F4D7C">
        <w:rPr>
          <w:i/>
        </w:rPr>
        <w:t>$135,000 to &lt; $155,000</w:t>
      </w:r>
      <w:r w:rsidR="005645DC">
        <w:rPr>
          <w:i/>
        </w:rPr>
        <w:t xml:space="preserve"> /QALY</w:t>
      </w:r>
    </w:p>
    <w:p w:rsidR="00F55582" w:rsidRPr="000F4D7C" w:rsidRDefault="00F55582" w:rsidP="005B0E64">
      <w:pPr>
        <w:pStyle w:val="TableFigureFooter"/>
        <w:keepNext/>
        <w:keepLines/>
        <w:rPr>
          <w:i/>
        </w:rPr>
      </w:pPr>
      <w:r>
        <w:rPr>
          <w:i/>
          <w:vertAlign w:val="superscript"/>
        </w:rPr>
        <w:t xml:space="preserve">3 </w:t>
      </w:r>
      <w:r w:rsidRPr="000F4D7C">
        <w:rPr>
          <w:i/>
        </w:rPr>
        <w:t>$75,000 to &lt; $95,000</w:t>
      </w:r>
      <w:r w:rsidR="005645DC">
        <w:rPr>
          <w:i/>
        </w:rPr>
        <w:t xml:space="preserve"> /QALY</w:t>
      </w:r>
    </w:p>
    <w:p w:rsidR="00F55582" w:rsidRDefault="00F55582" w:rsidP="005B0E64">
      <w:pPr>
        <w:pStyle w:val="TableFigureFooter"/>
        <w:keepNext/>
        <w:keepLines/>
        <w:rPr>
          <w:i/>
        </w:rPr>
      </w:pPr>
      <w:r>
        <w:rPr>
          <w:i/>
          <w:vertAlign w:val="superscript"/>
        </w:rPr>
        <w:t xml:space="preserve">4 </w:t>
      </w:r>
      <w:r w:rsidRPr="000F4D7C">
        <w:rPr>
          <w:i/>
        </w:rPr>
        <w:t>$55,000 to &lt; $75,000</w:t>
      </w:r>
      <w:r w:rsidR="005645DC">
        <w:rPr>
          <w:i/>
        </w:rPr>
        <w:t xml:space="preserve"> /QALY</w:t>
      </w:r>
    </w:p>
    <w:p w:rsidR="00F55582" w:rsidRDefault="00F55582" w:rsidP="005B0E64">
      <w:pPr>
        <w:pStyle w:val="TableFigureFooter"/>
        <w:keepNext/>
        <w:keepLines/>
        <w:rPr>
          <w:i/>
        </w:rPr>
      </w:pPr>
      <w:r>
        <w:rPr>
          <w:i/>
          <w:vertAlign w:val="superscript"/>
        </w:rPr>
        <w:t xml:space="preserve">5 </w:t>
      </w:r>
      <w:r w:rsidRPr="00F55582">
        <w:rPr>
          <w:i/>
        </w:rPr>
        <w:t>$155,000 to &lt; $255,000</w:t>
      </w:r>
      <w:r w:rsidR="005645DC">
        <w:rPr>
          <w:i/>
        </w:rPr>
        <w:t xml:space="preserve"> /QALY</w:t>
      </w:r>
    </w:p>
    <w:p w:rsidR="00014FF5" w:rsidRPr="00014FF5" w:rsidRDefault="00014FF5" w:rsidP="005B0E64">
      <w:pPr>
        <w:pStyle w:val="TableFigureFooter"/>
        <w:keepNext/>
        <w:keepLines/>
        <w:rPr>
          <w:i/>
        </w:rPr>
      </w:pPr>
      <w:proofErr w:type="spellStart"/>
      <w:proofErr w:type="gramStart"/>
      <w:r>
        <w:rPr>
          <w:i/>
          <w:vertAlign w:val="superscript"/>
        </w:rPr>
        <w:t>a</w:t>
      </w:r>
      <w:proofErr w:type="spellEnd"/>
      <w:proofErr w:type="gramEnd"/>
      <w:r>
        <w:rPr>
          <w:i/>
        </w:rPr>
        <w:t xml:space="preserve"> </w:t>
      </w:r>
      <w:r w:rsidRPr="00014FF5">
        <w:rPr>
          <w:i/>
        </w:rPr>
        <w:t>Adjusted OS hazard ratio: manuscript submitted to European Urology for publication.</w:t>
      </w:r>
    </w:p>
    <w:p w:rsidR="00757931" w:rsidRPr="00AA6D4A" w:rsidRDefault="00757931" w:rsidP="00C31220">
      <w:pPr>
        <w:pStyle w:val="ListParagraph"/>
        <w:rPr>
          <w:color w:val="auto"/>
        </w:rPr>
      </w:pPr>
      <w:r w:rsidRPr="00AA6D4A">
        <w:rPr>
          <w:iCs/>
        </w:rPr>
        <w:t>The ESC</w:t>
      </w:r>
      <w:r w:rsidR="0087556D" w:rsidRPr="00AA6D4A">
        <w:rPr>
          <w:iCs/>
        </w:rPr>
        <w:t>s</w:t>
      </w:r>
      <w:r w:rsidRPr="00AA6D4A">
        <w:rPr>
          <w:iCs/>
        </w:rPr>
        <w:t xml:space="preserve"> considered that the revisions required to the economic evaluation, which included concerns regarding the comparator, the use of adjusted OS inputs, inconsistencies with the time to treatment extrapolations, the utility values applied and the lack of a test and treatment model structure were complex and would require re-evaluation.</w:t>
      </w:r>
    </w:p>
    <w:p w:rsidR="00C31220" w:rsidRPr="00AA6D4A" w:rsidRDefault="00C31220" w:rsidP="00C31220">
      <w:pPr>
        <w:pStyle w:val="PBACESHeading2"/>
        <w:rPr>
          <w:rFonts w:asciiTheme="minorHAnsi" w:hAnsiTheme="minorHAnsi" w:cstheme="minorHAnsi"/>
        </w:rPr>
      </w:pPr>
      <w:bookmarkStart w:id="37" w:name="_Toc413139283"/>
      <w:bookmarkStart w:id="38" w:name="_Toc58779762"/>
      <w:bookmarkStart w:id="39" w:name="_Toc62027848"/>
      <w:r w:rsidRPr="00AA6D4A">
        <w:rPr>
          <w:rFonts w:asciiTheme="minorHAnsi" w:hAnsiTheme="minorHAnsi" w:cstheme="minorHAnsi"/>
        </w:rPr>
        <w:t>Drug cost/patient/course: $</w:t>
      </w:r>
      <w:bookmarkEnd w:id="37"/>
      <w:bookmarkEnd w:id="38"/>
      <w:bookmarkEnd w:id="39"/>
      <w:r w:rsidR="000F4D7C">
        <w:rPr>
          <w:rFonts w:asciiTheme="minorHAnsi" w:hAnsiTheme="minorHAnsi" w:cstheme="minorHAnsi"/>
          <w:noProof/>
          <w:color w:val="000000"/>
          <w:highlight w:val="black"/>
        </w:rPr>
        <w:t>''''''''''''</w:t>
      </w:r>
    </w:p>
    <w:p w:rsidR="00C31220" w:rsidRPr="00BE056E" w:rsidRDefault="00C31220" w:rsidP="00C31220">
      <w:pPr>
        <w:pStyle w:val="ListParagraph"/>
        <w:rPr>
          <w:color w:val="auto"/>
        </w:rPr>
      </w:pPr>
      <w:r w:rsidRPr="00BE056E">
        <w:rPr>
          <w:color w:val="auto"/>
        </w:rPr>
        <w:t xml:space="preserve">The following table outlines the drug cost per patient for both </w:t>
      </w:r>
      <w:proofErr w:type="spellStart"/>
      <w:r w:rsidRPr="00BE056E">
        <w:rPr>
          <w:color w:val="auto"/>
        </w:rPr>
        <w:t>olaparib</w:t>
      </w:r>
      <w:proofErr w:type="spellEnd"/>
      <w:r w:rsidRPr="00BE056E">
        <w:rPr>
          <w:color w:val="auto"/>
        </w:rPr>
        <w:t xml:space="preserve"> and NHA across the model and the financial estimates.</w:t>
      </w:r>
    </w:p>
    <w:p w:rsidR="00C31220" w:rsidRPr="00BE056E" w:rsidRDefault="00332DE9" w:rsidP="00E76B35">
      <w:pPr>
        <w:keepNext/>
        <w:spacing w:before="0" w:after="0"/>
        <w:rPr>
          <w:rStyle w:val="CommentReference"/>
        </w:rPr>
      </w:pPr>
      <w:r w:rsidRPr="00332DE9">
        <w:rPr>
          <w:rStyle w:val="CommentReference"/>
        </w:rPr>
        <w:lastRenderedPageBreak/>
        <w:t xml:space="preserve">Table </w:t>
      </w:r>
      <w:r w:rsidR="00CD4B9C">
        <w:rPr>
          <w:rStyle w:val="CommentReference"/>
          <w:noProof/>
        </w:rPr>
        <w:t>15</w:t>
      </w:r>
      <w:r w:rsidR="0073766D">
        <w:rPr>
          <w:rStyle w:val="CommentReference"/>
        </w:rPr>
        <w:t>:</w:t>
      </w:r>
      <w:r w:rsidR="00E76B35">
        <w:rPr>
          <w:rStyle w:val="CommentReference"/>
        </w:rPr>
        <w:tab/>
      </w:r>
      <w:r w:rsidR="00C31220" w:rsidRPr="00BE056E">
        <w:rPr>
          <w:rStyle w:val="CommentReference"/>
        </w:rPr>
        <w:t>Drug and test cost per patient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3"/>
        <w:gridCol w:w="1267"/>
        <w:gridCol w:w="994"/>
        <w:gridCol w:w="1131"/>
        <w:gridCol w:w="1544"/>
        <w:gridCol w:w="1444"/>
        <w:gridCol w:w="1093"/>
      </w:tblGrid>
      <w:tr w:rsidR="00C23D45" w:rsidRPr="00BE056E" w:rsidTr="005B0E64">
        <w:trPr>
          <w:cantSplit/>
          <w:trHeight w:val="147"/>
          <w:tblHeader/>
          <w:jc w:val="center"/>
        </w:trPr>
        <w:tc>
          <w:tcPr>
            <w:tcW w:w="856" w:type="pct"/>
            <w:vMerge w:val="restart"/>
            <w:shd w:val="clear" w:color="auto" w:fill="auto"/>
            <w:vAlign w:val="center"/>
          </w:tcPr>
          <w:p w:rsidR="00C23D45" w:rsidRPr="00BE056E" w:rsidRDefault="00C23D45" w:rsidP="00244A68">
            <w:pPr>
              <w:pStyle w:val="In-tableHeading"/>
              <w:rPr>
                <w:lang w:val="en-AU"/>
              </w:rPr>
            </w:pPr>
          </w:p>
        </w:tc>
        <w:tc>
          <w:tcPr>
            <w:tcW w:w="1881" w:type="pct"/>
            <w:gridSpan w:val="3"/>
            <w:shd w:val="clear" w:color="auto" w:fill="auto"/>
            <w:vAlign w:val="center"/>
          </w:tcPr>
          <w:p w:rsidR="00C23D45" w:rsidRPr="00BE056E" w:rsidRDefault="00C23D45" w:rsidP="00244A68">
            <w:pPr>
              <w:pStyle w:val="In-tableHeading"/>
              <w:jc w:val="center"/>
              <w:rPr>
                <w:lang w:val="en-AU"/>
              </w:rPr>
            </w:pPr>
            <w:proofErr w:type="spellStart"/>
            <w:r w:rsidRPr="00BE056E">
              <w:rPr>
                <w:lang w:val="en-AU"/>
              </w:rPr>
              <w:t>Olaparib</w:t>
            </w:r>
            <w:proofErr w:type="spellEnd"/>
          </w:p>
        </w:tc>
        <w:tc>
          <w:tcPr>
            <w:tcW w:w="2263" w:type="pct"/>
            <w:gridSpan w:val="3"/>
            <w:shd w:val="clear" w:color="auto" w:fill="FFFFFF" w:themeFill="background1"/>
            <w:vAlign w:val="center"/>
          </w:tcPr>
          <w:p w:rsidR="00C23D45" w:rsidRPr="00BE056E" w:rsidRDefault="00C23D45" w:rsidP="00244A68">
            <w:pPr>
              <w:pStyle w:val="In-tableHeading"/>
              <w:jc w:val="center"/>
              <w:rPr>
                <w:lang w:val="en-AU"/>
              </w:rPr>
            </w:pPr>
            <w:proofErr w:type="spellStart"/>
            <w:r w:rsidRPr="00BE056E">
              <w:rPr>
                <w:lang w:val="en-AU"/>
              </w:rPr>
              <w:t>NHA</w:t>
            </w:r>
            <w:r w:rsidRPr="00BE056E">
              <w:rPr>
                <w:vertAlign w:val="superscript"/>
                <w:lang w:val="en-AU"/>
              </w:rPr>
              <w:t>a</w:t>
            </w:r>
            <w:proofErr w:type="spellEnd"/>
          </w:p>
        </w:tc>
      </w:tr>
      <w:tr w:rsidR="00C23D45" w:rsidRPr="00BE056E" w:rsidTr="005B0E64">
        <w:trPr>
          <w:cantSplit/>
          <w:trHeight w:val="520"/>
          <w:tblHeader/>
          <w:jc w:val="center"/>
        </w:trPr>
        <w:tc>
          <w:tcPr>
            <w:tcW w:w="856" w:type="pct"/>
            <w:vMerge/>
            <w:shd w:val="clear" w:color="auto" w:fill="auto"/>
            <w:vAlign w:val="center"/>
          </w:tcPr>
          <w:p w:rsidR="00C23D45" w:rsidRPr="00BE056E" w:rsidRDefault="00C23D45" w:rsidP="00244A68">
            <w:pPr>
              <w:keepNext/>
              <w:spacing w:before="0" w:after="0"/>
              <w:jc w:val="left"/>
              <w:rPr>
                <w:rFonts w:ascii="Arial Narrow" w:hAnsi="Arial Narrow"/>
                <w:sz w:val="20"/>
                <w:szCs w:val="20"/>
              </w:rPr>
            </w:pPr>
          </w:p>
        </w:tc>
        <w:tc>
          <w:tcPr>
            <w:tcW w:w="703" w:type="pct"/>
            <w:shd w:val="clear" w:color="auto" w:fill="auto"/>
            <w:vAlign w:val="center"/>
          </w:tcPr>
          <w:p w:rsidR="00C23D45" w:rsidRPr="00BE056E" w:rsidRDefault="00C23D45" w:rsidP="00244A68">
            <w:pPr>
              <w:keepNext/>
              <w:spacing w:before="0" w:after="0"/>
              <w:jc w:val="center"/>
              <w:rPr>
                <w:rFonts w:ascii="Arial Narrow" w:hAnsi="Arial Narrow"/>
                <w:b/>
                <w:bCs/>
                <w:sz w:val="20"/>
                <w:szCs w:val="20"/>
              </w:rPr>
            </w:pPr>
            <w:r w:rsidRPr="00BE056E">
              <w:rPr>
                <w:rFonts w:ascii="Arial Narrow" w:hAnsi="Arial Narrow"/>
                <w:b/>
                <w:bCs/>
                <w:sz w:val="20"/>
                <w:szCs w:val="20"/>
              </w:rPr>
              <w:t>Trial dose and duration</w:t>
            </w:r>
          </w:p>
        </w:tc>
        <w:tc>
          <w:tcPr>
            <w:tcW w:w="551" w:type="pct"/>
            <w:shd w:val="clear" w:color="auto" w:fill="auto"/>
            <w:vAlign w:val="center"/>
          </w:tcPr>
          <w:p w:rsidR="00C23D45" w:rsidRPr="00BE056E" w:rsidRDefault="00C23D45" w:rsidP="00244A68">
            <w:pPr>
              <w:keepNext/>
              <w:spacing w:before="0" w:after="0"/>
              <w:jc w:val="center"/>
              <w:rPr>
                <w:rFonts w:ascii="Arial Narrow" w:hAnsi="Arial Narrow"/>
                <w:b/>
                <w:bCs/>
                <w:sz w:val="20"/>
                <w:szCs w:val="20"/>
              </w:rPr>
            </w:pPr>
            <w:r w:rsidRPr="00BE056E">
              <w:rPr>
                <w:rFonts w:ascii="Arial Narrow" w:hAnsi="Arial Narrow"/>
                <w:b/>
                <w:bCs/>
                <w:sz w:val="20"/>
                <w:szCs w:val="20"/>
              </w:rPr>
              <w:t>Model</w:t>
            </w:r>
          </w:p>
        </w:tc>
        <w:tc>
          <w:tcPr>
            <w:tcW w:w="626" w:type="pct"/>
            <w:shd w:val="clear" w:color="auto" w:fill="auto"/>
            <w:vAlign w:val="center"/>
          </w:tcPr>
          <w:p w:rsidR="00C23D45" w:rsidRPr="00BE056E" w:rsidRDefault="00C23D45" w:rsidP="00244A68">
            <w:pPr>
              <w:keepNext/>
              <w:spacing w:before="0" w:after="0"/>
              <w:jc w:val="center"/>
              <w:rPr>
                <w:rFonts w:ascii="Arial Narrow" w:hAnsi="Arial Narrow"/>
                <w:b/>
                <w:bCs/>
                <w:sz w:val="20"/>
                <w:szCs w:val="20"/>
              </w:rPr>
            </w:pPr>
            <w:r w:rsidRPr="00BE056E">
              <w:rPr>
                <w:rFonts w:ascii="Arial Narrow" w:hAnsi="Arial Narrow"/>
                <w:b/>
                <w:bCs/>
                <w:sz w:val="20"/>
                <w:szCs w:val="20"/>
              </w:rPr>
              <w:t>Financial estimates</w:t>
            </w:r>
          </w:p>
        </w:tc>
        <w:tc>
          <w:tcPr>
            <w:tcW w:w="856" w:type="pct"/>
            <w:shd w:val="clear" w:color="auto" w:fill="FFFFFF" w:themeFill="background1"/>
            <w:vAlign w:val="center"/>
          </w:tcPr>
          <w:p w:rsidR="00C23D45" w:rsidRPr="00BE056E" w:rsidRDefault="00C23D45" w:rsidP="00244A68">
            <w:pPr>
              <w:keepNext/>
              <w:spacing w:before="0" w:after="0"/>
              <w:jc w:val="center"/>
              <w:rPr>
                <w:rFonts w:ascii="Arial Narrow" w:hAnsi="Arial Narrow"/>
                <w:b/>
                <w:bCs/>
                <w:sz w:val="20"/>
                <w:szCs w:val="20"/>
              </w:rPr>
            </w:pPr>
            <w:r w:rsidRPr="00BE056E">
              <w:rPr>
                <w:rFonts w:ascii="Arial Narrow" w:hAnsi="Arial Narrow"/>
                <w:b/>
                <w:bCs/>
                <w:sz w:val="20"/>
                <w:szCs w:val="20"/>
              </w:rPr>
              <w:t>Trial dose and duration</w:t>
            </w:r>
          </w:p>
        </w:tc>
        <w:tc>
          <w:tcPr>
            <w:tcW w:w="801" w:type="pct"/>
            <w:shd w:val="clear" w:color="auto" w:fill="FFFFFF" w:themeFill="background1"/>
            <w:vAlign w:val="center"/>
          </w:tcPr>
          <w:p w:rsidR="00C23D45" w:rsidRPr="00BE056E" w:rsidRDefault="00C23D45" w:rsidP="00244A68">
            <w:pPr>
              <w:keepNext/>
              <w:spacing w:before="0" w:after="0"/>
              <w:jc w:val="center"/>
              <w:rPr>
                <w:rFonts w:ascii="Arial Narrow" w:hAnsi="Arial Narrow"/>
                <w:b/>
                <w:bCs/>
                <w:sz w:val="20"/>
                <w:szCs w:val="20"/>
              </w:rPr>
            </w:pPr>
            <w:r w:rsidRPr="00BE056E">
              <w:rPr>
                <w:rFonts w:ascii="Arial Narrow" w:hAnsi="Arial Narrow"/>
                <w:b/>
                <w:bCs/>
                <w:sz w:val="20"/>
                <w:szCs w:val="20"/>
              </w:rPr>
              <w:t>Model</w:t>
            </w:r>
          </w:p>
        </w:tc>
        <w:tc>
          <w:tcPr>
            <w:tcW w:w="606" w:type="pct"/>
            <w:shd w:val="clear" w:color="auto" w:fill="FFFFFF" w:themeFill="background1"/>
            <w:vAlign w:val="center"/>
          </w:tcPr>
          <w:p w:rsidR="00C23D45" w:rsidRPr="00BE056E" w:rsidRDefault="00C23D45" w:rsidP="00244A68">
            <w:pPr>
              <w:keepNext/>
              <w:spacing w:before="0" w:after="0"/>
              <w:jc w:val="center"/>
              <w:rPr>
                <w:rFonts w:ascii="Arial Narrow" w:hAnsi="Arial Narrow"/>
                <w:b/>
                <w:bCs/>
                <w:sz w:val="20"/>
                <w:szCs w:val="20"/>
              </w:rPr>
            </w:pPr>
            <w:r w:rsidRPr="00BE056E">
              <w:rPr>
                <w:rFonts w:ascii="Arial Narrow" w:hAnsi="Arial Narrow"/>
                <w:b/>
                <w:bCs/>
                <w:sz w:val="20"/>
                <w:szCs w:val="20"/>
              </w:rPr>
              <w:t>Financial estimates</w:t>
            </w:r>
          </w:p>
        </w:tc>
      </w:tr>
      <w:tr w:rsidR="00C31220" w:rsidRPr="00BE056E" w:rsidTr="005B0E64">
        <w:trPr>
          <w:cantSplit/>
          <w:jc w:val="center"/>
        </w:trPr>
        <w:tc>
          <w:tcPr>
            <w:tcW w:w="856" w:type="pct"/>
            <w:shd w:val="clear" w:color="auto" w:fill="auto"/>
            <w:vAlign w:val="center"/>
          </w:tcPr>
          <w:p w:rsidR="00C31220" w:rsidRPr="00BE056E" w:rsidRDefault="00C31220" w:rsidP="00244A68">
            <w:pPr>
              <w:keepNext/>
              <w:spacing w:before="0" w:after="0"/>
              <w:jc w:val="left"/>
              <w:rPr>
                <w:rFonts w:ascii="Arial Narrow" w:hAnsi="Arial Narrow"/>
                <w:sz w:val="20"/>
                <w:szCs w:val="20"/>
              </w:rPr>
            </w:pPr>
            <w:r w:rsidRPr="00BE056E">
              <w:rPr>
                <w:rFonts w:ascii="Arial Narrow" w:hAnsi="Arial Narrow"/>
                <w:sz w:val="20"/>
                <w:szCs w:val="20"/>
              </w:rPr>
              <w:t>Mean dose</w:t>
            </w:r>
          </w:p>
        </w:tc>
        <w:tc>
          <w:tcPr>
            <w:tcW w:w="703" w:type="pct"/>
            <w:shd w:val="clear" w:color="auto" w:fill="auto"/>
            <w:vAlign w:val="center"/>
          </w:tcPr>
          <w:p w:rsidR="00C31220" w:rsidRPr="00BE056E" w:rsidRDefault="00C31220" w:rsidP="00244A68">
            <w:pPr>
              <w:keepNext/>
              <w:spacing w:before="0" w:after="0"/>
              <w:jc w:val="center"/>
              <w:rPr>
                <w:rFonts w:ascii="Arial Narrow" w:hAnsi="Arial Narrow"/>
                <w:sz w:val="20"/>
                <w:szCs w:val="20"/>
              </w:rPr>
            </w:pPr>
            <w:r w:rsidRPr="00BE056E">
              <w:rPr>
                <w:rFonts w:ascii="Arial Narrow" w:hAnsi="Arial Narrow"/>
                <w:sz w:val="20"/>
                <w:szCs w:val="20"/>
              </w:rPr>
              <w:t>600 mg/day</w:t>
            </w:r>
          </w:p>
        </w:tc>
        <w:tc>
          <w:tcPr>
            <w:tcW w:w="551" w:type="pct"/>
            <w:shd w:val="clear" w:color="auto" w:fill="auto"/>
            <w:vAlign w:val="center"/>
          </w:tcPr>
          <w:p w:rsidR="00C31220" w:rsidRPr="00BE056E" w:rsidRDefault="00C31220" w:rsidP="00244A68">
            <w:pPr>
              <w:keepNext/>
              <w:spacing w:before="0" w:after="0"/>
              <w:jc w:val="center"/>
              <w:rPr>
                <w:rFonts w:ascii="Arial Narrow" w:hAnsi="Arial Narrow"/>
                <w:sz w:val="20"/>
                <w:szCs w:val="20"/>
              </w:rPr>
            </w:pPr>
            <w:r w:rsidRPr="00BE056E">
              <w:rPr>
                <w:rFonts w:ascii="Arial Narrow" w:hAnsi="Arial Narrow"/>
                <w:sz w:val="20"/>
                <w:szCs w:val="20"/>
              </w:rPr>
              <w:t>600 mg/day</w:t>
            </w:r>
          </w:p>
        </w:tc>
        <w:tc>
          <w:tcPr>
            <w:tcW w:w="626" w:type="pct"/>
            <w:shd w:val="clear" w:color="auto" w:fill="auto"/>
            <w:vAlign w:val="center"/>
          </w:tcPr>
          <w:p w:rsidR="00C31220" w:rsidRPr="00BE056E" w:rsidRDefault="00C31220" w:rsidP="00244A68">
            <w:pPr>
              <w:keepNext/>
              <w:spacing w:before="0" w:after="0"/>
              <w:jc w:val="center"/>
              <w:rPr>
                <w:rFonts w:ascii="Arial Narrow" w:hAnsi="Arial Narrow"/>
                <w:sz w:val="20"/>
                <w:szCs w:val="20"/>
              </w:rPr>
            </w:pPr>
            <w:r w:rsidRPr="00BE056E">
              <w:rPr>
                <w:rFonts w:ascii="Arial Narrow" w:hAnsi="Arial Narrow"/>
                <w:sz w:val="20"/>
                <w:szCs w:val="20"/>
              </w:rPr>
              <w:t>600 mg/day</w:t>
            </w:r>
          </w:p>
        </w:tc>
        <w:tc>
          <w:tcPr>
            <w:tcW w:w="856" w:type="pct"/>
            <w:shd w:val="clear" w:color="auto" w:fill="FFFFFF" w:themeFill="background1"/>
            <w:vAlign w:val="center"/>
          </w:tcPr>
          <w:p w:rsidR="00C31220" w:rsidRPr="00BE056E" w:rsidRDefault="00C31220" w:rsidP="00244A68">
            <w:pPr>
              <w:keepNext/>
              <w:spacing w:before="0" w:after="0"/>
              <w:jc w:val="center"/>
              <w:rPr>
                <w:rFonts w:ascii="Arial Narrow" w:hAnsi="Arial Narrow"/>
                <w:sz w:val="20"/>
                <w:szCs w:val="20"/>
              </w:rPr>
            </w:pPr>
            <w:r w:rsidRPr="00BE056E">
              <w:rPr>
                <w:rFonts w:ascii="Arial Narrow" w:hAnsi="Arial Narrow"/>
                <w:sz w:val="20"/>
                <w:szCs w:val="20"/>
              </w:rPr>
              <w:t>Abi: 160</w:t>
            </w:r>
            <w:r w:rsidR="00C23D45" w:rsidRPr="00BE056E">
              <w:rPr>
                <w:rFonts w:ascii="Arial Narrow" w:hAnsi="Arial Narrow"/>
                <w:sz w:val="20"/>
                <w:szCs w:val="20"/>
              </w:rPr>
              <w:t xml:space="preserve"> </w:t>
            </w:r>
            <w:r w:rsidRPr="00BE056E">
              <w:rPr>
                <w:rFonts w:ascii="Arial Narrow" w:hAnsi="Arial Narrow"/>
                <w:sz w:val="20"/>
                <w:szCs w:val="20"/>
              </w:rPr>
              <w:t>mg/day</w:t>
            </w:r>
          </w:p>
          <w:p w:rsidR="00C31220" w:rsidRPr="00BE056E" w:rsidRDefault="00C31220" w:rsidP="00244A68">
            <w:pPr>
              <w:keepNext/>
              <w:spacing w:before="0" w:after="0"/>
              <w:jc w:val="center"/>
              <w:rPr>
                <w:rFonts w:ascii="Arial Narrow" w:hAnsi="Arial Narrow"/>
                <w:sz w:val="20"/>
                <w:szCs w:val="20"/>
              </w:rPr>
            </w:pPr>
            <w:proofErr w:type="spellStart"/>
            <w:r w:rsidRPr="00BE056E">
              <w:rPr>
                <w:rFonts w:ascii="Arial Narrow" w:hAnsi="Arial Narrow"/>
                <w:sz w:val="20"/>
                <w:szCs w:val="20"/>
              </w:rPr>
              <w:t>Enz</w:t>
            </w:r>
            <w:proofErr w:type="spellEnd"/>
            <w:r w:rsidRPr="00BE056E">
              <w:rPr>
                <w:rFonts w:ascii="Arial Narrow" w:hAnsi="Arial Narrow"/>
                <w:sz w:val="20"/>
                <w:szCs w:val="20"/>
              </w:rPr>
              <w:t>: 1</w:t>
            </w:r>
            <w:r w:rsidR="00C23D45" w:rsidRPr="00BE056E">
              <w:rPr>
                <w:rFonts w:ascii="Arial Narrow" w:hAnsi="Arial Narrow"/>
                <w:sz w:val="20"/>
                <w:szCs w:val="20"/>
              </w:rPr>
              <w:t>,</w:t>
            </w:r>
            <w:r w:rsidRPr="00BE056E">
              <w:rPr>
                <w:rFonts w:ascii="Arial Narrow" w:hAnsi="Arial Narrow"/>
                <w:sz w:val="20"/>
                <w:szCs w:val="20"/>
              </w:rPr>
              <w:t>000</w:t>
            </w:r>
            <w:r w:rsidR="00C23D45" w:rsidRPr="00BE056E">
              <w:rPr>
                <w:rFonts w:ascii="Arial Narrow" w:hAnsi="Arial Narrow"/>
                <w:sz w:val="20"/>
                <w:szCs w:val="20"/>
              </w:rPr>
              <w:t xml:space="preserve"> </w:t>
            </w:r>
            <w:r w:rsidRPr="00BE056E">
              <w:rPr>
                <w:rFonts w:ascii="Arial Narrow" w:hAnsi="Arial Narrow"/>
                <w:sz w:val="20"/>
                <w:szCs w:val="20"/>
              </w:rPr>
              <w:t>mg/day</w:t>
            </w:r>
          </w:p>
        </w:tc>
        <w:tc>
          <w:tcPr>
            <w:tcW w:w="801" w:type="pct"/>
            <w:shd w:val="clear" w:color="auto" w:fill="FFFFFF" w:themeFill="background1"/>
            <w:vAlign w:val="center"/>
          </w:tcPr>
          <w:p w:rsidR="00C31220" w:rsidRPr="00BE056E" w:rsidRDefault="00C31220" w:rsidP="00244A68">
            <w:pPr>
              <w:keepNext/>
              <w:spacing w:before="0" w:after="0"/>
              <w:jc w:val="center"/>
              <w:rPr>
                <w:rFonts w:ascii="Arial Narrow" w:hAnsi="Arial Narrow"/>
                <w:sz w:val="20"/>
                <w:szCs w:val="20"/>
              </w:rPr>
            </w:pPr>
            <w:r w:rsidRPr="00BE056E">
              <w:rPr>
                <w:rFonts w:ascii="Arial Narrow" w:hAnsi="Arial Narrow"/>
                <w:sz w:val="20"/>
                <w:szCs w:val="20"/>
              </w:rPr>
              <w:t>Abi: 160</w:t>
            </w:r>
            <w:r w:rsidR="00C23D45" w:rsidRPr="00BE056E">
              <w:rPr>
                <w:rFonts w:ascii="Arial Narrow" w:hAnsi="Arial Narrow"/>
                <w:sz w:val="20"/>
                <w:szCs w:val="20"/>
              </w:rPr>
              <w:t xml:space="preserve"> </w:t>
            </w:r>
            <w:r w:rsidRPr="00BE056E">
              <w:rPr>
                <w:rFonts w:ascii="Arial Narrow" w:hAnsi="Arial Narrow"/>
                <w:sz w:val="20"/>
                <w:szCs w:val="20"/>
              </w:rPr>
              <w:t>mg/day</w:t>
            </w:r>
          </w:p>
          <w:p w:rsidR="00C31220" w:rsidRPr="00BE056E" w:rsidRDefault="00C31220" w:rsidP="00244A68">
            <w:pPr>
              <w:keepNext/>
              <w:spacing w:before="0" w:after="0"/>
              <w:jc w:val="center"/>
              <w:rPr>
                <w:rFonts w:ascii="Arial Narrow" w:hAnsi="Arial Narrow"/>
                <w:sz w:val="20"/>
                <w:szCs w:val="20"/>
              </w:rPr>
            </w:pPr>
            <w:proofErr w:type="spellStart"/>
            <w:r w:rsidRPr="00BE056E">
              <w:rPr>
                <w:rFonts w:ascii="Arial Narrow" w:hAnsi="Arial Narrow"/>
                <w:sz w:val="20"/>
                <w:szCs w:val="20"/>
              </w:rPr>
              <w:t>Enz</w:t>
            </w:r>
            <w:proofErr w:type="spellEnd"/>
            <w:r w:rsidRPr="00BE056E">
              <w:rPr>
                <w:rFonts w:ascii="Arial Narrow" w:hAnsi="Arial Narrow"/>
                <w:sz w:val="20"/>
                <w:szCs w:val="20"/>
              </w:rPr>
              <w:t>: 1</w:t>
            </w:r>
            <w:r w:rsidR="00C23D45" w:rsidRPr="00BE056E">
              <w:rPr>
                <w:rFonts w:ascii="Arial Narrow" w:hAnsi="Arial Narrow"/>
                <w:sz w:val="20"/>
                <w:szCs w:val="20"/>
              </w:rPr>
              <w:t>,</w:t>
            </w:r>
            <w:r w:rsidRPr="00BE056E">
              <w:rPr>
                <w:rFonts w:ascii="Arial Narrow" w:hAnsi="Arial Narrow"/>
                <w:sz w:val="20"/>
                <w:szCs w:val="20"/>
              </w:rPr>
              <w:t>000</w:t>
            </w:r>
            <w:r w:rsidR="00C23D45" w:rsidRPr="00BE056E">
              <w:rPr>
                <w:rFonts w:ascii="Arial Narrow" w:hAnsi="Arial Narrow"/>
                <w:sz w:val="20"/>
                <w:szCs w:val="20"/>
              </w:rPr>
              <w:t xml:space="preserve"> </w:t>
            </w:r>
            <w:r w:rsidRPr="00BE056E">
              <w:rPr>
                <w:rFonts w:ascii="Arial Narrow" w:hAnsi="Arial Narrow"/>
                <w:sz w:val="20"/>
                <w:szCs w:val="20"/>
              </w:rPr>
              <w:t>mg/day</w:t>
            </w:r>
          </w:p>
        </w:tc>
        <w:tc>
          <w:tcPr>
            <w:tcW w:w="606" w:type="pct"/>
            <w:vMerge w:val="restart"/>
            <w:shd w:val="clear" w:color="auto" w:fill="FFFFFF" w:themeFill="background1"/>
            <w:vAlign w:val="center"/>
          </w:tcPr>
          <w:p w:rsidR="00C31220" w:rsidRPr="00BE056E" w:rsidRDefault="00C31220" w:rsidP="00244A68">
            <w:pPr>
              <w:keepNext/>
              <w:spacing w:before="0" w:after="0"/>
              <w:jc w:val="center"/>
              <w:rPr>
                <w:rFonts w:ascii="Arial Narrow" w:hAnsi="Arial Narrow"/>
                <w:sz w:val="20"/>
                <w:szCs w:val="20"/>
              </w:rPr>
            </w:pPr>
            <w:r w:rsidRPr="00BE056E">
              <w:rPr>
                <w:rFonts w:ascii="Arial Narrow" w:hAnsi="Arial Narrow"/>
                <w:sz w:val="20"/>
                <w:szCs w:val="20"/>
              </w:rPr>
              <w:t>Not included</w:t>
            </w:r>
          </w:p>
        </w:tc>
      </w:tr>
      <w:tr w:rsidR="00C31220" w:rsidRPr="00BE056E" w:rsidTr="005B0E64">
        <w:trPr>
          <w:cantSplit/>
          <w:jc w:val="center"/>
        </w:trPr>
        <w:tc>
          <w:tcPr>
            <w:tcW w:w="856" w:type="pct"/>
            <w:shd w:val="clear" w:color="auto" w:fill="auto"/>
            <w:vAlign w:val="center"/>
          </w:tcPr>
          <w:p w:rsidR="00C31220" w:rsidRPr="00BE056E" w:rsidRDefault="00C31220" w:rsidP="00244A68">
            <w:pPr>
              <w:keepNext/>
              <w:spacing w:before="0" w:after="0"/>
              <w:jc w:val="left"/>
              <w:rPr>
                <w:rFonts w:ascii="Arial Narrow" w:hAnsi="Arial Narrow"/>
                <w:sz w:val="20"/>
                <w:szCs w:val="20"/>
              </w:rPr>
            </w:pPr>
            <w:r w:rsidRPr="00BE056E">
              <w:rPr>
                <w:rFonts w:ascii="Arial Narrow" w:hAnsi="Arial Narrow"/>
                <w:sz w:val="20"/>
                <w:szCs w:val="20"/>
              </w:rPr>
              <w:t>Mean duration</w:t>
            </w:r>
          </w:p>
        </w:tc>
        <w:tc>
          <w:tcPr>
            <w:tcW w:w="703" w:type="pct"/>
            <w:shd w:val="clear" w:color="auto" w:fill="auto"/>
            <w:vAlign w:val="center"/>
          </w:tcPr>
          <w:p w:rsidR="00C31220" w:rsidRPr="00BE056E" w:rsidRDefault="00C31220" w:rsidP="00244A68">
            <w:pPr>
              <w:keepNext/>
              <w:spacing w:before="0" w:after="0"/>
              <w:jc w:val="center"/>
              <w:rPr>
                <w:rFonts w:ascii="Arial Narrow" w:hAnsi="Arial Narrow"/>
                <w:sz w:val="20"/>
                <w:szCs w:val="20"/>
              </w:rPr>
            </w:pPr>
            <w:r w:rsidRPr="00BE056E">
              <w:rPr>
                <w:rFonts w:ascii="Arial Narrow" w:hAnsi="Arial Narrow"/>
                <w:sz w:val="20"/>
                <w:szCs w:val="20"/>
              </w:rPr>
              <w:t xml:space="preserve">242.8 </w:t>
            </w:r>
            <w:proofErr w:type="spellStart"/>
            <w:r w:rsidRPr="00BE056E">
              <w:rPr>
                <w:rFonts w:ascii="Arial Narrow" w:hAnsi="Arial Narrow"/>
                <w:sz w:val="20"/>
                <w:szCs w:val="20"/>
              </w:rPr>
              <w:t>days</w:t>
            </w:r>
            <w:r w:rsidRPr="00BE056E">
              <w:rPr>
                <w:rFonts w:ascii="Arial Narrow" w:hAnsi="Arial Narrow"/>
                <w:sz w:val="20"/>
                <w:szCs w:val="20"/>
                <w:vertAlign w:val="superscript"/>
              </w:rPr>
              <w:t>b</w:t>
            </w:r>
            <w:proofErr w:type="spellEnd"/>
          </w:p>
        </w:tc>
        <w:tc>
          <w:tcPr>
            <w:tcW w:w="551" w:type="pct"/>
            <w:shd w:val="clear" w:color="auto" w:fill="auto"/>
            <w:vAlign w:val="center"/>
          </w:tcPr>
          <w:p w:rsidR="00C31220" w:rsidRPr="00BE056E" w:rsidRDefault="002745EE" w:rsidP="00244A68">
            <w:pPr>
              <w:keepNext/>
              <w:spacing w:before="0" w:after="0"/>
              <w:jc w:val="center"/>
              <w:rPr>
                <w:rFonts w:ascii="Arial Narrow" w:hAnsi="Arial Narrow"/>
                <w:sz w:val="20"/>
                <w:szCs w:val="20"/>
              </w:rPr>
            </w:pPr>
            <w:r>
              <w:rPr>
                <w:rFonts w:ascii="Arial Narrow" w:hAnsi="Arial Narrow"/>
                <w:sz w:val="20"/>
                <w:szCs w:val="20"/>
              </w:rPr>
              <w:t>2</w:t>
            </w:r>
            <w:r w:rsidR="00CE5E2A">
              <w:rPr>
                <w:rFonts w:ascii="Arial Narrow" w:hAnsi="Arial Narrow"/>
                <w:sz w:val="20"/>
                <w:szCs w:val="20"/>
              </w:rPr>
              <w:t>43</w:t>
            </w:r>
            <w:r>
              <w:rPr>
                <w:rFonts w:ascii="Arial Narrow" w:hAnsi="Arial Narrow"/>
                <w:sz w:val="20"/>
                <w:szCs w:val="20"/>
              </w:rPr>
              <w:t xml:space="preserve"> days (median)</w:t>
            </w:r>
          </w:p>
        </w:tc>
        <w:tc>
          <w:tcPr>
            <w:tcW w:w="626" w:type="pct"/>
            <w:shd w:val="clear" w:color="auto" w:fill="auto"/>
            <w:vAlign w:val="center"/>
          </w:tcPr>
          <w:p w:rsidR="00C31220" w:rsidRPr="00BE056E" w:rsidRDefault="00C31220" w:rsidP="00244A68">
            <w:pPr>
              <w:keepNext/>
              <w:spacing w:before="0" w:after="0"/>
              <w:jc w:val="center"/>
              <w:rPr>
                <w:rFonts w:ascii="Arial Narrow" w:hAnsi="Arial Narrow"/>
                <w:sz w:val="20"/>
                <w:szCs w:val="20"/>
              </w:rPr>
            </w:pPr>
            <w:r w:rsidRPr="00BE056E">
              <w:rPr>
                <w:rFonts w:ascii="Arial Narrow" w:hAnsi="Arial Narrow"/>
                <w:sz w:val="20"/>
                <w:szCs w:val="20"/>
              </w:rPr>
              <w:t xml:space="preserve">227 </w:t>
            </w:r>
            <w:proofErr w:type="spellStart"/>
            <w:r w:rsidRPr="00BE056E">
              <w:rPr>
                <w:rFonts w:ascii="Arial Narrow" w:hAnsi="Arial Narrow"/>
                <w:sz w:val="20"/>
                <w:szCs w:val="20"/>
              </w:rPr>
              <w:t>days</w:t>
            </w:r>
            <w:r w:rsidRPr="00BE056E">
              <w:rPr>
                <w:rFonts w:ascii="Arial Narrow" w:hAnsi="Arial Narrow"/>
                <w:sz w:val="20"/>
                <w:szCs w:val="20"/>
                <w:vertAlign w:val="superscript"/>
              </w:rPr>
              <w:t>c</w:t>
            </w:r>
            <w:proofErr w:type="spellEnd"/>
            <w:r w:rsidRPr="00BE056E">
              <w:rPr>
                <w:rFonts w:ascii="Arial Narrow" w:hAnsi="Arial Narrow"/>
                <w:sz w:val="20"/>
                <w:szCs w:val="20"/>
              </w:rPr>
              <w:t xml:space="preserve"> (median)</w:t>
            </w:r>
          </w:p>
        </w:tc>
        <w:tc>
          <w:tcPr>
            <w:tcW w:w="856" w:type="pct"/>
            <w:shd w:val="clear" w:color="auto" w:fill="FFFFFF" w:themeFill="background1"/>
            <w:vAlign w:val="center"/>
          </w:tcPr>
          <w:p w:rsidR="00C31220" w:rsidRPr="00BE056E" w:rsidRDefault="00C31220" w:rsidP="00244A68">
            <w:pPr>
              <w:keepNext/>
              <w:spacing w:before="0" w:after="0"/>
              <w:jc w:val="center"/>
              <w:rPr>
                <w:rFonts w:ascii="Arial Narrow" w:hAnsi="Arial Narrow"/>
                <w:sz w:val="20"/>
                <w:szCs w:val="20"/>
              </w:rPr>
            </w:pPr>
            <w:r w:rsidRPr="00BE056E">
              <w:rPr>
                <w:rFonts w:ascii="Arial Narrow" w:hAnsi="Arial Narrow"/>
                <w:sz w:val="20"/>
                <w:szCs w:val="20"/>
              </w:rPr>
              <w:t xml:space="preserve">146.3 </w:t>
            </w:r>
            <w:proofErr w:type="spellStart"/>
            <w:r w:rsidRPr="00BE056E">
              <w:rPr>
                <w:rFonts w:ascii="Arial Narrow" w:hAnsi="Arial Narrow"/>
                <w:sz w:val="20"/>
                <w:szCs w:val="20"/>
              </w:rPr>
              <w:t>days</w:t>
            </w:r>
            <w:r w:rsidRPr="00BE056E">
              <w:rPr>
                <w:rFonts w:ascii="Arial Narrow" w:hAnsi="Arial Narrow"/>
                <w:sz w:val="20"/>
                <w:szCs w:val="20"/>
                <w:vertAlign w:val="superscript"/>
              </w:rPr>
              <w:t>b</w:t>
            </w:r>
            <w:proofErr w:type="spellEnd"/>
          </w:p>
        </w:tc>
        <w:tc>
          <w:tcPr>
            <w:tcW w:w="801" w:type="pct"/>
            <w:shd w:val="clear" w:color="auto" w:fill="FFFFFF" w:themeFill="background1"/>
            <w:vAlign w:val="center"/>
          </w:tcPr>
          <w:p w:rsidR="002745EE" w:rsidRDefault="002745EE" w:rsidP="00244A68">
            <w:pPr>
              <w:keepNext/>
              <w:spacing w:before="0" w:after="0"/>
              <w:jc w:val="center"/>
              <w:rPr>
                <w:rFonts w:ascii="Arial Narrow" w:hAnsi="Arial Narrow"/>
                <w:sz w:val="20"/>
                <w:szCs w:val="20"/>
              </w:rPr>
            </w:pPr>
            <w:r>
              <w:rPr>
                <w:rFonts w:ascii="Arial Narrow" w:hAnsi="Arial Narrow"/>
                <w:sz w:val="20"/>
                <w:szCs w:val="20"/>
              </w:rPr>
              <w:t>1</w:t>
            </w:r>
            <w:r w:rsidR="00F13E95">
              <w:rPr>
                <w:rFonts w:ascii="Arial Narrow" w:hAnsi="Arial Narrow"/>
                <w:sz w:val="20"/>
                <w:szCs w:val="20"/>
              </w:rPr>
              <w:t>36</w:t>
            </w:r>
            <w:r>
              <w:rPr>
                <w:rFonts w:ascii="Arial Narrow" w:hAnsi="Arial Narrow"/>
                <w:sz w:val="20"/>
                <w:szCs w:val="20"/>
              </w:rPr>
              <w:t xml:space="preserve"> days</w:t>
            </w:r>
          </w:p>
          <w:p w:rsidR="00C31220" w:rsidRPr="00BE056E" w:rsidRDefault="002745EE" w:rsidP="00244A68">
            <w:pPr>
              <w:keepNext/>
              <w:spacing w:before="0" w:after="0"/>
              <w:jc w:val="center"/>
              <w:rPr>
                <w:rFonts w:ascii="Arial Narrow" w:hAnsi="Arial Narrow"/>
                <w:sz w:val="20"/>
                <w:szCs w:val="20"/>
              </w:rPr>
            </w:pPr>
            <w:r>
              <w:rPr>
                <w:rFonts w:ascii="Arial Narrow" w:hAnsi="Arial Narrow"/>
                <w:sz w:val="20"/>
                <w:szCs w:val="20"/>
              </w:rPr>
              <w:t>(median)</w:t>
            </w:r>
          </w:p>
        </w:tc>
        <w:tc>
          <w:tcPr>
            <w:tcW w:w="606" w:type="pct"/>
            <w:vMerge/>
            <w:shd w:val="clear" w:color="auto" w:fill="FFFFFF" w:themeFill="background1"/>
            <w:vAlign w:val="center"/>
          </w:tcPr>
          <w:p w:rsidR="00C31220" w:rsidRPr="00BE056E" w:rsidRDefault="00C31220" w:rsidP="00244A68">
            <w:pPr>
              <w:keepNext/>
              <w:spacing w:before="0" w:after="0"/>
              <w:jc w:val="center"/>
              <w:rPr>
                <w:rFonts w:ascii="Arial Narrow" w:hAnsi="Arial Narrow"/>
                <w:sz w:val="20"/>
                <w:szCs w:val="20"/>
              </w:rPr>
            </w:pPr>
          </w:p>
        </w:tc>
      </w:tr>
      <w:tr w:rsidR="00C31220" w:rsidRPr="000F2527" w:rsidTr="005B0E64">
        <w:trPr>
          <w:cantSplit/>
          <w:jc w:val="center"/>
        </w:trPr>
        <w:tc>
          <w:tcPr>
            <w:tcW w:w="856" w:type="pct"/>
            <w:shd w:val="clear" w:color="auto" w:fill="auto"/>
            <w:vAlign w:val="center"/>
          </w:tcPr>
          <w:p w:rsidR="00C31220" w:rsidRPr="000F2527" w:rsidRDefault="00C31220" w:rsidP="00244A68">
            <w:pPr>
              <w:keepNext/>
              <w:spacing w:before="0" w:after="0"/>
              <w:jc w:val="left"/>
              <w:rPr>
                <w:rFonts w:ascii="Arial Narrow" w:hAnsi="Arial Narrow"/>
                <w:sz w:val="20"/>
                <w:szCs w:val="20"/>
              </w:rPr>
            </w:pPr>
            <w:r w:rsidRPr="000F2527">
              <w:rPr>
                <w:rFonts w:ascii="Arial Narrow" w:hAnsi="Arial Narrow"/>
                <w:sz w:val="20"/>
                <w:szCs w:val="20"/>
              </w:rPr>
              <w:t>Total mg administered</w:t>
            </w:r>
          </w:p>
        </w:tc>
        <w:tc>
          <w:tcPr>
            <w:tcW w:w="703" w:type="pct"/>
            <w:shd w:val="clear" w:color="auto" w:fill="auto"/>
            <w:vAlign w:val="center"/>
          </w:tcPr>
          <w:p w:rsidR="00C31220" w:rsidRPr="000F2527" w:rsidRDefault="00C31220" w:rsidP="00244A68">
            <w:pPr>
              <w:keepNext/>
              <w:spacing w:before="0" w:after="0"/>
              <w:jc w:val="center"/>
              <w:rPr>
                <w:rFonts w:ascii="Arial Narrow" w:hAnsi="Arial Narrow"/>
                <w:iCs/>
                <w:sz w:val="20"/>
                <w:szCs w:val="20"/>
              </w:rPr>
            </w:pPr>
            <w:r w:rsidRPr="000F2527">
              <w:rPr>
                <w:rFonts w:ascii="Arial Narrow" w:hAnsi="Arial Narrow"/>
                <w:iCs/>
                <w:sz w:val="20"/>
                <w:szCs w:val="20"/>
              </w:rPr>
              <w:t>133,312</w:t>
            </w:r>
            <w:r w:rsidR="0083158B" w:rsidRPr="000F2527">
              <w:rPr>
                <w:rFonts w:ascii="Arial Narrow" w:hAnsi="Arial Narrow"/>
                <w:iCs/>
                <w:sz w:val="20"/>
                <w:szCs w:val="20"/>
              </w:rPr>
              <w:t xml:space="preserve"> </w:t>
            </w:r>
            <w:r w:rsidRPr="000F2527">
              <w:rPr>
                <w:rFonts w:ascii="Arial Narrow" w:hAnsi="Arial Narrow"/>
                <w:iCs/>
                <w:sz w:val="20"/>
                <w:szCs w:val="20"/>
              </w:rPr>
              <w:t>mg</w:t>
            </w:r>
          </w:p>
        </w:tc>
        <w:tc>
          <w:tcPr>
            <w:tcW w:w="551" w:type="pct"/>
            <w:shd w:val="clear" w:color="auto" w:fill="auto"/>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NC</w:t>
            </w:r>
          </w:p>
        </w:tc>
        <w:tc>
          <w:tcPr>
            <w:tcW w:w="626" w:type="pct"/>
            <w:shd w:val="clear" w:color="auto" w:fill="auto"/>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NC</w:t>
            </w:r>
          </w:p>
        </w:tc>
        <w:tc>
          <w:tcPr>
            <w:tcW w:w="856" w:type="pct"/>
            <w:shd w:val="clear" w:color="auto" w:fill="FFFFFF" w:themeFill="background1"/>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 xml:space="preserve">Abi: </w:t>
            </w:r>
            <w:r w:rsidRPr="000F2527">
              <w:rPr>
                <w:rFonts w:ascii="Arial Narrow" w:hAnsi="Arial Narrow"/>
                <w:iCs/>
                <w:sz w:val="20"/>
                <w:szCs w:val="20"/>
              </w:rPr>
              <w:t>23,015</w:t>
            </w:r>
            <w:r w:rsidR="00C23D45" w:rsidRPr="000F2527">
              <w:rPr>
                <w:rFonts w:ascii="Arial Narrow" w:hAnsi="Arial Narrow"/>
                <w:iCs/>
                <w:sz w:val="20"/>
                <w:szCs w:val="20"/>
              </w:rPr>
              <w:t xml:space="preserve"> </w:t>
            </w:r>
            <w:r w:rsidRPr="000F2527">
              <w:rPr>
                <w:rFonts w:ascii="Arial Narrow" w:hAnsi="Arial Narrow"/>
                <w:iCs/>
                <w:sz w:val="20"/>
                <w:szCs w:val="20"/>
              </w:rPr>
              <w:t>mg</w:t>
            </w:r>
          </w:p>
          <w:p w:rsidR="00C31220" w:rsidRPr="000F2527" w:rsidRDefault="00C31220" w:rsidP="00244A68">
            <w:pPr>
              <w:keepNext/>
              <w:spacing w:before="0" w:after="0"/>
              <w:jc w:val="center"/>
              <w:rPr>
                <w:rFonts w:ascii="Arial Narrow" w:hAnsi="Arial Narrow"/>
                <w:sz w:val="20"/>
                <w:szCs w:val="20"/>
              </w:rPr>
            </w:pPr>
            <w:proofErr w:type="spellStart"/>
            <w:r w:rsidRPr="000F2527">
              <w:rPr>
                <w:rFonts w:ascii="Arial Narrow" w:hAnsi="Arial Narrow"/>
                <w:sz w:val="20"/>
                <w:szCs w:val="20"/>
              </w:rPr>
              <w:t>Enz</w:t>
            </w:r>
            <w:proofErr w:type="spellEnd"/>
            <w:r w:rsidRPr="000F2527">
              <w:rPr>
                <w:rFonts w:ascii="Arial Narrow" w:hAnsi="Arial Narrow"/>
                <w:sz w:val="20"/>
                <w:szCs w:val="20"/>
              </w:rPr>
              <w:t xml:space="preserve">: </w:t>
            </w:r>
            <w:r w:rsidRPr="000F2527">
              <w:rPr>
                <w:rFonts w:ascii="Arial Narrow" w:hAnsi="Arial Narrow"/>
                <w:iCs/>
                <w:sz w:val="20"/>
                <w:szCs w:val="20"/>
              </w:rPr>
              <w:t>139,570</w:t>
            </w:r>
            <w:r w:rsidR="00C23D45" w:rsidRPr="000F2527">
              <w:rPr>
                <w:rFonts w:ascii="Arial Narrow" w:hAnsi="Arial Narrow"/>
                <w:iCs/>
                <w:sz w:val="20"/>
                <w:szCs w:val="20"/>
              </w:rPr>
              <w:t xml:space="preserve"> </w:t>
            </w:r>
            <w:r w:rsidRPr="000F2527">
              <w:rPr>
                <w:rFonts w:ascii="Arial Narrow" w:hAnsi="Arial Narrow"/>
                <w:iCs/>
                <w:sz w:val="20"/>
                <w:szCs w:val="20"/>
              </w:rPr>
              <w:t>mg</w:t>
            </w:r>
          </w:p>
        </w:tc>
        <w:tc>
          <w:tcPr>
            <w:tcW w:w="801" w:type="pct"/>
            <w:shd w:val="clear" w:color="auto" w:fill="FFFFFF" w:themeFill="background1"/>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NC</w:t>
            </w:r>
          </w:p>
        </w:tc>
        <w:tc>
          <w:tcPr>
            <w:tcW w:w="606" w:type="pct"/>
            <w:vMerge/>
            <w:shd w:val="clear" w:color="auto" w:fill="FFFFFF" w:themeFill="background1"/>
            <w:vAlign w:val="center"/>
          </w:tcPr>
          <w:p w:rsidR="00C31220" w:rsidRPr="000F2527" w:rsidRDefault="00C31220" w:rsidP="00244A68">
            <w:pPr>
              <w:keepNext/>
              <w:spacing w:before="0" w:after="0"/>
              <w:jc w:val="center"/>
              <w:rPr>
                <w:rFonts w:ascii="Arial Narrow" w:hAnsi="Arial Narrow"/>
                <w:sz w:val="20"/>
                <w:szCs w:val="20"/>
              </w:rPr>
            </w:pPr>
          </w:p>
        </w:tc>
      </w:tr>
      <w:tr w:rsidR="00C31220" w:rsidRPr="000F2527" w:rsidTr="005B0E64">
        <w:trPr>
          <w:cantSplit/>
          <w:jc w:val="center"/>
        </w:trPr>
        <w:tc>
          <w:tcPr>
            <w:tcW w:w="856" w:type="pct"/>
            <w:shd w:val="clear" w:color="auto" w:fill="auto"/>
            <w:vAlign w:val="center"/>
          </w:tcPr>
          <w:p w:rsidR="00C31220" w:rsidRPr="000F2527" w:rsidRDefault="00C31220" w:rsidP="00244A68">
            <w:pPr>
              <w:keepNext/>
              <w:spacing w:before="0" w:after="0"/>
              <w:jc w:val="left"/>
              <w:rPr>
                <w:rFonts w:ascii="Arial Narrow" w:hAnsi="Arial Narrow"/>
                <w:sz w:val="20"/>
                <w:szCs w:val="20"/>
              </w:rPr>
            </w:pPr>
            <w:r w:rsidRPr="000F2527">
              <w:rPr>
                <w:rFonts w:ascii="Arial Narrow" w:hAnsi="Arial Narrow"/>
                <w:sz w:val="20"/>
                <w:szCs w:val="20"/>
              </w:rPr>
              <w:t>Cost/patient/month</w:t>
            </w:r>
          </w:p>
        </w:tc>
        <w:tc>
          <w:tcPr>
            <w:tcW w:w="703" w:type="pct"/>
            <w:shd w:val="clear" w:color="auto" w:fill="auto"/>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w:t>
            </w:r>
          </w:p>
        </w:tc>
        <w:tc>
          <w:tcPr>
            <w:tcW w:w="551" w:type="pct"/>
            <w:shd w:val="clear" w:color="auto" w:fill="auto"/>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w:t>
            </w:r>
            <w:r w:rsidR="000F4D7C">
              <w:rPr>
                <w:rFonts w:ascii="Arial Narrow" w:hAnsi="Arial Narrow"/>
                <w:noProof/>
                <w:color w:val="000000"/>
                <w:sz w:val="20"/>
                <w:szCs w:val="20"/>
                <w:highlight w:val="black"/>
              </w:rPr>
              <w:t>'''''''''''''''''''''</w:t>
            </w:r>
            <w:r w:rsidRPr="000F2527">
              <w:rPr>
                <w:rFonts w:ascii="Arial Narrow" w:hAnsi="Arial Narrow"/>
                <w:sz w:val="20"/>
                <w:szCs w:val="20"/>
                <w:vertAlign w:val="superscript"/>
              </w:rPr>
              <w:t>d</w:t>
            </w:r>
          </w:p>
        </w:tc>
        <w:tc>
          <w:tcPr>
            <w:tcW w:w="626" w:type="pct"/>
            <w:shd w:val="clear" w:color="auto" w:fill="auto"/>
            <w:vAlign w:val="center"/>
          </w:tcPr>
          <w:p w:rsidR="00C31220" w:rsidRPr="000F2527" w:rsidRDefault="00C31220" w:rsidP="00244A68">
            <w:pPr>
              <w:keepNext/>
              <w:spacing w:before="0" w:after="0"/>
              <w:jc w:val="center"/>
              <w:rPr>
                <w:rFonts w:ascii="Arial Narrow" w:hAnsi="Arial Narrow"/>
                <w:iCs/>
                <w:sz w:val="20"/>
                <w:szCs w:val="20"/>
              </w:rPr>
            </w:pPr>
            <w:r w:rsidRPr="000F2527">
              <w:rPr>
                <w:rFonts w:ascii="Arial Narrow" w:hAnsi="Arial Narrow"/>
                <w:iCs/>
                <w:sz w:val="20"/>
                <w:szCs w:val="20"/>
              </w:rPr>
              <w:t>$</w:t>
            </w:r>
            <w:r w:rsidR="000F4D7C">
              <w:rPr>
                <w:rFonts w:ascii="Arial Narrow" w:hAnsi="Arial Narrow"/>
                <w:iCs/>
                <w:noProof/>
                <w:color w:val="000000"/>
                <w:sz w:val="20"/>
                <w:szCs w:val="20"/>
                <w:highlight w:val="black"/>
              </w:rPr>
              <w:t>'''''''''''''''''''''</w:t>
            </w:r>
            <w:r w:rsidRPr="000F2527">
              <w:rPr>
                <w:rFonts w:ascii="Arial Narrow" w:hAnsi="Arial Narrow"/>
                <w:iCs/>
                <w:sz w:val="20"/>
                <w:szCs w:val="20"/>
                <w:vertAlign w:val="superscript"/>
              </w:rPr>
              <w:t>e</w:t>
            </w:r>
          </w:p>
        </w:tc>
        <w:tc>
          <w:tcPr>
            <w:tcW w:w="856" w:type="pct"/>
            <w:shd w:val="clear" w:color="auto" w:fill="FFFFFF" w:themeFill="background1"/>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w:t>
            </w:r>
          </w:p>
        </w:tc>
        <w:tc>
          <w:tcPr>
            <w:tcW w:w="801" w:type="pct"/>
            <w:shd w:val="clear" w:color="auto" w:fill="FFFFFF" w:themeFill="background1"/>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w:t>
            </w:r>
            <w:r w:rsidR="000F4D7C">
              <w:rPr>
                <w:rFonts w:ascii="Arial Narrow" w:hAnsi="Arial Narrow"/>
                <w:noProof/>
                <w:color w:val="000000"/>
                <w:sz w:val="20"/>
                <w:szCs w:val="20"/>
                <w:highlight w:val="black"/>
              </w:rPr>
              <w:t>'''''''''''''''''''''''</w:t>
            </w:r>
            <w:r w:rsidRPr="000F2527">
              <w:rPr>
                <w:rFonts w:ascii="Arial Narrow" w:hAnsi="Arial Narrow"/>
                <w:sz w:val="20"/>
                <w:szCs w:val="20"/>
                <w:vertAlign w:val="superscript"/>
              </w:rPr>
              <w:t>f</w:t>
            </w:r>
          </w:p>
        </w:tc>
        <w:tc>
          <w:tcPr>
            <w:tcW w:w="606" w:type="pct"/>
            <w:vMerge/>
            <w:shd w:val="clear" w:color="auto" w:fill="FFFFFF" w:themeFill="background1"/>
            <w:vAlign w:val="center"/>
          </w:tcPr>
          <w:p w:rsidR="00C31220" w:rsidRPr="000F2527" w:rsidRDefault="00C31220" w:rsidP="00244A68">
            <w:pPr>
              <w:keepNext/>
              <w:spacing w:before="0" w:after="0"/>
              <w:jc w:val="center"/>
              <w:rPr>
                <w:rFonts w:ascii="Arial Narrow" w:hAnsi="Arial Narrow"/>
                <w:sz w:val="20"/>
                <w:szCs w:val="20"/>
              </w:rPr>
            </w:pPr>
          </w:p>
        </w:tc>
      </w:tr>
      <w:tr w:rsidR="00C31220" w:rsidRPr="000F2527" w:rsidTr="005B0E64">
        <w:trPr>
          <w:cantSplit/>
          <w:jc w:val="center"/>
        </w:trPr>
        <w:tc>
          <w:tcPr>
            <w:tcW w:w="856" w:type="pct"/>
            <w:shd w:val="clear" w:color="auto" w:fill="auto"/>
            <w:vAlign w:val="center"/>
          </w:tcPr>
          <w:p w:rsidR="00C31220" w:rsidRPr="000F2527" w:rsidRDefault="00C31220" w:rsidP="00244A68">
            <w:pPr>
              <w:keepNext/>
              <w:spacing w:before="0" w:after="0"/>
              <w:jc w:val="left"/>
              <w:rPr>
                <w:rFonts w:ascii="Arial Narrow" w:hAnsi="Arial Narrow"/>
                <w:sz w:val="20"/>
                <w:szCs w:val="20"/>
              </w:rPr>
            </w:pPr>
            <w:r w:rsidRPr="000F2527">
              <w:rPr>
                <w:rFonts w:ascii="Arial Narrow" w:hAnsi="Arial Narrow"/>
                <w:sz w:val="20"/>
                <w:szCs w:val="20"/>
              </w:rPr>
              <w:t>Cost/patient/course</w:t>
            </w:r>
          </w:p>
        </w:tc>
        <w:tc>
          <w:tcPr>
            <w:tcW w:w="703" w:type="pct"/>
            <w:shd w:val="clear" w:color="auto" w:fill="auto"/>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w:t>
            </w:r>
          </w:p>
        </w:tc>
        <w:tc>
          <w:tcPr>
            <w:tcW w:w="551" w:type="pct"/>
            <w:shd w:val="clear" w:color="auto" w:fill="auto"/>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w:t>
            </w:r>
            <w:r w:rsidR="000F4D7C">
              <w:rPr>
                <w:rFonts w:ascii="Arial Narrow" w:hAnsi="Arial Narrow"/>
                <w:noProof/>
                <w:color w:val="000000"/>
                <w:sz w:val="20"/>
                <w:szCs w:val="20"/>
                <w:highlight w:val="black"/>
              </w:rPr>
              <w:t>''''''''''''''''''</w:t>
            </w:r>
            <w:r w:rsidRPr="000F2527">
              <w:rPr>
                <w:rFonts w:ascii="Arial Narrow" w:hAnsi="Arial Narrow"/>
                <w:sz w:val="20"/>
                <w:szCs w:val="20"/>
                <w:vertAlign w:val="superscript"/>
              </w:rPr>
              <w:t>g</w:t>
            </w:r>
          </w:p>
        </w:tc>
        <w:tc>
          <w:tcPr>
            <w:tcW w:w="626" w:type="pct"/>
            <w:shd w:val="clear" w:color="auto" w:fill="auto"/>
            <w:vAlign w:val="center"/>
          </w:tcPr>
          <w:p w:rsidR="00C31220" w:rsidRPr="000F2527" w:rsidRDefault="00C31220" w:rsidP="00244A68">
            <w:pPr>
              <w:keepNext/>
              <w:spacing w:before="0" w:after="0"/>
              <w:jc w:val="center"/>
              <w:rPr>
                <w:rFonts w:ascii="Arial Narrow" w:hAnsi="Arial Narrow"/>
                <w:iCs/>
                <w:sz w:val="20"/>
                <w:szCs w:val="20"/>
              </w:rPr>
            </w:pPr>
            <w:r w:rsidRPr="000F2527">
              <w:rPr>
                <w:rFonts w:ascii="Arial Narrow" w:hAnsi="Arial Narrow"/>
                <w:iCs/>
                <w:sz w:val="20"/>
                <w:szCs w:val="20"/>
              </w:rPr>
              <w:t>$</w:t>
            </w:r>
            <w:r w:rsidR="000F4D7C">
              <w:rPr>
                <w:rFonts w:ascii="Arial Narrow" w:hAnsi="Arial Narrow"/>
                <w:iCs/>
                <w:noProof/>
                <w:color w:val="000000"/>
                <w:sz w:val="20"/>
                <w:szCs w:val="20"/>
                <w:highlight w:val="black"/>
              </w:rPr>
              <w:t>'''''''''''''''''''''''</w:t>
            </w:r>
            <w:r w:rsidRPr="000F2527">
              <w:rPr>
                <w:rFonts w:ascii="Arial Narrow" w:hAnsi="Arial Narrow"/>
                <w:iCs/>
                <w:sz w:val="20"/>
                <w:szCs w:val="20"/>
                <w:vertAlign w:val="superscript"/>
              </w:rPr>
              <w:t>h</w:t>
            </w:r>
          </w:p>
        </w:tc>
        <w:tc>
          <w:tcPr>
            <w:tcW w:w="856" w:type="pct"/>
            <w:shd w:val="clear" w:color="auto" w:fill="FFFFFF" w:themeFill="background1"/>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w:t>
            </w:r>
          </w:p>
        </w:tc>
        <w:tc>
          <w:tcPr>
            <w:tcW w:w="801" w:type="pct"/>
            <w:shd w:val="clear" w:color="auto" w:fill="FFFFFF" w:themeFill="background1"/>
            <w:vAlign w:val="center"/>
          </w:tcPr>
          <w:p w:rsidR="00C31220" w:rsidRPr="000F2527" w:rsidRDefault="00C31220" w:rsidP="00244A68">
            <w:pPr>
              <w:keepNext/>
              <w:spacing w:before="0" w:after="0"/>
              <w:jc w:val="center"/>
              <w:rPr>
                <w:rFonts w:ascii="Arial Narrow" w:hAnsi="Arial Narrow"/>
                <w:sz w:val="20"/>
                <w:szCs w:val="20"/>
              </w:rPr>
            </w:pPr>
            <w:r w:rsidRPr="000F2527">
              <w:rPr>
                <w:rFonts w:ascii="Arial Narrow" w:hAnsi="Arial Narrow"/>
                <w:sz w:val="20"/>
                <w:szCs w:val="20"/>
              </w:rPr>
              <w:t>$</w:t>
            </w:r>
            <w:r w:rsidR="000F4D7C">
              <w:rPr>
                <w:rFonts w:ascii="Arial Narrow" w:hAnsi="Arial Narrow"/>
                <w:noProof/>
                <w:color w:val="000000"/>
                <w:sz w:val="20"/>
                <w:szCs w:val="20"/>
                <w:highlight w:val="black"/>
              </w:rPr>
              <w:t>'''''''''''''''''</w:t>
            </w:r>
            <w:r w:rsidRPr="000F2527">
              <w:rPr>
                <w:rFonts w:ascii="Arial Narrow" w:hAnsi="Arial Narrow"/>
                <w:sz w:val="20"/>
                <w:szCs w:val="20"/>
                <w:vertAlign w:val="superscript"/>
              </w:rPr>
              <w:t>g</w:t>
            </w:r>
          </w:p>
        </w:tc>
        <w:tc>
          <w:tcPr>
            <w:tcW w:w="606" w:type="pct"/>
            <w:vMerge/>
            <w:shd w:val="clear" w:color="auto" w:fill="FFFFFF" w:themeFill="background1"/>
            <w:vAlign w:val="center"/>
          </w:tcPr>
          <w:p w:rsidR="00C31220" w:rsidRPr="000F2527" w:rsidRDefault="00C31220" w:rsidP="00244A68">
            <w:pPr>
              <w:keepNext/>
              <w:spacing w:before="0" w:after="0"/>
              <w:jc w:val="center"/>
              <w:rPr>
                <w:rFonts w:ascii="Arial Narrow" w:hAnsi="Arial Narrow"/>
                <w:sz w:val="20"/>
                <w:szCs w:val="20"/>
              </w:rPr>
            </w:pPr>
          </w:p>
        </w:tc>
      </w:tr>
    </w:tbl>
    <w:p w:rsidR="00C31220" w:rsidRPr="000F2527" w:rsidRDefault="00C31220" w:rsidP="00C31220">
      <w:pPr>
        <w:pStyle w:val="TableFooter"/>
      </w:pPr>
      <w:r w:rsidRPr="000F2527">
        <w:t>Source: Table 3-</w:t>
      </w:r>
      <w:r w:rsidR="00ED3C16" w:rsidRPr="000F2527">
        <w:t>15</w:t>
      </w:r>
      <w:r w:rsidR="00AF23EA">
        <w:t xml:space="preserve"> </w:t>
      </w:r>
      <w:r w:rsidRPr="000F2527">
        <w:t xml:space="preserve">of the submission; worksheet ‘Event </w:t>
      </w:r>
      <w:proofErr w:type="spellStart"/>
      <w:r w:rsidRPr="000F2527">
        <w:t>Mgmt</w:t>
      </w:r>
      <w:proofErr w:type="spellEnd"/>
      <w:r w:rsidRPr="000F2527">
        <w:t xml:space="preserve"> Cost’ in the Exc</w:t>
      </w:r>
      <w:r w:rsidR="00E76B35">
        <w:t xml:space="preserve">el workbook </w:t>
      </w:r>
      <w:proofErr w:type="spellStart"/>
      <w:r w:rsidR="00E76B35">
        <w:t>Olaparib</w:t>
      </w:r>
      <w:proofErr w:type="spellEnd"/>
      <w:r w:rsidR="00E76B35">
        <w:t xml:space="preserve"> </w:t>
      </w:r>
      <w:proofErr w:type="spellStart"/>
      <w:r w:rsidR="00E76B35">
        <w:t>mCRPC</w:t>
      </w:r>
      <w:proofErr w:type="spellEnd"/>
      <w:r w:rsidR="00E76B35">
        <w:t xml:space="preserve"> CEM.</w:t>
      </w:r>
    </w:p>
    <w:p w:rsidR="00C31220" w:rsidRPr="000F2527" w:rsidRDefault="00077040" w:rsidP="00C31220">
      <w:pPr>
        <w:pStyle w:val="TableFooter"/>
      </w:pPr>
      <w:r>
        <w:t>A</w:t>
      </w:r>
      <w:r w:rsidR="00C31220" w:rsidRPr="000F2527">
        <w:t>bi</w:t>
      </w:r>
      <w:r>
        <w:t xml:space="preserve"> </w:t>
      </w:r>
      <w:r w:rsidR="00C31220" w:rsidRPr="000F2527">
        <w:t>=</w:t>
      </w:r>
      <w:r>
        <w:t xml:space="preserve"> </w:t>
      </w:r>
      <w:r w:rsidR="00C31220" w:rsidRPr="000F2527">
        <w:t xml:space="preserve">abiraterone; </w:t>
      </w:r>
      <w:r>
        <w:t xml:space="preserve">DPMQ = dispensed price for maximum quantity; </w:t>
      </w:r>
      <w:proofErr w:type="spellStart"/>
      <w:r>
        <w:t>E</w:t>
      </w:r>
      <w:r w:rsidR="00C31220" w:rsidRPr="000F2527">
        <w:t>nz</w:t>
      </w:r>
      <w:proofErr w:type="spellEnd"/>
      <w:r>
        <w:t xml:space="preserve"> </w:t>
      </w:r>
      <w:r w:rsidR="00C31220" w:rsidRPr="000F2527">
        <w:t>=</w:t>
      </w:r>
      <w:r>
        <w:t xml:space="preserve"> </w:t>
      </w:r>
      <w:r w:rsidR="00C31220" w:rsidRPr="000F2527">
        <w:t>enzalutamide; NC</w:t>
      </w:r>
      <w:r>
        <w:t xml:space="preserve"> </w:t>
      </w:r>
      <w:r w:rsidR="00C31220" w:rsidRPr="000F2527">
        <w:t>=</w:t>
      </w:r>
      <w:r>
        <w:t xml:space="preserve"> </w:t>
      </w:r>
      <w:proofErr w:type="spellStart"/>
      <w:r w:rsidR="00C31220" w:rsidRPr="000F2527">
        <w:t>not</w:t>
      </w:r>
      <w:proofErr w:type="spellEnd"/>
      <w:r w:rsidR="00C31220" w:rsidRPr="000F2527">
        <w:t xml:space="preserve"> calculable; NHA</w:t>
      </w:r>
      <w:r>
        <w:t xml:space="preserve"> </w:t>
      </w:r>
      <w:r w:rsidR="00C31220" w:rsidRPr="000F2527">
        <w:t>=</w:t>
      </w:r>
      <w:r>
        <w:t xml:space="preserve"> </w:t>
      </w:r>
      <w:r w:rsidR="00C31220" w:rsidRPr="000F2527">
        <w:t>novel hormonal agent</w:t>
      </w:r>
      <w:r w:rsidR="00E76B35">
        <w:t>.</w:t>
      </w:r>
    </w:p>
    <w:p w:rsidR="00C31220" w:rsidRPr="000F2527" w:rsidRDefault="00C31220" w:rsidP="00C31220">
      <w:pPr>
        <w:pStyle w:val="TableFooter"/>
        <w:tabs>
          <w:tab w:val="left" w:pos="142"/>
        </w:tabs>
        <w:rPr>
          <w:iCs/>
        </w:rPr>
      </w:pPr>
      <w:proofErr w:type="spellStart"/>
      <w:proofErr w:type="gramStart"/>
      <w:r w:rsidRPr="000F2527">
        <w:rPr>
          <w:vertAlign w:val="superscript"/>
        </w:rPr>
        <w:t>a</w:t>
      </w:r>
      <w:proofErr w:type="spellEnd"/>
      <w:proofErr w:type="gramEnd"/>
      <w:r w:rsidRPr="000F2527">
        <w:tab/>
        <w:t>The submission assumed that 55% of patients would take abiraterone, and 45% would take enzalutamide</w:t>
      </w:r>
      <w:r w:rsidRPr="000F2527">
        <w:rPr>
          <w:iCs/>
        </w:rPr>
        <w:t>.</w:t>
      </w:r>
    </w:p>
    <w:p w:rsidR="00C31220" w:rsidRPr="000F2527" w:rsidRDefault="00C31220" w:rsidP="00C31220">
      <w:pPr>
        <w:pStyle w:val="TableFooter"/>
        <w:tabs>
          <w:tab w:val="left" w:pos="142"/>
        </w:tabs>
        <w:ind w:left="142" w:hanging="142"/>
      </w:pPr>
      <w:proofErr w:type="gramStart"/>
      <w:r w:rsidRPr="000F2527">
        <w:rPr>
          <w:vertAlign w:val="superscript"/>
        </w:rPr>
        <w:t>b</w:t>
      </w:r>
      <w:proofErr w:type="gramEnd"/>
      <w:r w:rsidRPr="000F2527">
        <w:tab/>
        <w:t xml:space="preserve">Duration of treatment was only available for Cohort A and Cohort B combined of </w:t>
      </w:r>
      <w:proofErr w:type="spellStart"/>
      <w:r w:rsidRPr="000F2527">
        <w:t>PROfound</w:t>
      </w:r>
      <w:proofErr w:type="spellEnd"/>
      <w:r w:rsidRPr="000F2527">
        <w:t xml:space="preserve">. </w:t>
      </w:r>
      <w:r w:rsidRPr="000F2527">
        <w:rPr>
          <w:iCs/>
        </w:rPr>
        <w:t xml:space="preserve">When dose interruptions were included in the calculation of treatment duration, the mean duration of treatment became 229.6 days for </w:t>
      </w:r>
      <w:proofErr w:type="spellStart"/>
      <w:r w:rsidRPr="000F2527">
        <w:rPr>
          <w:iCs/>
        </w:rPr>
        <w:t>olaparib</w:t>
      </w:r>
      <w:proofErr w:type="spellEnd"/>
      <w:r w:rsidRPr="000F2527">
        <w:rPr>
          <w:iCs/>
        </w:rPr>
        <w:t xml:space="preserve"> and 143.7 days for NHA.</w:t>
      </w:r>
    </w:p>
    <w:p w:rsidR="00C31220" w:rsidRPr="000F2527" w:rsidRDefault="00C31220" w:rsidP="00C31220">
      <w:pPr>
        <w:pStyle w:val="TableFooter"/>
        <w:tabs>
          <w:tab w:val="left" w:pos="142"/>
        </w:tabs>
        <w:ind w:left="142" w:hanging="142"/>
      </w:pPr>
      <w:proofErr w:type="gramStart"/>
      <w:r w:rsidRPr="000F2527">
        <w:rPr>
          <w:vertAlign w:val="superscript"/>
        </w:rPr>
        <w:t>c</w:t>
      </w:r>
      <w:proofErr w:type="gramEnd"/>
      <w:r w:rsidRPr="000F2527">
        <w:tab/>
        <w:t>The submission assumed that 5% of patients would have a dose reduction and use the 100</w:t>
      </w:r>
      <w:r w:rsidR="00C23D45" w:rsidRPr="000F2527">
        <w:t xml:space="preserve"> </w:t>
      </w:r>
      <w:r w:rsidRPr="000F2527">
        <w:t xml:space="preserve">mg dose of </w:t>
      </w:r>
      <w:proofErr w:type="spellStart"/>
      <w:r w:rsidRPr="000F2527">
        <w:t>olaparib</w:t>
      </w:r>
      <w:proofErr w:type="spellEnd"/>
      <w:r w:rsidRPr="000F2527">
        <w:t>. While the submission identified that the first dose reduction is to 500</w:t>
      </w:r>
      <w:r w:rsidR="00C23D45" w:rsidRPr="000F2527">
        <w:t xml:space="preserve"> </w:t>
      </w:r>
      <w:r w:rsidRPr="000F2527">
        <w:t>mg/day and the second is to 400</w:t>
      </w:r>
      <w:r w:rsidR="00C23D45" w:rsidRPr="000F2527">
        <w:t xml:space="preserve"> </w:t>
      </w:r>
      <w:r w:rsidRPr="000F2527">
        <w:t xml:space="preserve">mg/day, </w:t>
      </w:r>
      <w:r w:rsidRPr="000F2527">
        <w:rPr>
          <w:iCs/>
        </w:rPr>
        <w:t>there was no information provided on how many patients would use 500</w:t>
      </w:r>
      <w:r w:rsidR="00C23D45" w:rsidRPr="000F2527">
        <w:rPr>
          <w:iCs/>
        </w:rPr>
        <w:t xml:space="preserve"> </w:t>
      </w:r>
      <w:r w:rsidRPr="000F2527">
        <w:rPr>
          <w:iCs/>
        </w:rPr>
        <w:t>mg or 400</w:t>
      </w:r>
      <w:r w:rsidR="00C23D45" w:rsidRPr="000F2527">
        <w:rPr>
          <w:iCs/>
        </w:rPr>
        <w:t xml:space="preserve"> </w:t>
      </w:r>
      <w:r w:rsidRPr="000F2527">
        <w:rPr>
          <w:iCs/>
        </w:rPr>
        <w:t>mg, or how long each would be used. Thus, the total mg used over 227 days cannot be determined.</w:t>
      </w:r>
    </w:p>
    <w:p w:rsidR="00C31220" w:rsidRPr="000F2527" w:rsidRDefault="00C31220" w:rsidP="00C31220">
      <w:pPr>
        <w:pStyle w:val="TableFooter"/>
        <w:tabs>
          <w:tab w:val="left" w:pos="142"/>
        </w:tabs>
        <w:ind w:left="142" w:hanging="142"/>
      </w:pPr>
      <w:proofErr w:type="gramStart"/>
      <w:r w:rsidRPr="000F2527">
        <w:rPr>
          <w:vertAlign w:val="superscript"/>
        </w:rPr>
        <w:t>d</w:t>
      </w:r>
      <w:proofErr w:type="gramEnd"/>
      <w:r w:rsidRPr="000F2527">
        <w:tab/>
        <w:t xml:space="preserve">A dose intensity of 91.51% was assumed by the submission, based on </w:t>
      </w:r>
      <w:proofErr w:type="spellStart"/>
      <w:r w:rsidRPr="000F2527">
        <w:t>PROfound</w:t>
      </w:r>
      <w:proofErr w:type="spellEnd"/>
      <w:r w:rsidRPr="000F2527">
        <w:t xml:space="preserve"> data.</w:t>
      </w:r>
      <w:r w:rsidR="00407374" w:rsidRPr="000F2527">
        <w:t xml:space="preserve"> The cost per month in the model was adjusted for cost over a treatment cycle (4 weeks) to a one month period.</w:t>
      </w:r>
    </w:p>
    <w:p w:rsidR="00C31220" w:rsidRPr="000F2527" w:rsidRDefault="00C31220" w:rsidP="00C31220">
      <w:pPr>
        <w:pStyle w:val="TableFooter"/>
        <w:tabs>
          <w:tab w:val="left" w:pos="142"/>
        </w:tabs>
        <w:ind w:left="142" w:hanging="142"/>
      </w:pPr>
      <w:r w:rsidRPr="000F2527">
        <w:rPr>
          <w:vertAlign w:val="superscript"/>
        </w:rPr>
        <w:t>e</w:t>
      </w:r>
      <w:r w:rsidRPr="000F2527">
        <w:tab/>
        <w:t>The same DPMQ was applied to the 150</w:t>
      </w:r>
      <w:r w:rsidR="00C23D45" w:rsidRPr="000F2527">
        <w:t xml:space="preserve"> </w:t>
      </w:r>
      <w:r w:rsidRPr="000F2527">
        <w:t>mg and 100</w:t>
      </w:r>
      <w:r w:rsidR="00C23D45" w:rsidRPr="000F2527">
        <w:t xml:space="preserve"> </w:t>
      </w:r>
      <w:r w:rsidRPr="000F2527">
        <w:t xml:space="preserve">mg doses of </w:t>
      </w:r>
      <w:proofErr w:type="spellStart"/>
      <w:r w:rsidRPr="000F2527">
        <w:t>olaparib</w:t>
      </w:r>
      <w:proofErr w:type="spellEnd"/>
      <w:r w:rsidRPr="000F2527">
        <w:t>, and the submission assumed that usage of the 100</w:t>
      </w:r>
      <w:r w:rsidR="00C23D45" w:rsidRPr="000F2527">
        <w:t xml:space="preserve"> </w:t>
      </w:r>
      <w:r w:rsidRPr="000F2527">
        <w:t>mg dose would be 5%, to account for dose reductions.</w:t>
      </w:r>
    </w:p>
    <w:p w:rsidR="00C31220" w:rsidRPr="000F2527" w:rsidRDefault="00C31220" w:rsidP="00C31220">
      <w:pPr>
        <w:pStyle w:val="TableFooter"/>
        <w:tabs>
          <w:tab w:val="left" w:pos="142"/>
        </w:tabs>
        <w:ind w:left="142" w:hanging="142"/>
      </w:pPr>
      <w:proofErr w:type="gramStart"/>
      <w:r w:rsidRPr="000F2527">
        <w:rPr>
          <w:vertAlign w:val="superscript"/>
        </w:rPr>
        <w:t>f</w:t>
      </w:r>
      <w:proofErr w:type="gramEnd"/>
      <w:r w:rsidRPr="000F2527">
        <w:tab/>
        <w:t>A dose intensity 98.32% was applied to abiraterone, and a dose intensity of 95.40% was applied to enzalutamide. The abiraterone cost also included the cost of concomitant prednisolone.</w:t>
      </w:r>
    </w:p>
    <w:p w:rsidR="00C31220" w:rsidRPr="000F2527" w:rsidRDefault="00C31220" w:rsidP="00C31220">
      <w:pPr>
        <w:pStyle w:val="TableFooter"/>
        <w:tabs>
          <w:tab w:val="left" w:pos="142"/>
        </w:tabs>
        <w:ind w:left="142" w:hanging="142"/>
      </w:pPr>
      <w:proofErr w:type="gramStart"/>
      <w:r w:rsidRPr="000F2527">
        <w:rPr>
          <w:vertAlign w:val="superscript"/>
        </w:rPr>
        <w:t>g</w:t>
      </w:r>
      <w:proofErr w:type="gramEnd"/>
      <w:r w:rsidRPr="000F2527">
        <w:tab/>
        <w:t xml:space="preserve">The submission included test cost as part of drug cost, </w:t>
      </w:r>
      <w:r w:rsidRPr="000F2527">
        <w:rPr>
          <w:iCs/>
        </w:rPr>
        <w:t>however test cost has been removed from drug cost for the values reported here.</w:t>
      </w:r>
    </w:p>
    <w:p w:rsidR="00C31220" w:rsidRPr="000F2527" w:rsidRDefault="00C31220" w:rsidP="00C31220">
      <w:pPr>
        <w:pStyle w:val="TableFooter"/>
        <w:tabs>
          <w:tab w:val="left" w:pos="142"/>
        </w:tabs>
        <w:ind w:left="142" w:hanging="142"/>
      </w:pPr>
      <w:proofErr w:type="gramStart"/>
      <w:r w:rsidRPr="000F2527">
        <w:rPr>
          <w:vertAlign w:val="superscript"/>
        </w:rPr>
        <w:t>h</w:t>
      </w:r>
      <w:proofErr w:type="gramEnd"/>
      <w:r w:rsidRPr="000F2527">
        <w:tab/>
      </w:r>
      <w:r w:rsidRPr="000F2527">
        <w:rPr>
          <w:iCs/>
        </w:rPr>
        <w:t xml:space="preserve">This was calculated based on the cost of patients treated in Year 1, divided by the number receiving initial treatment and the number receiving continuing treatment. </w:t>
      </w:r>
      <w:proofErr w:type="spellStart"/>
      <w:r w:rsidRPr="000F2527">
        <w:rPr>
          <w:iCs/>
        </w:rPr>
        <w:t>Copayment</w:t>
      </w:r>
      <w:proofErr w:type="spellEnd"/>
      <w:r w:rsidRPr="000F2527">
        <w:rPr>
          <w:iCs/>
        </w:rPr>
        <w:t xml:space="preserve"> cost has been subtracted.</w:t>
      </w:r>
    </w:p>
    <w:p w:rsidR="00C31220" w:rsidRPr="000F2527" w:rsidRDefault="00C31220" w:rsidP="00C31220">
      <w:pPr>
        <w:pStyle w:val="ListParagraph"/>
        <w:rPr>
          <w:iCs/>
          <w:color w:val="auto"/>
        </w:rPr>
      </w:pPr>
      <w:r w:rsidRPr="000F2527">
        <w:rPr>
          <w:iCs/>
          <w:color w:val="auto"/>
        </w:rPr>
        <w:t xml:space="preserve">The cost of </w:t>
      </w:r>
      <w:proofErr w:type="spellStart"/>
      <w:r w:rsidRPr="000F2527">
        <w:rPr>
          <w:iCs/>
          <w:color w:val="auto"/>
        </w:rPr>
        <w:t>olaparib</w:t>
      </w:r>
      <w:proofErr w:type="spellEnd"/>
      <w:r w:rsidRPr="000F2527">
        <w:rPr>
          <w:iCs/>
          <w:color w:val="auto"/>
        </w:rPr>
        <w:t xml:space="preserve"> treatment based on the economic model ($</w:t>
      </w:r>
      <w:r w:rsidR="000F4D7C">
        <w:rPr>
          <w:iCs/>
          <w:noProof/>
          <w:color w:val="000000"/>
          <w:highlight w:val="black"/>
        </w:rPr>
        <w:t>''''''''''''</w:t>
      </w:r>
      <w:r w:rsidRPr="000F2527">
        <w:rPr>
          <w:iCs/>
          <w:color w:val="auto"/>
        </w:rPr>
        <w:t xml:space="preserve">) could not be associated with a treatment duration as the economic model predicted treatment duration </w:t>
      </w:r>
      <w:r w:rsidR="00D17A2B" w:rsidRPr="000F2527">
        <w:rPr>
          <w:iCs/>
          <w:color w:val="auto"/>
        </w:rPr>
        <w:t>of</w:t>
      </w:r>
      <w:r w:rsidRPr="000F2527">
        <w:rPr>
          <w:iCs/>
          <w:color w:val="auto"/>
        </w:rPr>
        <w:t xml:space="preserve"> 2.7 years longer than a patient was alive in the model. The cost for </w:t>
      </w:r>
      <w:proofErr w:type="spellStart"/>
      <w:r w:rsidRPr="000F2527">
        <w:rPr>
          <w:iCs/>
          <w:color w:val="auto"/>
        </w:rPr>
        <w:t>olaparib</w:t>
      </w:r>
      <w:proofErr w:type="spellEnd"/>
      <w:r w:rsidRPr="000F2527">
        <w:rPr>
          <w:iCs/>
          <w:color w:val="auto"/>
        </w:rPr>
        <w:t xml:space="preserve"> based on the financial estimates applied 5% usage of the 100</w:t>
      </w:r>
      <w:r w:rsidR="00D17A2B" w:rsidRPr="000F2527">
        <w:rPr>
          <w:iCs/>
          <w:color w:val="auto"/>
        </w:rPr>
        <w:t xml:space="preserve"> </w:t>
      </w:r>
      <w:r w:rsidRPr="000F2527">
        <w:rPr>
          <w:iCs/>
          <w:color w:val="auto"/>
        </w:rPr>
        <w:t>mg dose to account for dose reductions, but no information was provided on what dose reduction was used (to 400</w:t>
      </w:r>
      <w:r w:rsidR="00D17A2B" w:rsidRPr="000F2527">
        <w:rPr>
          <w:iCs/>
          <w:color w:val="auto"/>
        </w:rPr>
        <w:t xml:space="preserve"> </w:t>
      </w:r>
      <w:r w:rsidRPr="000F2527">
        <w:rPr>
          <w:iCs/>
          <w:color w:val="auto"/>
        </w:rPr>
        <w:t>mg/day or 500</w:t>
      </w:r>
      <w:r w:rsidR="00D17A2B" w:rsidRPr="000F2527">
        <w:rPr>
          <w:iCs/>
          <w:color w:val="auto"/>
        </w:rPr>
        <w:t xml:space="preserve"> </w:t>
      </w:r>
      <w:r w:rsidRPr="000F2527">
        <w:rPr>
          <w:iCs/>
          <w:color w:val="auto"/>
        </w:rPr>
        <w:t>mg/day)</w:t>
      </w:r>
      <w:r w:rsidR="00ED3C16" w:rsidRPr="000F2527">
        <w:rPr>
          <w:iCs/>
          <w:color w:val="auto"/>
        </w:rPr>
        <w:t xml:space="preserve"> or for how long the dose reduction lasted</w:t>
      </w:r>
      <w:r w:rsidRPr="000F2527">
        <w:rPr>
          <w:iCs/>
          <w:color w:val="auto"/>
        </w:rPr>
        <w:t>. The submission provided no discussion as to why dose intensity was applied in the economic model but a dose reduction was appl</w:t>
      </w:r>
      <w:r w:rsidR="00E76B35">
        <w:rPr>
          <w:iCs/>
          <w:color w:val="auto"/>
        </w:rPr>
        <w:t>ied in the financial estimates.</w:t>
      </w:r>
    </w:p>
    <w:p w:rsidR="00C31220" w:rsidRPr="00AA6D4A" w:rsidRDefault="00C31220" w:rsidP="00C31220">
      <w:pPr>
        <w:pStyle w:val="PBACESHeading2"/>
        <w:rPr>
          <w:rFonts w:asciiTheme="minorHAnsi" w:hAnsiTheme="minorHAnsi" w:cstheme="minorHAnsi"/>
        </w:rPr>
      </w:pPr>
      <w:bookmarkStart w:id="40" w:name="_Toc413139284"/>
      <w:bookmarkStart w:id="41" w:name="_Toc58779763"/>
      <w:bookmarkStart w:id="42" w:name="_Toc62027849"/>
      <w:bookmarkStart w:id="43" w:name="_Toc413139286"/>
      <w:r w:rsidRPr="00AA6D4A">
        <w:rPr>
          <w:rFonts w:asciiTheme="minorHAnsi" w:hAnsiTheme="minorHAnsi" w:cstheme="minorHAnsi"/>
        </w:rPr>
        <w:t>Estimated PBS &amp; financial implications</w:t>
      </w:r>
      <w:bookmarkEnd w:id="40"/>
      <w:bookmarkEnd w:id="41"/>
      <w:bookmarkEnd w:id="42"/>
    </w:p>
    <w:p w:rsidR="00C31220" w:rsidRPr="00BE056E" w:rsidRDefault="000F2527" w:rsidP="00756C0D">
      <w:pPr>
        <w:pStyle w:val="ListParagraph"/>
      </w:pPr>
      <w:r>
        <w:t>This submission wa</w:t>
      </w:r>
      <w:r w:rsidR="00C31220" w:rsidRPr="00BE056E">
        <w:t>s not considered by DUSC. While the</w:t>
      </w:r>
      <w:r w:rsidR="0034499F">
        <w:t xml:space="preserve"> submission stated </w:t>
      </w:r>
      <w:r w:rsidR="00756C0D">
        <w:t>that</w:t>
      </w:r>
      <w:r w:rsidR="00C31220" w:rsidRPr="00BE056E">
        <w:t xml:space="preserve"> patient population estimates in the ratified PICO for Application 1618 were based on an incident prostate cancer population, the submission based its estimates of use on a prevalent population. </w:t>
      </w:r>
      <w:r w:rsidR="000A6DC2">
        <w:t xml:space="preserve">The submission stated that the literature supports the assertion that the prevalent population is the main source of patients for the requested listing because patients with prostate cancer typically progress to </w:t>
      </w:r>
      <w:proofErr w:type="spellStart"/>
      <w:r w:rsidR="000A6DC2">
        <w:t>mCRPC</w:t>
      </w:r>
      <w:proofErr w:type="spellEnd"/>
      <w:r w:rsidR="000A6DC2">
        <w:t xml:space="preserve"> over a number of years.</w:t>
      </w:r>
      <w:r w:rsidR="00756C0D">
        <w:t xml:space="preserve"> </w:t>
      </w:r>
      <w:r w:rsidR="00C31220" w:rsidRPr="00BE056E">
        <w:t xml:space="preserve">The key inputs </w:t>
      </w:r>
      <w:r w:rsidR="000A6DC2">
        <w:t xml:space="preserve">and literature sources </w:t>
      </w:r>
      <w:r w:rsidR="00C31220" w:rsidRPr="00BE056E">
        <w:t>used in the financial estimates are summarised in the table below.</w:t>
      </w:r>
    </w:p>
    <w:p w:rsidR="00C31220" w:rsidRPr="00BE056E" w:rsidRDefault="00332DE9" w:rsidP="006D5984">
      <w:pPr>
        <w:pStyle w:val="TableFigureHeading"/>
        <w:rPr>
          <w:rStyle w:val="InstructionalTextChar"/>
          <w:rFonts w:eastAsiaTheme="majorEastAsia"/>
          <w:b w:val="0"/>
          <w:color w:val="auto"/>
        </w:rPr>
      </w:pPr>
      <w:r w:rsidRPr="00BE056E">
        <w:lastRenderedPageBreak/>
        <w:t xml:space="preserve">Table </w:t>
      </w:r>
      <w:r w:rsidR="00CD4B9C">
        <w:rPr>
          <w:noProof/>
        </w:rPr>
        <w:t>16</w:t>
      </w:r>
      <w:r w:rsidR="0073766D">
        <w:rPr>
          <w:noProof/>
        </w:rPr>
        <w:t>:</w:t>
      </w:r>
      <w:r w:rsidR="00E76B35">
        <w:rPr>
          <w:noProof/>
        </w:rPr>
        <w:tab/>
      </w:r>
      <w:r w:rsidR="00C31220" w:rsidRPr="00BE056E">
        <w:t xml:space="preserve">Data sources and parameters used to calculate the financial impact of the requested listing of </w:t>
      </w:r>
      <w:proofErr w:type="spellStart"/>
      <w:r w:rsidR="00C31220" w:rsidRPr="00BE056E">
        <w:t>olaparib</w:t>
      </w:r>
      <w:proofErr w:type="spellEnd"/>
      <w:r w:rsidR="00C31220" w:rsidRPr="00BE056E">
        <w:t xml:space="preserve"> for </w:t>
      </w:r>
      <w:proofErr w:type="spellStart"/>
      <w:r w:rsidR="00C31220" w:rsidRPr="00BE056E">
        <w:t>mCRPC</w:t>
      </w:r>
      <w:proofErr w:type="spell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969"/>
        <w:gridCol w:w="3969"/>
      </w:tblGrid>
      <w:tr w:rsidR="00C31220" w:rsidRPr="00BE056E" w:rsidTr="005B0E64">
        <w:trPr>
          <w:tblHeader/>
        </w:trPr>
        <w:tc>
          <w:tcPr>
            <w:tcW w:w="1129" w:type="dxa"/>
            <w:vAlign w:val="center"/>
          </w:tcPr>
          <w:p w:rsidR="00C31220" w:rsidRPr="00BE056E" w:rsidRDefault="00C31220" w:rsidP="006D5984">
            <w:pPr>
              <w:keepNext/>
              <w:widowControl w:val="0"/>
              <w:spacing w:before="0" w:after="0"/>
              <w:jc w:val="left"/>
              <w:rPr>
                <w:rFonts w:ascii="Arial Narrow" w:hAnsi="Arial Narrow"/>
                <w:b/>
                <w:bCs/>
                <w:sz w:val="20"/>
                <w:szCs w:val="20"/>
              </w:rPr>
            </w:pPr>
            <w:r w:rsidRPr="00BE056E">
              <w:rPr>
                <w:rFonts w:ascii="Arial Narrow" w:hAnsi="Arial Narrow"/>
                <w:b/>
                <w:bCs/>
                <w:sz w:val="20"/>
                <w:szCs w:val="20"/>
              </w:rPr>
              <w:t>Data</w:t>
            </w:r>
          </w:p>
        </w:tc>
        <w:tc>
          <w:tcPr>
            <w:tcW w:w="3969" w:type="dxa"/>
            <w:vAlign w:val="center"/>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Value and source</w:t>
            </w:r>
          </w:p>
        </w:tc>
        <w:tc>
          <w:tcPr>
            <w:tcW w:w="3969" w:type="dxa"/>
            <w:vAlign w:val="center"/>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Comment</w:t>
            </w:r>
          </w:p>
        </w:tc>
      </w:tr>
      <w:tr w:rsidR="00C31220" w:rsidRPr="00BE056E" w:rsidTr="005B0E64">
        <w:tc>
          <w:tcPr>
            <w:tcW w:w="9067" w:type="dxa"/>
            <w:gridSpan w:val="3"/>
            <w:vAlign w:val="center"/>
          </w:tcPr>
          <w:p w:rsidR="00C31220" w:rsidRPr="00BE056E" w:rsidRDefault="00C31220" w:rsidP="006D5984">
            <w:pPr>
              <w:keepNext/>
              <w:widowControl w:val="0"/>
              <w:spacing w:before="0" w:after="0"/>
              <w:jc w:val="left"/>
              <w:rPr>
                <w:rFonts w:ascii="Arial Narrow" w:hAnsi="Arial Narrow"/>
                <w:b/>
                <w:bCs/>
                <w:sz w:val="20"/>
                <w:szCs w:val="20"/>
              </w:rPr>
            </w:pPr>
            <w:r w:rsidRPr="00BE056E">
              <w:rPr>
                <w:rFonts w:ascii="Arial Narrow" w:hAnsi="Arial Narrow"/>
                <w:b/>
                <w:bCs/>
                <w:sz w:val="20"/>
                <w:szCs w:val="20"/>
              </w:rPr>
              <w:t>Prevalent population</w:t>
            </w:r>
          </w:p>
        </w:tc>
      </w:tr>
      <w:tr w:rsidR="00C31220" w:rsidRPr="00BE056E" w:rsidTr="005B0E64">
        <w:trPr>
          <w:trHeight w:val="325"/>
        </w:trPr>
        <w:tc>
          <w:tcPr>
            <w:tcW w:w="1129" w:type="dxa"/>
            <w:tcBorders>
              <w:bottom w:val="single" w:sz="4" w:space="0" w:color="auto"/>
              <w:right w:val="single" w:sz="4" w:space="0" w:color="auto"/>
            </w:tcBorders>
            <w:vAlign w:val="center"/>
          </w:tcPr>
          <w:p w:rsidR="00C31220" w:rsidRPr="00BE056E" w:rsidRDefault="00C31220" w:rsidP="006D5984">
            <w:pPr>
              <w:keepNext/>
              <w:widowControl w:val="0"/>
              <w:spacing w:before="0" w:after="0"/>
              <w:jc w:val="left"/>
              <w:rPr>
                <w:rFonts w:ascii="Arial Narrow" w:hAnsi="Arial Narrow"/>
                <w:sz w:val="20"/>
                <w:szCs w:val="20"/>
              </w:rPr>
            </w:pPr>
            <w:r w:rsidRPr="00BE056E">
              <w:rPr>
                <w:rFonts w:ascii="Arial Narrow" w:hAnsi="Arial Narrow"/>
                <w:sz w:val="20"/>
                <w:szCs w:val="20"/>
              </w:rPr>
              <w:t>HSPC patients</w:t>
            </w:r>
          </w:p>
        </w:tc>
        <w:tc>
          <w:tcPr>
            <w:tcW w:w="3969" w:type="dxa"/>
            <w:tcBorders>
              <w:left w:val="single" w:sz="4" w:space="0" w:color="auto"/>
              <w:bottom w:val="single" w:sz="4" w:space="0" w:color="auto"/>
            </w:tcBorders>
            <w:noWrap/>
            <w:vAlign w:val="center"/>
          </w:tcPr>
          <w:tbl>
            <w:tblP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73"/>
              <w:gridCol w:w="572"/>
              <w:gridCol w:w="567"/>
              <w:gridCol w:w="567"/>
              <w:gridCol w:w="567"/>
            </w:tblGrid>
            <w:tr w:rsidR="00C31220" w:rsidRPr="00BE056E" w:rsidTr="00631D63">
              <w:tc>
                <w:tcPr>
                  <w:tcW w:w="567"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1</w:t>
                  </w:r>
                </w:p>
              </w:tc>
              <w:tc>
                <w:tcPr>
                  <w:tcW w:w="673"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2</w:t>
                  </w:r>
                </w:p>
              </w:tc>
              <w:tc>
                <w:tcPr>
                  <w:tcW w:w="572"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3</w:t>
                  </w:r>
                </w:p>
              </w:tc>
              <w:tc>
                <w:tcPr>
                  <w:tcW w:w="567"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4</w:t>
                  </w:r>
                </w:p>
              </w:tc>
              <w:tc>
                <w:tcPr>
                  <w:tcW w:w="567"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5</w:t>
                  </w:r>
                </w:p>
              </w:tc>
              <w:tc>
                <w:tcPr>
                  <w:tcW w:w="567"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6</w:t>
                  </w:r>
                </w:p>
              </w:tc>
            </w:tr>
            <w:tr w:rsidR="00C31220" w:rsidRPr="00BE056E" w:rsidTr="00631D63">
              <w:trPr>
                <w:trHeight w:val="60"/>
              </w:trPr>
              <w:tc>
                <w:tcPr>
                  <w:tcW w:w="567" w:type="dxa"/>
                </w:tcPr>
                <w:p w:rsidR="00C31220" w:rsidRPr="000F4D7C" w:rsidRDefault="00A532E5" w:rsidP="006D5984">
                  <w:pPr>
                    <w:keepNext/>
                    <w:widowControl w:val="0"/>
                    <w:spacing w:before="0" w:after="0"/>
                    <w:jc w:val="center"/>
                    <w:rPr>
                      <w:rFonts w:ascii="Arial Narrow" w:hAnsi="Arial Narrow"/>
                      <w:sz w:val="20"/>
                      <w:szCs w:val="20"/>
                    </w:rPr>
                  </w:pPr>
                  <w:r>
                    <w:rPr>
                      <w:rFonts w:ascii="Arial Narrow" w:hAnsi="Arial Narrow" w:cs="Arial"/>
                      <w:noProof/>
                      <w:color w:val="000000"/>
                      <w:sz w:val="20"/>
                      <w:szCs w:val="20"/>
                      <w:highlight w:val="black"/>
                    </w:rPr>
                    <w:t>'''''''''</w:t>
                  </w:r>
                  <w:r w:rsidR="000F4D7C">
                    <w:rPr>
                      <w:rFonts w:ascii="Arial Narrow" w:hAnsi="Arial Narrow" w:cs="Arial"/>
                      <w:noProof/>
                      <w:color w:val="000000"/>
                      <w:sz w:val="20"/>
                      <w:szCs w:val="20"/>
                      <w:highlight w:val="black"/>
                    </w:rPr>
                    <w:t>'''''</w:t>
                  </w:r>
                  <w:r w:rsidR="00881E0E">
                    <w:rPr>
                      <w:rFonts w:ascii="Arial Narrow" w:hAnsi="Arial Narrow"/>
                      <w:sz w:val="20"/>
                      <w:szCs w:val="20"/>
                      <w:vertAlign w:val="superscript"/>
                    </w:rPr>
                    <w:t>1</w:t>
                  </w:r>
                </w:p>
              </w:tc>
              <w:tc>
                <w:tcPr>
                  <w:tcW w:w="673" w:type="dxa"/>
                </w:tcPr>
                <w:p w:rsidR="00C31220" w:rsidRPr="000F4D7C" w:rsidRDefault="000F4D7C" w:rsidP="006D5984">
                  <w:pPr>
                    <w:keepNext/>
                    <w:widowControl w:val="0"/>
                    <w:spacing w:before="0" w:after="0"/>
                    <w:jc w:val="center"/>
                    <w:rPr>
                      <w:rFonts w:ascii="Arial Narrow" w:hAnsi="Arial Narrow"/>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1</w:t>
                  </w:r>
                </w:p>
              </w:tc>
              <w:tc>
                <w:tcPr>
                  <w:tcW w:w="572" w:type="dxa"/>
                </w:tcPr>
                <w:p w:rsidR="00C31220" w:rsidRPr="000F4D7C" w:rsidRDefault="00A532E5" w:rsidP="006D5984">
                  <w:pPr>
                    <w:keepNext/>
                    <w:widowControl w:val="0"/>
                    <w:spacing w:before="0" w:after="0"/>
                    <w:jc w:val="center"/>
                    <w:rPr>
                      <w:rFonts w:ascii="Arial Narrow" w:hAnsi="Arial Narrow"/>
                      <w:sz w:val="20"/>
                      <w:szCs w:val="20"/>
                    </w:rPr>
                  </w:pPr>
                  <w:r>
                    <w:rPr>
                      <w:rFonts w:ascii="Arial Narrow" w:hAnsi="Arial Narrow" w:cs="Arial"/>
                      <w:noProof/>
                      <w:color w:val="000000"/>
                      <w:sz w:val="20"/>
                      <w:szCs w:val="20"/>
                      <w:highlight w:val="black"/>
                    </w:rPr>
                    <w:t>''''''</w:t>
                  </w:r>
                  <w:r w:rsidR="000F4D7C">
                    <w:rPr>
                      <w:rFonts w:ascii="Arial Narrow" w:hAnsi="Arial Narrow" w:cs="Arial"/>
                      <w:noProof/>
                      <w:color w:val="000000"/>
                      <w:sz w:val="20"/>
                      <w:szCs w:val="20"/>
                      <w:highlight w:val="black"/>
                    </w:rPr>
                    <w:t>'''''''</w:t>
                  </w:r>
                  <w:r w:rsidR="00881E0E">
                    <w:rPr>
                      <w:rFonts w:ascii="Arial Narrow" w:hAnsi="Arial Narrow"/>
                      <w:sz w:val="20"/>
                      <w:szCs w:val="20"/>
                      <w:vertAlign w:val="superscript"/>
                    </w:rPr>
                    <w:t>1</w:t>
                  </w:r>
                </w:p>
              </w:tc>
              <w:tc>
                <w:tcPr>
                  <w:tcW w:w="567" w:type="dxa"/>
                </w:tcPr>
                <w:p w:rsidR="00C31220" w:rsidRPr="000F4D7C" w:rsidRDefault="00A532E5" w:rsidP="006D5984">
                  <w:pPr>
                    <w:keepNext/>
                    <w:widowControl w:val="0"/>
                    <w:spacing w:before="0" w:after="0"/>
                    <w:jc w:val="center"/>
                    <w:rPr>
                      <w:rFonts w:ascii="Arial Narrow" w:hAnsi="Arial Narrow"/>
                      <w:sz w:val="20"/>
                      <w:szCs w:val="20"/>
                    </w:rPr>
                  </w:pPr>
                  <w:r>
                    <w:rPr>
                      <w:rFonts w:ascii="Arial Narrow" w:hAnsi="Arial Narrow" w:cs="Arial"/>
                      <w:noProof/>
                      <w:color w:val="000000"/>
                      <w:sz w:val="20"/>
                      <w:szCs w:val="20"/>
                      <w:highlight w:val="black"/>
                    </w:rPr>
                    <w:t>'''''''''</w:t>
                  </w:r>
                  <w:r w:rsidR="000F4D7C">
                    <w:rPr>
                      <w:rFonts w:ascii="Arial Narrow" w:hAnsi="Arial Narrow" w:cs="Arial"/>
                      <w:noProof/>
                      <w:color w:val="000000"/>
                      <w:sz w:val="20"/>
                      <w:szCs w:val="20"/>
                      <w:highlight w:val="black"/>
                    </w:rPr>
                    <w:t>'''''</w:t>
                  </w:r>
                  <w:r w:rsidR="00881E0E">
                    <w:rPr>
                      <w:rFonts w:ascii="Arial Narrow" w:hAnsi="Arial Narrow"/>
                      <w:sz w:val="20"/>
                      <w:szCs w:val="20"/>
                      <w:vertAlign w:val="superscript"/>
                    </w:rPr>
                    <w:t>2</w:t>
                  </w:r>
                </w:p>
              </w:tc>
              <w:tc>
                <w:tcPr>
                  <w:tcW w:w="567" w:type="dxa"/>
                </w:tcPr>
                <w:p w:rsidR="00C31220" w:rsidRPr="000F4D7C" w:rsidRDefault="00A532E5" w:rsidP="006D5984">
                  <w:pPr>
                    <w:keepNext/>
                    <w:widowControl w:val="0"/>
                    <w:spacing w:before="0" w:after="0"/>
                    <w:jc w:val="center"/>
                    <w:rPr>
                      <w:rFonts w:ascii="Arial Narrow" w:hAnsi="Arial Narrow"/>
                      <w:sz w:val="20"/>
                      <w:szCs w:val="20"/>
                    </w:rPr>
                  </w:pPr>
                  <w:r>
                    <w:rPr>
                      <w:rFonts w:ascii="Arial Narrow" w:hAnsi="Arial Narrow" w:cs="Arial"/>
                      <w:noProof/>
                      <w:color w:val="000000"/>
                      <w:sz w:val="20"/>
                      <w:szCs w:val="20"/>
                      <w:highlight w:val="black"/>
                    </w:rPr>
                    <w:t>'''''''</w:t>
                  </w:r>
                  <w:r w:rsidR="000F4D7C">
                    <w:rPr>
                      <w:rFonts w:ascii="Arial Narrow" w:hAnsi="Arial Narrow" w:cs="Arial"/>
                      <w:noProof/>
                      <w:color w:val="000000"/>
                      <w:sz w:val="20"/>
                      <w:szCs w:val="20"/>
                      <w:highlight w:val="black"/>
                    </w:rPr>
                    <w:t>''''''</w:t>
                  </w:r>
                  <w:r w:rsidR="00881E0E">
                    <w:rPr>
                      <w:rFonts w:ascii="Arial Narrow" w:hAnsi="Arial Narrow"/>
                      <w:sz w:val="20"/>
                      <w:szCs w:val="20"/>
                      <w:vertAlign w:val="superscript"/>
                    </w:rPr>
                    <w:t>2</w:t>
                  </w:r>
                </w:p>
              </w:tc>
              <w:tc>
                <w:tcPr>
                  <w:tcW w:w="567" w:type="dxa"/>
                </w:tcPr>
                <w:p w:rsidR="00C31220" w:rsidRPr="000F4D7C" w:rsidRDefault="00A532E5" w:rsidP="006D5984">
                  <w:pPr>
                    <w:keepNext/>
                    <w:widowControl w:val="0"/>
                    <w:spacing w:before="0" w:after="0"/>
                    <w:jc w:val="center"/>
                    <w:rPr>
                      <w:rFonts w:ascii="Arial Narrow" w:hAnsi="Arial Narrow"/>
                      <w:sz w:val="20"/>
                      <w:szCs w:val="20"/>
                    </w:rPr>
                  </w:pPr>
                  <w:r>
                    <w:rPr>
                      <w:rFonts w:ascii="Arial Narrow" w:hAnsi="Arial Narrow" w:cs="Arial"/>
                      <w:noProof/>
                      <w:color w:val="000000"/>
                      <w:sz w:val="20"/>
                      <w:szCs w:val="20"/>
                      <w:highlight w:val="black"/>
                    </w:rPr>
                    <w:t>'''''''''</w:t>
                  </w:r>
                  <w:r w:rsidR="000F4D7C">
                    <w:rPr>
                      <w:rFonts w:ascii="Arial Narrow" w:hAnsi="Arial Narrow" w:cs="Arial"/>
                      <w:noProof/>
                      <w:color w:val="000000"/>
                      <w:sz w:val="20"/>
                      <w:szCs w:val="20"/>
                      <w:highlight w:val="black"/>
                    </w:rPr>
                    <w:t>''''</w:t>
                  </w:r>
                  <w:r w:rsidR="00881E0E">
                    <w:rPr>
                      <w:rFonts w:ascii="Arial Narrow" w:hAnsi="Arial Narrow"/>
                      <w:sz w:val="20"/>
                      <w:szCs w:val="20"/>
                      <w:vertAlign w:val="superscript"/>
                    </w:rPr>
                    <w:t>2</w:t>
                  </w:r>
                </w:p>
              </w:tc>
            </w:tr>
          </w:tbl>
          <w:p w:rsidR="00C31220" w:rsidRPr="000F4D7C" w:rsidRDefault="00C31220">
            <w:pPr>
              <w:keepNext/>
              <w:widowControl w:val="0"/>
              <w:spacing w:before="0" w:after="0"/>
              <w:jc w:val="left"/>
              <w:rPr>
                <w:rFonts w:ascii="Arial Narrow" w:hAnsi="Arial Narrow"/>
                <w:sz w:val="20"/>
                <w:szCs w:val="20"/>
                <w:vertAlign w:val="superscript"/>
              </w:rPr>
            </w:pPr>
            <w:r w:rsidRPr="00BE056E">
              <w:rPr>
                <w:rFonts w:ascii="Arial Narrow" w:hAnsi="Arial Narrow"/>
                <w:sz w:val="20"/>
                <w:szCs w:val="20"/>
              </w:rPr>
              <w:t>Assumed to increase 5% per year, based on a HSPC population and its increase in size in 2020 from 201</w:t>
            </w:r>
            <w:r w:rsidR="008824B5" w:rsidRPr="00BE056E">
              <w:rPr>
                <w:rFonts w:ascii="Arial Narrow" w:hAnsi="Arial Narrow"/>
                <w:sz w:val="20"/>
                <w:szCs w:val="20"/>
              </w:rPr>
              <w:t>9.</w:t>
            </w:r>
          </w:p>
        </w:tc>
        <w:tc>
          <w:tcPr>
            <w:tcW w:w="3969" w:type="dxa"/>
            <w:tcBorders>
              <w:bottom w:val="single" w:sz="4" w:space="0" w:color="auto"/>
            </w:tcBorders>
            <w:vAlign w:val="center"/>
          </w:tcPr>
          <w:p w:rsidR="00C31220" w:rsidRPr="000F2527" w:rsidRDefault="00C31220" w:rsidP="006D5984">
            <w:pPr>
              <w:keepNext/>
              <w:widowControl w:val="0"/>
              <w:spacing w:before="0" w:after="0"/>
              <w:jc w:val="left"/>
              <w:rPr>
                <w:rFonts w:ascii="Arial Narrow" w:hAnsi="Arial Narrow"/>
                <w:sz w:val="20"/>
                <w:szCs w:val="20"/>
              </w:rPr>
            </w:pPr>
            <w:r w:rsidRPr="000F2527">
              <w:rPr>
                <w:rFonts w:ascii="Arial Narrow" w:hAnsi="Arial Narrow"/>
                <w:iCs/>
                <w:sz w:val="20"/>
                <w:szCs w:val="20"/>
              </w:rPr>
              <w:t>The submission did not consider that the HSPC population had varied considerably in growth over the past 10 years, with growth rates ranging from 0% to 6.3%.</w:t>
            </w:r>
            <w:r w:rsidR="0030276F" w:rsidRPr="000F2527">
              <w:rPr>
                <w:rFonts w:ascii="Arial Narrow" w:hAnsi="Arial Narrow"/>
                <w:iCs/>
                <w:sz w:val="20"/>
                <w:szCs w:val="20"/>
              </w:rPr>
              <w:t xml:space="preserve"> </w:t>
            </w:r>
            <w:r w:rsidRPr="000F2527">
              <w:rPr>
                <w:rFonts w:ascii="Arial Narrow" w:hAnsi="Arial Narrow"/>
                <w:iCs/>
                <w:sz w:val="20"/>
                <w:szCs w:val="20"/>
              </w:rPr>
              <w:t xml:space="preserve">As such, the </w:t>
            </w:r>
            <w:r w:rsidR="001E19BB">
              <w:rPr>
                <w:rFonts w:ascii="Arial Narrow" w:hAnsi="Arial Narrow"/>
                <w:iCs/>
                <w:sz w:val="20"/>
                <w:szCs w:val="20"/>
              </w:rPr>
              <w:t xml:space="preserve">PBAC considered that the </w:t>
            </w:r>
            <w:r w:rsidRPr="000F2527">
              <w:rPr>
                <w:rFonts w:ascii="Arial Narrow" w:hAnsi="Arial Narrow"/>
                <w:iCs/>
                <w:sz w:val="20"/>
                <w:szCs w:val="20"/>
              </w:rPr>
              <w:t>assumed 5% yearly increase in the prevalent population may not be accurate</w:t>
            </w:r>
            <w:r w:rsidR="001E19BB">
              <w:rPr>
                <w:rFonts w:ascii="Arial Narrow" w:hAnsi="Arial Narrow"/>
                <w:iCs/>
                <w:sz w:val="20"/>
                <w:szCs w:val="20"/>
              </w:rPr>
              <w:t xml:space="preserve"> and was likely overestimated</w:t>
            </w:r>
            <w:r w:rsidRPr="000F2527">
              <w:rPr>
                <w:rFonts w:ascii="Arial Narrow" w:hAnsi="Arial Narrow"/>
                <w:iCs/>
                <w:sz w:val="20"/>
                <w:szCs w:val="20"/>
              </w:rPr>
              <w:t>.</w:t>
            </w:r>
          </w:p>
        </w:tc>
      </w:tr>
      <w:tr w:rsidR="00C31220" w:rsidRPr="00BE056E" w:rsidTr="005B0E64">
        <w:trPr>
          <w:trHeight w:val="46"/>
        </w:trPr>
        <w:tc>
          <w:tcPr>
            <w:tcW w:w="1129" w:type="dxa"/>
            <w:tcBorders>
              <w:bottom w:val="single" w:sz="4" w:space="0" w:color="auto"/>
              <w:right w:val="single" w:sz="4" w:space="0" w:color="auto"/>
            </w:tcBorders>
            <w:vAlign w:val="center"/>
          </w:tcPr>
          <w:p w:rsidR="00C31220" w:rsidRPr="00BE056E" w:rsidRDefault="00C31220" w:rsidP="006D5984">
            <w:pPr>
              <w:keepNext/>
              <w:widowControl w:val="0"/>
              <w:spacing w:before="0" w:after="0"/>
              <w:jc w:val="left"/>
              <w:rPr>
                <w:rFonts w:ascii="Arial Narrow" w:hAnsi="Arial Narrow"/>
                <w:sz w:val="20"/>
                <w:szCs w:val="20"/>
              </w:rPr>
            </w:pPr>
            <w:r w:rsidRPr="00BE056E">
              <w:rPr>
                <w:rFonts w:ascii="Arial Narrow" w:hAnsi="Arial Narrow"/>
                <w:sz w:val="20"/>
                <w:szCs w:val="20"/>
              </w:rPr>
              <w:t xml:space="preserve">Progression to </w:t>
            </w:r>
            <w:r w:rsidR="00077040">
              <w:rPr>
                <w:rFonts w:ascii="Arial Narrow" w:hAnsi="Arial Narrow"/>
                <w:sz w:val="20"/>
                <w:szCs w:val="20"/>
              </w:rPr>
              <w:t>CRPC</w:t>
            </w:r>
          </w:p>
        </w:tc>
        <w:tc>
          <w:tcPr>
            <w:tcW w:w="3969" w:type="dxa"/>
            <w:tcBorders>
              <w:left w:val="single" w:sz="4" w:space="0" w:color="auto"/>
              <w:bottom w:val="single" w:sz="4" w:space="0" w:color="auto"/>
            </w:tcBorders>
            <w:noWrap/>
            <w:vAlign w:val="center"/>
          </w:tcPr>
          <w:tbl>
            <w:tblP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78"/>
              <w:gridCol w:w="567"/>
              <w:gridCol w:w="567"/>
              <w:gridCol w:w="567"/>
              <w:gridCol w:w="567"/>
            </w:tblGrid>
            <w:tr w:rsidR="00C31220" w:rsidRPr="00BE056E" w:rsidTr="0096410D">
              <w:tc>
                <w:tcPr>
                  <w:tcW w:w="567"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1</w:t>
                  </w:r>
                </w:p>
              </w:tc>
              <w:tc>
                <w:tcPr>
                  <w:tcW w:w="678"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2</w:t>
                  </w:r>
                </w:p>
              </w:tc>
              <w:tc>
                <w:tcPr>
                  <w:tcW w:w="567"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3</w:t>
                  </w:r>
                </w:p>
              </w:tc>
              <w:tc>
                <w:tcPr>
                  <w:tcW w:w="567"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4</w:t>
                  </w:r>
                </w:p>
              </w:tc>
              <w:tc>
                <w:tcPr>
                  <w:tcW w:w="567"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5</w:t>
                  </w:r>
                </w:p>
              </w:tc>
              <w:tc>
                <w:tcPr>
                  <w:tcW w:w="567" w:type="dxa"/>
                </w:tcPr>
                <w:p w:rsidR="00C31220" w:rsidRPr="00BE056E" w:rsidRDefault="00C31220" w:rsidP="006D5984">
                  <w:pPr>
                    <w:keepNext/>
                    <w:widowControl w:val="0"/>
                    <w:spacing w:before="0" w:after="0"/>
                    <w:jc w:val="center"/>
                    <w:rPr>
                      <w:rFonts w:ascii="Arial Narrow" w:hAnsi="Arial Narrow"/>
                      <w:b/>
                      <w:bCs/>
                      <w:sz w:val="20"/>
                      <w:szCs w:val="20"/>
                    </w:rPr>
                  </w:pPr>
                  <w:r w:rsidRPr="00BE056E">
                    <w:rPr>
                      <w:rFonts w:ascii="Arial Narrow" w:hAnsi="Arial Narrow"/>
                      <w:b/>
                      <w:bCs/>
                      <w:sz w:val="20"/>
                      <w:szCs w:val="20"/>
                    </w:rPr>
                    <w:t>Year 6</w:t>
                  </w:r>
                </w:p>
              </w:tc>
            </w:tr>
            <w:tr w:rsidR="00C31220" w:rsidRPr="00BE056E" w:rsidTr="0096410D">
              <w:trPr>
                <w:trHeight w:val="60"/>
              </w:trPr>
              <w:tc>
                <w:tcPr>
                  <w:tcW w:w="567" w:type="dxa"/>
                </w:tcPr>
                <w:p w:rsidR="00C31220" w:rsidRPr="00BE056E" w:rsidRDefault="00C31220" w:rsidP="006D5984">
                  <w:pPr>
                    <w:keepNext/>
                    <w:widowControl w:val="0"/>
                    <w:spacing w:before="0" w:after="0"/>
                    <w:jc w:val="center"/>
                    <w:rPr>
                      <w:rFonts w:ascii="Arial Narrow" w:hAnsi="Arial Narrow"/>
                      <w:sz w:val="20"/>
                      <w:szCs w:val="20"/>
                    </w:rPr>
                  </w:pPr>
                  <w:r w:rsidRPr="00BE056E">
                    <w:rPr>
                      <w:rFonts w:ascii="Arial Narrow" w:hAnsi="Arial Narrow" w:cs="Arial"/>
                      <w:color w:val="000000"/>
                      <w:sz w:val="20"/>
                      <w:szCs w:val="20"/>
                    </w:rPr>
                    <w:t>17.8%</w:t>
                  </w:r>
                </w:p>
              </w:tc>
              <w:tc>
                <w:tcPr>
                  <w:tcW w:w="678" w:type="dxa"/>
                </w:tcPr>
                <w:p w:rsidR="00C31220" w:rsidRPr="00BE056E" w:rsidRDefault="00C31220" w:rsidP="006D5984">
                  <w:pPr>
                    <w:keepNext/>
                    <w:widowControl w:val="0"/>
                    <w:spacing w:before="0" w:after="0"/>
                    <w:jc w:val="center"/>
                    <w:rPr>
                      <w:rFonts w:ascii="Arial Narrow" w:hAnsi="Arial Narrow"/>
                      <w:sz w:val="20"/>
                      <w:szCs w:val="20"/>
                    </w:rPr>
                  </w:pPr>
                  <w:r w:rsidRPr="00BE056E">
                    <w:rPr>
                      <w:rFonts w:ascii="Arial Narrow" w:hAnsi="Arial Narrow" w:cs="Arial"/>
                      <w:color w:val="000000"/>
                      <w:sz w:val="20"/>
                      <w:szCs w:val="20"/>
                    </w:rPr>
                    <w:t>17.8%</w:t>
                  </w:r>
                </w:p>
              </w:tc>
              <w:tc>
                <w:tcPr>
                  <w:tcW w:w="567" w:type="dxa"/>
                </w:tcPr>
                <w:p w:rsidR="00C31220" w:rsidRPr="00BE056E" w:rsidRDefault="00C31220" w:rsidP="006D5984">
                  <w:pPr>
                    <w:keepNext/>
                    <w:widowControl w:val="0"/>
                    <w:spacing w:before="0" w:after="0"/>
                    <w:jc w:val="center"/>
                    <w:rPr>
                      <w:rFonts w:ascii="Arial Narrow" w:hAnsi="Arial Narrow"/>
                      <w:sz w:val="20"/>
                      <w:szCs w:val="20"/>
                    </w:rPr>
                  </w:pPr>
                  <w:r w:rsidRPr="00BE056E">
                    <w:rPr>
                      <w:rFonts w:ascii="Arial Narrow" w:hAnsi="Arial Narrow" w:cs="Arial"/>
                      <w:color w:val="000000"/>
                      <w:sz w:val="20"/>
                      <w:szCs w:val="20"/>
                    </w:rPr>
                    <w:t>17.8%</w:t>
                  </w:r>
                </w:p>
              </w:tc>
              <w:tc>
                <w:tcPr>
                  <w:tcW w:w="567" w:type="dxa"/>
                </w:tcPr>
                <w:p w:rsidR="00C31220" w:rsidRPr="00BE056E" w:rsidRDefault="00C31220" w:rsidP="006D5984">
                  <w:pPr>
                    <w:keepNext/>
                    <w:widowControl w:val="0"/>
                    <w:spacing w:before="0" w:after="0"/>
                    <w:jc w:val="center"/>
                    <w:rPr>
                      <w:rFonts w:ascii="Arial Narrow" w:hAnsi="Arial Narrow"/>
                      <w:sz w:val="20"/>
                      <w:szCs w:val="20"/>
                    </w:rPr>
                  </w:pPr>
                  <w:r w:rsidRPr="00BE056E">
                    <w:rPr>
                      <w:rFonts w:ascii="Arial Narrow" w:hAnsi="Arial Narrow" w:cs="Arial"/>
                      <w:color w:val="000000"/>
                      <w:sz w:val="20"/>
                      <w:szCs w:val="20"/>
                    </w:rPr>
                    <w:t>17.8%</w:t>
                  </w:r>
                </w:p>
              </w:tc>
              <w:tc>
                <w:tcPr>
                  <w:tcW w:w="567" w:type="dxa"/>
                </w:tcPr>
                <w:p w:rsidR="00C31220" w:rsidRPr="00BE056E" w:rsidRDefault="00C31220" w:rsidP="006D5984">
                  <w:pPr>
                    <w:keepNext/>
                    <w:widowControl w:val="0"/>
                    <w:spacing w:before="0" w:after="0"/>
                    <w:jc w:val="center"/>
                    <w:rPr>
                      <w:rFonts w:ascii="Arial Narrow" w:hAnsi="Arial Narrow"/>
                      <w:sz w:val="20"/>
                      <w:szCs w:val="20"/>
                    </w:rPr>
                  </w:pPr>
                  <w:r w:rsidRPr="00BE056E">
                    <w:rPr>
                      <w:rFonts w:ascii="Arial Narrow" w:hAnsi="Arial Narrow" w:cs="Arial"/>
                      <w:color w:val="000000"/>
                      <w:sz w:val="20"/>
                      <w:szCs w:val="20"/>
                    </w:rPr>
                    <w:t>17.8%</w:t>
                  </w:r>
                </w:p>
              </w:tc>
              <w:tc>
                <w:tcPr>
                  <w:tcW w:w="567" w:type="dxa"/>
                </w:tcPr>
                <w:p w:rsidR="00C31220" w:rsidRPr="00BE056E" w:rsidRDefault="00C31220" w:rsidP="006D5984">
                  <w:pPr>
                    <w:keepNext/>
                    <w:widowControl w:val="0"/>
                    <w:spacing w:before="0" w:after="0"/>
                    <w:jc w:val="center"/>
                    <w:rPr>
                      <w:rFonts w:ascii="Arial Narrow" w:hAnsi="Arial Narrow"/>
                      <w:sz w:val="20"/>
                      <w:szCs w:val="20"/>
                    </w:rPr>
                  </w:pPr>
                  <w:r w:rsidRPr="00BE056E">
                    <w:rPr>
                      <w:rFonts w:ascii="Arial Narrow" w:hAnsi="Arial Narrow" w:cs="Arial"/>
                      <w:color w:val="000000"/>
                      <w:sz w:val="20"/>
                      <w:szCs w:val="20"/>
                    </w:rPr>
                    <w:t>17.8%</w:t>
                  </w:r>
                </w:p>
              </w:tc>
            </w:tr>
            <w:tr w:rsidR="00C31220" w:rsidRPr="00BE056E" w:rsidTr="0096410D">
              <w:trPr>
                <w:trHeight w:val="60"/>
              </w:trPr>
              <w:tc>
                <w:tcPr>
                  <w:tcW w:w="567" w:type="dxa"/>
                  <w:vAlign w:val="center"/>
                </w:tcPr>
                <w:p w:rsidR="00C31220" w:rsidRPr="000F4D7C" w:rsidRDefault="000F4D7C" w:rsidP="006D5984">
                  <w:pPr>
                    <w:keepNext/>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678" w:type="dxa"/>
                  <w:vAlign w:val="center"/>
                </w:tcPr>
                <w:p w:rsidR="00C31220" w:rsidRPr="000F4D7C" w:rsidRDefault="000F4D7C" w:rsidP="006D5984">
                  <w:pPr>
                    <w:keepNext/>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567" w:type="dxa"/>
                  <w:vAlign w:val="center"/>
                </w:tcPr>
                <w:p w:rsidR="00C31220" w:rsidRPr="000F4D7C" w:rsidRDefault="000F4D7C" w:rsidP="006D5984">
                  <w:pPr>
                    <w:keepNext/>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567" w:type="dxa"/>
                  <w:vAlign w:val="center"/>
                </w:tcPr>
                <w:p w:rsidR="00C31220" w:rsidRPr="000F4D7C" w:rsidRDefault="000F4D7C" w:rsidP="006D5984">
                  <w:pPr>
                    <w:keepNext/>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567" w:type="dxa"/>
                  <w:vAlign w:val="center"/>
                </w:tcPr>
                <w:p w:rsidR="00C31220" w:rsidRPr="000F4D7C" w:rsidRDefault="00A532E5" w:rsidP="006D5984">
                  <w:pPr>
                    <w:keepNext/>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0F4D7C">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567" w:type="dxa"/>
                  <w:vAlign w:val="center"/>
                </w:tcPr>
                <w:p w:rsidR="00C31220" w:rsidRPr="000F4D7C" w:rsidRDefault="000F4D7C" w:rsidP="006D5984">
                  <w:pPr>
                    <w:keepNext/>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r>
          </w:tbl>
          <w:p w:rsidR="00C31220" w:rsidRPr="00BE056E" w:rsidRDefault="00E76B35" w:rsidP="006D5984">
            <w:pPr>
              <w:keepNext/>
              <w:widowControl w:val="0"/>
              <w:spacing w:before="0" w:after="0"/>
              <w:jc w:val="left"/>
              <w:rPr>
                <w:rFonts w:ascii="Arial Narrow" w:hAnsi="Arial Narrow"/>
                <w:sz w:val="20"/>
                <w:szCs w:val="20"/>
              </w:rPr>
            </w:pPr>
            <w:proofErr w:type="spellStart"/>
            <w:r>
              <w:rPr>
                <w:rFonts w:ascii="Arial Narrow" w:hAnsi="Arial Narrow"/>
                <w:sz w:val="20"/>
                <w:szCs w:val="20"/>
              </w:rPr>
              <w:t>Alemayehu</w:t>
            </w:r>
            <w:proofErr w:type="spellEnd"/>
            <w:r>
              <w:rPr>
                <w:rFonts w:ascii="Arial Narrow" w:hAnsi="Arial Narrow"/>
                <w:sz w:val="20"/>
                <w:szCs w:val="20"/>
              </w:rPr>
              <w:t xml:space="preserve"> 2010.</w:t>
            </w:r>
          </w:p>
        </w:tc>
        <w:tc>
          <w:tcPr>
            <w:tcW w:w="3969" w:type="dxa"/>
            <w:vAlign w:val="center"/>
          </w:tcPr>
          <w:p w:rsidR="00C31220" w:rsidRPr="000F2527" w:rsidRDefault="00C31220" w:rsidP="001E19BB">
            <w:pPr>
              <w:keepNext/>
              <w:widowControl w:val="0"/>
              <w:spacing w:before="0" w:after="0"/>
              <w:jc w:val="left"/>
              <w:rPr>
                <w:rFonts w:ascii="Arial Narrow" w:hAnsi="Arial Narrow"/>
                <w:iCs/>
                <w:sz w:val="20"/>
                <w:szCs w:val="20"/>
              </w:rPr>
            </w:pPr>
            <w:r w:rsidRPr="000F2527">
              <w:rPr>
                <w:rFonts w:ascii="Arial Narrow" w:hAnsi="Arial Narrow"/>
                <w:iCs/>
                <w:sz w:val="20"/>
                <w:szCs w:val="20"/>
              </w:rPr>
              <w:t xml:space="preserve">The assumption that 17.8% of HSPC patients will progress to </w:t>
            </w:r>
            <w:r w:rsidR="002B144A">
              <w:rPr>
                <w:rFonts w:ascii="Arial Narrow" w:hAnsi="Arial Narrow"/>
                <w:iCs/>
                <w:sz w:val="20"/>
                <w:szCs w:val="20"/>
              </w:rPr>
              <w:t>CRPC</w:t>
            </w:r>
            <w:r w:rsidR="00631D63">
              <w:rPr>
                <w:rFonts w:ascii="Arial Narrow" w:hAnsi="Arial Narrow"/>
                <w:iCs/>
                <w:sz w:val="20"/>
                <w:szCs w:val="20"/>
              </w:rPr>
              <w:t>,</w:t>
            </w:r>
            <w:r w:rsidRPr="000F2527">
              <w:rPr>
                <w:rFonts w:ascii="Arial Narrow" w:hAnsi="Arial Narrow"/>
                <w:iCs/>
                <w:sz w:val="20"/>
                <w:szCs w:val="20"/>
              </w:rPr>
              <w:t xml:space="preserve"> based on data from </w:t>
            </w:r>
            <w:proofErr w:type="spellStart"/>
            <w:r w:rsidRPr="000F2527">
              <w:rPr>
                <w:rFonts w:ascii="Arial Narrow" w:hAnsi="Arial Narrow"/>
                <w:iCs/>
                <w:sz w:val="20"/>
                <w:szCs w:val="20"/>
              </w:rPr>
              <w:t>Alemayehu</w:t>
            </w:r>
            <w:proofErr w:type="spellEnd"/>
            <w:r w:rsidRPr="000F2527">
              <w:rPr>
                <w:rFonts w:ascii="Arial Narrow" w:hAnsi="Arial Narrow"/>
                <w:iCs/>
                <w:sz w:val="20"/>
                <w:szCs w:val="20"/>
              </w:rPr>
              <w:t xml:space="preserve"> (2010)</w:t>
            </w:r>
            <w:r w:rsidR="00631D63">
              <w:rPr>
                <w:rFonts w:ascii="Arial Narrow" w:hAnsi="Arial Narrow"/>
                <w:iCs/>
                <w:sz w:val="20"/>
                <w:szCs w:val="20"/>
              </w:rPr>
              <w:t>,</w:t>
            </w:r>
            <w:r w:rsidRPr="000F2527">
              <w:rPr>
                <w:rFonts w:ascii="Arial Narrow" w:hAnsi="Arial Narrow"/>
                <w:iCs/>
                <w:sz w:val="20"/>
                <w:szCs w:val="20"/>
              </w:rPr>
              <w:t xml:space="preserve"> was not likely to represent the development of CRPC in clinical practice</w:t>
            </w:r>
            <w:r w:rsidR="00631D63">
              <w:rPr>
                <w:rFonts w:ascii="Arial Narrow" w:hAnsi="Arial Narrow"/>
                <w:iCs/>
                <w:sz w:val="20"/>
                <w:szCs w:val="20"/>
              </w:rPr>
              <w:t>. T</w:t>
            </w:r>
            <w:r w:rsidRPr="000F2527">
              <w:rPr>
                <w:rFonts w:ascii="Arial Narrow" w:hAnsi="Arial Narrow"/>
                <w:iCs/>
                <w:sz w:val="20"/>
                <w:szCs w:val="20"/>
              </w:rPr>
              <w:t xml:space="preserve">he 17.8% value calculated by the submission was based on </w:t>
            </w:r>
            <w:r w:rsidR="000F4D7C">
              <w:rPr>
                <w:rFonts w:ascii="Arial Narrow" w:hAnsi="Arial Narrow"/>
                <w:iCs/>
                <w:noProof/>
                <w:color w:val="000000"/>
                <w:sz w:val="20"/>
                <w:szCs w:val="20"/>
                <w:highlight w:val="black"/>
              </w:rPr>
              <w:t>''''''''''''''</w:t>
            </w:r>
            <w:r w:rsidR="00881E0E">
              <w:rPr>
                <w:rFonts w:ascii="Arial Narrow" w:hAnsi="Arial Narrow"/>
                <w:sz w:val="20"/>
                <w:szCs w:val="20"/>
                <w:vertAlign w:val="superscript"/>
              </w:rPr>
              <w:t>4</w:t>
            </w:r>
            <w:r w:rsidRPr="000F2527">
              <w:rPr>
                <w:rFonts w:ascii="Arial Narrow" w:hAnsi="Arial Narrow"/>
                <w:iCs/>
                <w:sz w:val="20"/>
                <w:szCs w:val="20"/>
              </w:rPr>
              <w:t xml:space="preserve"> patients with likely (N=</w:t>
            </w:r>
            <w:r w:rsidR="000F4D7C">
              <w:rPr>
                <w:rFonts w:ascii="Arial Narrow" w:hAnsi="Arial Narrow"/>
                <w:iCs/>
                <w:noProof/>
                <w:color w:val="000000"/>
                <w:sz w:val="20"/>
                <w:szCs w:val="20"/>
                <w:highlight w:val="black"/>
              </w:rPr>
              <w:t>''''''''''''</w:t>
            </w:r>
            <w:r w:rsidR="00881E0E">
              <w:rPr>
                <w:rFonts w:ascii="Arial Narrow" w:hAnsi="Arial Narrow"/>
                <w:sz w:val="20"/>
                <w:szCs w:val="20"/>
                <w:vertAlign w:val="superscript"/>
              </w:rPr>
              <w:t>4</w:t>
            </w:r>
            <w:r w:rsidRPr="000F2527">
              <w:rPr>
                <w:rFonts w:ascii="Arial Narrow" w:hAnsi="Arial Narrow"/>
                <w:iCs/>
                <w:sz w:val="20"/>
                <w:szCs w:val="20"/>
              </w:rPr>
              <w:t>) or known (N=</w:t>
            </w:r>
            <w:r w:rsidR="000F4D7C">
              <w:rPr>
                <w:rFonts w:ascii="Arial Narrow" w:hAnsi="Arial Narrow"/>
                <w:iCs/>
                <w:noProof/>
                <w:color w:val="000000"/>
                <w:sz w:val="20"/>
                <w:szCs w:val="20"/>
                <w:highlight w:val="black"/>
              </w:rPr>
              <w:t>''''''''</w:t>
            </w:r>
            <w:r w:rsidR="00881E0E">
              <w:rPr>
                <w:rFonts w:ascii="Arial Narrow" w:hAnsi="Arial Narrow"/>
                <w:sz w:val="20"/>
                <w:szCs w:val="20"/>
                <w:vertAlign w:val="superscript"/>
              </w:rPr>
              <w:t>5</w:t>
            </w:r>
            <w:r w:rsidRPr="000F2527">
              <w:rPr>
                <w:rFonts w:ascii="Arial Narrow" w:hAnsi="Arial Narrow"/>
                <w:iCs/>
                <w:sz w:val="20"/>
                <w:szCs w:val="20"/>
              </w:rPr>
              <w:t xml:space="preserve">) CRPC divided by </w:t>
            </w:r>
            <w:r w:rsidR="000F4D7C">
              <w:rPr>
                <w:rFonts w:ascii="Arial Narrow" w:hAnsi="Arial Narrow"/>
                <w:iCs/>
                <w:noProof/>
                <w:color w:val="000000"/>
                <w:sz w:val="20"/>
                <w:szCs w:val="20"/>
                <w:highlight w:val="black"/>
              </w:rPr>
              <w:t>'''''''''''''''''</w:t>
            </w:r>
            <w:r w:rsidR="00881E0E">
              <w:rPr>
                <w:rFonts w:ascii="Arial Narrow" w:hAnsi="Arial Narrow"/>
                <w:sz w:val="20"/>
                <w:szCs w:val="20"/>
                <w:vertAlign w:val="superscript"/>
              </w:rPr>
              <w:t>6</w:t>
            </w:r>
            <w:r w:rsidRPr="000F2527">
              <w:rPr>
                <w:rFonts w:ascii="Arial Narrow" w:hAnsi="Arial Narrow"/>
                <w:iCs/>
                <w:sz w:val="20"/>
                <w:szCs w:val="20"/>
              </w:rPr>
              <w:t xml:space="preserve"> possible CRPC patients. The submission did not indicate why patients with ‘likely’ CRPC were included in the calculation. </w:t>
            </w:r>
            <w:r w:rsidR="001E19BB">
              <w:rPr>
                <w:rFonts w:ascii="Arial Narrow" w:hAnsi="Arial Narrow"/>
                <w:iCs/>
                <w:sz w:val="20"/>
                <w:szCs w:val="20"/>
              </w:rPr>
              <w:t>The PBAC noted that if</w:t>
            </w:r>
            <w:r w:rsidRPr="000F2527">
              <w:rPr>
                <w:rFonts w:ascii="Arial Narrow" w:hAnsi="Arial Narrow"/>
                <w:iCs/>
                <w:sz w:val="20"/>
                <w:szCs w:val="20"/>
              </w:rPr>
              <w:t xml:space="preserve"> the proportion was based on patients with actual CRPC, it would be </w:t>
            </w:r>
            <w:r w:rsidR="0003529B" w:rsidRPr="000F2527">
              <w:rPr>
                <w:rFonts w:ascii="Arial Narrow" w:hAnsi="Arial Narrow"/>
                <w:iCs/>
                <w:sz w:val="20"/>
                <w:szCs w:val="20"/>
              </w:rPr>
              <w:t>2.3</w:t>
            </w:r>
            <w:r w:rsidRPr="000F2527">
              <w:rPr>
                <w:rFonts w:ascii="Arial Narrow" w:hAnsi="Arial Narrow"/>
                <w:iCs/>
                <w:sz w:val="20"/>
                <w:szCs w:val="20"/>
              </w:rPr>
              <w:t>%, thereby decreasing patient numbers.</w:t>
            </w:r>
          </w:p>
        </w:tc>
      </w:tr>
      <w:tr w:rsidR="00C31220" w:rsidRPr="00BE056E" w:rsidTr="005B0E64">
        <w:tc>
          <w:tcPr>
            <w:tcW w:w="1129" w:type="dxa"/>
            <w:vAlign w:val="center"/>
          </w:tcPr>
          <w:p w:rsidR="00C31220" w:rsidRPr="00BE056E" w:rsidRDefault="00C31220" w:rsidP="002B144A">
            <w:pPr>
              <w:widowControl w:val="0"/>
              <w:spacing w:before="0" w:after="0"/>
              <w:jc w:val="left"/>
              <w:rPr>
                <w:rFonts w:ascii="Arial Narrow" w:hAnsi="Arial Narrow"/>
                <w:sz w:val="20"/>
                <w:szCs w:val="20"/>
                <w:highlight w:val="yellow"/>
              </w:rPr>
            </w:pPr>
            <w:proofErr w:type="spellStart"/>
            <w:r w:rsidRPr="00BE056E">
              <w:rPr>
                <w:rFonts w:ascii="Arial Narrow" w:hAnsi="Arial Narrow"/>
                <w:sz w:val="20"/>
                <w:szCs w:val="20"/>
              </w:rPr>
              <w:t>mCRPC</w:t>
            </w:r>
            <w:proofErr w:type="spellEnd"/>
          </w:p>
        </w:tc>
        <w:tc>
          <w:tcPr>
            <w:tcW w:w="3969" w:type="dxa"/>
            <w:vAlign w:val="center"/>
          </w:tcPr>
          <w:tbl>
            <w:tblP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78"/>
              <w:gridCol w:w="567"/>
              <w:gridCol w:w="567"/>
              <w:gridCol w:w="567"/>
              <w:gridCol w:w="567"/>
            </w:tblGrid>
            <w:tr w:rsidR="00C31220" w:rsidRPr="00BE056E" w:rsidTr="0096410D">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1</w:t>
                  </w:r>
                </w:p>
              </w:tc>
              <w:tc>
                <w:tcPr>
                  <w:tcW w:w="678"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2</w:t>
                  </w:r>
                </w:p>
              </w:tc>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3</w:t>
                  </w:r>
                </w:p>
              </w:tc>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4</w:t>
                  </w:r>
                </w:p>
              </w:tc>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5</w:t>
                  </w:r>
                </w:p>
              </w:tc>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6</w:t>
                  </w:r>
                </w:p>
              </w:tc>
            </w:tr>
            <w:tr w:rsidR="00C31220" w:rsidRPr="00BE056E" w:rsidTr="0096410D">
              <w:trPr>
                <w:trHeight w:val="60"/>
              </w:trPr>
              <w:tc>
                <w:tcPr>
                  <w:tcW w:w="567" w:type="dxa"/>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92%</w:t>
                  </w:r>
                </w:p>
              </w:tc>
              <w:tc>
                <w:tcPr>
                  <w:tcW w:w="678" w:type="dxa"/>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92%</w:t>
                  </w:r>
                </w:p>
              </w:tc>
              <w:tc>
                <w:tcPr>
                  <w:tcW w:w="567" w:type="dxa"/>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92%</w:t>
                  </w:r>
                </w:p>
              </w:tc>
              <w:tc>
                <w:tcPr>
                  <w:tcW w:w="567" w:type="dxa"/>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92%</w:t>
                  </w:r>
                </w:p>
              </w:tc>
              <w:tc>
                <w:tcPr>
                  <w:tcW w:w="567" w:type="dxa"/>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92%</w:t>
                  </w:r>
                </w:p>
              </w:tc>
              <w:tc>
                <w:tcPr>
                  <w:tcW w:w="567" w:type="dxa"/>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92%</w:t>
                  </w:r>
                </w:p>
              </w:tc>
            </w:tr>
            <w:tr w:rsidR="00C31220" w:rsidRPr="00BE056E" w:rsidTr="0096410D">
              <w:trPr>
                <w:trHeight w:val="60"/>
              </w:trPr>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678"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567" w:type="dxa"/>
                  <w:vAlign w:val="center"/>
                </w:tcPr>
                <w:p w:rsidR="00C31220" w:rsidRPr="000F4D7C" w:rsidRDefault="00A532E5"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0F4D7C">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r>
          </w:tbl>
          <w:p w:rsidR="00C31220" w:rsidRPr="00BE056E" w:rsidRDefault="00C31220" w:rsidP="002B144A">
            <w:pPr>
              <w:widowControl w:val="0"/>
              <w:spacing w:before="0" w:after="0"/>
              <w:jc w:val="left"/>
              <w:rPr>
                <w:rFonts w:ascii="Arial Narrow" w:hAnsi="Arial Narrow"/>
                <w:sz w:val="20"/>
                <w:szCs w:val="20"/>
                <w:highlight w:val="yellow"/>
              </w:rPr>
            </w:pPr>
            <w:r w:rsidRPr="00BE056E">
              <w:rPr>
                <w:rFonts w:ascii="Arial Narrow" w:hAnsi="Arial Narrow"/>
                <w:sz w:val="20"/>
                <w:szCs w:val="20"/>
              </w:rPr>
              <w:t>Based on Kwan 2019.</w:t>
            </w:r>
          </w:p>
        </w:tc>
        <w:tc>
          <w:tcPr>
            <w:tcW w:w="3969" w:type="dxa"/>
            <w:vAlign w:val="center"/>
          </w:tcPr>
          <w:p w:rsidR="00C31220" w:rsidRPr="000F2527" w:rsidRDefault="00C31220" w:rsidP="00631D63">
            <w:pPr>
              <w:widowControl w:val="0"/>
              <w:spacing w:before="0" w:after="0"/>
              <w:jc w:val="left"/>
              <w:rPr>
                <w:rFonts w:ascii="Arial Narrow" w:hAnsi="Arial Narrow"/>
                <w:sz w:val="20"/>
                <w:szCs w:val="20"/>
              </w:rPr>
            </w:pPr>
            <w:r w:rsidRPr="000F2527">
              <w:rPr>
                <w:rFonts w:ascii="Arial Narrow" w:hAnsi="Arial Narrow"/>
                <w:iCs/>
                <w:sz w:val="20"/>
                <w:szCs w:val="20"/>
              </w:rPr>
              <w:t>Kwan (2019) was a retrospective review of treatment of 137 Australian CRPC patients. The publication noted that 8% of patients had non-metastatic disease</w:t>
            </w:r>
            <w:r w:rsidR="00631D63">
              <w:rPr>
                <w:rFonts w:ascii="Arial Narrow" w:hAnsi="Arial Narrow"/>
                <w:iCs/>
                <w:sz w:val="20"/>
                <w:szCs w:val="20"/>
              </w:rPr>
              <w:t>. The submission then assumed that the remaining</w:t>
            </w:r>
            <w:r w:rsidR="001E19BB">
              <w:rPr>
                <w:rFonts w:ascii="Arial Narrow" w:hAnsi="Arial Narrow"/>
                <w:iCs/>
                <w:sz w:val="20"/>
                <w:szCs w:val="20"/>
              </w:rPr>
              <w:t xml:space="preserve"> </w:t>
            </w:r>
            <w:r w:rsidRPr="000F2527">
              <w:rPr>
                <w:rFonts w:ascii="Arial Narrow" w:hAnsi="Arial Narrow"/>
                <w:iCs/>
                <w:sz w:val="20"/>
                <w:szCs w:val="20"/>
              </w:rPr>
              <w:t xml:space="preserve">92% </w:t>
            </w:r>
            <w:r w:rsidR="00631D63">
              <w:rPr>
                <w:rFonts w:ascii="Arial Narrow" w:hAnsi="Arial Narrow"/>
                <w:iCs/>
                <w:sz w:val="20"/>
                <w:szCs w:val="20"/>
              </w:rPr>
              <w:t xml:space="preserve">of patients had </w:t>
            </w:r>
            <w:proofErr w:type="spellStart"/>
            <w:r w:rsidRPr="000F2527">
              <w:rPr>
                <w:rFonts w:ascii="Arial Narrow" w:hAnsi="Arial Narrow"/>
                <w:iCs/>
                <w:sz w:val="20"/>
                <w:szCs w:val="20"/>
              </w:rPr>
              <w:t>mCRPC</w:t>
            </w:r>
            <w:proofErr w:type="spellEnd"/>
            <w:r w:rsidR="00631D63">
              <w:rPr>
                <w:rFonts w:ascii="Arial Narrow" w:hAnsi="Arial Narrow"/>
                <w:iCs/>
                <w:sz w:val="20"/>
                <w:szCs w:val="20"/>
              </w:rPr>
              <w:t>, which</w:t>
            </w:r>
            <w:r w:rsidRPr="000F2527">
              <w:rPr>
                <w:rFonts w:ascii="Arial Narrow" w:hAnsi="Arial Narrow"/>
                <w:iCs/>
                <w:sz w:val="20"/>
                <w:szCs w:val="20"/>
              </w:rPr>
              <w:t xml:space="preserve"> may not be accurate.</w:t>
            </w:r>
            <w:r w:rsidRPr="000F2527">
              <w:rPr>
                <w:rFonts w:ascii="Arial Narrow" w:hAnsi="Arial Narrow"/>
                <w:sz w:val="20"/>
                <w:szCs w:val="20"/>
              </w:rPr>
              <w:t xml:space="preserve"> The submission considered alternate rates of 84% and 95% (used in the PICO) in sensitivity analyses. </w:t>
            </w:r>
            <w:r w:rsidR="005E6B0B">
              <w:rPr>
                <w:rFonts w:ascii="Arial Narrow" w:hAnsi="Arial Narrow"/>
                <w:sz w:val="20"/>
                <w:szCs w:val="20"/>
              </w:rPr>
              <w:t>The PBAC consider</w:t>
            </w:r>
            <w:r w:rsidR="00E6644D">
              <w:rPr>
                <w:rFonts w:ascii="Arial Narrow" w:hAnsi="Arial Narrow"/>
                <w:sz w:val="20"/>
                <w:szCs w:val="20"/>
              </w:rPr>
              <w:t>ed</w:t>
            </w:r>
            <w:r w:rsidR="005E6B0B">
              <w:rPr>
                <w:rFonts w:ascii="Arial Narrow" w:hAnsi="Arial Narrow"/>
                <w:sz w:val="20"/>
                <w:szCs w:val="20"/>
              </w:rPr>
              <w:t xml:space="preserve"> that this value was likely overestimated.</w:t>
            </w:r>
          </w:p>
        </w:tc>
      </w:tr>
      <w:tr w:rsidR="00C31220" w:rsidRPr="00BE056E" w:rsidTr="005B0E64">
        <w:tc>
          <w:tcPr>
            <w:tcW w:w="1129" w:type="dxa"/>
            <w:vAlign w:val="center"/>
          </w:tcPr>
          <w:p w:rsidR="00C31220" w:rsidRPr="00BE056E" w:rsidRDefault="00C31220" w:rsidP="002B144A">
            <w:pPr>
              <w:widowControl w:val="0"/>
              <w:spacing w:before="0" w:after="0"/>
              <w:jc w:val="left"/>
              <w:rPr>
                <w:rFonts w:ascii="Arial Narrow" w:hAnsi="Arial Narrow"/>
                <w:sz w:val="20"/>
                <w:szCs w:val="20"/>
              </w:rPr>
            </w:pPr>
            <w:r w:rsidRPr="00BE056E">
              <w:rPr>
                <w:rFonts w:ascii="Arial Narrow" w:hAnsi="Arial Narrow"/>
                <w:sz w:val="20"/>
                <w:szCs w:val="20"/>
              </w:rPr>
              <w:t xml:space="preserve">Uptake </w:t>
            </w:r>
            <w:r w:rsidRPr="00BE056E">
              <w:rPr>
                <w:rFonts w:ascii="Arial Narrow" w:hAnsi="Arial Narrow"/>
                <w:i/>
                <w:iCs/>
                <w:sz w:val="20"/>
                <w:szCs w:val="20"/>
              </w:rPr>
              <w:t>BRCA1/2</w:t>
            </w:r>
            <w:r w:rsidRPr="00BE056E">
              <w:rPr>
                <w:rFonts w:ascii="Arial Narrow" w:hAnsi="Arial Narrow"/>
                <w:sz w:val="20"/>
                <w:szCs w:val="20"/>
              </w:rPr>
              <w:t xml:space="preserve"> test</w:t>
            </w:r>
          </w:p>
        </w:tc>
        <w:tc>
          <w:tcPr>
            <w:tcW w:w="3969" w:type="dxa"/>
            <w:vAlign w:val="center"/>
          </w:tcPr>
          <w:tbl>
            <w:tblP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78"/>
              <w:gridCol w:w="567"/>
              <w:gridCol w:w="567"/>
              <w:gridCol w:w="567"/>
              <w:gridCol w:w="567"/>
            </w:tblGrid>
            <w:tr w:rsidR="00C31220" w:rsidRPr="00BE056E" w:rsidTr="0096410D">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1</w:t>
                  </w:r>
                </w:p>
              </w:tc>
              <w:tc>
                <w:tcPr>
                  <w:tcW w:w="678"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2</w:t>
                  </w:r>
                </w:p>
              </w:tc>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3</w:t>
                  </w:r>
                </w:p>
              </w:tc>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4</w:t>
                  </w:r>
                </w:p>
              </w:tc>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5</w:t>
                  </w:r>
                </w:p>
              </w:tc>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6</w:t>
                  </w:r>
                </w:p>
              </w:tc>
            </w:tr>
            <w:tr w:rsidR="00C31220" w:rsidRPr="00BE056E" w:rsidTr="0096410D">
              <w:trPr>
                <w:trHeight w:val="60"/>
              </w:trPr>
              <w:tc>
                <w:tcPr>
                  <w:tcW w:w="567"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80%</w:t>
                  </w:r>
                </w:p>
              </w:tc>
              <w:tc>
                <w:tcPr>
                  <w:tcW w:w="678"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82.5%</w:t>
                  </w:r>
                </w:p>
              </w:tc>
              <w:tc>
                <w:tcPr>
                  <w:tcW w:w="567"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85%</w:t>
                  </w:r>
                </w:p>
              </w:tc>
              <w:tc>
                <w:tcPr>
                  <w:tcW w:w="567"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87%</w:t>
                  </w:r>
                </w:p>
              </w:tc>
              <w:tc>
                <w:tcPr>
                  <w:tcW w:w="567"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88.5%</w:t>
                  </w:r>
                </w:p>
              </w:tc>
              <w:tc>
                <w:tcPr>
                  <w:tcW w:w="567"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90%</w:t>
                  </w:r>
                </w:p>
              </w:tc>
            </w:tr>
            <w:tr w:rsidR="00C31220" w:rsidRPr="00BE056E" w:rsidTr="0096410D">
              <w:trPr>
                <w:trHeight w:val="60"/>
              </w:trPr>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4</w:t>
                  </w:r>
                </w:p>
              </w:tc>
              <w:tc>
                <w:tcPr>
                  <w:tcW w:w="678"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4</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3</w:t>
                  </w:r>
                </w:p>
              </w:tc>
            </w:tr>
          </w:tbl>
          <w:p w:rsidR="00C31220" w:rsidRPr="00BE056E" w:rsidRDefault="00C31220" w:rsidP="002B144A">
            <w:pPr>
              <w:widowControl w:val="0"/>
              <w:spacing w:before="0" w:after="0"/>
              <w:jc w:val="left"/>
              <w:rPr>
                <w:rFonts w:ascii="Arial Narrow" w:hAnsi="Arial Narrow"/>
                <w:sz w:val="20"/>
                <w:szCs w:val="20"/>
              </w:rPr>
            </w:pPr>
            <w:r w:rsidRPr="00BE056E">
              <w:rPr>
                <w:rFonts w:ascii="Arial Narrow" w:hAnsi="Arial Narrow"/>
                <w:sz w:val="20"/>
                <w:szCs w:val="20"/>
              </w:rPr>
              <w:t>Based on uptake from current indications.</w:t>
            </w:r>
          </w:p>
        </w:tc>
        <w:tc>
          <w:tcPr>
            <w:tcW w:w="3969" w:type="dxa"/>
            <w:vAlign w:val="center"/>
          </w:tcPr>
          <w:p w:rsidR="00C31220" w:rsidRPr="000F2527" w:rsidRDefault="00C31220" w:rsidP="007126F0">
            <w:pPr>
              <w:widowControl w:val="0"/>
              <w:spacing w:before="0" w:after="0"/>
              <w:jc w:val="left"/>
              <w:rPr>
                <w:rFonts w:ascii="Arial Narrow" w:hAnsi="Arial Narrow"/>
                <w:sz w:val="20"/>
                <w:szCs w:val="20"/>
              </w:rPr>
            </w:pPr>
            <w:r w:rsidRPr="000F2527">
              <w:rPr>
                <w:rFonts w:ascii="Arial Narrow" w:hAnsi="Arial Narrow"/>
                <w:iCs/>
                <w:sz w:val="20"/>
                <w:szCs w:val="20"/>
              </w:rPr>
              <w:t>The use of genetic testing was based on the sponsor’s experience. No information was provided as to the specific source of the initial proportion (80%), but it corresponded to the proportion cited in the PICO.</w:t>
            </w:r>
            <w:r w:rsidRPr="000F2527">
              <w:rPr>
                <w:rFonts w:ascii="Arial Narrow" w:hAnsi="Arial Narrow"/>
                <w:sz w:val="20"/>
                <w:szCs w:val="20"/>
              </w:rPr>
              <w:t xml:space="preserve"> The submission stated testing would increase with clinical experience.</w:t>
            </w:r>
          </w:p>
        </w:tc>
      </w:tr>
      <w:tr w:rsidR="00C31220" w:rsidRPr="00BE056E" w:rsidTr="005B0E64">
        <w:tc>
          <w:tcPr>
            <w:tcW w:w="1129" w:type="dxa"/>
            <w:vAlign w:val="center"/>
          </w:tcPr>
          <w:p w:rsidR="00C31220" w:rsidRPr="00BE056E" w:rsidRDefault="00C31220" w:rsidP="002B144A">
            <w:pPr>
              <w:widowControl w:val="0"/>
              <w:spacing w:before="0" w:after="0"/>
              <w:jc w:val="left"/>
              <w:rPr>
                <w:rFonts w:ascii="Arial Narrow" w:hAnsi="Arial Narrow"/>
                <w:sz w:val="20"/>
                <w:szCs w:val="20"/>
              </w:rPr>
            </w:pPr>
            <w:r w:rsidRPr="00BE056E">
              <w:rPr>
                <w:rFonts w:ascii="Arial Narrow" w:hAnsi="Arial Narrow"/>
                <w:i/>
                <w:iCs/>
                <w:sz w:val="20"/>
                <w:szCs w:val="20"/>
              </w:rPr>
              <w:t>BRCA1/2</w:t>
            </w:r>
            <w:r w:rsidRPr="00BE056E">
              <w:rPr>
                <w:rFonts w:ascii="Arial Narrow" w:hAnsi="Arial Narrow"/>
                <w:sz w:val="20"/>
                <w:szCs w:val="20"/>
              </w:rPr>
              <w:t xml:space="preserve"> variant detected</w:t>
            </w:r>
          </w:p>
        </w:tc>
        <w:tc>
          <w:tcPr>
            <w:tcW w:w="3969" w:type="dxa"/>
            <w:vAlign w:val="center"/>
          </w:tcPr>
          <w:tbl>
            <w:tblP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78"/>
              <w:gridCol w:w="567"/>
              <w:gridCol w:w="567"/>
              <w:gridCol w:w="567"/>
              <w:gridCol w:w="567"/>
            </w:tblGrid>
            <w:tr w:rsidR="00C31220" w:rsidRPr="00BE056E" w:rsidTr="0096410D">
              <w:tc>
                <w:tcPr>
                  <w:tcW w:w="567" w:type="dxa"/>
                </w:tcPr>
                <w:p w:rsidR="00C31220" w:rsidRPr="00631D63" w:rsidRDefault="00C31220" w:rsidP="00631D63">
                  <w:pPr>
                    <w:widowControl w:val="0"/>
                    <w:spacing w:before="0" w:after="0"/>
                    <w:jc w:val="center"/>
                    <w:rPr>
                      <w:rFonts w:ascii="Arial Narrow" w:hAnsi="Arial Narrow"/>
                      <w:b/>
                      <w:bCs/>
                      <w:sz w:val="20"/>
                      <w:szCs w:val="20"/>
                    </w:rPr>
                  </w:pPr>
                  <w:r w:rsidRPr="00631D63">
                    <w:rPr>
                      <w:rFonts w:ascii="Arial Narrow" w:hAnsi="Arial Narrow"/>
                      <w:b/>
                      <w:bCs/>
                      <w:sz w:val="20"/>
                      <w:szCs w:val="20"/>
                    </w:rPr>
                    <w:t>Year 1</w:t>
                  </w:r>
                </w:p>
              </w:tc>
              <w:tc>
                <w:tcPr>
                  <w:tcW w:w="678" w:type="dxa"/>
                </w:tcPr>
                <w:p w:rsidR="00C31220" w:rsidRPr="00631D63" w:rsidRDefault="00C31220" w:rsidP="00631D63">
                  <w:pPr>
                    <w:widowControl w:val="0"/>
                    <w:spacing w:before="0" w:after="0"/>
                    <w:jc w:val="center"/>
                    <w:rPr>
                      <w:rFonts w:ascii="Arial Narrow" w:hAnsi="Arial Narrow"/>
                      <w:b/>
                      <w:bCs/>
                      <w:sz w:val="20"/>
                      <w:szCs w:val="20"/>
                    </w:rPr>
                  </w:pPr>
                  <w:r w:rsidRPr="00631D63">
                    <w:rPr>
                      <w:rFonts w:ascii="Arial Narrow" w:hAnsi="Arial Narrow"/>
                      <w:b/>
                      <w:bCs/>
                      <w:sz w:val="20"/>
                      <w:szCs w:val="20"/>
                    </w:rPr>
                    <w:t>Year 2</w:t>
                  </w:r>
                </w:p>
              </w:tc>
              <w:tc>
                <w:tcPr>
                  <w:tcW w:w="567" w:type="dxa"/>
                </w:tcPr>
                <w:p w:rsidR="00C31220" w:rsidRPr="00631D63" w:rsidRDefault="00C31220" w:rsidP="00631D63">
                  <w:pPr>
                    <w:widowControl w:val="0"/>
                    <w:spacing w:before="0" w:after="0"/>
                    <w:jc w:val="center"/>
                    <w:rPr>
                      <w:rFonts w:ascii="Arial Narrow" w:hAnsi="Arial Narrow"/>
                      <w:b/>
                      <w:bCs/>
                      <w:sz w:val="20"/>
                      <w:szCs w:val="20"/>
                    </w:rPr>
                  </w:pPr>
                  <w:r w:rsidRPr="00631D63">
                    <w:rPr>
                      <w:rFonts w:ascii="Arial Narrow" w:hAnsi="Arial Narrow"/>
                      <w:b/>
                      <w:bCs/>
                      <w:sz w:val="20"/>
                      <w:szCs w:val="20"/>
                    </w:rPr>
                    <w:t>Year 3</w:t>
                  </w:r>
                </w:p>
              </w:tc>
              <w:tc>
                <w:tcPr>
                  <w:tcW w:w="567" w:type="dxa"/>
                </w:tcPr>
                <w:p w:rsidR="00C31220" w:rsidRPr="00631D63" w:rsidRDefault="00C31220" w:rsidP="00631D63">
                  <w:pPr>
                    <w:widowControl w:val="0"/>
                    <w:spacing w:before="0" w:after="0"/>
                    <w:jc w:val="center"/>
                    <w:rPr>
                      <w:rFonts w:ascii="Arial Narrow" w:hAnsi="Arial Narrow"/>
                      <w:b/>
                      <w:bCs/>
                      <w:sz w:val="20"/>
                      <w:szCs w:val="20"/>
                    </w:rPr>
                  </w:pPr>
                  <w:r w:rsidRPr="00631D63">
                    <w:rPr>
                      <w:rFonts w:ascii="Arial Narrow" w:hAnsi="Arial Narrow"/>
                      <w:b/>
                      <w:bCs/>
                      <w:sz w:val="20"/>
                      <w:szCs w:val="20"/>
                    </w:rPr>
                    <w:t>Year 4</w:t>
                  </w:r>
                </w:p>
              </w:tc>
              <w:tc>
                <w:tcPr>
                  <w:tcW w:w="567" w:type="dxa"/>
                </w:tcPr>
                <w:p w:rsidR="00C31220" w:rsidRPr="00631D63" w:rsidRDefault="00C31220" w:rsidP="00631D63">
                  <w:pPr>
                    <w:widowControl w:val="0"/>
                    <w:spacing w:before="0" w:after="0"/>
                    <w:jc w:val="center"/>
                    <w:rPr>
                      <w:rFonts w:ascii="Arial Narrow" w:hAnsi="Arial Narrow"/>
                      <w:b/>
                      <w:bCs/>
                      <w:sz w:val="20"/>
                      <w:szCs w:val="20"/>
                    </w:rPr>
                  </w:pPr>
                  <w:r w:rsidRPr="00631D63">
                    <w:rPr>
                      <w:rFonts w:ascii="Arial Narrow" w:hAnsi="Arial Narrow"/>
                      <w:b/>
                      <w:bCs/>
                      <w:sz w:val="20"/>
                      <w:szCs w:val="20"/>
                    </w:rPr>
                    <w:t>Year 5</w:t>
                  </w:r>
                </w:p>
              </w:tc>
              <w:tc>
                <w:tcPr>
                  <w:tcW w:w="567" w:type="dxa"/>
                </w:tcPr>
                <w:p w:rsidR="00C31220" w:rsidRPr="00631D63" w:rsidRDefault="00C31220" w:rsidP="00631D63">
                  <w:pPr>
                    <w:widowControl w:val="0"/>
                    <w:spacing w:before="0" w:after="0"/>
                    <w:jc w:val="center"/>
                    <w:rPr>
                      <w:rFonts w:ascii="Arial Narrow" w:hAnsi="Arial Narrow"/>
                      <w:b/>
                      <w:bCs/>
                      <w:sz w:val="20"/>
                      <w:szCs w:val="20"/>
                    </w:rPr>
                  </w:pPr>
                  <w:r w:rsidRPr="00631D63">
                    <w:rPr>
                      <w:rFonts w:ascii="Arial Narrow" w:hAnsi="Arial Narrow"/>
                      <w:b/>
                      <w:bCs/>
                      <w:sz w:val="20"/>
                      <w:szCs w:val="20"/>
                    </w:rPr>
                    <w:t>Year 6</w:t>
                  </w:r>
                </w:p>
              </w:tc>
            </w:tr>
            <w:tr w:rsidR="00C31220" w:rsidRPr="00BE056E" w:rsidTr="0096410D">
              <w:trPr>
                <w:trHeight w:val="60"/>
              </w:trPr>
              <w:tc>
                <w:tcPr>
                  <w:tcW w:w="567" w:type="dxa"/>
                  <w:vAlign w:val="center"/>
                </w:tcPr>
                <w:p w:rsidR="00C31220" w:rsidRPr="00631D63" w:rsidRDefault="00C31220" w:rsidP="00631D63">
                  <w:pPr>
                    <w:widowControl w:val="0"/>
                    <w:spacing w:before="0" w:after="0"/>
                    <w:jc w:val="center"/>
                    <w:rPr>
                      <w:rFonts w:ascii="Arial Narrow" w:hAnsi="Arial Narrow"/>
                      <w:sz w:val="20"/>
                      <w:szCs w:val="20"/>
                    </w:rPr>
                  </w:pPr>
                  <w:r w:rsidRPr="00631D63">
                    <w:rPr>
                      <w:rFonts w:ascii="Arial Narrow" w:hAnsi="Arial Narrow" w:cs="Arial"/>
                      <w:color w:val="000000"/>
                      <w:sz w:val="20"/>
                      <w:szCs w:val="20"/>
                    </w:rPr>
                    <w:t>9.7%</w:t>
                  </w:r>
                </w:p>
              </w:tc>
              <w:tc>
                <w:tcPr>
                  <w:tcW w:w="678" w:type="dxa"/>
                  <w:vAlign w:val="center"/>
                </w:tcPr>
                <w:p w:rsidR="00C31220" w:rsidRPr="00631D63" w:rsidRDefault="00C31220" w:rsidP="00631D63">
                  <w:pPr>
                    <w:widowControl w:val="0"/>
                    <w:spacing w:before="0" w:after="0"/>
                    <w:jc w:val="center"/>
                    <w:rPr>
                      <w:rFonts w:ascii="Arial Narrow" w:hAnsi="Arial Narrow"/>
                      <w:sz w:val="20"/>
                      <w:szCs w:val="20"/>
                    </w:rPr>
                  </w:pPr>
                  <w:r w:rsidRPr="00631D63">
                    <w:rPr>
                      <w:rFonts w:ascii="Arial Narrow" w:hAnsi="Arial Narrow" w:cs="Arial"/>
                      <w:color w:val="000000"/>
                      <w:sz w:val="20"/>
                      <w:szCs w:val="20"/>
                    </w:rPr>
                    <w:t>9.7%</w:t>
                  </w:r>
                </w:p>
              </w:tc>
              <w:tc>
                <w:tcPr>
                  <w:tcW w:w="567" w:type="dxa"/>
                  <w:vAlign w:val="center"/>
                </w:tcPr>
                <w:p w:rsidR="00C31220" w:rsidRPr="00631D63" w:rsidRDefault="00C31220" w:rsidP="00631D63">
                  <w:pPr>
                    <w:widowControl w:val="0"/>
                    <w:spacing w:before="0" w:after="0"/>
                    <w:jc w:val="center"/>
                    <w:rPr>
                      <w:rFonts w:ascii="Arial Narrow" w:hAnsi="Arial Narrow"/>
                      <w:sz w:val="20"/>
                      <w:szCs w:val="20"/>
                    </w:rPr>
                  </w:pPr>
                  <w:r w:rsidRPr="00631D63">
                    <w:rPr>
                      <w:rFonts w:ascii="Arial Narrow" w:hAnsi="Arial Narrow" w:cs="Arial"/>
                      <w:color w:val="000000"/>
                      <w:sz w:val="20"/>
                      <w:szCs w:val="20"/>
                    </w:rPr>
                    <w:t>9.7%</w:t>
                  </w:r>
                </w:p>
              </w:tc>
              <w:tc>
                <w:tcPr>
                  <w:tcW w:w="567" w:type="dxa"/>
                  <w:vAlign w:val="center"/>
                </w:tcPr>
                <w:p w:rsidR="00C31220" w:rsidRPr="00631D63" w:rsidRDefault="00C31220" w:rsidP="00631D63">
                  <w:pPr>
                    <w:widowControl w:val="0"/>
                    <w:spacing w:before="0" w:after="0"/>
                    <w:jc w:val="center"/>
                    <w:rPr>
                      <w:rFonts w:ascii="Arial Narrow" w:hAnsi="Arial Narrow"/>
                      <w:sz w:val="20"/>
                      <w:szCs w:val="20"/>
                    </w:rPr>
                  </w:pPr>
                  <w:r w:rsidRPr="00631D63">
                    <w:rPr>
                      <w:rFonts w:ascii="Arial Narrow" w:hAnsi="Arial Narrow" w:cs="Arial"/>
                      <w:color w:val="000000"/>
                      <w:sz w:val="20"/>
                      <w:szCs w:val="20"/>
                    </w:rPr>
                    <w:t>9.7%</w:t>
                  </w:r>
                </w:p>
              </w:tc>
              <w:tc>
                <w:tcPr>
                  <w:tcW w:w="567" w:type="dxa"/>
                  <w:vAlign w:val="center"/>
                </w:tcPr>
                <w:p w:rsidR="00C31220" w:rsidRPr="00631D63" w:rsidRDefault="00C31220" w:rsidP="00631D63">
                  <w:pPr>
                    <w:widowControl w:val="0"/>
                    <w:spacing w:before="0" w:after="0"/>
                    <w:jc w:val="center"/>
                    <w:rPr>
                      <w:rFonts w:ascii="Arial Narrow" w:hAnsi="Arial Narrow"/>
                      <w:sz w:val="20"/>
                      <w:szCs w:val="20"/>
                    </w:rPr>
                  </w:pPr>
                  <w:r w:rsidRPr="00631D63">
                    <w:rPr>
                      <w:rFonts w:ascii="Arial Narrow" w:hAnsi="Arial Narrow" w:cs="Arial"/>
                      <w:color w:val="000000"/>
                      <w:sz w:val="20"/>
                      <w:szCs w:val="20"/>
                    </w:rPr>
                    <w:t>9.7%</w:t>
                  </w:r>
                </w:p>
              </w:tc>
              <w:tc>
                <w:tcPr>
                  <w:tcW w:w="567" w:type="dxa"/>
                  <w:vAlign w:val="center"/>
                </w:tcPr>
                <w:p w:rsidR="00C31220" w:rsidRPr="00631D63" w:rsidRDefault="00C31220" w:rsidP="00631D63">
                  <w:pPr>
                    <w:widowControl w:val="0"/>
                    <w:spacing w:before="0" w:after="0"/>
                    <w:jc w:val="center"/>
                    <w:rPr>
                      <w:rFonts w:ascii="Arial Narrow" w:hAnsi="Arial Narrow"/>
                      <w:sz w:val="20"/>
                      <w:szCs w:val="20"/>
                    </w:rPr>
                  </w:pPr>
                  <w:r w:rsidRPr="00631D63">
                    <w:rPr>
                      <w:rFonts w:ascii="Arial Narrow" w:hAnsi="Arial Narrow" w:cs="Arial"/>
                      <w:color w:val="000000"/>
                      <w:sz w:val="20"/>
                      <w:szCs w:val="20"/>
                    </w:rPr>
                    <w:t>9.7%</w:t>
                  </w:r>
                </w:p>
              </w:tc>
            </w:tr>
            <w:tr w:rsidR="00C31220" w:rsidRPr="00BE056E" w:rsidTr="0096410D">
              <w:trPr>
                <w:trHeight w:val="60"/>
              </w:trPr>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5</w:t>
                  </w:r>
                </w:p>
              </w:tc>
              <w:tc>
                <w:tcPr>
                  <w:tcW w:w="678"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5</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4</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4</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4</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4</w:t>
                  </w:r>
                </w:p>
              </w:tc>
            </w:tr>
          </w:tbl>
          <w:p w:rsidR="00C31220" w:rsidRPr="00BE056E" w:rsidRDefault="00C31220" w:rsidP="002B144A">
            <w:pPr>
              <w:widowControl w:val="0"/>
              <w:spacing w:before="0" w:after="0"/>
              <w:jc w:val="left"/>
              <w:rPr>
                <w:rFonts w:ascii="Arial Narrow" w:hAnsi="Arial Narrow"/>
                <w:b/>
                <w:bCs/>
                <w:sz w:val="20"/>
                <w:szCs w:val="20"/>
              </w:rPr>
            </w:pPr>
            <w:r w:rsidRPr="00BE056E">
              <w:rPr>
                <w:rFonts w:ascii="Arial Narrow" w:hAnsi="Arial Narrow"/>
                <w:sz w:val="20"/>
                <w:szCs w:val="20"/>
              </w:rPr>
              <w:t xml:space="preserve">Based on </w:t>
            </w:r>
            <w:proofErr w:type="spellStart"/>
            <w:r w:rsidRPr="00BE056E">
              <w:rPr>
                <w:rFonts w:ascii="Arial Narrow" w:hAnsi="Arial Narrow"/>
                <w:sz w:val="20"/>
                <w:szCs w:val="20"/>
              </w:rPr>
              <w:t>PROfound</w:t>
            </w:r>
            <w:proofErr w:type="spellEnd"/>
            <w:r w:rsidRPr="00BE056E">
              <w:rPr>
                <w:rFonts w:ascii="Arial Narrow" w:hAnsi="Arial Narrow"/>
                <w:sz w:val="20"/>
                <w:szCs w:val="20"/>
              </w:rPr>
              <w:t xml:space="preserve"> data.</w:t>
            </w:r>
          </w:p>
        </w:tc>
        <w:tc>
          <w:tcPr>
            <w:tcW w:w="3969" w:type="dxa"/>
            <w:vAlign w:val="center"/>
          </w:tcPr>
          <w:p w:rsidR="00C31220" w:rsidRPr="000F2527" w:rsidRDefault="00C31220" w:rsidP="00027D87">
            <w:pPr>
              <w:widowControl w:val="0"/>
              <w:spacing w:before="0" w:after="0"/>
              <w:jc w:val="left"/>
              <w:rPr>
                <w:rFonts w:ascii="Arial Narrow" w:hAnsi="Arial Narrow"/>
                <w:sz w:val="20"/>
                <w:szCs w:val="20"/>
              </w:rPr>
            </w:pPr>
            <w:r w:rsidRPr="000F2527">
              <w:rPr>
                <w:rFonts w:ascii="Arial Narrow" w:hAnsi="Arial Narrow"/>
                <w:sz w:val="20"/>
                <w:szCs w:val="20"/>
              </w:rPr>
              <w:t xml:space="preserve">Detection of </w:t>
            </w:r>
            <w:r w:rsidRPr="00631D63">
              <w:rPr>
                <w:rFonts w:ascii="Arial Narrow" w:hAnsi="Arial Narrow"/>
                <w:i/>
                <w:iCs/>
                <w:sz w:val="20"/>
                <w:szCs w:val="20"/>
              </w:rPr>
              <w:t>BRCA1/2</w:t>
            </w:r>
            <w:r w:rsidRPr="000F2527">
              <w:rPr>
                <w:rFonts w:ascii="Arial Narrow" w:hAnsi="Arial Narrow"/>
                <w:sz w:val="20"/>
                <w:szCs w:val="20"/>
              </w:rPr>
              <w:t xml:space="preserve"> pathogenic gene variants was sourced from the </w:t>
            </w:r>
            <w:proofErr w:type="spellStart"/>
            <w:r w:rsidRPr="000F2527">
              <w:rPr>
                <w:rFonts w:ascii="Arial Narrow" w:hAnsi="Arial Narrow"/>
                <w:sz w:val="20"/>
                <w:szCs w:val="20"/>
              </w:rPr>
              <w:t>PROfound</w:t>
            </w:r>
            <w:proofErr w:type="spellEnd"/>
            <w:r w:rsidRPr="000F2527">
              <w:rPr>
                <w:rFonts w:ascii="Arial Narrow" w:hAnsi="Arial Narrow"/>
                <w:sz w:val="20"/>
                <w:szCs w:val="20"/>
              </w:rPr>
              <w:t xml:space="preserve"> trial. </w:t>
            </w:r>
            <w:r w:rsidR="00027D87">
              <w:rPr>
                <w:rFonts w:ascii="Arial Narrow" w:hAnsi="Arial Narrow"/>
                <w:sz w:val="20"/>
                <w:szCs w:val="20"/>
              </w:rPr>
              <w:t xml:space="preserve">The PBAC noted that the calculation to determine the value of 9.7% could not be verified, and was likely overestimated when compared to incidence rates of 5.7% when the sequenced population of </w:t>
            </w:r>
            <w:proofErr w:type="spellStart"/>
            <w:r w:rsidR="00027D87">
              <w:rPr>
                <w:rFonts w:ascii="Arial Narrow" w:hAnsi="Arial Narrow"/>
                <w:sz w:val="20"/>
                <w:szCs w:val="20"/>
              </w:rPr>
              <w:t>PROfound</w:t>
            </w:r>
            <w:proofErr w:type="spellEnd"/>
            <w:r w:rsidR="00027D87">
              <w:rPr>
                <w:rFonts w:ascii="Arial Narrow" w:hAnsi="Arial Narrow"/>
                <w:sz w:val="20"/>
                <w:szCs w:val="20"/>
              </w:rPr>
              <w:t xml:space="preserve"> was used and 3.6% when the whole scree</w:t>
            </w:r>
            <w:r w:rsidR="00266304">
              <w:rPr>
                <w:rFonts w:ascii="Arial Narrow" w:hAnsi="Arial Narrow"/>
                <w:sz w:val="20"/>
                <w:szCs w:val="20"/>
              </w:rPr>
              <w:t>ne</w:t>
            </w:r>
            <w:r w:rsidR="00027D87">
              <w:rPr>
                <w:rFonts w:ascii="Arial Narrow" w:hAnsi="Arial Narrow"/>
                <w:sz w:val="20"/>
                <w:szCs w:val="20"/>
              </w:rPr>
              <w:t xml:space="preserve">d population </w:t>
            </w:r>
            <w:r w:rsidR="007126F0">
              <w:rPr>
                <w:rFonts w:ascii="Arial Narrow" w:hAnsi="Arial Narrow"/>
                <w:sz w:val="20"/>
                <w:szCs w:val="20"/>
              </w:rPr>
              <w:t xml:space="preserve">of </w:t>
            </w:r>
            <w:proofErr w:type="spellStart"/>
            <w:r w:rsidR="007126F0">
              <w:rPr>
                <w:rFonts w:ascii="Arial Narrow" w:hAnsi="Arial Narrow"/>
                <w:sz w:val="20"/>
                <w:szCs w:val="20"/>
              </w:rPr>
              <w:t>PROfound</w:t>
            </w:r>
            <w:proofErr w:type="spellEnd"/>
            <w:r w:rsidR="007126F0">
              <w:rPr>
                <w:rFonts w:ascii="Arial Narrow" w:hAnsi="Arial Narrow"/>
                <w:sz w:val="20"/>
                <w:szCs w:val="20"/>
              </w:rPr>
              <w:t xml:space="preserve"> was used.</w:t>
            </w:r>
          </w:p>
        </w:tc>
      </w:tr>
      <w:tr w:rsidR="00C31220" w:rsidRPr="00BE056E" w:rsidTr="005B0E64">
        <w:tc>
          <w:tcPr>
            <w:tcW w:w="1129" w:type="dxa"/>
            <w:vAlign w:val="center"/>
          </w:tcPr>
          <w:p w:rsidR="00C31220" w:rsidRPr="00BE056E" w:rsidRDefault="00C31220" w:rsidP="002B144A">
            <w:pPr>
              <w:widowControl w:val="0"/>
              <w:spacing w:before="0" w:after="0"/>
              <w:jc w:val="left"/>
              <w:rPr>
                <w:rFonts w:ascii="Arial Narrow" w:hAnsi="Arial Narrow"/>
                <w:sz w:val="20"/>
                <w:szCs w:val="20"/>
              </w:rPr>
            </w:pPr>
            <w:r w:rsidRPr="00BE056E">
              <w:rPr>
                <w:rFonts w:ascii="Arial Narrow" w:hAnsi="Arial Narrow"/>
                <w:sz w:val="20"/>
                <w:szCs w:val="20"/>
              </w:rPr>
              <w:t>NHA treatment – eligible patients</w:t>
            </w:r>
          </w:p>
        </w:tc>
        <w:tc>
          <w:tcPr>
            <w:tcW w:w="3969" w:type="dxa"/>
            <w:vAlign w:val="center"/>
          </w:tcPr>
          <w:tbl>
            <w:tblPr>
              <w:tblW w:w="3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78"/>
              <w:gridCol w:w="567"/>
              <w:gridCol w:w="567"/>
              <w:gridCol w:w="704"/>
              <w:gridCol w:w="709"/>
            </w:tblGrid>
            <w:tr w:rsidR="00C31220" w:rsidRPr="00BE056E" w:rsidTr="00631D63">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1</w:t>
                  </w:r>
                </w:p>
              </w:tc>
              <w:tc>
                <w:tcPr>
                  <w:tcW w:w="678"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2</w:t>
                  </w:r>
                </w:p>
              </w:tc>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3</w:t>
                  </w:r>
                </w:p>
              </w:tc>
              <w:tc>
                <w:tcPr>
                  <w:tcW w:w="567"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4</w:t>
                  </w:r>
                </w:p>
              </w:tc>
              <w:tc>
                <w:tcPr>
                  <w:tcW w:w="704"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5</w:t>
                  </w:r>
                </w:p>
              </w:tc>
              <w:tc>
                <w:tcPr>
                  <w:tcW w:w="709" w:type="dxa"/>
                </w:tcPr>
                <w:p w:rsidR="00C31220" w:rsidRPr="00BE056E" w:rsidRDefault="00C31220" w:rsidP="00631D63">
                  <w:pPr>
                    <w:widowControl w:val="0"/>
                    <w:spacing w:before="0" w:after="0"/>
                    <w:jc w:val="center"/>
                    <w:rPr>
                      <w:rFonts w:ascii="Arial Narrow" w:hAnsi="Arial Narrow"/>
                      <w:b/>
                      <w:bCs/>
                      <w:sz w:val="20"/>
                      <w:szCs w:val="20"/>
                    </w:rPr>
                  </w:pPr>
                  <w:r w:rsidRPr="00BE056E">
                    <w:rPr>
                      <w:rFonts w:ascii="Arial Narrow" w:hAnsi="Arial Narrow"/>
                      <w:b/>
                      <w:bCs/>
                      <w:sz w:val="20"/>
                      <w:szCs w:val="20"/>
                    </w:rPr>
                    <w:t>Year 6</w:t>
                  </w:r>
                </w:p>
              </w:tc>
            </w:tr>
            <w:tr w:rsidR="00C31220" w:rsidRPr="00BE056E" w:rsidTr="00631D63">
              <w:trPr>
                <w:trHeight w:val="60"/>
              </w:trPr>
              <w:tc>
                <w:tcPr>
                  <w:tcW w:w="567"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79%</w:t>
                  </w:r>
                </w:p>
              </w:tc>
              <w:tc>
                <w:tcPr>
                  <w:tcW w:w="678"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81%</w:t>
                  </w:r>
                </w:p>
              </w:tc>
              <w:tc>
                <w:tcPr>
                  <w:tcW w:w="567"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83%</w:t>
                  </w:r>
                </w:p>
              </w:tc>
              <w:tc>
                <w:tcPr>
                  <w:tcW w:w="567"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85%</w:t>
                  </w:r>
                </w:p>
              </w:tc>
              <w:tc>
                <w:tcPr>
                  <w:tcW w:w="704"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86.25%</w:t>
                  </w:r>
                </w:p>
              </w:tc>
              <w:tc>
                <w:tcPr>
                  <w:tcW w:w="709" w:type="dxa"/>
                  <w:vAlign w:val="center"/>
                </w:tcPr>
                <w:p w:rsidR="00C31220" w:rsidRPr="00BE056E" w:rsidRDefault="00C31220" w:rsidP="00631D63">
                  <w:pPr>
                    <w:widowControl w:val="0"/>
                    <w:spacing w:before="0" w:after="0"/>
                    <w:jc w:val="center"/>
                    <w:rPr>
                      <w:rFonts w:ascii="Arial Narrow" w:hAnsi="Arial Narrow"/>
                      <w:sz w:val="20"/>
                      <w:szCs w:val="20"/>
                    </w:rPr>
                  </w:pPr>
                  <w:r w:rsidRPr="00BE056E">
                    <w:rPr>
                      <w:rFonts w:ascii="Arial Narrow" w:hAnsi="Arial Narrow" w:cs="Arial"/>
                      <w:color w:val="000000"/>
                      <w:sz w:val="20"/>
                      <w:szCs w:val="20"/>
                    </w:rPr>
                    <w:t>87.25%</w:t>
                  </w:r>
                </w:p>
              </w:tc>
            </w:tr>
            <w:tr w:rsidR="00C31220" w:rsidRPr="00BE056E" w:rsidTr="00631D63">
              <w:trPr>
                <w:trHeight w:val="60"/>
              </w:trPr>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5</w:t>
                  </w:r>
                </w:p>
              </w:tc>
              <w:tc>
                <w:tcPr>
                  <w:tcW w:w="678"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5</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5</w:t>
                  </w:r>
                </w:p>
              </w:tc>
              <w:tc>
                <w:tcPr>
                  <w:tcW w:w="567"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5</w:t>
                  </w:r>
                </w:p>
              </w:tc>
              <w:tc>
                <w:tcPr>
                  <w:tcW w:w="704"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4</w:t>
                  </w:r>
                </w:p>
              </w:tc>
              <w:tc>
                <w:tcPr>
                  <w:tcW w:w="709" w:type="dxa"/>
                  <w:vAlign w:val="center"/>
                </w:tcPr>
                <w:p w:rsidR="00C31220" w:rsidRPr="000F4D7C" w:rsidRDefault="000F4D7C" w:rsidP="00631D63">
                  <w:pPr>
                    <w:widowControl w:val="0"/>
                    <w:spacing w:before="0" w:after="0"/>
                    <w:jc w:val="center"/>
                    <w:rPr>
                      <w:rFonts w:ascii="Arial Narrow" w:hAnsi="Arial Narrow" w:cs="Arial"/>
                      <w:color w:val="000000"/>
                      <w:sz w:val="20"/>
                      <w:szCs w:val="20"/>
                    </w:rPr>
                  </w:pPr>
                  <w:r>
                    <w:rPr>
                      <w:rFonts w:ascii="Arial Narrow" w:hAnsi="Arial Narrow" w:cs="Arial"/>
                      <w:noProof/>
                      <w:color w:val="000000"/>
                      <w:sz w:val="20"/>
                      <w:szCs w:val="20"/>
                      <w:highlight w:val="black"/>
                    </w:rPr>
                    <w:t>''''''''''</w:t>
                  </w:r>
                  <w:r w:rsidR="00881E0E">
                    <w:rPr>
                      <w:rFonts w:ascii="Arial Narrow" w:hAnsi="Arial Narrow"/>
                      <w:sz w:val="20"/>
                      <w:szCs w:val="20"/>
                      <w:vertAlign w:val="superscript"/>
                    </w:rPr>
                    <w:t>4</w:t>
                  </w:r>
                </w:p>
              </w:tc>
            </w:tr>
          </w:tbl>
          <w:p w:rsidR="00C31220" w:rsidRPr="00BE056E" w:rsidRDefault="00C31220" w:rsidP="002B144A">
            <w:pPr>
              <w:widowControl w:val="0"/>
              <w:spacing w:before="0" w:after="0"/>
              <w:jc w:val="left"/>
              <w:rPr>
                <w:rFonts w:ascii="Arial Narrow" w:hAnsi="Arial Narrow"/>
                <w:b/>
                <w:bCs/>
                <w:sz w:val="20"/>
                <w:szCs w:val="20"/>
              </w:rPr>
            </w:pPr>
            <w:r w:rsidRPr="00BE056E">
              <w:rPr>
                <w:rFonts w:ascii="Arial Narrow" w:hAnsi="Arial Narrow"/>
                <w:sz w:val="20"/>
                <w:szCs w:val="20"/>
              </w:rPr>
              <w:t xml:space="preserve">Given the numbers with a </w:t>
            </w:r>
            <w:r w:rsidRPr="00BE056E">
              <w:rPr>
                <w:rFonts w:ascii="Arial Narrow" w:hAnsi="Arial Narrow"/>
                <w:i/>
                <w:iCs/>
                <w:sz w:val="20"/>
                <w:szCs w:val="20"/>
              </w:rPr>
              <w:t>BRCA1/2</w:t>
            </w:r>
            <w:r w:rsidRPr="00BE056E">
              <w:rPr>
                <w:rFonts w:ascii="Arial Narrow" w:hAnsi="Arial Narrow"/>
                <w:sz w:val="20"/>
                <w:szCs w:val="20"/>
              </w:rPr>
              <w:t xml:space="preserve"> pathogenic gene variant identified, the submission assumed those who had received NHA treatment would be eligible for </w:t>
            </w:r>
            <w:proofErr w:type="spellStart"/>
            <w:r w:rsidRPr="00BE056E">
              <w:rPr>
                <w:rFonts w:ascii="Arial Narrow" w:hAnsi="Arial Narrow"/>
                <w:sz w:val="20"/>
                <w:szCs w:val="20"/>
              </w:rPr>
              <w:t>olaparib</w:t>
            </w:r>
            <w:proofErr w:type="spellEnd"/>
            <w:r w:rsidRPr="00BE056E">
              <w:rPr>
                <w:rFonts w:ascii="Arial Narrow" w:hAnsi="Arial Narrow"/>
                <w:sz w:val="20"/>
                <w:szCs w:val="20"/>
              </w:rPr>
              <w:t>.</w:t>
            </w:r>
          </w:p>
        </w:tc>
        <w:tc>
          <w:tcPr>
            <w:tcW w:w="3969" w:type="dxa"/>
            <w:vAlign w:val="center"/>
          </w:tcPr>
          <w:p w:rsidR="00C31220" w:rsidRPr="000F2527" w:rsidRDefault="00C31220" w:rsidP="007126F0">
            <w:pPr>
              <w:widowControl w:val="0"/>
              <w:spacing w:before="0" w:after="0"/>
              <w:jc w:val="left"/>
              <w:rPr>
                <w:rFonts w:ascii="Arial Narrow" w:hAnsi="Arial Narrow"/>
                <w:sz w:val="20"/>
                <w:szCs w:val="20"/>
              </w:rPr>
            </w:pPr>
            <w:r w:rsidRPr="000F2527">
              <w:rPr>
                <w:rFonts w:ascii="Arial Narrow" w:hAnsi="Arial Narrow"/>
                <w:sz w:val="20"/>
                <w:szCs w:val="20"/>
              </w:rPr>
              <w:t xml:space="preserve">The submission stated that the proportion </w:t>
            </w:r>
            <w:r w:rsidR="00631D63">
              <w:rPr>
                <w:rFonts w:ascii="Arial Narrow" w:hAnsi="Arial Narrow"/>
                <w:sz w:val="20"/>
                <w:szCs w:val="20"/>
              </w:rPr>
              <w:t xml:space="preserve">of patients </w:t>
            </w:r>
            <w:r w:rsidRPr="000F2527">
              <w:rPr>
                <w:rFonts w:ascii="Arial Narrow" w:hAnsi="Arial Narrow"/>
                <w:sz w:val="20"/>
                <w:szCs w:val="20"/>
              </w:rPr>
              <w:t xml:space="preserve">receiving NHA treatment was based on 2019 PBS data. </w:t>
            </w:r>
            <w:r w:rsidRPr="000F2527">
              <w:rPr>
                <w:rFonts w:ascii="Arial Narrow" w:hAnsi="Arial Narrow"/>
                <w:iCs/>
                <w:sz w:val="20"/>
                <w:szCs w:val="20"/>
              </w:rPr>
              <w:t xml:space="preserve">The </w:t>
            </w:r>
            <w:r w:rsidR="005D1319">
              <w:rPr>
                <w:rFonts w:ascii="Arial Narrow" w:hAnsi="Arial Narrow"/>
                <w:iCs/>
                <w:sz w:val="20"/>
                <w:szCs w:val="20"/>
              </w:rPr>
              <w:t xml:space="preserve">PBAC noted that the </w:t>
            </w:r>
            <w:r w:rsidRPr="000F2527">
              <w:rPr>
                <w:rFonts w:ascii="Arial Narrow" w:hAnsi="Arial Narrow"/>
                <w:iCs/>
                <w:sz w:val="20"/>
                <w:szCs w:val="20"/>
              </w:rPr>
              <w:t xml:space="preserve">cited proportions may not accurately reflect eligible patients, as the requested restriction specifies that patients must have progressed on or failed NHA treatment, while the cited proportions appear to represent </w:t>
            </w:r>
            <w:r w:rsidR="007126F0">
              <w:rPr>
                <w:rFonts w:ascii="Arial Narrow" w:hAnsi="Arial Narrow"/>
                <w:iCs/>
                <w:sz w:val="20"/>
                <w:szCs w:val="20"/>
              </w:rPr>
              <w:t xml:space="preserve">all </w:t>
            </w:r>
            <w:r w:rsidRPr="000F2527">
              <w:rPr>
                <w:rFonts w:ascii="Arial Narrow" w:hAnsi="Arial Narrow"/>
                <w:iCs/>
                <w:sz w:val="20"/>
                <w:szCs w:val="20"/>
              </w:rPr>
              <w:t xml:space="preserve">treated patients. The submission gave no indication of the </w:t>
            </w:r>
            <w:r w:rsidRPr="000F2527">
              <w:rPr>
                <w:rFonts w:ascii="Arial Narrow" w:hAnsi="Arial Narrow"/>
                <w:iCs/>
                <w:sz w:val="20"/>
                <w:szCs w:val="20"/>
              </w:rPr>
              <w:lastRenderedPageBreak/>
              <w:t xml:space="preserve">proportion who would fail treatment, and thus be eligible for </w:t>
            </w:r>
            <w:proofErr w:type="spellStart"/>
            <w:r w:rsidRPr="000F2527">
              <w:rPr>
                <w:rFonts w:ascii="Arial Narrow" w:hAnsi="Arial Narrow"/>
                <w:iCs/>
                <w:sz w:val="20"/>
                <w:szCs w:val="20"/>
              </w:rPr>
              <w:t>olaparib</w:t>
            </w:r>
            <w:proofErr w:type="spellEnd"/>
            <w:r w:rsidRPr="000F2527">
              <w:rPr>
                <w:rFonts w:ascii="Arial Narrow" w:hAnsi="Arial Narrow"/>
                <w:sz w:val="20"/>
                <w:szCs w:val="20"/>
              </w:rPr>
              <w:t>.</w:t>
            </w:r>
            <w:r w:rsidR="00266304">
              <w:rPr>
                <w:rFonts w:ascii="Arial Narrow" w:hAnsi="Arial Narrow"/>
                <w:sz w:val="20"/>
                <w:szCs w:val="20"/>
              </w:rPr>
              <w:t xml:space="preserve"> The PBAC also noted that the estimates should </w:t>
            </w:r>
            <w:r w:rsidR="007126F0">
              <w:rPr>
                <w:rFonts w:ascii="Arial Narrow" w:hAnsi="Arial Narrow"/>
                <w:sz w:val="20"/>
                <w:szCs w:val="20"/>
              </w:rPr>
              <w:t>reflect</w:t>
            </w:r>
            <w:r w:rsidR="00266304">
              <w:rPr>
                <w:rFonts w:ascii="Arial Narrow" w:hAnsi="Arial Narrow"/>
                <w:sz w:val="20"/>
                <w:szCs w:val="20"/>
              </w:rPr>
              <w:t xml:space="preserve"> the number of patients expected </w:t>
            </w:r>
            <w:r w:rsidR="007126F0">
              <w:rPr>
                <w:rFonts w:ascii="Arial Narrow" w:hAnsi="Arial Narrow"/>
                <w:sz w:val="20"/>
                <w:szCs w:val="20"/>
              </w:rPr>
              <w:t xml:space="preserve">to </w:t>
            </w:r>
            <w:r w:rsidR="00266304">
              <w:rPr>
                <w:rFonts w:ascii="Arial Narrow" w:hAnsi="Arial Narrow"/>
                <w:sz w:val="20"/>
                <w:szCs w:val="20"/>
              </w:rPr>
              <w:t xml:space="preserve">have </w:t>
            </w:r>
            <w:r w:rsidR="007126F0">
              <w:rPr>
                <w:rFonts w:ascii="Arial Narrow" w:hAnsi="Arial Narrow"/>
                <w:sz w:val="20"/>
                <w:szCs w:val="20"/>
              </w:rPr>
              <w:t xml:space="preserve">an </w:t>
            </w:r>
            <w:r w:rsidR="00266304">
              <w:rPr>
                <w:rFonts w:ascii="Arial Narrow" w:hAnsi="Arial Narrow"/>
                <w:sz w:val="20"/>
                <w:szCs w:val="20"/>
              </w:rPr>
              <w:t>ECOG performance status 0-2.</w:t>
            </w:r>
          </w:p>
        </w:tc>
      </w:tr>
      <w:tr w:rsidR="00C31220" w:rsidRPr="00BE056E" w:rsidTr="005B0E64">
        <w:trPr>
          <w:trHeight w:val="43"/>
        </w:trPr>
        <w:tc>
          <w:tcPr>
            <w:tcW w:w="9067" w:type="dxa"/>
            <w:gridSpan w:val="3"/>
            <w:vAlign w:val="center"/>
          </w:tcPr>
          <w:p w:rsidR="00C31220" w:rsidRPr="000F2527" w:rsidRDefault="00C31220" w:rsidP="002B144A">
            <w:pPr>
              <w:widowControl w:val="0"/>
              <w:spacing w:before="0" w:after="0"/>
              <w:jc w:val="left"/>
              <w:rPr>
                <w:rFonts w:ascii="Arial Narrow" w:hAnsi="Arial Narrow"/>
                <w:b/>
                <w:bCs/>
                <w:sz w:val="20"/>
                <w:szCs w:val="20"/>
              </w:rPr>
            </w:pPr>
            <w:r w:rsidRPr="000F2527">
              <w:rPr>
                <w:rFonts w:ascii="Arial Narrow" w:hAnsi="Arial Narrow"/>
                <w:b/>
                <w:bCs/>
                <w:sz w:val="20"/>
                <w:szCs w:val="20"/>
              </w:rPr>
              <w:lastRenderedPageBreak/>
              <w:t>Treated patients</w:t>
            </w:r>
          </w:p>
        </w:tc>
      </w:tr>
      <w:tr w:rsidR="00C31220" w:rsidRPr="00BE056E" w:rsidTr="005B0E64">
        <w:trPr>
          <w:trHeight w:val="338"/>
        </w:trPr>
        <w:tc>
          <w:tcPr>
            <w:tcW w:w="1129" w:type="dxa"/>
            <w:vAlign w:val="center"/>
          </w:tcPr>
          <w:p w:rsidR="00C31220" w:rsidRPr="00BE056E" w:rsidRDefault="00C31220" w:rsidP="002B144A">
            <w:pPr>
              <w:widowControl w:val="0"/>
              <w:spacing w:before="0" w:after="0"/>
              <w:jc w:val="left"/>
              <w:rPr>
                <w:rFonts w:ascii="Arial Narrow" w:hAnsi="Arial Narrow"/>
                <w:sz w:val="20"/>
                <w:szCs w:val="20"/>
              </w:rPr>
            </w:pPr>
            <w:r w:rsidRPr="00BE056E">
              <w:rPr>
                <w:rFonts w:ascii="Arial Narrow" w:hAnsi="Arial Narrow"/>
                <w:sz w:val="20"/>
                <w:szCs w:val="20"/>
              </w:rPr>
              <w:t>Uptake and continuation</w:t>
            </w:r>
          </w:p>
        </w:tc>
        <w:tc>
          <w:tcPr>
            <w:tcW w:w="3969" w:type="dxa"/>
            <w:vAlign w:val="center"/>
          </w:tcPr>
          <w:p w:rsidR="00C31220" w:rsidRPr="00BE056E" w:rsidRDefault="00C31220" w:rsidP="002B144A">
            <w:pPr>
              <w:widowControl w:val="0"/>
              <w:spacing w:before="0" w:after="0"/>
              <w:jc w:val="left"/>
              <w:rPr>
                <w:rFonts w:ascii="Arial Narrow" w:hAnsi="Arial Narrow"/>
                <w:sz w:val="20"/>
                <w:szCs w:val="20"/>
              </w:rPr>
            </w:pPr>
            <w:r w:rsidRPr="00BE056E">
              <w:rPr>
                <w:rFonts w:ascii="Arial Narrow" w:hAnsi="Arial Narrow"/>
                <w:sz w:val="20"/>
                <w:szCs w:val="20"/>
              </w:rPr>
              <w:t xml:space="preserve">Uptake of 95% across Years 1 to 6 was a submission assumption; continuation of 86% was sourced from </w:t>
            </w:r>
            <w:proofErr w:type="spellStart"/>
            <w:r w:rsidRPr="00BE056E">
              <w:rPr>
                <w:rFonts w:ascii="Arial Narrow" w:hAnsi="Arial Narrow"/>
                <w:sz w:val="20"/>
                <w:szCs w:val="20"/>
              </w:rPr>
              <w:t>PROfound</w:t>
            </w:r>
            <w:proofErr w:type="spellEnd"/>
            <w:r w:rsidRPr="00BE056E">
              <w:rPr>
                <w:rFonts w:ascii="Arial Narrow" w:hAnsi="Arial Narrow"/>
                <w:sz w:val="20"/>
                <w:szCs w:val="20"/>
              </w:rPr>
              <w:t>.</w:t>
            </w:r>
          </w:p>
          <w:p w:rsidR="00C31220" w:rsidRPr="00BE056E" w:rsidRDefault="00C31220" w:rsidP="002B144A">
            <w:pPr>
              <w:widowControl w:val="0"/>
              <w:spacing w:before="0" w:after="0"/>
              <w:jc w:val="left"/>
              <w:rPr>
                <w:rFonts w:ascii="Arial Narrow" w:hAnsi="Arial Narrow"/>
                <w:b/>
                <w:bCs/>
                <w:sz w:val="20"/>
                <w:szCs w:val="20"/>
              </w:rPr>
            </w:pPr>
            <w:r w:rsidRPr="00BE056E">
              <w:rPr>
                <w:rFonts w:ascii="Arial Narrow" w:hAnsi="Arial Narrow"/>
                <w:sz w:val="20"/>
                <w:szCs w:val="20"/>
              </w:rPr>
              <w:t xml:space="preserve">Treatment duration was 227 days, sourced from </w:t>
            </w:r>
            <w:proofErr w:type="spellStart"/>
            <w:r w:rsidRPr="00BE056E">
              <w:rPr>
                <w:rFonts w:ascii="Arial Narrow" w:hAnsi="Arial Narrow"/>
                <w:sz w:val="20"/>
                <w:szCs w:val="20"/>
              </w:rPr>
              <w:t>PROfound</w:t>
            </w:r>
            <w:proofErr w:type="spellEnd"/>
            <w:r w:rsidR="00B11426">
              <w:rPr>
                <w:rFonts w:ascii="Arial Narrow" w:hAnsi="Arial Narrow"/>
                <w:sz w:val="20"/>
                <w:szCs w:val="20"/>
              </w:rPr>
              <w:t>, with a 95% compliance applied</w:t>
            </w:r>
            <w:r w:rsidRPr="00BE056E">
              <w:rPr>
                <w:rFonts w:ascii="Arial Narrow" w:hAnsi="Arial Narrow"/>
                <w:sz w:val="20"/>
                <w:szCs w:val="20"/>
              </w:rPr>
              <w:t>.</w:t>
            </w:r>
          </w:p>
        </w:tc>
        <w:tc>
          <w:tcPr>
            <w:tcW w:w="3969" w:type="dxa"/>
            <w:vAlign w:val="center"/>
          </w:tcPr>
          <w:p w:rsidR="008125C4" w:rsidRDefault="00C31220" w:rsidP="00631D63">
            <w:pPr>
              <w:widowControl w:val="0"/>
              <w:spacing w:before="0" w:after="0"/>
              <w:jc w:val="left"/>
              <w:rPr>
                <w:rFonts w:ascii="Arial Narrow" w:hAnsi="Arial Narrow"/>
                <w:sz w:val="20"/>
                <w:szCs w:val="20"/>
              </w:rPr>
            </w:pPr>
            <w:r w:rsidRPr="000F2527">
              <w:rPr>
                <w:rFonts w:ascii="Arial Narrow" w:hAnsi="Arial Narrow"/>
                <w:sz w:val="20"/>
                <w:szCs w:val="20"/>
              </w:rPr>
              <w:t xml:space="preserve">The submission considered an alternate uptake rate of 80% in a sensitivity analysis. </w:t>
            </w:r>
            <w:r w:rsidRPr="000F2527">
              <w:rPr>
                <w:rFonts w:ascii="Arial Narrow" w:hAnsi="Arial Narrow"/>
                <w:iCs/>
                <w:sz w:val="20"/>
                <w:szCs w:val="20"/>
              </w:rPr>
              <w:t xml:space="preserve">The claimed source of continuation (86%; </w:t>
            </w:r>
            <w:r w:rsidRPr="00631D63">
              <w:rPr>
                <w:rFonts w:ascii="Arial Narrow" w:hAnsi="Arial Narrow"/>
                <w:i/>
                <w:iCs/>
                <w:sz w:val="20"/>
                <w:szCs w:val="20"/>
              </w:rPr>
              <w:t>BRCA1/2</w:t>
            </w:r>
            <w:r w:rsidRPr="000F2527">
              <w:rPr>
                <w:rFonts w:ascii="Arial Narrow" w:hAnsi="Arial Narrow"/>
                <w:iCs/>
                <w:sz w:val="20"/>
                <w:szCs w:val="20"/>
              </w:rPr>
              <w:t xml:space="preserve"> PFS at 3 months) could not be verified.</w:t>
            </w:r>
            <w:r w:rsidRPr="000F2527">
              <w:rPr>
                <w:rFonts w:ascii="Arial Narrow" w:hAnsi="Arial Narrow"/>
                <w:sz w:val="20"/>
                <w:szCs w:val="20"/>
              </w:rPr>
              <w:t xml:space="preserve"> Values of 81% and 91% were considered by the subm</w:t>
            </w:r>
            <w:r w:rsidR="007126F0">
              <w:rPr>
                <w:rFonts w:ascii="Arial Narrow" w:hAnsi="Arial Narrow"/>
                <w:sz w:val="20"/>
                <w:szCs w:val="20"/>
              </w:rPr>
              <w:t>ission in sensitivity analyses.</w:t>
            </w:r>
          </w:p>
          <w:p w:rsidR="00C31220" w:rsidRPr="000F2527" w:rsidRDefault="00C31220" w:rsidP="00631D63">
            <w:pPr>
              <w:widowControl w:val="0"/>
              <w:spacing w:before="0" w:after="0"/>
              <w:jc w:val="left"/>
              <w:rPr>
                <w:rFonts w:ascii="Arial Narrow" w:hAnsi="Arial Narrow"/>
                <w:sz w:val="20"/>
                <w:szCs w:val="20"/>
              </w:rPr>
            </w:pPr>
            <w:r w:rsidRPr="000F2527">
              <w:rPr>
                <w:rFonts w:ascii="Arial Narrow" w:hAnsi="Arial Narrow"/>
                <w:iCs/>
                <w:sz w:val="20"/>
                <w:szCs w:val="20"/>
              </w:rPr>
              <w:t>Treatment duration was sourced from Cohort A</w:t>
            </w:r>
            <w:r w:rsidR="00631D63">
              <w:rPr>
                <w:rFonts w:ascii="Arial Narrow" w:hAnsi="Arial Narrow"/>
                <w:iCs/>
                <w:sz w:val="20"/>
                <w:szCs w:val="20"/>
              </w:rPr>
              <w:t>+B</w:t>
            </w:r>
            <w:r w:rsidR="008125C4">
              <w:rPr>
                <w:rFonts w:ascii="Arial Narrow" w:hAnsi="Arial Narrow"/>
                <w:iCs/>
                <w:sz w:val="20"/>
                <w:szCs w:val="20"/>
              </w:rPr>
              <w:t xml:space="preserve"> </w:t>
            </w:r>
            <w:r w:rsidRPr="000F2527">
              <w:rPr>
                <w:rFonts w:ascii="Arial Narrow" w:hAnsi="Arial Narrow"/>
                <w:iCs/>
                <w:sz w:val="20"/>
                <w:szCs w:val="20"/>
              </w:rPr>
              <w:t xml:space="preserve">of </w:t>
            </w:r>
            <w:proofErr w:type="spellStart"/>
            <w:r w:rsidRPr="000F2527">
              <w:rPr>
                <w:rFonts w:ascii="Arial Narrow" w:hAnsi="Arial Narrow"/>
                <w:iCs/>
                <w:sz w:val="20"/>
                <w:szCs w:val="20"/>
              </w:rPr>
              <w:t>PROfound</w:t>
            </w:r>
            <w:proofErr w:type="spellEnd"/>
            <w:r w:rsidRPr="000F2527">
              <w:rPr>
                <w:rFonts w:ascii="Arial Narrow" w:hAnsi="Arial Narrow"/>
                <w:iCs/>
                <w:sz w:val="20"/>
                <w:szCs w:val="20"/>
              </w:rPr>
              <w:t>, which was not representative of the proposed PBS population.</w:t>
            </w:r>
            <w:r w:rsidR="008125C4">
              <w:rPr>
                <w:rFonts w:ascii="Arial Narrow" w:hAnsi="Arial Narrow"/>
                <w:iCs/>
                <w:sz w:val="20"/>
                <w:szCs w:val="20"/>
              </w:rPr>
              <w:t xml:space="preserve"> The PBAC considered that treatment duration should be based on that of the BRCA1/2 subgroup of Cohort A</w:t>
            </w:r>
            <w:r w:rsidR="00B11426">
              <w:rPr>
                <w:rFonts w:ascii="Arial Narrow" w:hAnsi="Arial Narrow"/>
                <w:iCs/>
                <w:sz w:val="20"/>
                <w:szCs w:val="20"/>
              </w:rPr>
              <w:t xml:space="preserve"> (i.e. 290.2 days) and the same compliance as applied in the economic model (i.e. 91.51%) should be used</w:t>
            </w:r>
            <w:r w:rsidR="008125C4">
              <w:rPr>
                <w:rFonts w:ascii="Arial Narrow" w:hAnsi="Arial Narrow"/>
                <w:iCs/>
                <w:sz w:val="20"/>
                <w:szCs w:val="20"/>
              </w:rPr>
              <w:t>.</w:t>
            </w:r>
          </w:p>
        </w:tc>
      </w:tr>
      <w:tr w:rsidR="00C31220" w:rsidRPr="00631D63" w:rsidTr="005B0E64">
        <w:tc>
          <w:tcPr>
            <w:tcW w:w="9067" w:type="dxa"/>
            <w:gridSpan w:val="3"/>
            <w:vAlign w:val="center"/>
          </w:tcPr>
          <w:p w:rsidR="00C31220" w:rsidRPr="00631D63" w:rsidRDefault="00C31220" w:rsidP="002B144A">
            <w:pPr>
              <w:widowControl w:val="0"/>
              <w:spacing w:before="0" w:after="0"/>
              <w:jc w:val="left"/>
              <w:rPr>
                <w:rFonts w:ascii="Arial Narrow" w:hAnsi="Arial Narrow"/>
                <w:b/>
                <w:sz w:val="20"/>
                <w:szCs w:val="20"/>
              </w:rPr>
            </w:pPr>
            <w:r w:rsidRPr="00631D63">
              <w:rPr>
                <w:rFonts w:ascii="Arial Narrow" w:hAnsi="Arial Narrow"/>
                <w:b/>
                <w:sz w:val="20"/>
                <w:szCs w:val="20"/>
              </w:rPr>
              <w:t>Costs</w:t>
            </w:r>
          </w:p>
        </w:tc>
      </w:tr>
      <w:tr w:rsidR="00C31220" w:rsidRPr="00BE056E" w:rsidTr="005B0E64">
        <w:tc>
          <w:tcPr>
            <w:tcW w:w="1129" w:type="dxa"/>
            <w:vAlign w:val="center"/>
          </w:tcPr>
          <w:p w:rsidR="00C31220" w:rsidRPr="00BE056E" w:rsidRDefault="00C31220" w:rsidP="002B144A">
            <w:pPr>
              <w:widowControl w:val="0"/>
              <w:spacing w:before="0" w:after="0"/>
              <w:jc w:val="left"/>
              <w:rPr>
                <w:rFonts w:ascii="Arial Narrow" w:hAnsi="Arial Narrow"/>
                <w:sz w:val="20"/>
                <w:szCs w:val="20"/>
              </w:rPr>
            </w:pPr>
            <w:r w:rsidRPr="00BE056E">
              <w:rPr>
                <w:rFonts w:ascii="Arial Narrow" w:hAnsi="Arial Narrow"/>
                <w:i/>
                <w:iCs/>
                <w:sz w:val="20"/>
                <w:szCs w:val="20"/>
              </w:rPr>
              <w:t>BRCA1/2</w:t>
            </w:r>
            <w:r w:rsidRPr="00BE056E">
              <w:rPr>
                <w:rFonts w:ascii="Arial Narrow" w:hAnsi="Arial Narrow"/>
                <w:sz w:val="20"/>
                <w:szCs w:val="20"/>
              </w:rPr>
              <w:t xml:space="preserve"> test</w:t>
            </w:r>
          </w:p>
        </w:tc>
        <w:tc>
          <w:tcPr>
            <w:tcW w:w="3969" w:type="dxa"/>
            <w:vAlign w:val="center"/>
          </w:tcPr>
          <w:p w:rsidR="00C31220" w:rsidRPr="00BE056E" w:rsidRDefault="00C31220" w:rsidP="002B144A">
            <w:pPr>
              <w:pStyle w:val="TableText"/>
              <w:spacing w:before="0" w:after="0" w:line="240" w:lineRule="auto"/>
              <w:rPr>
                <w:szCs w:val="20"/>
              </w:rPr>
            </w:pPr>
            <w:r w:rsidRPr="00BE056E">
              <w:rPr>
                <w:szCs w:val="20"/>
              </w:rPr>
              <w:t>Tumour test: $960 (</w:t>
            </w:r>
            <w:r w:rsidRPr="009562AC">
              <w:rPr>
                <w:szCs w:val="20"/>
              </w:rPr>
              <w:t>80</w:t>
            </w:r>
            <w:r w:rsidRPr="00BE056E">
              <w:rPr>
                <w:szCs w:val="20"/>
              </w:rPr>
              <w:t>% rebate)</w:t>
            </w:r>
          </w:p>
          <w:p w:rsidR="00C31220" w:rsidRPr="00BE056E" w:rsidRDefault="00C31220" w:rsidP="002B144A">
            <w:pPr>
              <w:pStyle w:val="TableText"/>
              <w:spacing w:before="0" w:after="0" w:line="240" w:lineRule="auto"/>
              <w:rPr>
                <w:szCs w:val="20"/>
              </w:rPr>
            </w:pPr>
            <w:r w:rsidRPr="00BE056E">
              <w:rPr>
                <w:szCs w:val="20"/>
              </w:rPr>
              <w:t>Sam</w:t>
            </w:r>
            <w:r w:rsidR="00E76B35">
              <w:rPr>
                <w:szCs w:val="20"/>
              </w:rPr>
              <w:t>ple retrieval: $68 (</w:t>
            </w:r>
            <w:r w:rsidR="00E76B35" w:rsidRPr="009562AC">
              <w:rPr>
                <w:szCs w:val="20"/>
              </w:rPr>
              <w:t>80</w:t>
            </w:r>
            <w:r w:rsidR="00E76B35">
              <w:rPr>
                <w:szCs w:val="20"/>
              </w:rPr>
              <w:t>% rebate)</w:t>
            </w:r>
          </w:p>
          <w:p w:rsidR="00C31220" w:rsidRPr="00BE056E" w:rsidRDefault="00C31220" w:rsidP="00631D63">
            <w:pPr>
              <w:pStyle w:val="TableText"/>
              <w:spacing w:before="0" w:after="0" w:line="240" w:lineRule="auto"/>
              <w:rPr>
                <w:szCs w:val="20"/>
              </w:rPr>
            </w:pPr>
            <w:r w:rsidRPr="00BE056E">
              <w:rPr>
                <w:szCs w:val="20"/>
              </w:rPr>
              <w:t>Germline test: $960 (</w:t>
            </w:r>
            <w:r w:rsidRPr="009562AC">
              <w:rPr>
                <w:szCs w:val="20"/>
              </w:rPr>
              <w:t>80</w:t>
            </w:r>
            <w:r w:rsidRPr="00BE056E">
              <w:rPr>
                <w:szCs w:val="20"/>
              </w:rPr>
              <w:t>% rebate)</w:t>
            </w:r>
          </w:p>
        </w:tc>
        <w:tc>
          <w:tcPr>
            <w:tcW w:w="3969" w:type="dxa"/>
            <w:shd w:val="clear" w:color="auto" w:fill="auto"/>
            <w:vAlign w:val="center"/>
          </w:tcPr>
          <w:p w:rsidR="00C31220" w:rsidRPr="000F2527" w:rsidRDefault="00C31220" w:rsidP="002B144A">
            <w:pPr>
              <w:widowControl w:val="0"/>
              <w:spacing w:before="0" w:after="0"/>
              <w:jc w:val="left"/>
              <w:rPr>
                <w:rFonts w:ascii="Arial Narrow" w:hAnsi="Arial Narrow"/>
                <w:iCs/>
                <w:sz w:val="20"/>
                <w:szCs w:val="20"/>
              </w:rPr>
            </w:pPr>
            <w:r w:rsidRPr="000F2527">
              <w:rPr>
                <w:rFonts w:ascii="Arial Narrow" w:hAnsi="Arial Narrow"/>
                <w:iCs/>
                <w:sz w:val="20"/>
                <w:szCs w:val="20"/>
              </w:rPr>
              <w:t xml:space="preserve">As per existing </w:t>
            </w:r>
            <w:r w:rsidRPr="00631D63">
              <w:rPr>
                <w:rFonts w:ascii="Arial Narrow" w:hAnsi="Arial Narrow"/>
                <w:i/>
                <w:iCs/>
                <w:sz w:val="20"/>
                <w:szCs w:val="20"/>
              </w:rPr>
              <w:t>BRCA1/2</w:t>
            </w:r>
            <w:r w:rsidRPr="000F2527">
              <w:rPr>
                <w:rFonts w:ascii="Arial Narrow" w:hAnsi="Arial Narrow"/>
                <w:iCs/>
                <w:sz w:val="20"/>
                <w:szCs w:val="20"/>
              </w:rPr>
              <w:t xml:space="preserve"> MBS items (73301; 73295) and existing sample retrieval item (72860).</w:t>
            </w:r>
          </w:p>
        </w:tc>
      </w:tr>
      <w:tr w:rsidR="00C31220" w:rsidRPr="00BE056E" w:rsidTr="005B0E64">
        <w:tc>
          <w:tcPr>
            <w:tcW w:w="1129" w:type="dxa"/>
            <w:vAlign w:val="center"/>
          </w:tcPr>
          <w:p w:rsidR="00C31220" w:rsidRPr="00BE056E" w:rsidRDefault="00C31220" w:rsidP="002B144A">
            <w:pPr>
              <w:widowControl w:val="0"/>
              <w:spacing w:before="0" w:after="0"/>
              <w:jc w:val="left"/>
              <w:rPr>
                <w:rFonts w:ascii="Arial Narrow" w:hAnsi="Arial Narrow"/>
                <w:sz w:val="20"/>
                <w:szCs w:val="20"/>
              </w:rPr>
            </w:pPr>
            <w:proofErr w:type="spellStart"/>
            <w:r w:rsidRPr="00BE056E">
              <w:rPr>
                <w:rFonts w:ascii="Arial Narrow" w:hAnsi="Arial Narrow"/>
                <w:sz w:val="20"/>
                <w:szCs w:val="20"/>
              </w:rPr>
              <w:t>Olaparib</w:t>
            </w:r>
            <w:proofErr w:type="spellEnd"/>
          </w:p>
        </w:tc>
        <w:tc>
          <w:tcPr>
            <w:tcW w:w="3969" w:type="dxa"/>
            <w:vAlign w:val="center"/>
          </w:tcPr>
          <w:p w:rsidR="00C31220" w:rsidRPr="00BE056E" w:rsidRDefault="00C31220" w:rsidP="00E76B35">
            <w:pPr>
              <w:widowControl w:val="0"/>
              <w:spacing w:before="0" w:after="0"/>
              <w:jc w:val="left"/>
              <w:rPr>
                <w:rFonts w:ascii="Arial Narrow" w:hAnsi="Arial Narrow"/>
                <w:sz w:val="20"/>
                <w:szCs w:val="20"/>
              </w:rPr>
            </w:pPr>
            <w:r w:rsidRPr="00BE056E">
              <w:rPr>
                <w:rFonts w:ascii="Arial Narrow" w:hAnsi="Arial Narrow"/>
                <w:sz w:val="20"/>
                <w:szCs w:val="20"/>
              </w:rPr>
              <w:t>$</w:t>
            </w:r>
            <w:r w:rsidR="000F4D7C">
              <w:rPr>
                <w:rFonts w:ascii="Arial Narrow" w:hAnsi="Arial Narrow"/>
                <w:noProof/>
                <w:color w:val="000000"/>
                <w:sz w:val="20"/>
                <w:szCs w:val="20"/>
                <w:highlight w:val="black"/>
              </w:rPr>
              <w:t>''''''''''''''''''''</w:t>
            </w:r>
            <w:r w:rsidR="00631D63">
              <w:rPr>
                <w:rFonts w:ascii="Arial Narrow" w:hAnsi="Arial Narrow"/>
                <w:sz w:val="20"/>
                <w:szCs w:val="20"/>
              </w:rPr>
              <w:t xml:space="preserve"> - </w:t>
            </w:r>
            <w:r w:rsidR="00E76B35">
              <w:rPr>
                <w:rFonts w:ascii="Arial Narrow" w:hAnsi="Arial Narrow"/>
                <w:sz w:val="20"/>
                <w:szCs w:val="20"/>
              </w:rPr>
              <w:t>requested price</w:t>
            </w:r>
          </w:p>
        </w:tc>
        <w:tc>
          <w:tcPr>
            <w:tcW w:w="3969" w:type="dxa"/>
            <w:vAlign w:val="center"/>
          </w:tcPr>
          <w:p w:rsidR="00C31220" w:rsidRPr="000F2527" w:rsidRDefault="00C31220" w:rsidP="002B144A">
            <w:pPr>
              <w:widowControl w:val="0"/>
              <w:spacing w:before="0" w:after="0"/>
              <w:jc w:val="left"/>
              <w:rPr>
                <w:rFonts w:ascii="Arial Narrow" w:hAnsi="Arial Narrow"/>
                <w:sz w:val="20"/>
                <w:szCs w:val="20"/>
              </w:rPr>
            </w:pPr>
            <w:r w:rsidRPr="000F2527">
              <w:rPr>
                <w:rFonts w:ascii="Arial Narrow" w:hAnsi="Arial Narrow"/>
                <w:sz w:val="20"/>
                <w:szCs w:val="20"/>
              </w:rPr>
              <w:t>-</w:t>
            </w:r>
          </w:p>
        </w:tc>
      </w:tr>
      <w:tr w:rsidR="00C31220" w:rsidRPr="00BE056E" w:rsidTr="005B0E64">
        <w:tc>
          <w:tcPr>
            <w:tcW w:w="1129" w:type="dxa"/>
            <w:vAlign w:val="center"/>
          </w:tcPr>
          <w:p w:rsidR="00C31220" w:rsidRPr="00BE056E" w:rsidRDefault="00C31220" w:rsidP="002B144A">
            <w:pPr>
              <w:widowControl w:val="0"/>
              <w:spacing w:before="0" w:after="0"/>
              <w:jc w:val="left"/>
              <w:rPr>
                <w:rFonts w:ascii="Arial Narrow" w:hAnsi="Arial Narrow"/>
                <w:sz w:val="20"/>
                <w:szCs w:val="20"/>
              </w:rPr>
            </w:pPr>
            <w:r w:rsidRPr="00BE056E">
              <w:rPr>
                <w:rFonts w:ascii="Arial Narrow" w:hAnsi="Arial Narrow"/>
                <w:sz w:val="20"/>
                <w:szCs w:val="20"/>
              </w:rPr>
              <w:t xml:space="preserve">Patient </w:t>
            </w:r>
            <w:proofErr w:type="spellStart"/>
            <w:r w:rsidRPr="00BE056E">
              <w:rPr>
                <w:rFonts w:ascii="Arial Narrow" w:hAnsi="Arial Narrow"/>
                <w:sz w:val="20"/>
                <w:szCs w:val="20"/>
              </w:rPr>
              <w:t>copayment</w:t>
            </w:r>
            <w:proofErr w:type="spellEnd"/>
          </w:p>
        </w:tc>
        <w:tc>
          <w:tcPr>
            <w:tcW w:w="3969" w:type="dxa"/>
            <w:vAlign w:val="center"/>
          </w:tcPr>
          <w:p w:rsidR="00C31220" w:rsidRPr="00BE056E" w:rsidRDefault="00C31220" w:rsidP="002B144A">
            <w:pPr>
              <w:widowControl w:val="0"/>
              <w:spacing w:before="0" w:after="0"/>
              <w:jc w:val="left"/>
              <w:rPr>
                <w:rFonts w:ascii="Arial Narrow" w:hAnsi="Arial Narrow"/>
                <w:sz w:val="20"/>
                <w:szCs w:val="20"/>
              </w:rPr>
            </w:pPr>
            <w:r w:rsidRPr="00BE056E">
              <w:rPr>
                <w:rFonts w:ascii="Arial Narrow" w:hAnsi="Arial Narrow"/>
                <w:sz w:val="20"/>
                <w:szCs w:val="20"/>
              </w:rPr>
              <w:t>PBS: $11.79; RPBS: $5.27</w:t>
            </w:r>
          </w:p>
          <w:p w:rsidR="00C31220" w:rsidRPr="00BE056E" w:rsidRDefault="00C31220" w:rsidP="002B144A">
            <w:pPr>
              <w:widowControl w:val="0"/>
              <w:spacing w:before="0" w:after="0"/>
              <w:jc w:val="left"/>
              <w:rPr>
                <w:rFonts w:ascii="Arial Narrow" w:hAnsi="Arial Narrow"/>
                <w:sz w:val="20"/>
                <w:szCs w:val="20"/>
              </w:rPr>
            </w:pPr>
            <w:r w:rsidRPr="00BE056E">
              <w:rPr>
                <w:rFonts w:ascii="Arial Narrow" w:hAnsi="Arial Narrow"/>
                <w:sz w:val="20"/>
                <w:szCs w:val="20"/>
              </w:rPr>
              <w:t>PBS statistics f</w:t>
            </w:r>
            <w:r w:rsidR="00E76B35">
              <w:rPr>
                <w:rFonts w:ascii="Arial Narrow" w:hAnsi="Arial Narrow"/>
                <w:sz w:val="20"/>
                <w:szCs w:val="20"/>
              </w:rPr>
              <w:t>or abiraterone and enzalutamide</w:t>
            </w:r>
          </w:p>
          <w:p w:rsidR="00C31220" w:rsidRPr="00BE056E" w:rsidRDefault="00C31220" w:rsidP="002B144A">
            <w:pPr>
              <w:widowControl w:val="0"/>
              <w:spacing w:before="0" w:after="0"/>
              <w:jc w:val="left"/>
              <w:rPr>
                <w:rFonts w:ascii="Arial Narrow" w:hAnsi="Arial Narrow"/>
                <w:sz w:val="20"/>
                <w:szCs w:val="20"/>
              </w:rPr>
            </w:pPr>
            <w:r w:rsidRPr="00BE056E">
              <w:rPr>
                <w:rFonts w:ascii="Arial Narrow" w:hAnsi="Arial Narrow"/>
                <w:sz w:val="20"/>
                <w:szCs w:val="20"/>
              </w:rPr>
              <w:t>(Jan 2019 to Dec 2019).</w:t>
            </w:r>
          </w:p>
        </w:tc>
        <w:tc>
          <w:tcPr>
            <w:tcW w:w="3969" w:type="dxa"/>
            <w:vAlign w:val="center"/>
          </w:tcPr>
          <w:p w:rsidR="00C31220" w:rsidRPr="000F2527" w:rsidRDefault="00C31220" w:rsidP="00F15CE5">
            <w:pPr>
              <w:widowControl w:val="0"/>
              <w:spacing w:before="0" w:after="0"/>
              <w:jc w:val="left"/>
              <w:rPr>
                <w:rFonts w:ascii="Arial Narrow" w:hAnsi="Arial Narrow"/>
                <w:iCs/>
                <w:sz w:val="20"/>
                <w:szCs w:val="20"/>
              </w:rPr>
            </w:pPr>
          </w:p>
        </w:tc>
      </w:tr>
    </w:tbl>
    <w:p w:rsidR="00C31220" w:rsidRPr="00BE056E" w:rsidRDefault="00C31220" w:rsidP="00C31220">
      <w:pPr>
        <w:pStyle w:val="TableFooter"/>
      </w:pPr>
      <w:r w:rsidRPr="00BE056E">
        <w:t>Source: Table 4.2.2, Table 4.2.5, Section 4.2.1.2 to Section 4.2.1.5 of the submission.</w:t>
      </w:r>
    </w:p>
    <w:p w:rsidR="00C31220" w:rsidRPr="000F4D7C" w:rsidRDefault="00C31220" w:rsidP="00C31220">
      <w:pPr>
        <w:pStyle w:val="TableFooter"/>
        <w:rPr>
          <w:i/>
          <w:iCs/>
        </w:rPr>
      </w:pPr>
      <w:r w:rsidRPr="00BE056E">
        <w:rPr>
          <w:i/>
          <w:iCs/>
        </w:rPr>
        <w:t>BRCA</w:t>
      </w:r>
      <w:r w:rsidR="00077040">
        <w:rPr>
          <w:i/>
          <w:iCs/>
        </w:rPr>
        <w:t xml:space="preserve">1/2 </w:t>
      </w:r>
      <w:r w:rsidRPr="00BE056E">
        <w:t>=</w:t>
      </w:r>
      <w:r w:rsidR="00077040">
        <w:t xml:space="preserve"> </w:t>
      </w:r>
      <w:r w:rsidRPr="00BE056E">
        <w:t>breast cancer gene</w:t>
      </w:r>
      <w:r w:rsidR="00077040">
        <w:t>s 1 and 2</w:t>
      </w:r>
      <w:r w:rsidRPr="00BE056E">
        <w:t>; CRPC</w:t>
      </w:r>
      <w:r w:rsidR="00077040">
        <w:t xml:space="preserve"> </w:t>
      </w:r>
      <w:r w:rsidRPr="00BE056E">
        <w:t>=</w:t>
      </w:r>
      <w:r w:rsidR="00077040">
        <w:t xml:space="preserve"> </w:t>
      </w:r>
      <w:r w:rsidRPr="00BE056E">
        <w:t>castration resistant prostate cancer; HSPC</w:t>
      </w:r>
      <w:r w:rsidR="00077040">
        <w:t xml:space="preserve"> </w:t>
      </w:r>
      <w:r w:rsidRPr="00BE056E">
        <w:t>=</w:t>
      </w:r>
      <w:r w:rsidR="00077040">
        <w:t xml:space="preserve"> </w:t>
      </w:r>
      <w:r w:rsidRPr="00BE056E">
        <w:t xml:space="preserve">hormone sensitive prostate cancer; </w:t>
      </w:r>
      <w:r w:rsidR="00077040">
        <w:t xml:space="preserve">MBS = Medicare Benefits Schedule; </w:t>
      </w:r>
      <w:proofErr w:type="spellStart"/>
      <w:r w:rsidRPr="00BE056E">
        <w:t>mCRPC</w:t>
      </w:r>
      <w:proofErr w:type="spellEnd"/>
      <w:r w:rsidR="00077040">
        <w:t xml:space="preserve"> </w:t>
      </w:r>
      <w:r w:rsidRPr="00BE056E">
        <w:t>=</w:t>
      </w:r>
      <w:r w:rsidR="00077040">
        <w:t xml:space="preserve"> </w:t>
      </w:r>
      <w:r w:rsidRPr="00BE056E">
        <w:t>metastatic castration resistant prostate cancer; NHA=novel hormonal agent</w:t>
      </w:r>
      <w:r w:rsidR="00077040">
        <w:t xml:space="preserve">; PBS = Pharmaceutical </w:t>
      </w:r>
      <w:r w:rsidR="00077040" w:rsidRPr="000F4D7C">
        <w:rPr>
          <w:i/>
          <w:iCs/>
        </w:rPr>
        <w:t>Benefits Scheme</w:t>
      </w:r>
      <w:r w:rsidR="00E76B35" w:rsidRPr="000F4D7C">
        <w:rPr>
          <w:i/>
          <w:iCs/>
        </w:rPr>
        <w:t>.</w:t>
      </w:r>
    </w:p>
    <w:p w:rsidR="000901B3" w:rsidRPr="000F4D7C" w:rsidRDefault="000901B3" w:rsidP="000F4D7C">
      <w:pPr>
        <w:pStyle w:val="TableFooter"/>
        <w:rPr>
          <w:i/>
          <w:iCs/>
        </w:rPr>
      </w:pPr>
      <w:r w:rsidRPr="009562AC">
        <w:rPr>
          <w:i/>
          <w:iCs/>
        </w:rPr>
        <w:t xml:space="preserve">The redacted values correspond to the following ranges: </w:t>
      </w:r>
    </w:p>
    <w:p w:rsidR="004F6D92" w:rsidRPr="000F4D7C" w:rsidRDefault="004F6D92" w:rsidP="004F6D92">
      <w:pPr>
        <w:pStyle w:val="TableFooter"/>
        <w:rPr>
          <w:i/>
        </w:rPr>
      </w:pPr>
      <w:r>
        <w:rPr>
          <w:i/>
          <w:vertAlign w:val="superscript"/>
        </w:rPr>
        <w:t xml:space="preserve">1 </w:t>
      </w:r>
      <w:r w:rsidRPr="000F4D7C">
        <w:rPr>
          <w:i/>
        </w:rPr>
        <w:t>30,000 to &lt; 40,000</w:t>
      </w:r>
    </w:p>
    <w:p w:rsidR="000901B3" w:rsidRPr="000F4D7C" w:rsidRDefault="004F6D92" w:rsidP="004F6D92">
      <w:pPr>
        <w:pStyle w:val="TableFooter"/>
        <w:rPr>
          <w:i/>
        </w:rPr>
      </w:pPr>
      <w:r>
        <w:rPr>
          <w:i/>
          <w:vertAlign w:val="superscript"/>
        </w:rPr>
        <w:t xml:space="preserve">2 </w:t>
      </w:r>
      <w:r w:rsidRPr="000F4D7C">
        <w:rPr>
          <w:i/>
        </w:rPr>
        <w:t>40,000 to &lt; 50,000</w:t>
      </w:r>
    </w:p>
    <w:p w:rsidR="004F6D92" w:rsidRPr="000F4D7C" w:rsidRDefault="004F6D92" w:rsidP="004F6D92">
      <w:pPr>
        <w:pStyle w:val="TableFooter"/>
        <w:rPr>
          <w:i/>
        </w:rPr>
      </w:pPr>
      <w:r>
        <w:rPr>
          <w:i/>
          <w:vertAlign w:val="superscript"/>
        </w:rPr>
        <w:t xml:space="preserve">3 </w:t>
      </w:r>
      <w:r w:rsidRPr="000F4D7C">
        <w:rPr>
          <w:i/>
        </w:rPr>
        <w:t>5,000 to &lt; 10,000</w:t>
      </w:r>
    </w:p>
    <w:p w:rsidR="00881E0E" w:rsidRDefault="004F6D92" w:rsidP="004F6D92">
      <w:pPr>
        <w:pStyle w:val="TableFooter"/>
        <w:rPr>
          <w:i/>
        </w:rPr>
      </w:pPr>
      <w:r>
        <w:rPr>
          <w:i/>
          <w:vertAlign w:val="superscript"/>
        </w:rPr>
        <w:t xml:space="preserve">4 </w:t>
      </w:r>
      <w:r w:rsidR="00881E0E" w:rsidRPr="00C80E83">
        <w:rPr>
          <w:i/>
        </w:rPr>
        <w:t>500 to &lt; 5,000</w:t>
      </w:r>
    </w:p>
    <w:p w:rsidR="004F6D92" w:rsidRPr="000F4D7C" w:rsidRDefault="00881E0E" w:rsidP="004F6D92">
      <w:pPr>
        <w:pStyle w:val="TableFooter"/>
        <w:rPr>
          <w:i/>
        </w:rPr>
      </w:pPr>
      <w:r>
        <w:rPr>
          <w:i/>
          <w:vertAlign w:val="superscript"/>
        </w:rPr>
        <w:t xml:space="preserve">5 </w:t>
      </w:r>
      <w:r w:rsidR="004F6D92" w:rsidRPr="000F4D7C">
        <w:rPr>
          <w:i/>
        </w:rPr>
        <w:t>&lt; 500</w:t>
      </w:r>
    </w:p>
    <w:p w:rsidR="004F6D92" w:rsidRPr="000F4D7C" w:rsidRDefault="00881E0E" w:rsidP="004F6D92">
      <w:pPr>
        <w:pStyle w:val="TableFooter"/>
        <w:rPr>
          <w:i/>
        </w:rPr>
      </w:pPr>
      <w:r>
        <w:rPr>
          <w:i/>
          <w:vertAlign w:val="superscript"/>
        </w:rPr>
        <w:t>6</w:t>
      </w:r>
      <w:r w:rsidR="004F6D92">
        <w:rPr>
          <w:i/>
          <w:vertAlign w:val="superscript"/>
        </w:rPr>
        <w:t xml:space="preserve"> </w:t>
      </w:r>
      <w:r w:rsidRPr="00881E0E">
        <w:rPr>
          <w:i/>
        </w:rPr>
        <w:t>$15,000 to &lt; $25,000</w:t>
      </w:r>
    </w:p>
    <w:p w:rsidR="00C31220" w:rsidRPr="00BE056E" w:rsidRDefault="00C31220" w:rsidP="00C31220">
      <w:pPr>
        <w:pStyle w:val="ListParagraph"/>
      </w:pPr>
      <w:r w:rsidRPr="00BE056E">
        <w:t xml:space="preserve">The estimated test and patient numbers, script numbers and costs for the PBS listing of </w:t>
      </w:r>
      <w:proofErr w:type="spellStart"/>
      <w:r w:rsidRPr="00BE056E">
        <w:t>olaparib</w:t>
      </w:r>
      <w:proofErr w:type="spellEnd"/>
      <w:r w:rsidRPr="00BE056E">
        <w:t xml:space="preserve"> and MBS listing of the </w:t>
      </w:r>
      <w:r w:rsidRPr="001735B2">
        <w:rPr>
          <w:i/>
          <w:iCs/>
        </w:rPr>
        <w:t>BRCA</w:t>
      </w:r>
      <w:r w:rsidRPr="001735B2">
        <w:rPr>
          <w:i/>
        </w:rPr>
        <w:t>1/2</w:t>
      </w:r>
      <w:r w:rsidRPr="00BE056E">
        <w:t xml:space="preserve"> pathogenic gene variant test are provided below</w:t>
      </w:r>
      <w:r w:rsidRPr="00BE056E">
        <w:rPr>
          <w:i/>
        </w:rPr>
        <w:t>.</w:t>
      </w:r>
    </w:p>
    <w:p w:rsidR="00C31220" w:rsidRPr="00BE056E" w:rsidRDefault="00EA0D0B" w:rsidP="00781284">
      <w:pPr>
        <w:pStyle w:val="Caption"/>
      </w:pPr>
      <w:r w:rsidRPr="00BE056E">
        <w:lastRenderedPageBreak/>
        <w:t xml:space="preserve">Table </w:t>
      </w:r>
      <w:r w:rsidR="00CD4B9C">
        <w:rPr>
          <w:noProof/>
        </w:rPr>
        <w:t>17</w:t>
      </w:r>
      <w:r w:rsidR="0073766D">
        <w:rPr>
          <w:noProof/>
        </w:rPr>
        <w:t>:</w:t>
      </w:r>
      <w:r w:rsidR="00F80A08">
        <w:rPr>
          <w:noProof/>
        </w:rPr>
        <w:tab/>
      </w:r>
      <w:r w:rsidR="00C31220" w:rsidRPr="00BE056E">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5"/>
        <w:gridCol w:w="1166"/>
        <w:gridCol w:w="1167"/>
        <w:gridCol w:w="1167"/>
        <w:gridCol w:w="1167"/>
        <w:gridCol w:w="1167"/>
        <w:gridCol w:w="1167"/>
      </w:tblGrid>
      <w:tr w:rsidR="00C31220" w:rsidRPr="00BE056E" w:rsidTr="001735B2">
        <w:trPr>
          <w:tblHeader/>
        </w:trPr>
        <w:tc>
          <w:tcPr>
            <w:tcW w:w="1118" w:type="pct"/>
            <w:shd w:val="clear" w:color="auto" w:fill="auto"/>
            <w:vAlign w:val="center"/>
          </w:tcPr>
          <w:p w:rsidR="00C31220" w:rsidRPr="00BE056E" w:rsidRDefault="00C31220" w:rsidP="00750CE1">
            <w:pPr>
              <w:pStyle w:val="TableText"/>
              <w:keepNext/>
              <w:keepLines/>
              <w:spacing w:before="0" w:after="0" w:line="240" w:lineRule="auto"/>
              <w:jc w:val="center"/>
              <w:rPr>
                <w:b/>
              </w:rPr>
            </w:pPr>
          </w:p>
        </w:tc>
        <w:tc>
          <w:tcPr>
            <w:tcW w:w="647" w:type="pct"/>
            <w:shd w:val="clear" w:color="auto" w:fill="auto"/>
            <w:vAlign w:val="center"/>
          </w:tcPr>
          <w:p w:rsidR="00C31220" w:rsidRPr="00BE056E" w:rsidRDefault="00C31220" w:rsidP="00750CE1">
            <w:pPr>
              <w:pStyle w:val="TableText"/>
              <w:keepNext/>
              <w:keepLines/>
              <w:spacing w:before="0" w:after="0" w:line="240" w:lineRule="auto"/>
              <w:jc w:val="center"/>
              <w:rPr>
                <w:b/>
              </w:rPr>
            </w:pPr>
            <w:r w:rsidRPr="00BE056E">
              <w:rPr>
                <w:b/>
              </w:rPr>
              <w:t>Year 1</w:t>
            </w:r>
          </w:p>
        </w:tc>
        <w:tc>
          <w:tcPr>
            <w:tcW w:w="647" w:type="pct"/>
            <w:shd w:val="clear" w:color="auto" w:fill="auto"/>
            <w:vAlign w:val="center"/>
          </w:tcPr>
          <w:p w:rsidR="00C31220" w:rsidRPr="00BE056E" w:rsidRDefault="00C31220" w:rsidP="00750CE1">
            <w:pPr>
              <w:pStyle w:val="TableText"/>
              <w:keepNext/>
              <w:keepLines/>
              <w:spacing w:before="0" w:after="0" w:line="240" w:lineRule="auto"/>
              <w:jc w:val="center"/>
              <w:rPr>
                <w:b/>
              </w:rPr>
            </w:pPr>
            <w:r w:rsidRPr="00BE056E">
              <w:rPr>
                <w:b/>
              </w:rPr>
              <w:t>Year 2</w:t>
            </w:r>
          </w:p>
        </w:tc>
        <w:tc>
          <w:tcPr>
            <w:tcW w:w="647" w:type="pct"/>
            <w:shd w:val="clear" w:color="auto" w:fill="auto"/>
            <w:vAlign w:val="center"/>
          </w:tcPr>
          <w:p w:rsidR="00C31220" w:rsidRPr="00BE056E" w:rsidRDefault="00C31220" w:rsidP="00750CE1">
            <w:pPr>
              <w:pStyle w:val="TableText"/>
              <w:keepNext/>
              <w:keepLines/>
              <w:spacing w:before="0" w:after="0" w:line="240" w:lineRule="auto"/>
              <w:jc w:val="center"/>
              <w:rPr>
                <w:b/>
              </w:rPr>
            </w:pPr>
            <w:r w:rsidRPr="00BE056E">
              <w:rPr>
                <w:b/>
              </w:rPr>
              <w:t>Year 3</w:t>
            </w:r>
          </w:p>
        </w:tc>
        <w:tc>
          <w:tcPr>
            <w:tcW w:w="647" w:type="pct"/>
            <w:shd w:val="clear" w:color="auto" w:fill="auto"/>
            <w:vAlign w:val="center"/>
          </w:tcPr>
          <w:p w:rsidR="00C31220" w:rsidRPr="00BE056E" w:rsidRDefault="00C31220" w:rsidP="00750CE1">
            <w:pPr>
              <w:pStyle w:val="TableText"/>
              <w:keepNext/>
              <w:keepLines/>
              <w:spacing w:before="0" w:after="0" w:line="240" w:lineRule="auto"/>
              <w:jc w:val="center"/>
              <w:rPr>
                <w:b/>
              </w:rPr>
            </w:pPr>
            <w:r w:rsidRPr="00BE056E">
              <w:rPr>
                <w:b/>
              </w:rPr>
              <w:t>Year 4</w:t>
            </w:r>
          </w:p>
        </w:tc>
        <w:tc>
          <w:tcPr>
            <w:tcW w:w="647" w:type="pct"/>
            <w:shd w:val="clear" w:color="auto" w:fill="auto"/>
            <w:vAlign w:val="center"/>
          </w:tcPr>
          <w:p w:rsidR="00C31220" w:rsidRPr="00BE056E" w:rsidRDefault="00C31220" w:rsidP="00750CE1">
            <w:pPr>
              <w:pStyle w:val="TableText"/>
              <w:keepNext/>
              <w:keepLines/>
              <w:spacing w:before="0" w:after="0" w:line="240" w:lineRule="auto"/>
              <w:jc w:val="center"/>
              <w:rPr>
                <w:b/>
              </w:rPr>
            </w:pPr>
            <w:r w:rsidRPr="00BE056E">
              <w:rPr>
                <w:b/>
              </w:rPr>
              <w:t>Year 5</w:t>
            </w:r>
          </w:p>
        </w:tc>
        <w:tc>
          <w:tcPr>
            <w:tcW w:w="647" w:type="pct"/>
          </w:tcPr>
          <w:p w:rsidR="00C31220" w:rsidRPr="00BE056E" w:rsidRDefault="00C31220" w:rsidP="00750CE1">
            <w:pPr>
              <w:pStyle w:val="TableText"/>
              <w:keepNext/>
              <w:keepLines/>
              <w:spacing w:before="0" w:after="0" w:line="240" w:lineRule="auto"/>
              <w:jc w:val="center"/>
              <w:rPr>
                <w:b/>
              </w:rPr>
            </w:pPr>
            <w:r w:rsidRPr="00BE056E">
              <w:rPr>
                <w:b/>
              </w:rPr>
              <w:t>Year 6</w:t>
            </w:r>
          </w:p>
        </w:tc>
      </w:tr>
      <w:tr w:rsidR="00C31220" w:rsidRPr="00BE056E" w:rsidTr="001735B2">
        <w:tc>
          <w:tcPr>
            <w:tcW w:w="5000" w:type="pct"/>
            <w:gridSpan w:val="7"/>
            <w:shd w:val="clear" w:color="auto" w:fill="auto"/>
            <w:vAlign w:val="center"/>
          </w:tcPr>
          <w:p w:rsidR="00C31220" w:rsidRPr="00BE056E" w:rsidRDefault="00C31220" w:rsidP="00750CE1">
            <w:pPr>
              <w:pStyle w:val="TableText"/>
              <w:keepNext/>
              <w:keepLines/>
              <w:spacing w:before="0" w:after="0" w:line="240" w:lineRule="auto"/>
              <w:rPr>
                <w:b/>
              </w:rPr>
            </w:pPr>
            <w:r w:rsidRPr="00BE056E">
              <w:rPr>
                <w:b/>
              </w:rPr>
              <w:t xml:space="preserve">Estimated extent of use of </w:t>
            </w:r>
            <w:r w:rsidRPr="00BE056E">
              <w:rPr>
                <w:b/>
                <w:i/>
                <w:iCs/>
              </w:rPr>
              <w:t>BRCA1/2</w:t>
            </w:r>
            <w:r w:rsidRPr="00BE056E">
              <w:rPr>
                <w:b/>
              </w:rPr>
              <w:t xml:space="preserve"> pathogenic gene variant test</w:t>
            </w:r>
          </w:p>
        </w:tc>
      </w:tr>
      <w:tr w:rsidR="00C31220" w:rsidRPr="00BE056E" w:rsidTr="001735B2">
        <w:tc>
          <w:tcPr>
            <w:tcW w:w="1118" w:type="pct"/>
            <w:shd w:val="clear" w:color="auto" w:fill="auto"/>
            <w:vAlign w:val="center"/>
          </w:tcPr>
          <w:p w:rsidR="00C31220" w:rsidRPr="00BE056E" w:rsidRDefault="00C31220" w:rsidP="00750CE1">
            <w:pPr>
              <w:pStyle w:val="TableText"/>
              <w:keepNext/>
              <w:keepLines/>
              <w:spacing w:before="0" w:after="0" w:line="240" w:lineRule="auto"/>
            </w:pPr>
            <w:r w:rsidRPr="00BE056E">
              <w:t>Number of patients tested</w:t>
            </w:r>
          </w:p>
        </w:tc>
        <w:tc>
          <w:tcPr>
            <w:tcW w:w="647" w:type="pct"/>
            <w:shd w:val="clear" w:color="auto" w:fill="auto"/>
            <w:vAlign w:val="center"/>
          </w:tcPr>
          <w:p w:rsidR="00C31220" w:rsidRPr="000F4D7C" w:rsidRDefault="000F4D7C" w:rsidP="00750CE1">
            <w:pPr>
              <w:pStyle w:val="TableNumber"/>
              <w:keepNext/>
              <w:keepLines/>
              <w:tabs>
                <w:tab w:val="clear" w:pos="396"/>
              </w:tabs>
              <w:spacing w:before="0" w:after="0" w:line="240" w:lineRule="auto"/>
            </w:pPr>
            <w:r>
              <w:rPr>
                <w:rFonts w:cs="Arial"/>
                <w:noProof/>
                <w:color w:val="000000"/>
                <w:szCs w:val="20"/>
                <w:highlight w:val="black"/>
              </w:rPr>
              <w:t>''''''''''''''</w:t>
            </w:r>
            <w:r w:rsidR="000901B3">
              <w:rPr>
                <w:vertAlign w:val="superscript"/>
              </w:rPr>
              <w:t>1</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2</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2</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2</w:t>
            </w:r>
          </w:p>
        </w:tc>
        <w:tc>
          <w:tcPr>
            <w:tcW w:w="647" w:type="pct"/>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2</w:t>
            </w:r>
          </w:p>
        </w:tc>
      </w:tr>
      <w:tr w:rsidR="00C31220" w:rsidRPr="00BE056E" w:rsidTr="001735B2">
        <w:tc>
          <w:tcPr>
            <w:tcW w:w="1118" w:type="pct"/>
            <w:shd w:val="clear" w:color="auto" w:fill="auto"/>
            <w:vAlign w:val="center"/>
          </w:tcPr>
          <w:p w:rsidR="00C31220" w:rsidRPr="000F4D7C" w:rsidRDefault="00C31220">
            <w:pPr>
              <w:pStyle w:val="TableText"/>
              <w:keepNext/>
              <w:keepLines/>
              <w:spacing w:before="0" w:after="0" w:line="240" w:lineRule="auto"/>
              <w:rPr>
                <w:vertAlign w:val="superscript"/>
              </w:rPr>
            </w:pPr>
            <w:r w:rsidRPr="00BE056E">
              <w:t>Number likely to receive a positive test result</w:t>
            </w:r>
          </w:p>
        </w:tc>
        <w:tc>
          <w:tcPr>
            <w:tcW w:w="647" w:type="pct"/>
            <w:shd w:val="clear" w:color="auto" w:fill="auto"/>
            <w:vAlign w:val="center"/>
          </w:tcPr>
          <w:p w:rsidR="00C31220" w:rsidRPr="000F4D7C" w:rsidRDefault="000F4D7C" w:rsidP="00E76B35">
            <w:pPr>
              <w:pStyle w:val="TableNumber"/>
              <w:keepNext/>
              <w:keepLines/>
              <w:tabs>
                <w:tab w:val="clear" w:pos="396"/>
              </w:tabs>
              <w:spacing w:before="0" w:after="0" w:line="240" w:lineRule="auto"/>
            </w:pPr>
            <w:r>
              <w:rPr>
                <w:rFonts w:cs="Arial"/>
                <w:noProof/>
                <w:color w:val="000000"/>
                <w:szCs w:val="20"/>
                <w:highlight w:val="black"/>
              </w:rPr>
              <w:t>''''''''</w:t>
            </w:r>
            <w:r w:rsidR="000901B3">
              <w:rPr>
                <w:vertAlign w:val="superscript"/>
              </w:rPr>
              <w:t>3</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c>
          <w:tcPr>
            <w:tcW w:w="647" w:type="pct"/>
            <w:shd w:val="clear" w:color="auto" w:fill="auto"/>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c>
          <w:tcPr>
            <w:tcW w:w="647" w:type="pct"/>
            <w:shd w:val="clear" w:color="auto" w:fill="auto"/>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c>
          <w:tcPr>
            <w:tcW w:w="647" w:type="pct"/>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r>
      <w:tr w:rsidR="00C31220" w:rsidRPr="00BE056E" w:rsidTr="001735B2">
        <w:tc>
          <w:tcPr>
            <w:tcW w:w="5000" w:type="pct"/>
            <w:gridSpan w:val="7"/>
            <w:shd w:val="clear" w:color="auto" w:fill="auto"/>
            <w:vAlign w:val="center"/>
          </w:tcPr>
          <w:p w:rsidR="00C31220" w:rsidRPr="00BE056E" w:rsidRDefault="00C31220" w:rsidP="00750CE1">
            <w:pPr>
              <w:pStyle w:val="TableText"/>
              <w:keepNext/>
              <w:keepLines/>
              <w:spacing w:before="0" w:after="0" w:line="240" w:lineRule="auto"/>
              <w:rPr>
                <w:b/>
              </w:rPr>
            </w:pPr>
            <w:r w:rsidRPr="00BE056E">
              <w:rPr>
                <w:b/>
              </w:rPr>
              <w:t xml:space="preserve">Estimated extent of use of </w:t>
            </w:r>
            <w:proofErr w:type="spellStart"/>
            <w:r w:rsidRPr="00BE056E">
              <w:rPr>
                <w:b/>
              </w:rPr>
              <w:t>olaparib</w:t>
            </w:r>
            <w:proofErr w:type="spellEnd"/>
          </w:p>
        </w:tc>
      </w:tr>
      <w:tr w:rsidR="00C31220" w:rsidRPr="00BE056E" w:rsidTr="001735B2">
        <w:tc>
          <w:tcPr>
            <w:tcW w:w="1118" w:type="pct"/>
            <w:shd w:val="clear" w:color="auto" w:fill="auto"/>
            <w:vAlign w:val="center"/>
          </w:tcPr>
          <w:p w:rsidR="00C31220" w:rsidRPr="00BE056E" w:rsidRDefault="00C31220" w:rsidP="00750CE1">
            <w:pPr>
              <w:pStyle w:val="TableText"/>
              <w:keepNext/>
              <w:keepLines/>
              <w:spacing w:before="0" w:after="0" w:line="240" w:lineRule="auto"/>
              <w:rPr>
                <w:rFonts w:ascii="Times" w:hAnsi="Times"/>
              </w:rPr>
            </w:pPr>
            <w:r w:rsidRPr="00BE056E">
              <w:t>Patients initiated</w:t>
            </w:r>
          </w:p>
        </w:tc>
        <w:tc>
          <w:tcPr>
            <w:tcW w:w="647" w:type="pct"/>
            <w:shd w:val="clear" w:color="auto" w:fill="auto"/>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c>
          <w:tcPr>
            <w:tcW w:w="647" w:type="pct"/>
            <w:shd w:val="clear" w:color="auto" w:fill="auto"/>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c>
          <w:tcPr>
            <w:tcW w:w="647" w:type="pct"/>
            <w:shd w:val="clear" w:color="auto" w:fill="auto"/>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c>
          <w:tcPr>
            <w:tcW w:w="647" w:type="pct"/>
            <w:shd w:val="clear" w:color="auto" w:fill="auto"/>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c>
          <w:tcPr>
            <w:tcW w:w="647" w:type="pct"/>
            <w:shd w:val="clear" w:color="auto" w:fill="auto"/>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c>
          <w:tcPr>
            <w:tcW w:w="647" w:type="pct"/>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r>
      <w:tr w:rsidR="00C31220" w:rsidRPr="00BE056E" w:rsidTr="001735B2">
        <w:tc>
          <w:tcPr>
            <w:tcW w:w="1118" w:type="pct"/>
            <w:shd w:val="clear" w:color="auto" w:fill="auto"/>
            <w:vAlign w:val="center"/>
          </w:tcPr>
          <w:p w:rsidR="00C31220" w:rsidRPr="00BE056E" w:rsidRDefault="00C31220" w:rsidP="00750CE1">
            <w:pPr>
              <w:pStyle w:val="TableText"/>
              <w:keepNext/>
              <w:keepLines/>
              <w:spacing w:before="0" w:after="0" w:line="240" w:lineRule="auto"/>
            </w:pPr>
            <w:r w:rsidRPr="00BE056E">
              <w:t>Grandfathered</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noProof/>
                <w:color w:val="000000"/>
                <w:highlight w:val="black"/>
              </w:rPr>
              <w:t>''''''</w:t>
            </w:r>
            <w:r w:rsidR="000901B3">
              <w:rPr>
                <w:vertAlign w:val="superscript"/>
              </w:rPr>
              <w:t>3</w:t>
            </w:r>
          </w:p>
        </w:tc>
        <w:tc>
          <w:tcPr>
            <w:tcW w:w="3236" w:type="pct"/>
            <w:gridSpan w:val="5"/>
            <w:shd w:val="clear" w:color="auto" w:fill="auto"/>
            <w:vAlign w:val="center"/>
          </w:tcPr>
          <w:p w:rsidR="00C31220" w:rsidRPr="000F4D7C" w:rsidRDefault="00C31220" w:rsidP="00750CE1">
            <w:pPr>
              <w:pStyle w:val="TableText"/>
              <w:keepNext/>
              <w:keepLines/>
              <w:spacing w:before="0" w:after="0" w:line="240" w:lineRule="auto"/>
              <w:jc w:val="center"/>
            </w:pPr>
          </w:p>
        </w:tc>
      </w:tr>
      <w:tr w:rsidR="00C31220" w:rsidRPr="00BE056E" w:rsidTr="001735B2">
        <w:tc>
          <w:tcPr>
            <w:tcW w:w="1118" w:type="pct"/>
            <w:shd w:val="clear" w:color="auto" w:fill="auto"/>
            <w:vAlign w:val="center"/>
          </w:tcPr>
          <w:p w:rsidR="00C31220" w:rsidRPr="00BE056E" w:rsidRDefault="00C31220" w:rsidP="00750CE1">
            <w:pPr>
              <w:pStyle w:val="TableText"/>
              <w:keepNext/>
              <w:keepLines/>
              <w:spacing w:before="0" w:after="0" w:line="240" w:lineRule="auto"/>
            </w:pPr>
            <w:r w:rsidRPr="00BE056E">
              <w:t>Patients continuing</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c>
          <w:tcPr>
            <w:tcW w:w="647" w:type="pct"/>
            <w:shd w:val="clear" w:color="auto" w:fill="auto"/>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c>
          <w:tcPr>
            <w:tcW w:w="647" w:type="pct"/>
            <w:shd w:val="clear" w:color="auto" w:fill="auto"/>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c>
          <w:tcPr>
            <w:tcW w:w="647" w:type="pct"/>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3</w:t>
            </w:r>
          </w:p>
        </w:tc>
      </w:tr>
      <w:tr w:rsidR="00C31220" w:rsidRPr="00BE056E" w:rsidTr="001735B2">
        <w:tc>
          <w:tcPr>
            <w:tcW w:w="1118" w:type="pct"/>
            <w:shd w:val="clear" w:color="auto" w:fill="auto"/>
            <w:vAlign w:val="center"/>
          </w:tcPr>
          <w:p w:rsidR="00C31220" w:rsidRPr="00BE056E" w:rsidRDefault="00C31220" w:rsidP="00750CE1">
            <w:pPr>
              <w:pStyle w:val="TableText"/>
              <w:keepNext/>
              <w:keepLines/>
              <w:spacing w:before="0" w:after="0" w:line="240" w:lineRule="auto"/>
              <w:rPr>
                <w:rFonts w:ascii="Times" w:hAnsi="Times"/>
              </w:rPr>
            </w:pPr>
            <w:r w:rsidRPr="00BE056E">
              <w:t xml:space="preserve">Number of </w:t>
            </w:r>
            <w:proofErr w:type="spellStart"/>
            <w:r w:rsidRPr="00BE056E">
              <w:t>scripts</w:t>
            </w:r>
            <w:r w:rsidRPr="00BE056E">
              <w:rPr>
                <w:vertAlign w:val="superscript"/>
              </w:rPr>
              <w:t>a</w:t>
            </w:r>
            <w:proofErr w:type="spellEnd"/>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c>
          <w:tcPr>
            <w:tcW w:w="647" w:type="pct"/>
            <w:shd w:val="clear" w:color="auto" w:fill="auto"/>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c>
          <w:tcPr>
            <w:tcW w:w="647" w:type="pct"/>
            <w:shd w:val="clear" w:color="auto" w:fill="auto"/>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c>
          <w:tcPr>
            <w:tcW w:w="647" w:type="pct"/>
            <w:shd w:val="clear" w:color="auto" w:fill="auto"/>
            <w:vAlign w:val="center"/>
          </w:tcPr>
          <w:p w:rsidR="00C31220" w:rsidRPr="000F4D7C" w:rsidRDefault="000F4D7C" w:rsidP="00750CE1">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c>
          <w:tcPr>
            <w:tcW w:w="647" w:type="pct"/>
            <w:vAlign w:val="center"/>
          </w:tcPr>
          <w:p w:rsidR="00C31220" w:rsidRPr="000F4D7C" w:rsidRDefault="000F4D7C" w:rsidP="00E76B35">
            <w:pPr>
              <w:pStyle w:val="TableText"/>
              <w:keepNext/>
              <w:keepLines/>
              <w:spacing w:before="0" w:after="0" w:line="240" w:lineRule="auto"/>
              <w:jc w:val="center"/>
            </w:pPr>
            <w:r>
              <w:rPr>
                <w:rFonts w:cs="Arial"/>
                <w:noProof/>
                <w:color w:val="000000"/>
                <w:szCs w:val="20"/>
                <w:highlight w:val="black"/>
              </w:rPr>
              <w:t>'''''''''''''</w:t>
            </w:r>
            <w:r w:rsidR="000901B3">
              <w:rPr>
                <w:vertAlign w:val="superscript"/>
              </w:rPr>
              <w:t>1</w:t>
            </w:r>
          </w:p>
        </w:tc>
      </w:tr>
      <w:tr w:rsidR="00C31220" w:rsidRPr="00BE056E" w:rsidTr="001735B2">
        <w:tc>
          <w:tcPr>
            <w:tcW w:w="5000" w:type="pct"/>
            <w:gridSpan w:val="7"/>
            <w:shd w:val="clear" w:color="auto" w:fill="auto"/>
            <w:vAlign w:val="center"/>
          </w:tcPr>
          <w:p w:rsidR="00C31220" w:rsidRPr="00BE056E" w:rsidRDefault="00C31220" w:rsidP="00750CE1">
            <w:pPr>
              <w:pStyle w:val="TableText"/>
              <w:keepNext/>
              <w:keepLines/>
              <w:spacing w:before="0" w:after="0" w:line="240" w:lineRule="auto"/>
              <w:rPr>
                <w:b/>
                <w:bCs/>
                <w:color w:val="000000"/>
              </w:rPr>
            </w:pPr>
            <w:r w:rsidRPr="00BE056E">
              <w:rPr>
                <w:b/>
              </w:rPr>
              <w:t xml:space="preserve">Estimated financial implications of the </w:t>
            </w:r>
            <w:r w:rsidRPr="00BE056E">
              <w:rPr>
                <w:b/>
                <w:i/>
                <w:iCs/>
              </w:rPr>
              <w:t>BRCA1/2</w:t>
            </w:r>
            <w:r w:rsidRPr="00BE056E">
              <w:rPr>
                <w:b/>
              </w:rPr>
              <w:t xml:space="preserve"> pathogenic gene variant test to the MBS</w:t>
            </w:r>
          </w:p>
        </w:tc>
      </w:tr>
      <w:tr w:rsidR="00C31220" w:rsidRPr="00BE056E" w:rsidTr="001735B2">
        <w:tc>
          <w:tcPr>
            <w:tcW w:w="1118" w:type="pct"/>
            <w:shd w:val="clear" w:color="auto" w:fill="auto"/>
            <w:vAlign w:val="center"/>
          </w:tcPr>
          <w:p w:rsidR="00C31220" w:rsidRPr="00BE056E" w:rsidRDefault="00E76B35" w:rsidP="00750CE1">
            <w:pPr>
              <w:pStyle w:val="TableText"/>
              <w:keepNext/>
              <w:keepLines/>
              <w:spacing w:before="0" w:after="0" w:line="240" w:lineRule="auto"/>
            </w:pPr>
            <w:r>
              <w:t>Net cost to MBS</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c>
          <w:tcPr>
            <w:tcW w:w="647" w:type="pct"/>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r>
      <w:tr w:rsidR="00C31220" w:rsidRPr="00BE056E" w:rsidTr="001735B2">
        <w:tc>
          <w:tcPr>
            <w:tcW w:w="5000" w:type="pct"/>
            <w:gridSpan w:val="7"/>
            <w:shd w:val="clear" w:color="auto" w:fill="auto"/>
            <w:vAlign w:val="center"/>
          </w:tcPr>
          <w:p w:rsidR="00C31220" w:rsidRPr="00BE056E" w:rsidRDefault="00C31220" w:rsidP="00750CE1">
            <w:pPr>
              <w:pStyle w:val="TableText"/>
              <w:keepNext/>
              <w:keepLines/>
              <w:spacing w:before="0" w:after="0" w:line="240" w:lineRule="auto"/>
              <w:rPr>
                <w:b/>
              </w:rPr>
            </w:pPr>
            <w:r w:rsidRPr="00BE056E">
              <w:rPr>
                <w:b/>
              </w:rPr>
              <w:t xml:space="preserve">Estimated financial implications of </w:t>
            </w:r>
            <w:proofErr w:type="spellStart"/>
            <w:r w:rsidRPr="00BE056E">
              <w:rPr>
                <w:b/>
              </w:rPr>
              <w:t>olaparib</w:t>
            </w:r>
            <w:proofErr w:type="spellEnd"/>
            <w:r w:rsidRPr="00BE056E">
              <w:rPr>
                <w:b/>
              </w:rPr>
              <w:t xml:space="preserve"> to the PBS/RPBS</w:t>
            </w:r>
          </w:p>
        </w:tc>
      </w:tr>
      <w:tr w:rsidR="00C31220" w:rsidRPr="00BE056E" w:rsidTr="001735B2">
        <w:tc>
          <w:tcPr>
            <w:tcW w:w="1118" w:type="pct"/>
            <w:shd w:val="clear" w:color="auto" w:fill="auto"/>
            <w:vAlign w:val="center"/>
          </w:tcPr>
          <w:p w:rsidR="00C31220" w:rsidRPr="00BE056E" w:rsidRDefault="00C31220" w:rsidP="00750CE1">
            <w:pPr>
              <w:pStyle w:val="TableText"/>
              <w:keepNext/>
              <w:keepLines/>
              <w:spacing w:before="0" w:after="0" w:line="240" w:lineRule="auto"/>
              <w:rPr>
                <w:rFonts w:ascii="Times" w:hAnsi="Times"/>
              </w:rPr>
            </w:pPr>
            <w:r w:rsidRPr="00BE056E">
              <w:t>Cost to PBS/RPBS</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c>
          <w:tcPr>
            <w:tcW w:w="647" w:type="pct"/>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r>
      <w:tr w:rsidR="00C31220" w:rsidRPr="00BE056E" w:rsidTr="001735B2">
        <w:tc>
          <w:tcPr>
            <w:tcW w:w="1118" w:type="pct"/>
            <w:shd w:val="clear" w:color="auto" w:fill="auto"/>
            <w:vAlign w:val="center"/>
          </w:tcPr>
          <w:p w:rsidR="00C31220" w:rsidRPr="00BE056E" w:rsidRDefault="00C31220" w:rsidP="00750CE1">
            <w:pPr>
              <w:pStyle w:val="TableText"/>
              <w:keepNext/>
              <w:keepLines/>
              <w:spacing w:before="0" w:after="0" w:line="240" w:lineRule="auto"/>
            </w:pPr>
            <w:r w:rsidRPr="00BE056E">
              <w:t xml:space="preserve">Patient </w:t>
            </w:r>
            <w:proofErr w:type="spellStart"/>
            <w:r w:rsidRPr="00BE056E">
              <w:t>copayment</w:t>
            </w:r>
            <w:proofErr w:type="spellEnd"/>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c>
          <w:tcPr>
            <w:tcW w:w="647" w:type="pct"/>
            <w:vAlign w:val="center"/>
          </w:tcPr>
          <w:p w:rsidR="00C31220" w:rsidRPr="000F4D7C" w:rsidRDefault="00C31220" w:rsidP="00750CE1">
            <w:pPr>
              <w:pStyle w:val="TableText"/>
              <w:keepNext/>
              <w:keepLines/>
              <w:spacing w:before="0" w:after="0" w:line="240" w:lineRule="auto"/>
              <w:jc w:val="center"/>
            </w:pPr>
            <w:r w:rsidRPr="008F7F60">
              <w:rPr>
                <w:rFonts w:cs="Arial"/>
                <w:szCs w:val="20"/>
              </w:rPr>
              <w:t>-$</w:t>
            </w:r>
            <w:r w:rsidR="000F4D7C">
              <w:rPr>
                <w:rFonts w:cs="Arial"/>
                <w:noProof/>
                <w:color w:val="000000"/>
                <w:szCs w:val="20"/>
                <w:highlight w:val="black"/>
              </w:rPr>
              <w:t>'''''''''''''''</w:t>
            </w:r>
            <w:r w:rsidR="000901B3">
              <w:rPr>
                <w:vertAlign w:val="superscript"/>
              </w:rPr>
              <w:t>4</w:t>
            </w:r>
          </w:p>
        </w:tc>
      </w:tr>
      <w:tr w:rsidR="00C31220" w:rsidRPr="00BE056E" w:rsidTr="001735B2">
        <w:tc>
          <w:tcPr>
            <w:tcW w:w="1118" w:type="pct"/>
            <w:shd w:val="clear" w:color="auto" w:fill="auto"/>
            <w:vAlign w:val="center"/>
          </w:tcPr>
          <w:p w:rsidR="00C31220" w:rsidRPr="00BE056E" w:rsidRDefault="00C31220" w:rsidP="00750CE1">
            <w:pPr>
              <w:pStyle w:val="TableText"/>
              <w:keepNext/>
              <w:keepLines/>
              <w:spacing w:before="0" w:after="0" w:line="240" w:lineRule="auto"/>
            </w:pPr>
            <w:r w:rsidRPr="00BE056E">
              <w:t>Net cost to PBS/RPBS</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c>
          <w:tcPr>
            <w:tcW w:w="647" w:type="pct"/>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c>
          <w:tcPr>
            <w:tcW w:w="647" w:type="pct"/>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4</w:t>
            </w:r>
          </w:p>
        </w:tc>
      </w:tr>
      <w:tr w:rsidR="00C31220" w:rsidRPr="00BE056E" w:rsidTr="001735B2">
        <w:tc>
          <w:tcPr>
            <w:tcW w:w="5000" w:type="pct"/>
            <w:gridSpan w:val="7"/>
            <w:tcBorders>
              <w:bottom w:val="single" w:sz="4" w:space="0" w:color="auto"/>
            </w:tcBorders>
            <w:shd w:val="clear" w:color="auto" w:fill="auto"/>
            <w:vAlign w:val="center"/>
          </w:tcPr>
          <w:p w:rsidR="00C31220" w:rsidRPr="000F4D7C" w:rsidRDefault="00C31220" w:rsidP="00750CE1">
            <w:pPr>
              <w:pStyle w:val="TableText"/>
              <w:keepNext/>
              <w:keepLines/>
              <w:spacing w:before="0" w:after="0" w:line="240" w:lineRule="auto"/>
              <w:rPr>
                <w:b/>
              </w:rPr>
            </w:pPr>
            <w:r w:rsidRPr="00BE056E">
              <w:rPr>
                <w:b/>
              </w:rPr>
              <w:t>Net financial implications</w:t>
            </w:r>
          </w:p>
        </w:tc>
      </w:tr>
      <w:tr w:rsidR="00C31220" w:rsidRPr="00BE056E" w:rsidTr="001735B2">
        <w:tc>
          <w:tcPr>
            <w:tcW w:w="1118" w:type="pct"/>
            <w:tcBorders>
              <w:bottom w:val="single" w:sz="4" w:space="0" w:color="auto"/>
            </w:tcBorders>
            <w:shd w:val="clear" w:color="auto" w:fill="auto"/>
            <w:vAlign w:val="center"/>
          </w:tcPr>
          <w:p w:rsidR="00C31220" w:rsidRPr="00BE056E" w:rsidRDefault="00C31220" w:rsidP="00750CE1">
            <w:pPr>
              <w:pStyle w:val="TableText"/>
              <w:keepNext/>
              <w:keepLines/>
              <w:spacing w:before="0" w:after="0" w:line="240" w:lineRule="auto"/>
            </w:pPr>
            <w:r w:rsidRPr="00BE056E">
              <w:t>Net cost to PBS/RPBS/MBS</w:t>
            </w:r>
          </w:p>
        </w:tc>
        <w:tc>
          <w:tcPr>
            <w:tcW w:w="647" w:type="pct"/>
            <w:tcBorders>
              <w:bottom w:val="single" w:sz="4" w:space="0" w:color="auto"/>
            </w:tcBorders>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5</w:t>
            </w:r>
          </w:p>
        </w:tc>
        <w:tc>
          <w:tcPr>
            <w:tcW w:w="647" w:type="pct"/>
            <w:tcBorders>
              <w:bottom w:val="single" w:sz="4" w:space="0" w:color="auto"/>
            </w:tcBorders>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5</w:t>
            </w:r>
          </w:p>
        </w:tc>
        <w:tc>
          <w:tcPr>
            <w:tcW w:w="647" w:type="pct"/>
            <w:tcBorders>
              <w:bottom w:val="single" w:sz="4" w:space="0" w:color="auto"/>
            </w:tcBorders>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5</w:t>
            </w:r>
          </w:p>
        </w:tc>
        <w:tc>
          <w:tcPr>
            <w:tcW w:w="647" w:type="pct"/>
            <w:tcBorders>
              <w:bottom w:val="single" w:sz="4" w:space="0" w:color="auto"/>
            </w:tcBorders>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5</w:t>
            </w:r>
          </w:p>
        </w:tc>
        <w:tc>
          <w:tcPr>
            <w:tcW w:w="647" w:type="pct"/>
            <w:tcBorders>
              <w:bottom w:val="single" w:sz="4" w:space="0" w:color="auto"/>
            </w:tcBorders>
            <w:shd w:val="clear" w:color="auto" w:fill="auto"/>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5</w:t>
            </w:r>
          </w:p>
        </w:tc>
        <w:tc>
          <w:tcPr>
            <w:tcW w:w="647" w:type="pct"/>
            <w:tcBorders>
              <w:bottom w:val="single" w:sz="4" w:space="0" w:color="auto"/>
            </w:tcBorders>
            <w:vAlign w:val="center"/>
          </w:tcPr>
          <w:p w:rsidR="00C31220" w:rsidRPr="000F4D7C" w:rsidRDefault="00C31220" w:rsidP="00750CE1">
            <w:pPr>
              <w:pStyle w:val="TableText"/>
              <w:keepNext/>
              <w:keepLines/>
              <w:spacing w:before="0" w:after="0" w:line="240" w:lineRule="auto"/>
              <w:jc w:val="center"/>
            </w:pPr>
            <w:r w:rsidRPr="000F4D7C">
              <w:rPr>
                <w:rFonts w:cs="Arial"/>
                <w:szCs w:val="20"/>
              </w:rPr>
              <w:t>$</w:t>
            </w:r>
            <w:r w:rsidR="000F4D7C">
              <w:rPr>
                <w:rFonts w:cs="Arial"/>
                <w:noProof/>
                <w:color w:val="000000"/>
                <w:szCs w:val="20"/>
                <w:highlight w:val="black"/>
              </w:rPr>
              <w:t>'''''''''''''''''''''''''''</w:t>
            </w:r>
            <w:r w:rsidR="000901B3">
              <w:rPr>
                <w:vertAlign w:val="superscript"/>
              </w:rPr>
              <w:t>5</w:t>
            </w:r>
          </w:p>
        </w:tc>
      </w:tr>
    </w:tbl>
    <w:p w:rsidR="00C31220" w:rsidRDefault="00C31220" w:rsidP="00C31220">
      <w:pPr>
        <w:pStyle w:val="TableFooter"/>
      </w:pPr>
      <w:r w:rsidRPr="00BE056E">
        <w:t>Source: Table 4.2.5, Table 4.2.6, Table 4.2.7, Table 4.2.9, Table 4.5.4 and Table 4.5.5 of the submission; worksheet ‘7. Net changes – MBS’; worksheet ‘2b. Patients – prevalent’ of the Excel workbook ‘</w:t>
      </w:r>
      <w:proofErr w:type="spellStart"/>
      <w:r w:rsidRPr="00BE056E">
        <w:t>Olaparib</w:t>
      </w:r>
      <w:proofErr w:type="spellEnd"/>
      <w:r w:rsidRPr="00BE056E">
        <w:t xml:space="preserve"> in mCRPC_Section_4_Workbook_Final’.</w:t>
      </w:r>
    </w:p>
    <w:p w:rsidR="00077040" w:rsidRPr="00BE056E" w:rsidRDefault="00077040" w:rsidP="00C31220">
      <w:pPr>
        <w:pStyle w:val="TableFooter"/>
      </w:pPr>
      <w:r w:rsidRPr="00077040">
        <w:rPr>
          <w:i/>
        </w:rPr>
        <w:t>BRCA1/2</w:t>
      </w:r>
      <w:r>
        <w:t xml:space="preserve"> = breast cancer genes 1 and 2; MBS = Medicare Benefits Schedule; PBS = Pharmaceutical Benefits Scheme; RPBS = Repatriation Pharmaceutical Benefits Scheme</w:t>
      </w:r>
      <w:r w:rsidR="009528FB">
        <w:t>.</w:t>
      </w:r>
    </w:p>
    <w:p w:rsidR="00C31220" w:rsidRPr="008F7F60" w:rsidRDefault="00C31220" w:rsidP="000F4D7C">
      <w:pPr>
        <w:pStyle w:val="TableFooter"/>
      </w:pPr>
      <w:proofErr w:type="spellStart"/>
      <w:r w:rsidRPr="00BE056E">
        <w:rPr>
          <w:vertAlign w:val="superscript"/>
        </w:rPr>
        <w:t>a</w:t>
      </w:r>
      <w:proofErr w:type="spellEnd"/>
      <w:r w:rsidRPr="00BE056E">
        <w:tab/>
        <w:t xml:space="preserve">Assuming a treatment duration of 227 days, with 2.85 scripts for initial treatment and 4.85 scripts for continuing treatment as estimated </w:t>
      </w:r>
      <w:r w:rsidR="000901B3">
        <w:t xml:space="preserve"> </w:t>
      </w:r>
      <w:r w:rsidRPr="00BE056E">
        <w:t xml:space="preserve">by the </w:t>
      </w:r>
      <w:r w:rsidRPr="008F7F60">
        <w:t>submission.</w:t>
      </w:r>
    </w:p>
    <w:p w:rsidR="000901B3" w:rsidRDefault="000901B3" w:rsidP="000F4D7C">
      <w:pPr>
        <w:pStyle w:val="TableFooter"/>
        <w:rPr>
          <w:i/>
        </w:rPr>
      </w:pPr>
      <w:r w:rsidRPr="009562AC">
        <w:rPr>
          <w:i/>
        </w:rPr>
        <w:t xml:space="preserve">The redacted values correspond to the following ranges: </w:t>
      </w:r>
    </w:p>
    <w:p w:rsidR="000901B3" w:rsidRPr="000901B3" w:rsidRDefault="000901B3" w:rsidP="000901B3">
      <w:pPr>
        <w:pStyle w:val="TableFooter"/>
        <w:rPr>
          <w:i/>
        </w:rPr>
      </w:pPr>
      <w:r>
        <w:rPr>
          <w:i/>
          <w:vertAlign w:val="superscript"/>
        </w:rPr>
        <w:t xml:space="preserve">1 </w:t>
      </w:r>
      <w:r w:rsidRPr="000901B3">
        <w:rPr>
          <w:i/>
        </w:rPr>
        <w:t>500 to &lt; 5,000</w:t>
      </w:r>
    </w:p>
    <w:p w:rsidR="000901B3" w:rsidRDefault="000901B3" w:rsidP="000F4D7C">
      <w:pPr>
        <w:pStyle w:val="TableFooter"/>
        <w:rPr>
          <w:i/>
        </w:rPr>
      </w:pPr>
      <w:r>
        <w:rPr>
          <w:i/>
          <w:vertAlign w:val="superscript"/>
        </w:rPr>
        <w:t xml:space="preserve">2 </w:t>
      </w:r>
      <w:r w:rsidRPr="000901B3">
        <w:rPr>
          <w:i/>
        </w:rPr>
        <w:t>5,000 to &lt; 10,000</w:t>
      </w:r>
    </w:p>
    <w:p w:rsidR="000901B3" w:rsidRDefault="000901B3" w:rsidP="000F4D7C">
      <w:pPr>
        <w:pStyle w:val="TableFooter"/>
        <w:rPr>
          <w:i/>
        </w:rPr>
      </w:pPr>
      <w:r>
        <w:rPr>
          <w:i/>
          <w:vertAlign w:val="superscript"/>
        </w:rPr>
        <w:t xml:space="preserve">3 </w:t>
      </w:r>
      <w:r w:rsidRPr="000901B3">
        <w:rPr>
          <w:i/>
        </w:rPr>
        <w:t>&lt; 500</w:t>
      </w:r>
    </w:p>
    <w:p w:rsidR="000901B3" w:rsidRPr="000901B3" w:rsidRDefault="000901B3" w:rsidP="000901B3">
      <w:pPr>
        <w:pStyle w:val="TableFooter"/>
        <w:rPr>
          <w:i/>
        </w:rPr>
      </w:pPr>
      <w:r>
        <w:rPr>
          <w:i/>
          <w:vertAlign w:val="superscript"/>
        </w:rPr>
        <w:t xml:space="preserve">4 </w:t>
      </w:r>
      <w:r w:rsidRPr="000901B3">
        <w:rPr>
          <w:i/>
        </w:rPr>
        <w:t>$0 to &lt; $10 million</w:t>
      </w:r>
    </w:p>
    <w:p w:rsidR="000901B3" w:rsidRPr="000F4D7C" w:rsidRDefault="009963BB" w:rsidP="000F4D7C">
      <w:pPr>
        <w:pStyle w:val="TableFooter"/>
        <w:rPr>
          <w:i/>
        </w:rPr>
      </w:pPr>
      <w:r>
        <w:rPr>
          <w:i/>
          <w:vertAlign w:val="superscript"/>
        </w:rPr>
        <w:t>5</w:t>
      </w:r>
      <w:bookmarkStart w:id="44" w:name="_GoBack"/>
      <w:bookmarkEnd w:id="44"/>
      <w:r w:rsidR="000901B3">
        <w:rPr>
          <w:i/>
          <w:vertAlign w:val="superscript"/>
        </w:rPr>
        <w:t xml:space="preserve"> </w:t>
      </w:r>
      <w:r w:rsidR="000901B3" w:rsidRPr="000901B3">
        <w:rPr>
          <w:i/>
        </w:rPr>
        <w:t>$10 million to &lt; $20 million</w:t>
      </w:r>
    </w:p>
    <w:p w:rsidR="000901B3" w:rsidRPr="00BE056E" w:rsidRDefault="000901B3" w:rsidP="00C31220">
      <w:pPr>
        <w:pStyle w:val="TableFooter"/>
        <w:tabs>
          <w:tab w:val="left" w:pos="142"/>
        </w:tabs>
        <w:ind w:left="142" w:hanging="142"/>
      </w:pPr>
    </w:p>
    <w:p w:rsidR="00C31220" w:rsidRPr="000F2527" w:rsidRDefault="00C31220" w:rsidP="00F55582">
      <w:pPr>
        <w:pStyle w:val="ListParagraph"/>
        <w:rPr>
          <w:color w:val="auto"/>
        </w:rPr>
      </w:pPr>
      <w:r w:rsidRPr="000F2527">
        <w:t xml:space="preserve">The estimated net cost to Government was </w:t>
      </w:r>
      <w:r w:rsidR="00F55582" w:rsidRPr="00F55582">
        <w:rPr>
          <w:iCs/>
        </w:rPr>
        <w:t>$90 million to &lt; $100 million</w:t>
      </w:r>
      <w:r w:rsidR="00F55582">
        <w:rPr>
          <w:iCs/>
        </w:rPr>
        <w:t xml:space="preserve"> </w:t>
      </w:r>
      <w:r w:rsidRPr="000F2527">
        <w:t>over the first 6 years of listing</w:t>
      </w:r>
      <w:r w:rsidR="00631D63">
        <w:t>. T</w:t>
      </w:r>
      <w:r w:rsidRPr="000F2527">
        <w:t>his was evenly split between PBS/RPBS costs (</w:t>
      </w:r>
      <w:r w:rsidR="00F55582" w:rsidRPr="00F55582">
        <w:t>$40 million to &lt; $50 million</w:t>
      </w:r>
      <w:r w:rsidRPr="000F2527">
        <w:t>) and MBS costs (</w:t>
      </w:r>
      <w:r w:rsidR="00F55582" w:rsidRPr="00F55582">
        <w:t>$40 million to &lt; $50 million</w:t>
      </w:r>
      <w:r w:rsidRPr="000F2527">
        <w:t xml:space="preserve">). </w:t>
      </w:r>
      <w:r w:rsidRPr="00AA6D4A">
        <w:t xml:space="preserve">The </w:t>
      </w:r>
      <w:r w:rsidR="00631D63" w:rsidRPr="00AA6D4A">
        <w:t>ESC</w:t>
      </w:r>
      <w:r w:rsidR="006D106C" w:rsidRPr="00AA6D4A">
        <w:t>s</w:t>
      </w:r>
      <w:r w:rsidR="00631D63" w:rsidRPr="00AA6D4A">
        <w:t xml:space="preserve"> considered that</w:t>
      </w:r>
      <w:r w:rsidR="00631D63">
        <w:t xml:space="preserve"> the </w:t>
      </w:r>
      <w:r w:rsidRPr="000F2527">
        <w:t>submission’s estimate</w:t>
      </w:r>
      <w:r w:rsidR="00631D63">
        <w:t>s</w:t>
      </w:r>
      <w:r w:rsidRPr="000F2527">
        <w:t xml:space="preserve"> w</w:t>
      </w:r>
      <w:r w:rsidR="00631D63">
        <w:t>ere</w:t>
      </w:r>
      <w:r w:rsidRPr="000F2527">
        <w:t xml:space="preserve"> </w:t>
      </w:r>
      <w:r w:rsidR="0083158B" w:rsidRPr="000F2527">
        <w:t>uncertain</w:t>
      </w:r>
      <w:r w:rsidRPr="000F2527">
        <w:t>, for the following reasons:</w:t>
      </w:r>
    </w:p>
    <w:p w:rsidR="00C31220" w:rsidRPr="000F2527" w:rsidRDefault="00C31220" w:rsidP="009F65B8">
      <w:pPr>
        <w:pStyle w:val="ListParagraph"/>
        <w:numPr>
          <w:ilvl w:val="0"/>
          <w:numId w:val="15"/>
        </w:numPr>
        <w:spacing w:before="40" w:after="40"/>
        <w:ind w:left="993" w:hanging="284"/>
      </w:pPr>
      <w:r w:rsidRPr="000F2527">
        <w:rPr>
          <w:iCs/>
        </w:rPr>
        <w:t>Patient numbers were not likely to be accurate, given use of a prevalent population that has not been accurately defined</w:t>
      </w:r>
      <w:r w:rsidR="00E72C54">
        <w:rPr>
          <w:iCs/>
        </w:rPr>
        <w:t xml:space="preserve">. This would </w:t>
      </w:r>
      <w:r w:rsidRPr="000F2527">
        <w:rPr>
          <w:iCs/>
        </w:rPr>
        <w:t>likely overestim</w:t>
      </w:r>
      <w:r w:rsidR="00D36F30">
        <w:rPr>
          <w:iCs/>
        </w:rPr>
        <w:t>at</w:t>
      </w:r>
      <w:r w:rsidR="00E72C54">
        <w:rPr>
          <w:iCs/>
        </w:rPr>
        <w:t>e</w:t>
      </w:r>
      <w:r w:rsidRPr="000F2527">
        <w:rPr>
          <w:iCs/>
        </w:rPr>
        <w:t xml:space="preserve"> the CRPC population and the proportion </w:t>
      </w:r>
      <w:r w:rsidR="00B4780B" w:rsidRPr="000F2527">
        <w:rPr>
          <w:iCs/>
        </w:rPr>
        <w:t xml:space="preserve">of patients </w:t>
      </w:r>
      <w:r w:rsidRPr="000F2527">
        <w:rPr>
          <w:iCs/>
        </w:rPr>
        <w:t>who have progressed or failed on NHA treatment.</w:t>
      </w:r>
    </w:p>
    <w:p w:rsidR="00C31220" w:rsidRPr="000F2527" w:rsidRDefault="00C31220" w:rsidP="009F65B8">
      <w:pPr>
        <w:pStyle w:val="ListParagraph"/>
        <w:numPr>
          <w:ilvl w:val="0"/>
          <w:numId w:val="15"/>
        </w:numPr>
        <w:spacing w:before="40" w:after="40"/>
        <w:ind w:left="993" w:hanging="284"/>
      </w:pPr>
      <w:r w:rsidRPr="000F2527">
        <w:rPr>
          <w:iCs/>
        </w:rPr>
        <w:t xml:space="preserve">Given the above, script numbers </w:t>
      </w:r>
      <w:r w:rsidR="00502E97">
        <w:rPr>
          <w:iCs/>
        </w:rPr>
        <w:t>we</w:t>
      </w:r>
      <w:r w:rsidRPr="000F2527">
        <w:rPr>
          <w:iCs/>
        </w:rPr>
        <w:t>re not likely to be accurate</w:t>
      </w:r>
      <w:r w:rsidR="00502E97">
        <w:rPr>
          <w:iCs/>
        </w:rPr>
        <w:t>. T</w:t>
      </w:r>
      <w:r w:rsidRPr="000F2527">
        <w:rPr>
          <w:iCs/>
        </w:rPr>
        <w:t>he accuracy of the</w:t>
      </w:r>
      <w:r w:rsidR="00502E97">
        <w:rPr>
          <w:iCs/>
        </w:rPr>
        <w:t xml:space="preserve"> </w:t>
      </w:r>
      <w:r w:rsidR="006D106C">
        <w:rPr>
          <w:iCs/>
        </w:rPr>
        <w:t>script</w:t>
      </w:r>
      <w:r w:rsidR="00502E97">
        <w:rPr>
          <w:iCs/>
        </w:rPr>
        <w:t xml:space="preserve"> numbers </w:t>
      </w:r>
      <w:r w:rsidR="00756C0D" w:rsidRPr="000F2527">
        <w:rPr>
          <w:iCs/>
        </w:rPr>
        <w:t xml:space="preserve">was </w:t>
      </w:r>
      <w:r w:rsidRPr="000F2527">
        <w:rPr>
          <w:iCs/>
        </w:rPr>
        <w:t xml:space="preserve">further impacted by the assumption that treatment will last for 227 days, which was </w:t>
      </w:r>
      <w:r w:rsidR="00B4780B" w:rsidRPr="000F2527">
        <w:rPr>
          <w:iCs/>
        </w:rPr>
        <w:t>sourced from the Cohort A + B population and</w:t>
      </w:r>
      <w:r w:rsidR="00844813" w:rsidRPr="000F2527">
        <w:rPr>
          <w:iCs/>
        </w:rPr>
        <w:t xml:space="preserve"> therefore, potentially</w:t>
      </w:r>
      <w:r w:rsidR="00B4780B" w:rsidRPr="000F2527">
        <w:rPr>
          <w:iCs/>
        </w:rPr>
        <w:t xml:space="preserve"> </w:t>
      </w:r>
      <w:r w:rsidRPr="000F2527">
        <w:rPr>
          <w:iCs/>
        </w:rPr>
        <w:t xml:space="preserve">not representative of treatment duration in </w:t>
      </w:r>
      <w:r w:rsidRPr="00502E97">
        <w:rPr>
          <w:i/>
          <w:iCs/>
        </w:rPr>
        <w:t>BRCA1/2</w:t>
      </w:r>
      <w:r w:rsidRPr="000F2527">
        <w:rPr>
          <w:iCs/>
        </w:rPr>
        <w:t xml:space="preserve"> patients. The submission also assumed 95% compliance with treatment. Further, the submission provided no explanation as to why a strategy of dose reduction was used (5% of patients had a dose reduction for the entire treatment period), when the economic </w:t>
      </w:r>
      <w:proofErr w:type="gramStart"/>
      <w:r w:rsidRPr="000F2527">
        <w:rPr>
          <w:iCs/>
        </w:rPr>
        <w:lastRenderedPageBreak/>
        <w:t>model</w:t>
      </w:r>
      <w:proofErr w:type="gramEnd"/>
      <w:r w:rsidRPr="000F2527">
        <w:rPr>
          <w:iCs/>
        </w:rPr>
        <w:t xml:space="preserve"> applied a dose intensity of 91.51%.</w:t>
      </w:r>
      <w:r w:rsidR="007A19A1">
        <w:rPr>
          <w:iCs/>
        </w:rPr>
        <w:t xml:space="preserve"> The pre-PBAC response provided revised financial impact estimates which applied a mean total treatment duration of </w:t>
      </w:r>
      <w:proofErr w:type="spellStart"/>
      <w:r w:rsidR="007A19A1">
        <w:rPr>
          <w:iCs/>
        </w:rPr>
        <w:t>olaparib</w:t>
      </w:r>
      <w:proofErr w:type="spellEnd"/>
      <w:r w:rsidR="007A19A1">
        <w:rPr>
          <w:iCs/>
        </w:rPr>
        <w:t xml:space="preserve"> of 290.2 days, sourced from the </w:t>
      </w:r>
      <w:r w:rsidR="007A19A1" w:rsidRPr="008125C4">
        <w:rPr>
          <w:i/>
          <w:iCs/>
        </w:rPr>
        <w:t>BRCA1/2</w:t>
      </w:r>
      <w:r w:rsidR="007A19A1">
        <w:rPr>
          <w:iCs/>
        </w:rPr>
        <w:t xml:space="preserve"> population, and a compliance rate of </w:t>
      </w:r>
      <w:r w:rsidR="00904D61">
        <w:rPr>
          <w:iCs/>
        </w:rPr>
        <w:t>9</w:t>
      </w:r>
      <w:r w:rsidR="007A19A1">
        <w:rPr>
          <w:iCs/>
        </w:rPr>
        <w:t>1.51%. The change to the net cost to the PBS/RPBS was minimal.</w:t>
      </w:r>
    </w:p>
    <w:p w:rsidR="00C31220" w:rsidRPr="000F2527" w:rsidRDefault="00C31220" w:rsidP="009F65B8">
      <w:pPr>
        <w:pStyle w:val="ListParagraph"/>
        <w:numPr>
          <w:ilvl w:val="0"/>
          <w:numId w:val="15"/>
        </w:numPr>
        <w:spacing w:before="40" w:after="40"/>
        <w:ind w:left="993" w:hanging="284"/>
      </w:pPr>
      <w:r w:rsidRPr="000F2527">
        <w:rPr>
          <w:iCs/>
        </w:rPr>
        <w:t xml:space="preserve">Estimated costs for testing </w:t>
      </w:r>
      <w:r w:rsidR="00B4780B" w:rsidRPr="000F2527">
        <w:rPr>
          <w:iCs/>
        </w:rPr>
        <w:t>we</w:t>
      </w:r>
      <w:r w:rsidRPr="000F2527">
        <w:rPr>
          <w:iCs/>
        </w:rPr>
        <w:t>re based on patient numbers, which</w:t>
      </w:r>
      <w:r w:rsidR="00502E97">
        <w:rPr>
          <w:iCs/>
        </w:rPr>
        <w:t>,</w:t>
      </w:r>
      <w:r w:rsidRPr="000F2527">
        <w:rPr>
          <w:iCs/>
        </w:rPr>
        <w:t xml:space="preserve"> as noted above</w:t>
      </w:r>
      <w:r w:rsidR="00502E97">
        <w:rPr>
          <w:iCs/>
        </w:rPr>
        <w:t>,</w:t>
      </w:r>
      <w:r w:rsidRPr="000F2527">
        <w:rPr>
          <w:iCs/>
        </w:rPr>
        <w:t xml:space="preserve"> </w:t>
      </w:r>
      <w:r w:rsidR="00502E97">
        <w:rPr>
          <w:iCs/>
        </w:rPr>
        <w:t>we</w:t>
      </w:r>
      <w:r w:rsidRPr="000F2527">
        <w:rPr>
          <w:iCs/>
        </w:rPr>
        <w:t>re not likely to be accurate. Further, the submission appear</w:t>
      </w:r>
      <w:r w:rsidR="00B4780B" w:rsidRPr="000F2527">
        <w:rPr>
          <w:iCs/>
        </w:rPr>
        <w:t>ed</w:t>
      </w:r>
      <w:r w:rsidRPr="000F2527">
        <w:rPr>
          <w:iCs/>
        </w:rPr>
        <w:t xml:space="preserve"> to not include </w:t>
      </w:r>
      <w:r w:rsidR="00B4780B" w:rsidRPr="000F2527">
        <w:rPr>
          <w:iCs/>
        </w:rPr>
        <w:t xml:space="preserve">the </w:t>
      </w:r>
      <w:r w:rsidRPr="000F2527">
        <w:rPr>
          <w:iCs/>
        </w:rPr>
        <w:t xml:space="preserve">test cost for the 9% of patients who do not have a tissue sample available. This would underestimate </w:t>
      </w:r>
      <w:r w:rsidR="00876397" w:rsidRPr="000F2527">
        <w:rPr>
          <w:iCs/>
        </w:rPr>
        <w:t xml:space="preserve">the </w:t>
      </w:r>
      <w:r w:rsidRPr="000F2527">
        <w:rPr>
          <w:iCs/>
        </w:rPr>
        <w:t>cost.</w:t>
      </w:r>
    </w:p>
    <w:p w:rsidR="00C31220" w:rsidRPr="000F2527" w:rsidRDefault="00C31220" w:rsidP="00C31220">
      <w:pPr>
        <w:pStyle w:val="ListParagraph"/>
        <w:rPr>
          <w:color w:val="auto"/>
        </w:rPr>
      </w:pPr>
      <w:r w:rsidRPr="000F2527">
        <w:rPr>
          <w:iCs/>
        </w:rPr>
        <w:t xml:space="preserve">It </w:t>
      </w:r>
      <w:r w:rsidR="00B4780B" w:rsidRPr="000F2527">
        <w:rPr>
          <w:iCs/>
        </w:rPr>
        <w:t xml:space="preserve">could not </w:t>
      </w:r>
      <w:r w:rsidRPr="000F2527">
        <w:rPr>
          <w:iCs/>
        </w:rPr>
        <w:t xml:space="preserve">be determined if the net financial implications </w:t>
      </w:r>
      <w:r w:rsidR="00B4780B" w:rsidRPr="000F2527">
        <w:rPr>
          <w:iCs/>
        </w:rPr>
        <w:t>were</w:t>
      </w:r>
      <w:r w:rsidRPr="000F2527">
        <w:rPr>
          <w:iCs/>
        </w:rPr>
        <w:t xml:space="preserve"> over or underestimated. </w:t>
      </w:r>
      <w:r w:rsidR="00C04809" w:rsidRPr="000F2527">
        <w:rPr>
          <w:iCs/>
        </w:rPr>
        <w:t>Although</w:t>
      </w:r>
      <w:r w:rsidR="00B4780B" w:rsidRPr="000F2527">
        <w:rPr>
          <w:iCs/>
        </w:rPr>
        <w:t xml:space="preserve"> t</w:t>
      </w:r>
      <w:r w:rsidRPr="000F2527">
        <w:rPr>
          <w:iCs/>
        </w:rPr>
        <w:t xml:space="preserve">here </w:t>
      </w:r>
      <w:r w:rsidR="00895F97" w:rsidRPr="000F2527">
        <w:rPr>
          <w:iCs/>
        </w:rPr>
        <w:t xml:space="preserve">were </w:t>
      </w:r>
      <w:r w:rsidRPr="000F2527">
        <w:rPr>
          <w:iCs/>
        </w:rPr>
        <w:t xml:space="preserve">indications patient numbers </w:t>
      </w:r>
      <w:r w:rsidR="00895F97" w:rsidRPr="000F2527">
        <w:rPr>
          <w:iCs/>
        </w:rPr>
        <w:t xml:space="preserve">were </w:t>
      </w:r>
      <w:r w:rsidRPr="000F2527">
        <w:rPr>
          <w:iCs/>
        </w:rPr>
        <w:t xml:space="preserve">overestimated, there </w:t>
      </w:r>
      <w:r w:rsidR="00895F97" w:rsidRPr="000F2527">
        <w:rPr>
          <w:iCs/>
        </w:rPr>
        <w:t xml:space="preserve">were </w:t>
      </w:r>
      <w:r w:rsidRPr="000F2527">
        <w:rPr>
          <w:iCs/>
        </w:rPr>
        <w:t xml:space="preserve">also indications that test numbers may be underestimated, and script numbers </w:t>
      </w:r>
      <w:r w:rsidR="00502E97">
        <w:rPr>
          <w:iCs/>
        </w:rPr>
        <w:t>could not</w:t>
      </w:r>
      <w:r w:rsidR="00502E97" w:rsidRPr="000F2527">
        <w:rPr>
          <w:iCs/>
        </w:rPr>
        <w:t xml:space="preserve"> </w:t>
      </w:r>
      <w:r w:rsidRPr="000F2527">
        <w:rPr>
          <w:iCs/>
        </w:rPr>
        <w:t>be accurately determined.</w:t>
      </w:r>
    </w:p>
    <w:p w:rsidR="00B37951" w:rsidRPr="00E40128" w:rsidRDefault="00B37951" w:rsidP="00E40128">
      <w:pPr>
        <w:pStyle w:val="ListParagraph"/>
        <w:spacing w:before="0" w:after="40"/>
        <w:rPr>
          <w:color w:val="auto"/>
        </w:rPr>
      </w:pPr>
      <w:r w:rsidRPr="000F2527">
        <w:rPr>
          <w:iCs/>
        </w:rPr>
        <w:t xml:space="preserve">The use of a combined incident/prevalent approach to determine patient numbers may have provided more accurate estimates. It would </w:t>
      </w:r>
      <w:r w:rsidR="00502E97">
        <w:rPr>
          <w:iCs/>
        </w:rPr>
        <w:t xml:space="preserve">have been </w:t>
      </w:r>
      <w:r w:rsidRPr="000F2527">
        <w:rPr>
          <w:iCs/>
        </w:rPr>
        <w:t>reasonable for the submission to use the following steps:</w:t>
      </w:r>
    </w:p>
    <w:p w:rsidR="00E40128" w:rsidRPr="00E40128" w:rsidRDefault="00E40128" w:rsidP="0000123C">
      <w:pPr>
        <w:pStyle w:val="MainBodyBulletPoint"/>
        <w:ind w:left="993" w:hanging="284"/>
      </w:pPr>
      <w:r w:rsidRPr="00E40128">
        <w:t>Project an annual number of incident patients over each year of the forward estimates.</w:t>
      </w:r>
    </w:p>
    <w:p w:rsidR="00E40128" w:rsidRPr="00E40128" w:rsidRDefault="00E40128" w:rsidP="0000123C">
      <w:pPr>
        <w:pStyle w:val="MainBodyBulletPoint"/>
        <w:ind w:left="993" w:hanging="284"/>
      </w:pPr>
      <w:r w:rsidRPr="00E40128">
        <w:t xml:space="preserve">Assume a prevalent pool of untreated patients with </w:t>
      </w:r>
      <w:proofErr w:type="spellStart"/>
      <w:r w:rsidRPr="00E40128">
        <w:t>mCRPC</w:t>
      </w:r>
      <w:proofErr w:type="spellEnd"/>
      <w:r w:rsidRPr="00E40128">
        <w:t xml:space="preserve"> who would initiate treatment in the first year of listing for </w:t>
      </w:r>
      <w:proofErr w:type="spellStart"/>
      <w:r w:rsidRPr="00E40128">
        <w:t>olaparib</w:t>
      </w:r>
      <w:proofErr w:type="spellEnd"/>
      <w:r w:rsidRPr="00E40128">
        <w:t>.</w:t>
      </w:r>
    </w:p>
    <w:p w:rsidR="00E40128" w:rsidRPr="00E40128" w:rsidRDefault="00E40128" w:rsidP="0000123C">
      <w:pPr>
        <w:pStyle w:val="MainBodyBulletPoint"/>
        <w:ind w:left="993" w:hanging="284"/>
      </w:pPr>
      <w:r w:rsidRPr="00E40128">
        <w:t>Estimate continuing patients for each yearly initiating cohort, including the prevalent pool in the Year 1 initiating cohort, over the forward estimates.</w:t>
      </w:r>
    </w:p>
    <w:p w:rsidR="00E40128" w:rsidRPr="00AA6D4A" w:rsidRDefault="00E40128" w:rsidP="00B37951">
      <w:pPr>
        <w:pStyle w:val="ListParagraph"/>
        <w:spacing w:after="120"/>
        <w:rPr>
          <w:color w:val="auto"/>
        </w:rPr>
      </w:pPr>
      <w:r w:rsidRPr="00AA6D4A">
        <w:rPr>
          <w:bCs/>
          <w:iCs/>
          <w:color w:val="auto"/>
        </w:rPr>
        <w:t>The PSCR stated that the use of a prevalent population was considered appropriate as prostate cancer is a long term condition</w:t>
      </w:r>
      <w:r w:rsidR="006D106C" w:rsidRPr="00AA6D4A">
        <w:rPr>
          <w:bCs/>
          <w:iCs/>
          <w:color w:val="auto"/>
        </w:rPr>
        <w:t xml:space="preserve"> </w:t>
      </w:r>
      <w:r w:rsidRPr="00AA6D4A">
        <w:rPr>
          <w:bCs/>
          <w:iCs/>
          <w:color w:val="auto"/>
        </w:rPr>
        <w:t xml:space="preserve">and patients progress to </w:t>
      </w:r>
      <w:proofErr w:type="spellStart"/>
      <w:r w:rsidRPr="00AA6D4A">
        <w:rPr>
          <w:bCs/>
          <w:iCs/>
          <w:color w:val="auto"/>
        </w:rPr>
        <w:t>mCRPC</w:t>
      </w:r>
      <w:proofErr w:type="spellEnd"/>
      <w:r w:rsidRPr="00AA6D4A">
        <w:rPr>
          <w:bCs/>
          <w:iCs/>
          <w:color w:val="auto"/>
        </w:rPr>
        <w:t xml:space="preserve"> over a variable number of years, and therefore, the use of the incident population is not relevant.</w:t>
      </w:r>
      <w:r w:rsidR="0030141C" w:rsidRPr="00AA6D4A">
        <w:rPr>
          <w:bCs/>
          <w:iCs/>
          <w:color w:val="auto"/>
        </w:rPr>
        <w:t xml:space="preserve"> </w:t>
      </w:r>
      <w:r w:rsidR="0030141C" w:rsidRPr="00AA6D4A">
        <w:rPr>
          <w:color w:val="auto"/>
        </w:rPr>
        <w:t xml:space="preserve">Acknowledging the difficulty in estimating the annual incidence of patients whose prostate cancer progresses to the stage at which </w:t>
      </w:r>
      <w:proofErr w:type="spellStart"/>
      <w:r w:rsidR="0030141C" w:rsidRPr="00AA6D4A">
        <w:rPr>
          <w:color w:val="auto"/>
        </w:rPr>
        <w:t>olaparib</w:t>
      </w:r>
      <w:proofErr w:type="spellEnd"/>
      <w:r w:rsidR="0030141C" w:rsidRPr="00AA6D4A">
        <w:rPr>
          <w:color w:val="auto"/>
        </w:rPr>
        <w:t xml:space="preserve"> would be considered, the </w:t>
      </w:r>
      <w:r w:rsidR="00A93D0E">
        <w:rPr>
          <w:color w:val="auto"/>
        </w:rPr>
        <w:t>PBAC considered that a combined incident/prevalent approach would provide additional confidence in the financial estimates</w:t>
      </w:r>
      <w:r w:rsidR="0030141C" w:rsidRPr="00AA6D4A">
        <w:rPr>
          <w:color w:val="auto"/>
        </w:rPr>
        <w:t>.</w:t>
      </w:r>
    </w:p>
    <w:p w:rsidR="00C31220" w:rsidRPr="00AA6D4A" w:rsidRDefault="00C31220" w:rsidP="00C31220">
      <w:pPr>
        <w:pStyle w:val="PBACESHeading2"/>
        <w:rPr>
          <w:rFonts w:asciiTheme="minorHAnsi" w:hAnsiTheme="minorHAnsi" w:cstheme="minorHAnsi"/>
        </w:rPr>
      </w:pPr>
      <w:bookmarkStart w:id="45" w:name="_Toc413139285"/>
      <w:bookmarkStart w:id="46" w:name="_Toc58779764"/>
      <w:bookmarkStart w:id="47" w:name="_Toc62027850"/>
      <w:r w:rsidRPr="00AA6D4A">
        <w:rPr>
          <w:rFonts w:asciiTheme="minorHAnsi" w:hAnsiTheme="minorHAnsi" w:cstheme="minorHAnsi"/>
        </w:rPr>
        <w:t>Quality use of medicines</w:t>
      </w:r>
      <w:bookmarkEnd w:id="45"/>
      <w:bookmarkEnd w:id="46"/>
      <w:bookmarkEnd w:id="47"/>
    </w:p>
    <w:p w:rsidR="00C31220" w:rsidRPr="00BE056E" w:rsidRDefault="00C31220" w:rsidP="00C31220">
      <w:pPr>
        <w:pStyle w:val="ListParagraph"/>
        <w:rPr>
          <w:color w:val="auto"/>
        </w:rPr>
      </w:pPr>
      <w:r w:rsidRPr="00BE056E">
        <w:t xml:space="preserve">The submission stated that </w:t>
      </w:r>
      <w:r w:rsidRPr="00BE056E">
        <w:rPr>
          <w:i/>
          <w:iCs/>
        </w:rPr>
        <w:t>BRCA</w:t>
      </w:r>
      <w:r w:rsidRPr="00BE056E">
        <w:t xml:space="preserve"> testing to inform treatment decisions with </w:t>
      </w:r>
      <w:proofErr w:type="spellStart"/>
      <w:r w:rsidRPr="00BE056E">
        <w:t>olaparib</w:t>
      </w:r>
      <w:proofErr w:type="spellEnd"/>
      <w:r w:rsidRPr="00BE056E">
        <w:t xml:space="preserve"> in patients with </w:t>
      </w:r>
      <w:proofErr w:type="spellStart"/>
      <w:r w:rsidRPr="00BE056E">
        <w:t>mCRPC</w:t>
      </w:r>
      <w:proofErr w:type="spellEnd"/>
      <w:r w:rsidRPr="00BE056E">
        <w:t xml:space="preserve"> may potentially result in a delay in patients obtaining their test result</w:t>
      </w:r>
      <w:r w:rsidR="00A93D0E">
        <w:t xml:space="preserve">, </w:t>
      </w:r>
      <w:r w:rsidR="00617471">
        <w:t>possibly due to sample retrieval</w:t>
      </w:r>
      <w:r w:rsidR="00A93D0E">
        <w:t xml:space="preserve"> or the </w:t>
      </w:r>
      <w:r w:rsidR="00617471">
        <w:t xml:space="preserve">need for </w:t>
      </w:r>
      <w:proofErr w:type="spellStart"/>
      <w:r w:rsidR="00617471">
        <w:t>rebiopsy</w:t>
      </w:r>
      <w:proofErr w:type="spellEnd"/>
      <w:r w:rsidR="004B31CA" w:rsidRPr="00B37951">
        <w:rPr>
          <w:i/>
          <w:iCs/>
        </w:rPr>
        <w:t>.</w:t>
      </w:r>
      <w:r w:rsidRPr="00BE056E">
        <w:t xml:space="preserve"> The submission indicated that the sponsor has undertaken to work to facilitate the development of educational and information resources that allow for the identification of </w:t>
      </w:r>
      <w:r w:rsidRPr="00BE056E">
        <w:rPr>
          <w:i/>
          <w:iCs/>
        </w:rPr>
        <w:t>BRCA1/2</w:t>
      </w:r>
      <w:r w:rsidRPr="00BE056E">
        <w:t xml:space="preserve"> pathogenic gene variants in a timely fashion. These included healthcare professional and patient information on </w:t>
      </w:r>
      <w:r w:rsidRPr="00BE056E">
        <w:rPr>
          <w:i/>
        </w:rPr>
        <w:t>BRCA1/2</w:t>
      </w:r>
      <w:r w:rsidRPr="00BE056E">
        <w:t xml:space="preserve"> testing and clinician training</w:t>
      </w:r>
      <w:r w:rsidRPr="00BE056E">
        <w:rPr>
          <w:i/>
          <w:iCs/>
        </w:rPr>
        <w:t>.</w:t>
      </w:r>
    </w:p>
    <w:p w:rsidR="00C31220" w:rsidRPr="00AA6D4A" w:rsidRDefault="00C31220" w:rsidP="00C31220">
      <w:pPr>
        <w:pStyle w:val="PBACESHeading2"/>
        <w:rPr>
          <w:rFonts w:asciiTheme="minorHAnsi" w:hAnsiTheme="minorHAnsi" w:cstheme="minorHAnsi"/>
        </w:rPr>
      </w:pPr>
      <w:bookmarkStart w:id="48" w:name="_Toc58779765"/>
      <w:bookmarkStart w:id="49" w:name="_Toc62027851"/>
      <w:r w:rsidRPr="00AA6D4A">
        <w:rPr>
          <w:rFonts w:asciiTheme="minorHAnsi" w:hAnsiTheme="minorHAnsi" w:cstheme="minorHAnsi"/>
        </w:rPr>
        <w:lastRenderedPageBreak/>
        <w:t>Financial management – risk sharing arrangements</w:t>
      </w:r>
      <w:bookmarkEnd w:id="43"/>
      <w:bookmarkEnd w:id="48"/>
      <w:bookmarkEnd w:id="49"/>
    </w:p>
    <w:p w:rsidR="00C31220" w:rsidRPr="00AA6D4A" w:rsidRDefault="00C31220" w:rsidP="00C31220">
      <w:pPr>
        <w:pStyle w:val="ListParagraph"/>
        <w:rPr>
          <w:color w:val="auto"/>
        </w:rPr>
      </w:pPr>
      <w:r w:rsidRPr="00BE056E">
        <w:t xml:space="preserve">The submission stated that the sponsor would be willing to discuss an appropriate risk share arrangement </w:t>
      </w:r>
      <w:r w:rsidR="00502E97">
        <w:t xml:space="preserve">(RSA) </w:t>
      </w:r>
      <w:r w:rsidRPr="00BE056E">
        <w:t xml:space="preserve">upon receiving a positive recommendation from the PBAC. </w:t>
      </w:r>
      <w:r w:rsidRPr="000F2527">
        <w:rPr>
          <w:iCs/>
        </w:rPr>
        <w:t xml:space="preserve">The submission provided no further information on the content of the possible </w:t>
      </w:r>
      <w:r w:rsidR="00502E97">
        <w:rPr>
          <w:iCs/>
        </w:rPr>
        <w:t>RSA</w:t>
      </w:r>
      <w:r w:rsidRPr="000F2527">
        <w:rPr>
          <w:iCs/>
        </w:rPr>
        <w:t>.</w:t>
      </w:r>
    </w:p>
    <w:p w:rsidR="00AA6D4A" w:rsidRPr="00AA6D4A" w:rsidRDefault="00AA6D4A" w:rsidP="00AA6D4A">
      <w:pPr>
        <w:pStyle w:val="ListParagraph"/>
        <w:numPr>
          <w:ilvl w:val="0"/>
          <w:numId w:val="0"/>
        </w:numPr>
        <w:ind w:left="720"/>
        <w:rPr>
          <w:i/>
          <w:color w:val="auto"/>
        </w:rPr>
      </w:pPr>
      <w:r w:rsidRPr="00AA6D4A">
        <w:rPr>
          <w:i/>
          <w:iCs/>
        </w:rPr>
        <w:t>For more detail on PBAC’s views, see section 7 PBAC outcome.</w:t>
      </w:r>
    </w:p>
    <w:p w:rsidR="00AE2B76" w:rsidRPr="00AE2B76" w:rsidRDefault="00AE2B76" w:rsidP="00AE2B76">
      <w:pPr>
        <w:pStyle w:val="PBACESHeading1"/>
        <w:rPr>
          <w:lang w:val="en-GB"/>
        </w:rPr>
      </w:pPr>
      <w:r>
        <w:rPr>
          <w:lang w:val="en-GB"/>
        </w:rPr>
        <w:t>PBAC outcome</w:t>
      </w:r>
    </w:p>
    <w:p w:rsidR="00AE2B76" w:rsidRPr="00AE2B76" w:rsidRDefault="00EC5D5D" w:rsidP="00AE2B76">
      <w:pPr>
        <w:pStyle w:val="ListParagraph"/>
        <w:widowControl w:val="0"/>
        <w:rPr>
          <w:bCs/>
          <w:snapToGrid w:val="0"/>
          <w:lang w:val="en-GB"/>
        </w:rPr>
      </w:pPr>
      <w:r w:rsidRPr="00AE2B76">
        <w:rPr>
          <w:bCs/>
          <w:snapToGrid w:val="0"/>
          <w:lang w:val="en-GB"/>
        </w:rPr>
        <w:t xml:space="preserve">The PBAC did not recommend </w:t>
      </w:r>
      <w:proofErr w:type="spellStart"/>
      <w:r w:rsidRPr="00AE2B76">
        <w:rPr>
          <w:bCs/>
          <w:snapToGrid w:val="0"/>
          <w:lang w:val="en-GB"/>
        </w:rPr>
        <w:t>olaparib</w:t>
      </w:r>
      <w:proofErr w:type="spellEnd"/>
      <w:r w:rsidRPr="00AE2B76">
        <w:rPr>
          <w:bCs/>
          <w:snapToGrid w:val="0"/>
          <w:lang w:val="en-GB"/>
        </w:rPr>
        <w:t xml:space="preserve"> for the treatment of metastatic castration resistant prostate cancer (</w:t>
      </w:r>
      <w:proofErr w:type="spellStart"/>
      <w:r w:rsidRPr="00AE2B76">
        <w:rPr>
          <w:bCs/>
          <w:snapToGrid w:val="0"/>
          <w:lang w:val="en-GB"/>
        </w:rPr>
        <w:t>mCRPC</w:t>
      </w:r>
      <w:proofErr w:type="spellEnd"/>
      <w:r w:rsidRPr="00AE2B76">
        <w:rPr>
          <w:bCs/>
          <w:snapToGrid w:val="0"/>
          <w:lang w:val="en-GB"/>
        </w:rPr>
        <w:t xml:space="preserve">) in patients with pathogenic or likely pathogenic </w:t>
      </w:r>
      <w:r w:rsidRPr="00E6644D">
        <w:rPr>
          <w:bCs/>
          <w:i/>
          <w:snapToGrid w:val="0"/>
          <w:lang w:val="en-GB"/>
        </w:rPr>
        <w:t>BR</w:t>
      </w:r>
      <w:r w:rsidR="00AE2B76" w:rsidRPr="00E6644D">
        <w:rPr>
          <w:bCs/>
          <w:i/>
          <w:snapToGrid w:val="0"/>
          <w:lang w:val="en-GB"/>
        </w:rPr>
        <w:t>CA1/2</w:t>
      </w:r>
      <w:r w:rsidR="00AE2B76" w:rsidRPr="00AE2B76">
        <w:rPr>
          <w:bCs/>
          <w:snapToGrid w:val="0"/>
          <w:lang w:val="en-GB"/>
        </w:rPr>
        <w:t xml:space="preserve"> gene variants. </w:t>
      </w:r>
      <w:r w:rsidR="00AE2B76" w:rsidRPr="00EE67D1">
        <w:t xml:space="preserve">The PBAC considered that although </w:t>
      </w:r>
      <w:proofErr w:type="spellStart"/>
      <w:r w:rsidR="00AE2B76" w:rsidRPr="00EE67D1">
        <w:t>olaparib</w:t>
      </w:r>
      <w:proofErr w:type="spellEnd"/>
      <w:r w:rsidR="00AE2B76" w:rsidRPr="00EE67D1">
        <w:t xml:space="preserve"> demonstrated clinical benefit in patients with </w:t>
      </w:r>
      <w:r w:rsidR="00AE2B76" w:rsidRPr="00B858DE">
        <w:rPr>
          <w:i/>
        </w:rPr>
        <w:t>BRCA1</w:t>
      </w:r>
      <w:r w:rsidR="00B858DE" w:rsidRPr="00B858DE">
        <w:rPr>
          <w:i/>
        </w:rPr>
        <w:t>/</w:t>
      </w:r>
      <w:r w:rsidR="00AE2B76" w:rsidRPr="00B858DE">
        <w:rPr>
          <w:i/>
        </w:rPr>
        <w:t>2</w:t>
      </w:r>
      <w:r w:rsidR="00AE2B76" w:rsidRPr="00EE67D1">
        <w:t xml:space="preserve"> gene variants, the nominated comparator did not reflect current Australian clinical practice which meant that the economic evaluation was highly uncertain.</w:t>
      </w:r>
    </w:p>
    <w:p w:rsidR="00AE2B76" w:rsidRDefault="00B858DE" w:rsidP="00AE2B76">
      <w:pPr>
        <w:pStyle w:val="ListParagraph"/>
        <w:widowControl w:val="0"/>
        <w:rPr>
          <w:bCs/>
          <w:snapToGrid w:val="0"/>
          <w:lang w:val="en-GB"/>
        </w:rPr>
      </w:pPr>
      <w:r>
        <w:rPr>
          <w:bCs/>
          <w:snapToGrid w:val="0"/>
          <w:lang w:val="en-GB"/>
        </w:rPr>
        <w:t xml:space="preserve">The PBAC welcomed the input from the two organisations via the Consumer Comments facility which noted that the use of </w:t>
      </w:r>
      <w:proofErr w:type="spellStart"/>
      <w:r>
        <w:rPr>
          <w:bCs/>
          <w:snapToGrid w:val="0"/>
          <w:lang w:val="en-GB"/>
        </w:rPr>
        <w:t>olaparib</w:t>
      </w:r>
      <w:proofErr w:type="spellEnd"/>
      <w:r>
        <w:rPr>
          <w:bCs/>
          <w:snapToGrid w:val="0"/>
          <w:lang w:val="en-GB"/>
        </w:rPr>
        <w:t xml:space="preserve"> may improve patients</w:t>
      </w:r>
      <w:r w:rsidR="00A93D0E">
        <w:rPr>
          <w:bCs/>
          <w:snapToGrid w:val="0"/>
          <w:lang w:val="en-GB"/>
        </w:rPr>
        <w:t>’</w:t>
      </w:r>
      <w:r>
        <w:rPr>
          <w:bCs/>
          <w:snapToGrid w:val="0"/>
          <w:lang w:val="en-GB"/>
        </w:rPr>
        <w:t xml:space="preserve"> quality of life.</w:t>
      </w:r>
    </w:p>
    <w:p w:rsidR="00B858DE" w:rsidRDefault="00B858DE" w:rsidP="00AE2B76">
      <w:pPr>
        <w:pStyle w:val="ListParagraph"/>
        <w:widowControl w:val="0"/>
        <w:rPr>
          <w:bCs/>
          <w:snapToGrid w:val="0"/>
          <w:lang w:val="en-GB"/>
        </w:rPr>
      </w:pPr>
      <w:r>
        <w:rPr>
          <w:bCs/>
          <w:snapToGrid w:val="0"/>
          <w:lang w:val="en-GB"/>
        </w:rPr>
        <w:t>The PBAC noted the proposed clinical algorithm</w:t>
      </w:r>
      <w:r w:rsidR="00DC0A04">
        <w:rPr>
          <w:bCs/>
          <w:snapToGrid w:val="0"/>
          <w:lang w:val="en-GB"/>
        </w:rPr>
        <w:t xml:space="preserve"> </w:t>
      </w:r>
      <w:r w:rsidR="009528FB">
        <w:rPr>
          <w:bCs/>
          <w:snapToGrid w:val="0"/>
          <w:lang w:val="en-GB"/>
        </w:rPr>
        <w:t xml:space="preserve">placed </w:t>
      </w:r>
      <w:proofErr w:type="spellStart"/>
      <w:r w:rsidR="009528FB">
        <w:rPr>
          <w:bCs/>
          <w:snapToGrid w:val="0"/>
          <w:lang w:val="en-GB"/>
        </w:rPr>
        <w:t>olaparib</w:t>
      </w:r>
      <w:proofErr w:type="spellEnd"/>
      <w:r w:rsidR="009528FB">
        <w:rPr>
          <w:bCs/>
          <w:snapToGrid w:val="0"/>
          <w:lang w:val="en-GB"/>
        </w:rPr>
        <w:t xml:space="preserve"> as </w:t>
      </w:r>
      <w:r w:rsidR="0064602F">
        <w:rPr>
          <w:bCs/>
          <w:snapToGrid w:val="0"/>
          <w:lang w:val="en-GB"/>
        </w:rPr>
        <w:t xml:space="preserve">later </w:t>
      </w:r>
      <w:r w:rsidR="00DC0A04">
        <w:rPr>
          <w:bCs/>
          <w:snapToGrid w:val="0"/>
          <w:lang w:val="en-GB"/>
        </w:rPr>
        <w:t xml:space="preserve">line therapy for </w:t>
      </w:r>
      <w:proofErr w:type="spellStart"/>
      <w:r w:rsidR="00DC0A04">
        <w:rPr>
          <w:bCs/>
          <w:snapToGrid w:val="0"/>
          <w:lang w:val="en-GB"/>
        </w:rPr>
        <w:t>mCRPC</w:t>
      </w:r>
      <w:proofErr w:type="spellEnd"/>
      <w:r w:rsidR="00DC0A04">
        <w:rPr>
          <w:bCs/>
          <w:snapToGrid w:val="0"/>
          <w:lang w:val="en-GB"/>
        </w:rPr>
        <w:t xml:space="preserve"> with </w:t>
      </w:r>
      <w:r w:rsidR="00DC0A04" w:rsidRPr="00DC0A04">
        <w:rPr>
          <w:bCs/>
          <w:i/>
          <w:snapToGrid w:val="0"/>
          <w:lang w:val="en-GB"/>
        </w:rPr>
        <w:t>BRCA1/2</w:t>
      </w:r>
      <w:r w:rsidR="00DC0A04">
        <w:rPr>
          <w:bCs/>
          <w:snapToGrid w:val="0"/>
          <w:lang w:val="en-GB"/>
        </w:rPr>
        <w:t xml:space="preserve"> pathogenic variants following the use of a novel hormonal agent (NHA)</w:t>
      </w:r>
      <w:r w:rsidR="007D76F9">
        <w:rPr>
          <w:bCs/>
          <w:snapToGrid w:val="0"/>
          <w:lang w:val="en-GB"/>
        </w:rPr>
        <w:t xml:space="preserve">. </w:t>
      </w:r>
      <w:r w:rsidR="00E115A7">
        <w:t xml:space="preserve">The PBAC considered that the appropriate clinical place for </w:t>
      </w:r>
      <w:proofErr w:type="spellStart"/>
      <w:r w:rsidR="00E115A7">
        <w:t>olaparib</w:t>
      </w:r>
      <w:proofErr w:type="spellEnd"/>
      <w:r w:rsidR="00E115A7">
        <w:t xml:space="preserve"> was as 3L treatment following failure on docetaxel and failure on an NHA</w:t>
      </w:r>
      <w:r w:rsidR="00CD64C6">
        <w:t>.</w:t>
      </w:r>
    </w:p>
    <w:p w:rsidR="007442F2" w:rsidRPr="00DA77B2" w:rsidRDefault="00DC0A04" w:rsidP="00DA77B2">
      <w:pPr>
        <w:pStyle w:val="ListParagraph"/>
        <w:widowControl w:val="0"/>
        <w:rPr>
          <w:bCs/>
          <w:snapToGrid w:val="0"/>
          <w:lang w:val="en-GB"/>
        </w:rPr>
      </w:pPr>
      <w:r>
        <w:rPr>
          <w:bCs/>
          <w:snapToGrid w:val="0"/>
          <w:lang w:val="en-GB"/>
        </w:rPr>
        <w:t xml:space="preserve">The PBAC noted that the submission nominated </w:t>
      </w:r>
      <w:r w:rsidR="00556549">
        <w:rPr>
          <w:bCs/>
          <w:snapToGrid w:val="0"/>
          <w:lang w:val="en-GB"/>
        </w:rPr>
        <w:t xml:space="preserve">physician’s choice of </w:t>
      </w:r>
      <w:r>
        <w:rPr>
          <w:bCs/>
          <w:snapToGrid w:val="0"/>
          <w:lang w:val="en-GB"/>
        </w:rPr>
        <w:t xml:space="preserve">NHA (i.e. abiraterone </w:t>
      </w:r>
      <w:r w:rsidR="00556549">
        <w:rPr>
          <w:bCs/>
          <w:snapToGrid w:val="0"/>
          <w:lang w:val="en-GB"/>
        </w:rPr>
        <w:t xml:space="preserve">or </w:t>
      </w:r>
      <w:r>
        <w:rPr>
          <w:bCs/>
          <w:snapToGrid w:val="0"/>
          <w:lang w:val="en-GB"/>
        </w:rPr>
        <w:t xml:space="preserve">enzalutamide) as the primary comparator. </w:t>
      </w:r>
      <w:r w:rsidR="007442F2">
        <w:rPr>
          <w:bCs/>
          <w:snapToGrid w:val="0"/>
          <w:lang w:val="en-GB"/>
        </w:rPr>
        <w:t>T</w:t>
      </w:r>
      <w:r w:rsidR="007442F2" w:rsidRPr="007442F2">
        <w:rPr>
          <w:bCs/>
          <w:snapToGrid w:val="0"/>
          <w:lang w:val="en-GB"/>
        </w:rPr>
        <w:t>he PBAC recalled that it had previously recommended that the sequential use of NHAs was not appropriate due to cross-resistance</w:t>
      </w:r>
      <w:r w:rsidR="007442F2">
        <w:rPr>
          <w:bCs/>
          <w:snapToGrid w:val="0"/>
          <w:lang w:val="en-GB"/>
        </w:rPr>
        <w:t xml:space="preserve"> and noted that </w:t>
      </w:r>
      <w:r w:rsidR="002E58D4">
        <w:rPr>
          <w:bCs/>
          <w:snapToGrid w:val="0"/>
          <w:lang w:val="en-GB"/>
        </w:rPr>
        <w:t>that</w:t>
      </w:r>
      <w:r w:rsidR="00556549">
        <w:rPr>
          <w:bCs/>
          <w:snapToGrid w:val="0"/>
          <w:lang w:val="en-GB"/>
        </w:rPr>
        <w:t xml:space="preserve"> the current PBS listing criteria for the NHAs explicit</w:t>
      </w:r>
      <w:r w:rsidR="00B126A7">
        <w:rPr>
          <w:bCs/>
          <w:snapToGrid w:val="0"/>
          <w:lang w:val="en-GB"/>
        </w:rPr>
        <w:t>l</w:t>
      </w:r>
      <w:r w:rsidR="00556549">
        <w:rPr>
          <w:bCs/>
          <w:snapToGrid w:val="0"/>
          <w:lang w:val="en-GB"/>
        </w:rPr>
        <w:t>y prevents the sequential use of NHAs</w:t>
      </w:r>
      <w:r w:rsidR="0087036A">
        <w:rPr>
          <w:bCs/>
          <w:snapToGrid w:val="0"/>
          <w:lang w:val="en-GB"/>
        </w:rPr>
        <w:t>.</w:t>
      </w:r>
      <w:r w:rsidR="002E58D4">
        <w:rPr>
          <w:bCs/>
          <w:snapToGrid w:val="0"/>
          <w:lang w:val="en-GB"/>
        </w:rPr>
        <w:t xml:space="preserve"> </w:t>
      </w:r>
      <w:r w:rsidR="007442F2">
        <w:rPr>
          <w:bCs/>
          <w:snapToGrid w:val="0"/>
          <w:lang w:val="en-GB"/>
        </w:rPr>
        <w:t xml:space="preserve">The PBAC considered that cabazitaxel, which is currently PBS listed </w:t>
      </w:r>
      <w:r w:rsidR="00E64883">
        <w:rPr>
          <w:bCs/>
          <w:snapToGrid w:val="0"/>
          <w:lang w:val="en-GB"/>
        </w:rPr>
        <w:t xml:space="preserve">for use following docetaxel, </w:t>
      </w:r>
      <w:r w:rsidR="00CD64C6">
        <w:rPr>
          <w:bCs/>
          <w:snapToGrid w:val="0"/>
          <w:lang w:val="en-GB"/>
        </w:rPr>
        <w:t xml:space="preserve">and </w:t>
      </w:r>
      <w:r w:rsidR="00E64883">
        <w:rPr>
          <w:bCs/>
          <w:snapToGrid w:val="0"/>
          <w:lang w:val="en-GB"/>
        </w:rPr>
        <w:t>best supportive care (BSC) would be</w:t>
      </w:r>
      <w:r w:rsidR="00CD64C6">
        <w:rPr>
          <w:bCs/>
          <w:snapToGrid w:val="0"/>
          <w:lang w:val="en-GB"/>
        </w:rPr>
        <w:t xml:space="preserve"> the</w:t>
      </w:r>
      <w:r w:rsidR="00E64883">
        <w:rPr>
          <w:bCs/>
          <w:snapToGrid w:val="0"/>
          <w:lang w:val="en-GB"/>
        </w:rPr>
        <w:t xml:space="preserve"> appropriate comparators.</w:t>
      </w:r>
      <w:r w:rsidR="00CD64C6">
        <w:rPr>
          <w:bCs/>
          <w:snapToGrid w:val="0"/>
          <w:lang w:val="en-GB"/>
        </w:rPr>
        <w:t xml:space="preserve"> </w:t>
      </w:r>
      <w:r w:rsidR="00CD64C6">
        <w:t>In addition, the PBAC considered that docetaxel would also be an appropriate comparator where patients had not previously received docetaxel</w:t>
      </w:r>
      <w:r w:rsidR="00DA77B2">
        <w:t>.</w:t>
      </w:r>
    </w:p>
    <w:p w:rsidR="00A76B85" w:rsidRDefault="00A76B85" w:rsidP="00AE2B76">
      <w:pPr>
        <w:pStyle w:val="ListParagraph"/>
        <w:widowControl w:val="0"/>
        <w:rPr>
          <w:bCs/>
          <w:snapToGrid w:val="0"/>
          <w:lang w:val="en-GB"/>
        </w:rPr>
      </w:pPr>
      <w:r>
        <w:rPr>
          <w:bCs/>
          <w:snapToGrid w:val="0"/>
          <w:lang w:val="en-GB"/>
        </w:rPr>
        <w:t xml:space="preserve">The PBAC noted that the submission was based on one open-label, randomised controlled trial, the </w:t>
      </w:r>
      <w:proofErr w:type="spellStart"/>
      <w:proofErr w:type="gramStart"/>
      <w:r>
        <w:rPr>
          <w:bCs/>
          <w:snapToGrid w:val="0"/>
          <w:lang w:val="en-GB"/>
        </w:rPr>
        <w:t>PROfound</w:t>
      </w:r>
      <w:proofErr w:type="spellEnd"/>
      <w:proofErr w:type="gramEnd"/>
      <w:r>
        <w:rPr>
          <w:bCs/>
          <w:snapToGrid w:val="0"/>
          <w:lang w:val="en-GB"/>
        </w:rPr>
        <w:t xml:space="preserve"> trial, which compared </w:t>
      </w:r>
      <w:proofErr w:type="spellStart"/>
      <w:r>
        <w:rPr>
          <w:bCs/>
          <w:snapToGrid w:val="0"/>
          <w:lang w:val="en-GB"/>
        </w:rPr>
        <w:t>olaparib</w:t>
      </w:r>
      <w:proofErr w:type="spellEnd"/>
      <w:r>
        <w:rPr>
          <w:bCs/>
          <w:snapToGrid w:val="0"/>
          <w:lang w:val="en-GB"/>
        </w:rPr>
        <w:t xml:space="preserve"> to either abiraterone or enzalutamide in patients with </w:t>
      </w:r>
      <w:proofErr w:type="spellStart"/>
      <w:r>
        <w:rPr>
          <w:bCs/>
          <w:snapToGrid w:val="0"/>
          <w:lang w:val="en-GB"/>
        </w:rPr>
        <w:t>mCRPC</w:t>
      </w:r>
      <w:proofErr w:type="spellEnd"/>
      <w:r w:rsidR="0090609D">
        <w:rPr>
          <w:bCs/>
          <w:snapToGrid w:val="0"/>
          <w:lang w:val="en-GB"/>
        </w:rPr>
        <w:t xml:space="preserve"> who had progressed on a previous NHA</w:t>
      </w:r>
      <w:r>
        <w:rPr>
          <w:bCs/>
          <w:snapToGrid w:val="0"/>
          <w:lang w:val="en-GB"/>
        </w:rPr>
        <w:t xml:space="preserve">. The PBAC noted that the majority of the key efficacy outcomes were based on the results of </w:t>
      </w:r>
      <w:r w:rsidR="00166DC4">
        <w:rPr>
          <w:bCs/>
          <w:snapToGrid w:val="0"/>
          <w:lang w:val="en-GB"/>
        </w:rPr>
        <w:t xml:space="preserve">the subgroup of </w:t>
      </w:r>
      <w:r>
        <w:rPr>
          <w:bCs/>
          <w:snapToGrid w:val="0"/>
          <w:lang w:val="en-GB"/>
        </w:rPr>
        <w:t xml:space="preserve">Cohort A of the </w:t>
      </w:r>
      <w:proofErr w:type="spellStart"/>
      <w:proofErr w:type="gramStart"/>
      <w:r>
        <w:rPr>
          <w:bCs/>
          <w:snapToGrid w:val="0"/>
          <w:lang w:val="en-GB"/>
        </w:rPr>
        <w:t>PROfound</w:t>
      </w:r>
      <w:proofErr w:type="spellEnd"/>
      <w:proofErr w:type="gramEnd"/>
      <w:r>
        <w:rPr>
          <w:bCs/>
          <w:snapToGrid w:val="0"/>
          <w:lang w:val="en-GB"/>
        </w:rPr>
        <w:t xml:space="preserve"> trial which included patients with </w:t>
      </w:r>
      <w:r w:rsidRPr="00041585">
        <w:rPr>
          <w:bCs/>
          <w:i/>
          <w:snapToGrid w:val="0"/>
          <w:lang w:val="en-GB"/>
        </w:rPr>
        <w:t>BRCA1/2</w:t>
      </w:r>
      <w:r>
        <w:rPr>
          <w:bCs/>
          <w:snapToGrid w:val="0"/>
          <w:lang w:val="en-GB"/>
        </w:rPr>
        <w:t xml:space="preserve"> </w:t>
      </w:r>
      <w:r w:rsidR="00166DC4">
        <w:rPr>
          <w:bCs/>
          <w:snapToGrid w:val="0"/>
          <w:lang w:val="en-GB"/>
        </w:rPr>
        <w:t xml:space="preserve">pathogenic </w:t>
      </w:r>
      <w:r>
        <w:rPr>
          <w:bCs/>
          <w:snapToGrid w:val="0"/>
          <w:lang w:val="en-GB"/>
        </w:rPr>
        <w:t xml:space="preserve">gene variants. Safety outcomes were based on the combined results of Cohorts A and B (Cohort B included patients with </w:t>
      </w:r>
      <w:r w:rsidR="00166DC4">
        <w:rPr>
          <w:bCs/>
          <w:snapToGrid w:val="0"/>
          <w:lang w:val="en-GB"/>
        </w:rPr>
        <w:t xml:space="preserve">pathogenic variants in </w:t>
      </w:r>
      <w:r>
        <w:rPr>
          <w:bCs/>
          <w:snapToGrid w:val="0"/>
          <w:lang w:val="en-GB"/>
        </w:rPr>
        <w:t>12 other gene</w:t>
      </w:r>
      <w:r w:rsidR="00166DC4">
        <w:rPr>
          <w:bCs/>
          <w:snapToGrid w:val="0"/>
          <w:lang w:val="en-GB"/>
        </w:rPr>
        <w:t>s</w:t>
      </w:r>
      <w:r>
        <w:rPr>
          <w:bCs/>
          <w:snapToGrid w:val="0"/>
          <w:lang w:val="en-GB"/>
        </w:rPr>
        <w:t>).</w:t>
      </w:r>
    </w:p>
    <w:p w:rsidR="00C433C9" w:rsidRPr="00A149AC" w:rsidRDefault="005422A8" w:rsidP="00A149AC">
      <w:pPr>
        <w:pStyle w:val="ListParagraph"/>
        <w:rPr>
          <w:iCs/>
          <w:color w:val="auto"/>
        </w:rPr>
      </w:pPr>
      <w:r w:rsidRPr="00E64883">
        <w:rPr>
          <w:bCs/>
          <w:snapToGrid w:val="0"/>
          <w:lang w:val="en-GB"/>
        </w:rPr>
        <w:lastRenderedPageBreak/>
        <w:t>The PBAC noted that for the primary outcome of radiological progression free survival (</w:t>
      </w:r>
      <w:proofErr w:type="spellStart"/>
      <w:r w:rsidRPr="00E64883">
        <w:rPr>
          <w:bCs/>
          <w:snapToGrid w:val="0"/>
          <w:lang w:val="en-GB"/>
        </w:rPr>
        <w:t>rPFS</w:t>
      </w:r>
      <w:proofErr w:type="spellEnd"/>
      <w:r w:rsidRPr="00E64883">
        <w:rPr>
          <w:bCs/>
          <w:snapToGrid w:val="0"/>
          <w:lang w:val="en-GB"/>
        </w:rPr>
        <w:t xml:space="preserve">) in Cohort A patients, </w:t>
      </w:r>
      <w:proofErr w:type="spellStart"/>
      <w:r w:rsidRPr="00E64883">
        <w:rPr>
          <w:bCs/>
          <w:snapToGrid w:val="0"/>
          <w:lang w:val="en-GB"/>
        </w:rPr>
        <w:t>olaparib</w:t>
      </w:r>
      <w:proofErr w:type="spellEnd"/>
      <w:r w:rsidRPr="00E64883">
        <w:rPr>
          <w:bCs/>
          <w:snapToGrid w:val="0"/>
          <w:lang w:val="en-GB"/>
        </w:rPr>
        <w:t xml:space="preserve"> demonstrated a statistically significant advantage compared to NHA therapy (HR = 0.34; 95% CI: 0.25, 0.47). For the subgroup of patients in Cohort </w:t>
      </w:r>
      <w:r w:rsidR="00C433C9">
        <w:rPr>
          <w:bCs/>
          <w:snapToGrid w:val="0"/>
          <w:lang w:val="en-GB"/>
        </w:rPr>
        <w:t xml:space="preserve">A </w:t>
      </w:r>
      <w:r w:rsidRPr="00C433C9">
        <w:rPr>
          <w:bCs/>
          <w:snapToGrid w:val="0"/>
          <w:lang w:val="en-GB"/>
        </w:rPr>
        <w:t xml:space="preserve">with </w:t>
      </w:r>
      <w:r w:rsidRPr="00041585">
        <w:rPr>
          <w:bCs/>
          <w:i/>
          <w:snapToGrid w:val="0"/>
          <w:lang w:val="en-GB"/>
        </w:rPr>
        <w:t>BRCA1/2</w:t>
      </w:r>
      <w:r w:rsidRPr="00C433C9">
        <w:rPr>
          <w:bCs/>
          <w:snapToGrid w:val="0"/>
          <w:lang w:val="en-GB"/>
        </w:rPr>
        <w:t xml:space="preserve"> gene varia</w:t>
      </w:r>
      <w:r w:rsidR="00166DC4">
        <w:rPr>
          <w:bCs/>
          <w:snapToGrid w:val="0"/>
          <w:lang w:val="en-GB"/>
        </w:rPr>
        <w:t>n</w:t>
      </w:r>
      <w:r w:rsidRPr="00C433C9">
        <w:rPr>
          <w:bCs/>
          <w:snapToGrid w:val="0"/>
          <w:lang w:val="en-GB"/>
        </w:rPr>
        <w:t>t</w:t>
      </w:r>
      <w:r w:rsidR="00166DC4">
        <w:rPr>
          <w:bCs/>
          <w:snapToGrid w:val="0"/>
          <w:lang w:val="en-GB"/>
        </w:rPr>
        <w:t>s,</w:t>
      </w:r>
      <w:r w:rsidRPr="00C433C9">
        <w:rPr>
          <w:bCs/>
          <w:snapToGrid w:val="0"/>
          <w:lang w:val="en-GB"/>
        </w:rPr>
        <w:t xml:space="preserve"> the advantage was numerically greater (HR = 0.22; 95% CI: 0.15, 0.32). </w:t>
      </w:r>
      <w:r w:rsidR="00C51897" w:rsidRPr="004F0D62">
        <w:rPr>
          <w:rFonts w:cs="Calibri"/>
          <w:bCs/>
          <w:iCs/>
          <w:color w:val="000000"/>
        </w:rPr>
        <w:t xml:space="preserve">The HR for PFS for the </w:t>
      </w:r>
      <w:r w:rsidR="00C51897" w:rsidRPr="00EF4F91">
        <w:rPr>
          <w:rFonts w:cs="Calibri"/>
          <w:bCs/>
          <w:i/>
          <w:iCs/>
          <w:color w:val="000000"/>
        </w:rPr>
        <w:t xml:space="preserve">ATM </w:t>
      </w:r>
      <w:r w:rsidR="00C51897" w:rsidRPr="004F0D62">
        <w:rPr>
          <w:rFonts w:cs="Calibri"/>
          <w:bCs/>
          <w:iCs/>
          <w:color w:val="000000"/>
        </w:rPr>
        <w:t>positive subgroup was 1.04 (95% CI: 0.61, 1.87), with a test for interaction across the subgroups yielding a p-value of &lt;0.0001</w:t>
      </w:r>
      <w:r w:rsidR="00C51897" w:rsidRPr="00E46DBD">
        <w:rPr>
          <w:rFonts w:cs="Calibri"/>
          <w:bCs/>
          <w:iCs/>
          <w:color w:val="000000"/>
        </w:rPr>
        <w:t>. The PBAC considered this was a reasonable basis on which to accept the</w:t>
      </w:r>
      <w:r w:rsidR="00C51897" w:rsidRPr="00E46DBD">
        <w:rPr>
          <w:rFonts w:cs="Calibri"/>
          <w:bCs/>
          <w:i/>
          <w:iCs/>
          <w:color w:val="000000"/>
        </w:rPr>
        <w:t xml:space="preserve"> BRCA1/2 </w:t>
      </w:r>
      <w:r w:rsidR="00C51897" w:rsidRPr="00E46DBD">
        <w:rPr>
          <w:rFonts w:cs="Calibri"/>
          <w:bCs/>
          <w:iCs/>
          <w:color w:val="000000"/>
        </w:rPr>
        <w:t xml:space="preserve">subgroup results over the ITT results from Cohort </w:t>
      </w:r>
      <w:proofErr w:type="gramStart"/>
      <w:r w:rsidR="00C51897" w:rsidRPr="00E46DBD">
        <w:rPr>
          <w:rFonts w:cs="Calibri"/>
          <w:bCs/>
          <w:iCs/>
          <w:color w:val="000000"/>
        </w:rPr>
        <w:t>A</w:t>
      </w:r>
      <w:proofErr w:type="gramEnd"/>
      <w:r w:rsidR="00C51897" w:rsidRPr="00E46DBD">
        <w:rPr>
          <w:rFonts w:cs="Calibri"/>
          <w:bCs/>
          <w:iCs/>
          <w:color w:val="000000"/>
        </w:rPr>
        <w:t xml:space="preserve"> of </w:t>
      </w:r>
      <w:proofErr w:type="spellStart"/>
      <w:r w:rsidR="00C51897" w:rsidRPr="00E46DBD">
        <w:rPr>
          <w:rFonts w:cs="Calibri"/>
          <w:bCs/>
          <w:iCs/>
          <w:color w:val="000000"/>
        </w:rPr>
        <w:t>PROfound</w:t>
      </w:r>
      <w:proofErr w:type="spellEnd"/>
      <w:r w:rsidR="00C51897" w:rsidRPr="00E46DBD">
        <w:rPr>
          <w:rFonts w:cs="Calibri"/>
          <w:bCs/>
          <w:iCs/>
          <w:color w:val="000000"/>
        </w:rPr>
        <w:t>.</w:t>
      </w:r>
    </w:p>
    <w:p w:rsidR="005422A8" w:rsidRDefault="005422A8" w:rsidP="00E64883">
      <w:pPr>
        <w:pStyle w:val="ListParagraph"/>
        <w:widowControl w:val="0"/>
        <w:rPr>
          <w:bCs/>
          <w:snapToGrid w:val="0"/>
          <w:lang w:val="en-GB"/>
        </w:rPr>
      </w:pPr>
      <w:r w:rsidRPr="00C433C9">
        <w:rPr>
          <w:bCs/>
          <w:snapToGrid w:val="0"/>
          <w:lang w:val="en-GB"/>
        </w:rPr>
        <w:t xml:space="preserve">The PBAC noted that in terms of overall survival, </w:t>
      </w:r>
      <w:proofErr w:type="spellStart"/>
      <w:r w:rsidRPr="00C433C9">
        <w:rPr>
          <w:bCs/>
          <w:snapToGrid w:val="0"/>
          <w:lang w:val="en-GB"/>
        </w:rPr>
        <w:t>olaparib</w:t>
      </w:r>
      <w:proofErr w:type="spellEnd"/>
      <w:r w:rsidRPr="00C433C9">
        <w:rPr>
          <w:bCs/>
          <w:snapToGrid w:val="0"/>
          <w:lang w:val="en-GB"/>
        </w:rPr>
        <w:t xml:space="preserve"> patients </w:t>
      </w:r>
      <w:r w:rsidR="00041585">
        <w:rPr>
          <w:bCs/>
          <w:snapToGrid w:val="0"/>
          <w:lang w:val="en-GB"/>
        </w:rPr>
        <w:t xml:space="preserve">in Cohort A demonstrated a 4.4 month </w:t>
      </w:r>
      <w:r w:rsidR="00703897">
        <w:rPr>
          <w:bCs/>
          <w:snapToGrid w:val="0"/>
          <w:lang w:val="en-GB"/>
        </w:rPr>
        <w:t xml:space="preserve">median </w:t>
      </w:r>
      <w:r w:rsidR="00041585">
        <w:rPr>
          <w:bCs/>
          <w:snapToGrid w:val="0"/>
          <w:lang w:val="en-GB"/>
        </w:rPr>
        <w:t xml:space="preserve">incremental gain over NHA patients (HR = 0.69; 95% CI: 0.50, 0.97). For patients in the </w:t>
      </w:r>
      <w:r w:rsidRPr="00041585">
        <w:rPr>
          <w:bCs/>
          <w:i/>
          <w:snapToGrid w:val="0"/>
          <w:lang w:val="en-GB"/>
        </w:rPr>
        <w:t>BRCA1/2</w:t>
      </w:r>
      <w:r w:rsidRPr="00C433C9">
        <w:rPr>
          <w:bCs/>
          <w:snapToGrid w:val="0"/>
          <w:lang w:val="en-GB"/>
        </w:rPr>
        <w:t xml:space="preserve"> subgroup </w:t>
      </w:r>
      <w:r w:rsidR="00041585">
        <w:rPr>
          <w:bCs/>
          <w:snapToGrid w:val="0"/>
          <w:lang w:val="en-GB"/>
        </w:rPr>
        <w:t xml:space="preserve">of Cohort A, the </w:t>
      </w:r>
      <w:r w:rsidR="00703897">
        <w:rPr>
          <w:bCs/>
          <w:snapToGrid w:val="0"/>
          <w:lang w:val="en-GB"/>
        </w:rPr>
        <w:t xml:space="preserve">median </w:t>
      </w:r>
      <w:r w:rsidR="00041585">
        <w:rPr>
          <w:bCs/>
          <w:snapToGrid w:val="0"/>
          <w:lang w:val="en-GB"/>
        </w:rPr>
        <w:t xml:space="preserve">incremental gain was 5.7 months </w:t>
      </w:r>
      <w:r w:rsidRPr="00C433C9">
        <w:rPr>
          <w:bCs/>
          <w:snapToGrid w:val="0"/>
          <w:lang w:val="en-GB"/>
        </w:rPr>
        <w:t>(HR = 0.63; 95% CI: 0.42, 0.95).</w:t>
      </w:r>
    </w:p>
    <w:p w:rsidR="00C433C9" w:rsidRPr="00FF1701" w:rsidRDefault="00C433C9" w:rsidP="006F10C4">
      <w:pPr>
        <w:pStyle w:val="ListParagraph"/>
        <w:rPr>
          <w:color w:val="auto"/>
        </w:rPr>
      </w:pPr>
      <w:r>
        <w:rPr>
          <w:bCs/>
          <w:snapToGrid w:val="0"/>
          <w:lang w:val="en-GB"/>
        </w:rPr>
        <w:t xml:space="preserve">The PBAC noted that 67.5% of patients in the NHA arm of Cohort </w:t>
      </w:r>
      <w:proofErr w:type="gramStart"/>
      <w:r>
        <w:rPr>
          <w:bCs/>
          <w:snapToGrid w:val="0"/>
          <w:lang w:val="en-GB"/>
        </w:rPr>
        <w:t>A</w:t>
      </w:r>
      <w:proofErr w:type="gramEnd"/>
      <w:r>
        <w:rPr>
          <w:bCs/>
          <w:snapToGrid w:val="0"/>
          <w:lang w:val="en-GB"/>
        </w:rPr>
        <w:t xml:space="preserve"> received subsequent treatment with </w:t>
      </w:r>
      <w:proofErr w:type="spellStart"/>
      <w:r>
        <w:rPr>
          <w:bCs/>
          <w:snapToGrid w:val="0"/>
          <w:lang w:val="en-GB"/>
        </w:rPr>
        <w:t>olaparib</w:t>
      </w:r>
      <w:proofErr w:type="spellEnd"/>
      <w:r w:rsidR="00041585">
        <w:rPr>
          <w:bCs/>
          <w:snapToGrid w:val="0"/>
          <w:lang w:val="en-GB"/>
        </w:rPr>
        <w:t xml:space="preserve">. The PBAC noted that the submission adjusted for this treatment switching using the RPSFTM </w:t>
      </w:r>
      <w:r w:rsidR="00027D87">
        <w:rPr>
          <w:bCs/>
          <w:snapToGrid w:val="0"/>
          <w:lang w:val="en-GB"/>
        </w:rPr>
        <w:t xml:space="preserve">with </w:t>
      </w:r>
      <w:proofErr w:type="spellStart"/>
      <w:r w:rsidR="00027D87">
        <w:rPr>
          <w:bCs/>
          <w:snapToGrid w:val="0"/>
          <w:lang w:val="en-GB"/>
        </w:rPr>
        <w:t>recensoring</w:t>
      </w:r>
      <w:proofErr w:type="spellEnd"/>
      <w:r w:rsidR="00027D87">
        <w:rPr>
          <w:bCs/>
          <w:snapToGrid w:val="0"/>
          <w:lang w:val="en-GB"/>
        </w:rPr>
        <w:t xml:space="preserve"> </w:t>
      </w:r>
      <w:r w:rsidR="00041585">
        <w:rPr>
          <w:bCs/>
          <w:snapToGrid w:val="0"/>
          <w:lang w:val="en-GB"/>
        </w:rPr>
        <w:t xml:space="preserve">which resulted a hazard ratio of </w:t>
      </w:r>
      <w:r w:rsidR="00E60C03">
        <w:rPr>
          <w:bCs/>
          <w:noProof/>
          <w:snapToGrid w:val="0"/>
          <w:color w:val="000000"/>
          <w:highlight w:val="black"/>
          <w:lang w:val="en-GB"/>
        </w:rPr>
        <w:t>''''''''' ''''''''' ''''' ''''''''' ''''''''</w:t>
      </w:r>
      <w:r w:rsidR="00014FF5">
        <w:rPr>
          <w:rStyle w:val="FootnoteReference"/>
          <w:bCs/>
          <w:snapToGrid w:val="0"/>
          <w:lang w:val="en-GB"/>
        </w:rPr>
        <w:footnoteReference w:id="10"/>
      </w:r>
      <w:r w:rsidR="00041585">
        <w:rPr>
          <w:bCs/>
          <w:snapToGrid w:val="0"/>
          <w:lang w:val="en-GB"/>
        </w:rPr>
        <w:t xml:space="preserve"> for patients with the </w:t>
      </w:r>
      <w:r w:rsidR="00041585" w:rsidRPr="00027D87">
        <w:rPr>
          <w:bCs/>
          <w:i/>
          <w:snapToGrid w:val="0"/>
          <w:lang w:val="en-GB"/>
        </w:rPr>
        <w:t>BRCA1/2</w:t>
      </w:r>
      <w:r w:rsidR="00041585">
        <w:rPr>
          <w:bCs/>
          <w:snapToGrid w:val="0"/>
          <w:lang w:val="en-GB"/>
        </w:rPr>
        <w:t xml:space="preserve"> gene variant. </w:t>
      </w:r>
      <w:r w:rsidR="00FF1701">
        <w:rPr>
          <w:bCs/>
          <w:snapToGrid w:val="0"/>
          <w:lang w:val="en-GB"/>
        </w:rPr>
        <w:t>U</w:t>
      </w:r>
      <w:r w:rsidR="00027D87">
        <w:rPr>
          <w:bCs/>
          <w:snapToGrid w:val="0"/>
          <w:lang w:val="en-GB"/>
        </w:rPr>
        <w:t xml:space="preserve">sing the RPSFTM without </w:t>
      </w:r>
      <w:proofErr w:type="spellStart"/>
      <w:r w:rsidR="00027D87">
        <w:rPr>
          <w:bCs/>
          <w:snapToGrid w:val="0"/>
          <w:lang w:val="en-GB"/>
        </w:rPr>
        <w:t>recensoring</w:t>
      </w:r>
      <w:proofErr w:type="spellEnd"/>
      <w:r w:rsidR="00027D87">
        <w:rPr>
          <w:bCs/>
          <w:snapToGrid w:val="0"/>
          <w:lang w:val="en-GB"/>
        </w:rPr>
        <w:t xml:space="preserve"> resulted in a hazard ratio of </w:t>
      </w:r>
      <w:r w:rsidR="00E60C03">
        <w:rPr>
          <w:bCs/>
          <w:noProof/>
          <w:snapToGrid w:val="0"/>
          <w:color w:val="000000"/>
          <w:highlight w:val="black"/>
          <w:lang w:val="en-GB"/>
        </w:rPr>
        <w:t>''''''''' '''''''''' '''''' '''''''''' ''''''''''</w:t>
      </w:r>
      <w:r w:rsidR="00014FF5">
        <w:rPr>
          <w:bCs/>
          <w:snapToGrid w:val="0"/>
          <w:vertAlign w:val="superscript"/>
          <w:lang w:val="en-GB"/>
        </w:rPr>
        <w:t>10</w:t>
      </w:r>
      <w:r w:rsidR="00FF1701">
        <w:rPr>
          <w:bCs/>
          <w:snapToGrid w:val="0"/>
          <w:lang w:val="en-GB"/>
        </w:rPr>
        <w:t xml:space="preserve">. Given the </w:t>
      </w:r>
      <w:r w:rsidR="00FF1701" w:rsidRPr="006F10C4">
        <w:rPr>
          <w:bCs/>
          <w:snapToGrid w:val="0"/>
          <w:lang w:val="en-GB"/>
        </w:rPr>
        <w:t>two statistical approaches used to adjust for switching (R</w:t>
      </w:r>
      <w:r w:rsidR="00B126A7">
        <w:rPr>
          <w:bCs/>
          <w:snapToGrid w:val="0"/>
          <w:lang w:val="en-GB"/>
        </w:rPr>
        <w:t xml:space="preserve">PSFT models with and without </w:t>
      </w:r>
      <w:proofErr w:type="spellStart"/>
      <w:r w:rsidR="00B126A7">
        <w:rPr>
          <w:bCs/>
          <w:snapToGrid w:val="0"/>
          <w:lang w:val="en-GB"/>
        </w:rPr>
        <w:t>rece</w:t>
      </w:r>
      <w:r w:rsidR="00FF1701" w:rsidRPr="006F10C4">
        <w:rPr>
          <w:bCs/>
          <w:snapToGrid w:val="0"/>
          <w:lang w:val="en-GB"/>
        </w:rPr>
        <w:t>nsoring</w:t>
      </w:r>
      <w:proofErr w:type="spellEnd"/>
      <w:r w:rsidR="00FF1701" w:rsidRPr="006F10C4">
        <w:rPr>
          <w:bCs/>
          <w:snapToGrid w:val="0"/>
          <w:lang w:val="en-GB"/>
        </w:rPr>
        <w:t>) produced materially different HRs, there was material uncertainty about the treatment effect for OS used in the economic model.</w:t>
      </w:r>
    </w:p>
    <w:p w:rsidR="00A76B85" w:rsidRDefault="00E64883" w:rsidP="00E64883">
      <w:pPr>
        <w:pStyle w:val="ListParagraph"/>
        <w:widowControl w:val="0"/>
        <w:rPr>
          <w:bCs/>
          <w:snapToGrid w:val="0"/>
          <w:lang w:val="en-GB"/>
        </w:rPr>
      </w:pPr>
      <w:r w:rsidRPr="00041585">
        <w:rPr>
          <w:bCs/>
          <w:snapToGrid w:val="0"/>
          <w:lang w:val="en-GB"/>
        </w:rPr>
        <w:t xml:space="preserve">Considering that the majority of patients in Cohort A of the </w:t>
      </w:r>
      <w:proofErr w:type="spellStart"/>
      <w:r w:rsidRPr="00041585">
        <w:rPr>
          <w:bCs/>
          <w:snapToGrid w:val="0"/>
          <w:lang w:val="en-GB"/>
        </w:rPr>
        <w:t>PROfound</w:t>
      </w:r>
      <w:proofErr w:type="spellEnd"/>
      <w:r w:rsidRPr="00041585">
        <w:rPr>
          <w:bCs/>
          <w:snapToGrid w:val="0"/>
          <w:lang w:val="en-GB"/>
        </w:rPr>
        <w:t xml:space="preserve"> trial had </w:t>
      </w:r>
      <w:r w:rsidRPr="00E64883">
        <w:rPr>
          <w:bCs/>
          <w:snapToGrid w:val="0"/>
          <w:lang w:val="en-GB"/>
        </w:rPr>
        <w:t>progressed following a</w:t>
      </w:r>
      <w:r w:rsidR="00EB56AC">
        <w:rPr>
          <w:bCs/>
          <w:snapToGrid w:val="0"/>
          <w:lang w:val="en-GB"/>
        </w:rPr>
        <w:t>n</w:t>
      </w:r>
      <w:r w:rsidRPr="00E64883">
        <w:rPr>
          <w:bCs/>
          <w:snapToGrid w:val="0"/>
          <w:lang w:val="en-GB"/>
        </w:rPr>
        <w:t xml:space="preserve"> NHA, and given the lack of evidence supporting the efficacy of sequential NHA use, the PBAC considered that the comparator in the </w:t>
      </w:r>
      <w:proofErr w:type="spellStart"/>
      <w:r w:rsidRPr="00E64883">
        <w:rPr>
          <w:bCs/>
          <w:snapToGrid w:val="0"/>
          <w:lang w:val="en-GB"/>
        </w:rPr>
        <w:t>PROfound</w:t>
      </w:r>
      <w:proofErr w:type="spellEnd"/>
      <w:r w:rsidRPr="00E64883">
        <w:rPr>
          <w:bCs/>
          <w:snapToGrid w:val="0"/>
          <w:lang w:val="en-GB"/>
        </w:rPr>
        <w:t xml:space="preserve"> trial, i.e. a</w:t>
      </w:r>
      <w:r w:rsidR="00EB56AC">
        <w:rPr>
          <w:bCs/>
          <w:snapToGrid w:val="0"/>
          <w:lang w:val="en-GB"/>
        </w:rPr>
        <w:t>n</w:t>
      </w:r>
      <w:r w:rsidRPr="00E64883">
        <w:rPr>
          <w:bCs/>
          <w:snapToGrid w:val="0"/>
          <w:lang w:val="en-GB"/>
        </w:rPr>
        <w:t xml:space="preserve"> NHA, was a </w:t>
      </w:r>
      <w:r w:rsidR="00F72A47">
        <w:rPr>
          <w:bCs/>
          <w:snapToGrid w:val="0"/>
          <w:lang w:val="en-GB"/>
        </w:rPr>
        <w:t xml:space="preserve">reasonable </w:t>
      </w:r>
      <w:r w:rsidRPr="00E64883">
        <w:rPr>
          <w:bCs/>
          <w:snapToGrid w:val="0"/>
          <w:lang w:val="en-GB"/>
        </w:rPr>
        <w:t xml:space="preserve">proxy for BSC. Therefore, </w:t>
      </w:r>
      <w:r w:rsidR="005422A8" w:rsidRPr="00E64883">
        <w:rPr>
          <w:bCs/>
          <w:snapToGrid w:val="0"/>
          <w:lang w:val="en-GB"/>
        </w:rPr>
        <w:t>the PBAC concluded</w:t>
      </w:r>
      <w:r w:rsidR="007442F2" w:rsidRPr="00E64883">
        <w:rPr>
          <w:bCs/>
          <w:snapToGrid w:val="0"/>
          <w:lang w:val="en-GB"/>
        </w:rPr>
        <w:t xml:space="preserve"> that </w:t>
      </w:r>
      <w:proofErr w:type="spellStart"/>
      <w:r w:rsidR="007442F2" w:rsidRPr="00E64883">
        <w:rPr>
          <w:bCs/>
          <w:snapToGrid w:val="0"/>
          <w:lang w:val="en-GB"/>
        </w:rPr>
        <w:t>ol</w:t>
      </w:r>
      <w:r w:rsidR="005422A8" w:rsidRPr="00E64883">
        <w:rPr>
          <w:bCs/>
          <w:snapToGrid w:val="0"/>
          <w:lang w:val="en-GB"/>
        </w:rPr>
        <w:t>aparib</w:t>
      </w:r>
      <w:proofErr w:type="spellEnd"/>
      <w:r w:rsidR="005422A8" w:rsidRPr="00E64883">
        <w:rPr>
          <w:bCs/>
          <w:snapToGrid w:val="0"/>
          <w:lang w:val="en-GB"/>
        </w:rPr>
        <w:t xml:space="preserve"> was superior compared to best supportive care </w:t>
      </w:r>
      <w:r w:rsidR="000C0FC8">
        <w:rPr>
          <w:bCs/>
          <w:snapToGrid w:val="0"/>
          <w:lang w:val="en-GB"/>
        </w:rPr>
        <w:t xml:space="preserve">(BSC) </w:t>
      </w:r>
      <w:r w:rsidR="005422A8" w:rsidRPr="00E64883">
        <w:rPr>
          <w:bCs/>
          <w:snapToGrid w:val="0"/>
          <w:lang w:val="en-GB"/>
        </w:rPr>
        <w:t xml:space="preserve">in terms of efficacy. The PBAC considered that the incremental benefit of </w:t>
      </w:r>
      <w:proofErr w:type="spellStart"/>
      <w:r w:rsidR="005422A8" w:rsidRPr="00E64883">
        <w:rPr>
          <w:bCs/>
          <w:snapToGrid w:val="0"/>
          <w:lang w:val="en-GB"/>
        </w:rPr>
        <w:t>olaparib</w:t>
      </w:r>
      <w:proofErr w:type="spellEnd"/>
      <w:r w:rsidR="005422A8" w:rsidRPr="00E64883">
        <w:rPr>
          <w:bCs/>
          <w:snapToGrid w:val="0"/>
          <w:lang w:val="en-GB"/>
        </w:rPr>
        <w:t xml:space="preserve"> versus cabazitaxel was unknown.</w:t>
      </w:r>
    </w:p>
    <w:p w:rsidR="00E64883" w:rsidRDefault="00E64883" w:rsidP="00E64883">
      <w:pPr>
        <w:pStyle w:val="ListParagraph"/>
        <w:widowControl w:val="0"/>
        <w:rPr>
          <w:bCs/>
          <w:snapToGrid w:val="0"/>
          <w:lang w:val="en-GB"/>
        </w:rPr>
      </w:pPr>
      <w:r>
        <w:rPr>
          <w:bCs/>
          <w:snapToGrid w:val="0"/>
          <w:lang w:val="en-GB"/>
        </w:rPr>
        <w:t xml:space="preserve">In terms of safety, the PBAC noted that </w:t>
      </w:r>
      <w:proofErr w:type="spellStart"/>
      <w:r>
        <w:rPr>
          <w:bCs/>
          <w:snapToGrid w:val="0"/>
          <w:lang w:val="en-GB"/>
        </w:rPr>
        <w:t>olaparib</w:t>
      </w:r>
      <w:proofErr w:type="spellEnd"/>
      <w:r>
        <w:rPr>
          <w:bCs/>
          <w:snapToGrid w:val="0"/>
          <w:lang w:val="en-GB"/>
        </w:rPr>
        <w:t xml:space="preserve"> was associated with </w:t>
      </w:r>
      <w:r w:rsidR="00C433C9">
        <w:rPr>
          <w:bCs/>
          <w:snapToGrid w:val="0"/>
          <w:lang w:val="en-GB"/>
        </w:rPr>
        <w:t xml:space="preserve">significantly greater proportions of patients experiencing any adverse event (AE), AEs </w:t>
      </w:r>
      <w:r w:rsidR="00C433C9">
        <w:rPr>
          <w:rFonts w:cstheme="minorHAnsi"/>
          <w:bCs/>
          <w:snapToGrid w:val="0"/>
          <w:lang w:val="en-GB"/>
        </w:rPr>
        <w:t>≥</w:t>
      </w:r>
      <w:r w:rsidR="00C433C9">
        <w:rPr>
          <w:bCs/>
          <w:snapToGrid w:val="0"/>
          <w:lang w:val="en-GB"/>
        </w:rPr>
        <w:t xml:space="preserve"> Grade 3, serious AEs, AEs leading to discontinuation, AEs leading to dose reduction and AEs leading to dose interruption compared to sequential NHA use. The PBAC considered that </w:t>
      </w:r>
      <w:proofErr w:type="spellStart"/>
      <w:r w:rsidR="00C433C9">
        <w:rPr>
          <w:bCs/>
          <w:snapToGrid w:val="0"/>
          <w:lang w:val="en-GB"/>
        </w:rPr>
        <w:t>olaparib</w:t>
      </w:r>
      <w:proofErr w:type="spellEnd"/>
      <w:r w:rsidR="00C433C9">
        <w:rPr>
          <w:bCs/>
          <w:snapToGrid w:val="0"/>
          <w:lang w:val="en-GB"/>
        </w:rPr>
        <w:t xml:space="preserve"> was inferior in terms of safety compared to BSC.</w:t>
      </w:r>
    </w:p>
    <w:p w:rsidR="006812EE" w:rsidRPr="00B33AB3" w:rsidRDefault="006812EE" w:rsidP="00F55582">
      <w:pPr>
        <w:pStyle w:val="ListParagraph"/>
        <w:rPr>
          <w:snapToGrid w:val="0"/>
          <w:lang w:val="en-GB"/>
        </w:rPr>
      </w:pPr>
      <w:r w:rsidRPr="00B33AB3">
        <w:rPr>
          <w:snapToGrid w:val="0"/>
          <w:lang w:val="en-GB"/>
        </w:rPr>
        <w:t xml:space="preserve">The PBAC noted that the submission presented a cost utility analysis comparing </w:t>
      </w:r>
      <w:proofErr w:type="spellStart"/>
      <w:r w:rsidRPr="00B33AB3">
        <w:rPr>
          <w:snapToGrid w:val="0"/>
          <w:lang w:val="en-GB"/>
        </w:rPr>
        <w:t>olapari</w:t>
      </w:r>
      <w:r w:rsidRPr="00FB797F">
        <w:rPr>
          <w:snapToGrid w:val="0"/>
          <w:lang w:val="en-GB"/>
        </w:rPr>
        <w:t>b</w:t>
      </w:r>
      <w:proofErr w:type="spellEnd"/>
      <w:r w:rsidRPr="00FB797F">
        <w:rPr>
          <w:snapToGrid w:val="0"/>
          <w:lang w:val="en-GB"/>
        </w:rPr>
        <w:t xml:space="preserve"> with a</w:t>
      </w:r>
      <w:r w:rsidR="00EB56AC">
        <w:rPr>
          <w:snapToGrid w:val="0"/>
          <w:lang w:val="en-GB"/>
        </w:rPr>
        <w:t>n</w:t>
      </w:r>
      <w:r w:rsidRPr="00FB797F">
        <w:rPr>
          <w:snapToGrid w:val="0"/>
          <w:lang w:val="en-GB"/>
        </w:rPr>
        <w:t xml:space="preserve"> NHA</w:t>
      </w:r>
      <w:r w:rsidR="00F72A47">
        <w:rPr>
          <w:snapToGrid w:val="0"/>
          <w:lang w:val="en-GB"/>
        </w:rPr>
        <w:t>,</w:t>
      </w:r>
      <w:r w:rsidR="00FB797F">
        <w:rPr>
          <w:snapToGrid w:val="0"/>
          <w:lang w:val="en-GB"/>
        </w:rPr>
        <w:t xml:space="preserve"> based on the </w:t>
      </w:r>
      <w:r w:rsidR="00FB797F" w:rsidRPr="00C24637">
        <w:rPr>
          <w:i/>
          <w:snapToGrid w:val="0"/>
          <w:lang w:val="en-GB"/>
        </w:rPr>
        <w:t>BRCA1/2</w:t>
      </w:r>
      <w:r w:rsidR="00FB797F">
        <w:rPr>
          <w:snapToGrid w:val="0"/>
          <w:lang w:val="en-GB"/>
        </w:rPr>
        <w:t xml:space="preserve"> subgroup of Cohort A of the </w:t>
      </w:r>
      <w:proofErr w:type="spellStart"/>
      <w:proofErr w:type="gramStart"/>
      <w:r w:rsidR="00FB797F">
        <w:rPr>
          <w:snapToGrid w:val="0"/>
          <w:lang w:val="en-GB"/>
        </w:rPr>
        <w:t>PROfound</w:t>
      </w:r>
      <w:proofErr w:type="spellEnd"/>
      <w:proofErr w:type="gramEnd"/>
      <w:r w:rsidR="00FB797F">
        <w:rPr>
          <w:snapToGrid w:val="0"/>
          <w:lang w:val="en-GB"/>
        </w:rPr>
        <w:t xml:space="preserve"> trial</w:t>
      </w:r>
      <w:r w:rsidRPr="00FB797F">
        <w:rPr>
          <w:snapToGrid w:val="0"/>
          <w:lang w:val="en-GB"/>
        </w:rPr>
        <w:t xml:space="preserve">. </w:t>
      </w:r>
      <w:r w:rsidR="00B33AB3" w:rsidRPr="00FB797F">
        <w:rPr>
          <w:snapToGrid w:val="0"/>
          <w:lang w:val="en-GB"/>
        </w:rPr>
        <w:t xml:space="preserve">The PBAC considered that the resultant incremental cost effectiveness ratio </w:t>
      </w:r>
      <w:r w:rsidR="00B33AB3" w:rsidRPr="00FB797F">
        <w:rPr>
          <w:snapToGrid w:val="0"/>
          <w:lang w:val="en-GB"/>
        </w:rPr>
        <w:lastRenderedPageBreak/>
        <w:t xml:space="preserve">(ICER) of </w:t>
      </w:r>
      <w:r w:rsidR="00F55582" w:rsidRPr="00F55582">
        <w:rPr>
          <w:bCs/>
          <w:snapToGrid w:val="0"/>
          <w:lang w:val="en-GB"/>
        </w:rPr>
        <w:t>$45,000 to &lt; $55,000</w:t>
      </w:r>
      <w:r w:rsidR="00F55582">
        <w:rPr>
          <w:bCs/>
          <w:snapToGrid w:val="0"/>
          <w:lang w:val="en-GB"/>
        </w:rPr>
        <w:t xml:space="preserve"> </w:t>
      </w:r>
      <w:r w:rsidR="00E6644D">
        <w:rPr>
          <w:snapToGrid w:val="0"/>
          <w:lang w:val="en-GB"/>
        </w:rPr>
        <w:t xml:space="preserve">per QALY </w:t>
      </w:r>
      <w:r w:rsidR="00B33AB3" w:rsidRPr="00FB797F">
        <w:rPr>
          <w:snapToGrid w:val="0"/>
          <w:lang w:val="en-GB"/>
        </w:rPr>
        <w:t xml:space="preserve">was difficult to assess and highly uncertain </w:t>
      </w:r>
      <w:r w:rsidR="00B33AB3" w:rsidRPr="00B33AB3">
        <w:rPr>
          <w:snapToGrid w:val="0"/>
          <w:lang w:val="en-GB"/>
        </w:rPr>
        <w:t xml:space="preserve">due to </w:t>
      </w:r>
      <w:r w:rsidR="00B33AB3">
        <w:rPr>
          <w:snapToGrid w:val="0"/>
          <w:lang w:val="en-GB"/>
        </w:rPr>
        <w:t>a number of issues</w:t>
      </w:r>
      <w:r w:rsidR="00FB797F">
        <w:rPr>
          <w:snapToGrid w:val="0"/>
          <w:lang w:val="en-GB"/>
        </w:rPr>
        <w:t>,</w:t>
      </w:r>
      <w:r w:rsidR="00B33AB3">
        <w:rPr>
          <w:snapToGrid w:val="0"/>
          <w:lang w:val="en-GB"/>
        </w:rPr>
        <w:t xml:space="preserve"> including</w:t>
      </w:r>
      <w:r w:rsidR="00B33AB3" w:rsidRPr="00B33AB3">
        <w:rPr>
          <w:snapToGrid w:val="0"/>
          <w:lang w:val="en-GB"/>
        </w:rPr>
        <w:t>:</w:t>
      </w:r>
    </w:p>
    <w:p w:rsidR="00B33AB3" w:rsidRDefault="00B33AB3" w:rsidP="00C24637">
      <w:pPr>
        <w:pStyle w:val="ListParagraph"/>
        <w:widowControl w:val="0"/>
        <w:numPr>
          <w:ilvl w:val="4"/>
          <w:numId w:val="33"/>
        </w:numPr>
        <w:ind w:left="1077" w:hanging="357"/>
        <w:rPr>
          <w:bCs/>
          <w:snapToGrid w:val="0"/>
          <w:lang w:val="en-GB"/>
        </w:rPr>
      </w:pPr>
      <w:r>
        <w:rPr>
          <w:bCs/>
          <w:snapToGrid w:val="0"/>
          <w:lang w:val="en-GB"/>
        </w:rPr>
        <w:t xml:space="preserve">the model did not reflect the </w:t>
      </w:r>
      <w:proofErr w:type="spellStart"/>
      <w:r>
        <w:rPr>
          <w:bCs/>
          <w:snapToGrid w:val="0"/>
          <w:lang w:val="en-GB"/>
        </w:rPr>
        <w:t>codependent</w:t>
      </w:r>
      <w:proofErr w:type="spellEnd"/>
      <w:r>
        <w:rPr>
          <w:bCs/>
          <w:snapToGrid w:val="0"/>
          <w:lang w:val="en-GB"/>
        </w:rPr>
        <w:t xml:space="preserve"> nature of the submission </w:t>
      </w:r>
      <w:r w:rsidR="00EB56AC">
        <w:rPr>
          <w:bCs/>
          <w:snapToGrid w:val="0"/>
          <w:lang w:val="en-GB"/>
        </w:rPr>
        <w:t xml:space="preserve">by providing a test and </w:t>
      </w:r>
      <w:r w:rsidR="00F2242F">
        <w:rPr>
          <w:bCs/>
          <w:snapToGrid w:val="0"/>
          <w:lang w:val="en-GB"/>
        </w:rPr>
        <w:t>drug</w:t>
      </w:r>
      <w:r w:rsidR="00EB56AC">
        <w:rPr>
          <w:bCs/>
          <w:snapToGrid w:val="0"/>
          <w:lang w:val="en-GB"/>
        </w:rPr>
        <w:t xml:space="preserve"> model</w:t>
      </w:r>
      <w:r w:rsidR="00161AD9">
        <w:rPr>
          <w:bCs/>
          <w:snapToGrid w:val="0"/>
          <w:lang w:val="en-GB"/>
        </w:rPr>
        <w:t xml:space="preserve"> to assess the consequences of less than perfect test performance</w:t>
      </w:r>
      <w:r w:rsidR="00056E90">
        <w:rPr>
          <w:bCs/>
          <w:snapToGrid w:val="0"/>
          <w:lang w:val="en-GB"/>
        </w:rPr>
        <w:t xml:space="preserve"> (the PBAC noted that </w:t>
      </w:r>
      <w:r>
        <w:rPr>
          <w:bCs/>
          <w:snapToGrid w:val="0"/>
          <w:lang w:val="en-GB"/>
        </w:rPr>
        <w:t>incorporat</w:t>
      </w:r>
      <w:r w:rsidR="00056E90">
        <w:rPr>
          <w:bCs/>
          <w:snapToGrid w:val="0"/>
          <w:lang w:val="en-GB"/>
        </w:rPr>
        <w:t>ion of</w:t>
      </w:r>
      <w:r>
        <w:rPr>
          <w:bCs/>
          <w:snapToGrid w:val="0"/>
          <w:lang w:val="en-GB"/>
        </w:rPr>
        <w:t xml:space="preserve"> the costs and subsequent health outcomes of further germline testing in patients with a positive </w:t>
      </w:r>
      <w:r w:rsidRPr="00C24637">
        <w:rPr>
          <w:bCs/>
          <w:i/>
          <w:snapToGrid w:val="0"/>
          <w:lang w:val="en-GB"/>
        </w:rPr>
        <w:t>BRCA1/2</w:t>
      </w:r>
      <w:r>
        <w:rPr>
          <w:bCs/>
          <w:snapToGrid w:val="0"/>
          <w:lang w:val="en-GB"/>
        </w:rPr>
        <w:t xml:space="preserve"> somatic test result, or of cascade testing of family members</w:t>
      </w:r>
      <w:r w:rsidR="00056E90">
        <w:rPr>
          <w:bCs/>
          <w:snapToGrid w:val="0"/>
          <w:lang w:val="en-GB"/>
        </w:rPr>
        <w:t xml:space="preserve"> were matters for MSAC)</w:t>
      </w:r>
      <w:r>
        <w:rPr>
          <w:bCs/>
          <w:snapToGrid w:val="0"/>
          <w:lang w:val="en-GB"/>
        </w:rPr>
        <w:t>;</w:t>
      </w:r>
    </w:p>
    <w:p w:rsidR="00B33AB3" w:rsidRDefault="00B33AB3" w:rsidP="00C24637">
      <w:pPr>
        <w:pStyle w:val="ListParagraph"/>
        <w:widowControl w:val="0"/>
        <w:numPr>
          <w:ilvl w:val="4"/>
          <w:numId w:val="33"/>
        </w:numPr>
        <w:ind w:left="1077" w:hanging="357"/>
        <w:rPr>
          <w:bCs/>
          <w:snapToGrid w:val="0"/>
          <w:lang w:val="en-GB"/>
        </w:rPr>
      </w:pPr>
      <w:proofErr w:type="gramStart"/>
      <w:r>
        <w:rPr>
          <w:bCs/>
          <w:snapToGrid w:val="0"/>
          <w:lang w:val="en-GB"/>
        </w:rPr>
        <w:t>the</w:t>
      </w:r>
      <w:proofErr w:type="gramEnd"/>
      <w:r>
        <w:rPr>
          <w:bCs/>
          <w:snapToGrid w:val="0"/>
          <w:lang w:val="en-GB"/>
        </w:rPr>
        <w:t xml:space="preserve"> inappropriate application of NHA use as the comparator. The PBAC considered that </w:t>
      </w:r>
      <w:r w:rsidR="009920D5">
        <w:rPr>
          <w:bCs/>
          <w:snapToGrid w:val="0"/>
          <w:lang w:val="en-GB"/>
        </w:rPr>
        <w:t>the comparators should be cabazitaxel</w:t>
      </w:r>
      <w:r w:rsidR="00F2242F">
        <w:rPr>
          <w:bCs/>
          <w:snapToGrid w:val="0"/>
          <w:lang w:val="en-GB"/>
        </w:rPr>
        <w:t xml:space="preserve"> or BSC</w:t>
      </w:r>
      <w:r w:rsidR="009920D5">
        <w:rPr>
          <w:bCs/>
          <w:snapToGrid w:val="0"/>
          <w:lang w:val="en-GB"/>
        </w:rPr>
        <w:t xml:space="preserve">. </w:t>
      </w:r>
      <w:r w:rsidR="0090609D">
        <w:rPr>
          <w:bCs/>
          <w:snapToGrid w:val="0"/>
          <w:lang w:val="en-GB"/>
        </w:rPr>
        <w:t xml:space="preserve">The PBAC noted that </w:t>
      </w:r>
      <w:r>
        <w:rPr>
          <w:bCs/>
          <w:snapToGrid w:val="0"/>
          <w:lang w:val="en-GB"/>
        </w:rPr>
        <w:t xml:space="preserve">if NHA use was </w:t>
      </w:r>
      <w:r w:rsidR="0090609D">
        <w:rPr>
          <w:bCs/>
          <w:snapToGrid w:val="0"/>
          <w:lang w:val="en-GB"/>
        </w:rPr>
        <w:t xml:space="preserve">considered to be </w:t>
      </w:r>
      <w:r>
        <w:rPr>
          <w:bCs/>
          <w:snapToGrid w:val="0"/>
          <w:lang w:val="en-GB"/>
        </w:rPr>
        <w:t xml:space="preserve">a proxy for BSC, the costs associated with </w:t>
      </w:r>
      <w:r w:rsidR="00F2242F">
        <w:rPr>
          <w:bCs/>
          <w:snapToGrid w:val="0"/>
          <w:lang w:val="en-GB"/>
        </w:rPr>
        <w:t>NHA</w:t>
      </w:r>
      <w:r>
        <w:rPr>
          <w:bCs/>
          <w:snapToGrid w:val="0"/>
          <w:lang w:val="en-GB"/>
        </w:rPr>
        <w:t xml:space="preserve"> use should be removed;</w:t>
      </w:r>
    </w:p>
    <w:p w:rsidR="00B33AB3" w:rsidRDefault="00F2242F" w:rsidP="00C24637">
      <w:pPr>
        <w:pStyle w:val="ListParagraph"/>
        <w:widowControl w:val="0"/>
        <w:numPr>
          <w:ilvl w:val="4"/>
          <w:numId w:val="33"/>
        </w:numPr>
        <w:ind w:left="1077" w:hanging="357"/>
        <w:rPr>
          <w:bCs/>
          <w:snapToGrid w:val="0"/>
          <w:lang w:val="en-GB"/>
        </w:rPr>
      </w:pPr>
      <w:proofErr w:type="gramStart"/>
      <w:r>
        <w:rPr>
          <w:bCs/>
          <w:snapToGrid w:val="0"/>
          <w:lang w:val="en-GB"/>
        </w:rPr>
        <w:t>the</w:t>
      </w:r>
      <w:proofErr w:type="gramEnd"/>
      <w:r>
        <w:rPr>
          <w:bCs/>
          <w:snapToGrid w:val="0"/>
          <w:lang w:val="en-GB"/>
        </w:rPr>
        <w:t xml:space="preserve"> application of a 10-</w:t>
      </w:r>
      <w:r w:rsidR="00B33AB3">
        <w:rPr>
          <w:bCs/>
          <w:snapToGrid w:val="0"/>
          <w:lang w:val="en-GB"/>
        </w:rPr>
        <w:t xml:space="preserve">year time horizon. </w:t>
      </w:r>
      <w:r>
        <w:rPr>
          <w:bCs/>
          <w:snapToGrid w:val="0"/>
          <w:lang w:val="en-GB"/>
        </w:rPr>
        <w:t>The PBAC considered that a 5-</w:t>
      </w:r>
      <w:r w:rsidR="00B33AB3">
        <w:rPr>
          <w:bCs/>
          <w:snapToGrid w:val="0"/>
          <w:lang w:val="en-GB"/>
        </w:rPr>
        <w:t xml:space="preserve">year time horizon would more appropriately represent </w:t>
      </w:r>
      <w:r>
        <w:rPr>
          <w:bCs/>
          <w:snapToGrid w:val="0"/>
          <w:lang w:val="en-GB"/>
        </w:rPr>
        <w:t>later</w:t>
      </w:r>
      <w:r w:rsidR="00B33AB3">
        <w:rPr>
          <w:bCs/>
          <w:snapToGrid w:val="0"/>
          <w:lang w:val="en-GB"/>
        </w:rPr>
        <w:t xml:space="preserve">-line </w:t>
      </w:r>
      <w:proofErr w:type="spellStart"/>
      <w:r w:rsidR="00B33AB3">
        <w:rPr>
          <w:bCs/>
          <w:snapToGrid w:val="0"/>
          <w:lang w:val="en-GB"/>
        </w:rPr>
        <w:t>mCRPC</w:t>
      </w:r>
      <w:proofErr w:type="spellEnd"/>
      <w:r w:rsidR="00B33AB3">
        <w:rPr>
          <w:bCs/>
          <w:snapToGrid w:val="0"/>
          <w:lang w:val="en-GB"/>
        </w:rPr>
        <w:t xml:space="preserve"> treatment;</w:t>
      </w:r>
    </w:p>
    <w:p w:rsidR="00B33AB3" w:rsidRDefault="00FB797F" w:rsidP="00C24637">
      <w:pPr>
        <w:pStyle w:val="ListParagraph"/>
        <w:widowControl w:val="0"/>
        <w:numPr>
          <w:ilvl w:val="4"/>
          <w:numId w:val="33"/>
        </w:numPr>
        <w:ind w:left="1077" w:hanging="357"/>
        <w:rPr>
          <w:bCs/>
          <w:snapToGrid w:val="0"/>
          <w:lang w:val="en-GB"/>
        </w:rPr>
      </w:pPr>
      <w:proofErr w:type="gramStart"/>
      <w:r>
        <w:rPr>
          <w:bCs/>
          <w:snapToGrid w:val="0"/>
          <w:lang w:val="en-GB"/>
        </w:rPr>
        <w:t>that</w:t>
      </w:r>
      <w:proofErr w:type="gramEnd"/>
      <w:r>
        <w:rPr>
          <w:bCs/>
          <w:snapToGrid w:val="0"/>
          <w:lang w:val="en-GB"/>
        </w:rPr>
        <w:t xml:space="preserve"> testing costs were inappropriately applied to the 67% of patients in the NHA arm who switched to </w:t>
      </w:r>
      <w:proofErr w:type="spellStart"/>
      <w:r>
        <w:rPr>
          <w:bCs/>
          <w:snapToGrid w:val="0"/>
          <w:lang w:val="en-GB"/>
        </w:rPr>
        <w:t>olaparib</w:t>
      </w:r>
      <w:proofErr w:type="spellEnd"/>
      <w:r>
        <w:rPr>
          <w:bCs/>
          <w:snapToGrid w:val="0"/>
          <w:lang w:val="en-GB"/>
        </w:rPr>
        <w:t xml:space="preserve"> treatment in the </w:t>
      </w:r>
      <w:proofErr w:type="spellStart"/>
      <w:r>
        <w:rPr>
          <w:bCs/>
          <w:snapToGrid w:val="0"/>
          <w:lang w:val="en-GB"/>
        </w:rPr>
        <w:t>PRO</w:t>
      </w:r>
      <w:r w:rsidR="00C24637">
        <w:rPr>
          <w:bCs/>
          <w:snapToGrid w:val="0"/>
          <w:lang w:val="en-GB"/>
        </w:rPr>
        <w:t>f</w:t>
      </w:r>
      <w:r>
        <w:rPr>
          <w:bCs/>
          <w:snapToGrid w:val="0"/>
          <w:lang w:val="en-GB"/>
        </w:rPr>
        <w:t>round</w:t>
      </w:r>
      <w:proofErr w:type="spellEnd"/>
      <w:r>
        <w:rPr>
          <w:bCs/>
          <w:snapToGrid w:val="0"/>
          <w:lang w:val="en-GB"/>
        </w:rPr>
        <w:t xml:space="preserve"> trial. The PBAC noted that these costs were appropriately removed in the pre-PBAC response;</w:t>
      </w:r>
    </w:p>
    <w:p w:rsidR="00FB797F" w:rsidRDefault="00FB797F" w:rsidP="00C24637">
      <w:pPr>
        <w:pStyle w:val="ListParagraph"/>
        <w:widowControl w:val="0"/>
        <w:numPr>
          <w:ilvl w:val="4"/>
          <w:numId w:val="33"/>
        </w:numPr>
        <w:ind w:left="1077" w:hanging="357"/>
        <w:rPr>
          <w:bCs/>
          <w:snapToGrid w:val="0"/>
          <w:lang w:val="en-GB"/>
        </w:rPr>
      </w:pPr>
      <w:proofErr w:type="gramStart"/>
      <w:r>
        <w:rPr>
          <w:bCs/>
          <w:snapToGrid w:val="0"/>
          <w:lang w:val="en-GB"/>
        </w:rPr>
        <w:t>that</w:t>
      </w:r>
      <w:proofErr w:type="gramEnd"/>
      <w:r>
        <w:rPr>
          <w:bCs/>
          <w:snapToGrid w:val="0"/>
          <w:lang w:val="en-GB"/>
        </w:rPr>
        <w:t xml:space="preserve"> the model applied the overall survival hazard ratio adjusted for treatment switching</w:t>
      </w:r>
      <w:r w:rsidR="00363101">
        <w:rPr>
          <w:bCs/>
          <w:snapToGrid w:val="0"/>
          <w:lang w:val="en-GB"/>
        </w:rPr>
        <w:t xml:space="preserve"> and with </w:t>
      </w:r>
      <w:proofErr w:type="spellStart"/>
      <w:r w:rsidR="00363101">
        <w:rPr>
          <w:bCs/>
          <w:snapToGrid w:val="0"/>
          <w:lang w:val="en-GB"/>
        </w:rPr>
        <w:t>recensoring</w:t>
      </w:r>
      <w:proofErr w:type="spellEnd"/>
      <w:r w:rsidR="00363101">
        <w:rPr>
          <w:bCs/>
          <w:snapToGrid w:val="0"/>
          <w:lang w:val="en-GB"/>
        </w:rPr>
        <w:t xml:space="preserve"> (HR = </w:t>
      </w:r>
      <w:r w:rsidR="00E60C03">
        <w:rPr>
          <w:bCs/>
          <w:noProof/>
          <w:snapToGrid w:val="0"/>
          <w:color w:val="000000"/>
          <w:highlight w:val="black"/>
          <w:lang w:val="en-GB"/>
        </w:rPr>
        <w:t>''''''''' '''''''' ''''' ''''''''' '''''''''</w:t>
      </w:r>
      <w:r w:rsidR="00363101">
        <w:rPr>
          <w:bCs/>
          <w:snapToGrid w:val="0"/>
          <w:lang w:val="en-GB"/>
        </w:rPr>
        <w:t>)</w:t>
      </w:r>
      <w:r w:rsidR="00014FF5">
        <w:rPr>
          <w:rStyle w:val="FootnoteReference"/>
          <w:bCs/>
          <w:snapToGrid w:val="0"/>
          <w:lang w:val="en-GB"/>
        </w:rPr>
        <w:footnoteReference w:id="11"/>
      </w:r>
      <w:r w:rsidR="00F72A47">
        <w:rPr>
          <w:bCs/>
          <w:snapToGrid w:val="0"/>
          <w:lang w:val="en-GB"/>
        </w:rPr>
        <w:t xml:space="preserve"> without sufficient justification of the method selected</w:t>
      </w:r>
      <w:r>
        <w:rPr>
          <w:bCs/>
          <w:snapToGrid w:val="0"/>
          <w:lang w:val="en-GB"/>
        </w:rPr>
        <w:t xml:space="preserve">. The PBAC noted that the </w:t>
      </w:r>
      <w:r w:rsidR="00363101">
        <w:rPr>
          <w:bCs/>
          <w:snapToGrid w:val="0"/>
          <w:lang w:val="en-GB"/>
        </w:rPr>
        <w:t xml:space="preserve">change in the point estimate was considerable </w:t>
      </w:r>
      <w:r w:rsidR="009777ED">
        <w:rPr>
          <w:bCs/>
          <w:snapToGrid w:val="0"/>
          <w:lang w:val="en-GB"/>
        </w:rPr>
        <w:t xml:space="preserve">when compared to the unadjusted value </w:t>
      </w:r>
      <w:r w:rsidR="00363101">
        <w:rPr>
          <w:bCs/>
          <w:snapToGrid w:val="0"/>
          <w:lang w:val="en-GB"/>
        </w:rPr>
        <w:t xml:space="preserve">(HR = 0.63) </w:t>
      </w:r>
      <w:r w:rsidR="0088303F">
        <w:rPr>
          <w:bCs/>
          <w:snapToGrid w:val="0"/>
          <w:lang w:val="en-GB"/>
        </w:rPr>
        <w:t xml:space="preserve">and the adjusted value </w:t>
      </w:r>
      <w:r w:rsidR="00B126A7">
        <w:rPr>
          <w:bCs/>
          <w:snapToGrid w:val="0"/>
          <w:lang w:val="en-GB"/>
        </w:rPr>
        <w:t xml:space="preserve">form the RPSFT model without </w:t>
      </w:r>
      <w:proofErr w:type="spellStart"/>
      <w:r w:rsidR="00B126A7">
        <w:rPr>
          <w:bCs/>
          <w:snapToGrid w:val="0"/>
          <w:lang w:val="en-GB"/>
        </w:rPr>
        <w:t>re</w:t>
      </w:r>
      <w:r w:rsidR="0088303F">
        <w:rPr>
          <w:bCs/>
          <w:snapToGrid w:val="0"/>
          <w:lang w:val="en-GB"/>
        </w:rPr>
        <w:t>censoring</w:t>
      </w:r>
      <w:proofErr w:type="spellEnd"/>
      <w:r w:rsidR="0088303F">
        <w:rPr>
          <w:bCs/>
          <w:snapToGrid w:val="0"/>
          <w:lang w:val="en-GB"/>
        </w:rPr>
        <w:t xml:space="preserve"> (</w:t>
      </w:r>
      <w:r w:rsidR="00E60C03">
        <w:rPr>
          <w:bCs/>
          <w:noProof/>
          <w:snapToGrid w:val="0"/>
          <w:color w:val="000000"/>
          <w:highlight w:val="black"/>
          <w:lang w:val="en-GB"/>
        </w:rPr>
        <w:t>''''''''</w:t>
      </w:r>
      <w:r w:rsidR="0088303F">
        <w:rPr>
          <w:bCs/>
          <w:snapToGrid w:val="0"/>
          <w:lang w:val="en-GB"/>
        </w:rPr>
        <w:t>)</w:t>
      </w:r>
      <w:r w:rsidR="00014FF5">
        <w:rPr>
          <w:bCs/>
          <w:snapToGrid w:val="0"/>
          <w:vertAlign w:val="superscript"/>
          <w:lang w:val="en-GB"/>
        </w:rPr>
        <w:t>11</w:t>
      </w:r>
      <w:r w:rsidR="0088303F">
        <w:rPr>
          <w:bCs/>
          <w:snapToGrid w:val="0"/>
          <w:lang w:val="en-GB"/>
        </w:rPr>
        <w:t>;</w:t>
      </w:r>
      <w:r w:rsidR="00DA77B2">
        <w:rPr>
          <w:bCs/>
          <w:snapToGrid w:val="0"/>
          <w:lang w:val="en-GB"/>
        </w:rPr>
        <w:t xml:space="preserve"> </w:t>
      </w:r>
      <w:r w:rsidR="000F6CD4">
        <w:rPr>
          <w:bCs/>
          <w:snapToGrid w:val="0"/>
          <w:lang w:val="en-GB"/>
        </w:rPr>
        <w:t>t</w:t>
      </w:r>
      <w:r w:rsidR="0088303F">
        <w:rPr>
          <w:bCs/>
          <w:snapToGrid w:val="0"/>
          <w:lang w:val="en-GB"/>
        </w:rPr>
        <w:t>he</w:t>
      </w:r>
      <w:r w:rsidR="00363101">
        <w:rPr>
          <w:bCs/>
          <w:snapToGrid w:val="0"/>
          <w:lang w:val="en-GB"/>
        </w:rPr>
        <w:t xml:space="preserve"> </w:t>
      </w:r>
      <w:r>
        <w:rPr>
          <w:bCs/>
          <w:snapToGrid w:val="0"/>
          <w:lang w:val="en-GB"/>
        </w:rPr>
        <w:t>model was highly sensitive to this adjustment</w:t>
      </w:r>
      <w:r w:rsidR="00F2242F">
        <w:rPr>
          <w:bCs/>
          <w:snapToGrid w:val="0"/>
          <w:lang w:val="en-GB"/>
        </w:rPr>
        <w:t>;</w:t>
      </w:r>
    </w:p>
    <w:p w:rsidR="009777ED" w:rsidRDefault="009777ED" w:rsidP="00C24637">
      <w:pPr>
        <w:pStyle w:val="ListParagraph"/>
        <w:widowControl w:val="0"/>
        <w:numPr>
          <w:ilvl w:val="4"/>
          <w:numId w:val="33"/>
        </w:numPr>
        <w:ind w:left="1077" w:hanging="357"/>
        <w:rPr>
          <w:bCs/>
          <w:snapToGrid w:val="0"/>
          <w:lang w:val="en-GB"/>
        </w:rPr>
      </w:pPr>
      <w:r>
        <w:rPr>
          <w:bCs/>
          <w:snapToGrid w:val="0"/>
          <w:lang w:val="en-GB"/>
        </w:rPr>
        <w:t>that time on treatment extrapolations were based on the combined Cohort A and Cohort B populations, which were not representative of the model population and which resulted in patients being available for treatment for longer than they were predicted to be alive; and</w:t>
      </w:r>
    </w:p>
    <w:p w:rsidR="009777ED" w:rsidRDefault="009777ED" w:rsidP="00C24637">
      <w:pPr>
        <w:pStyle w:val="ListParagraph"/>
        <w:widowControl w:val="0"/>
        <w:numPr>
          <w:ilvl w:val="4"/>
          <w:numId w:val="33"/>
        </w:numPr>
        <w:ind w:left="1077" w:hanging="357"/>
        <w:rPr>
          <w:bCs/>
          <w:snapToGrid w:val="0"/>
          <w:lang w:val="en-GB"/>
        </w:rPr>
      </w:pPr>
      <w:proofErr w:type="gramStart"/>
      <w:r>
        <w:rPr>
          <w:bCs/>
          <w:snapToGrid w:val="0"/>
          <w:lang w:val="en-GB"/>
        </w:rPr>
        <w:t>the</w:t>
      </w:r>
      <w:proofErr w:type="gramEnd"/>
      <w:r>
        <w:rPr>
          <w:bCs/>
          <w:snapToGrid w:val="0"/>
          <w:lang w:val="en-GB"/>
        </w:rPr>
        <w:t xml:space="preserve"> utility values, although trial based, were high compared to other estimates in the literature.</w:t>
      </w:r>
    </w:p>
    <w:p w:rsidR="00A149AC" w:rsidRPr="00A149AC" w:rsidRDefault="00A149AC" w:rsidP="00A149AC">
      <w:pPr>
        <w:pStyle w:val="ListParagraph"/>
        <w:widowControl w:val="0"/>
        <w:rPr>
          <w:bCs/>
          <w:snapToGrid w:val="0"/>
          <w:lang w:val="en-GB"/>
        </w:rPr>
      </w:pPr>
      <w:r w:rsidRPr="00A149AC">
        <w:rPr>
          <w:bCs/>
          <w:snapToGrid w:val="0"/>
          <w:lang w:val="en-GB"/>
        </w:rPr>
        <w:t xml:space="preserve">The PBAC noted that calculation of the prevalence of </w:t>
      </w:r>
      <w:r w:rsidRPr="00F2242F">
        <w:rPr>
          <w:bCs/>
          <w:i/>
          <w:snapToGrid w:val="0"/>
          <w:lang w:val="en-GB"/>
        </w:rPr>
        <w:t>BRCA1/2</w:t>
      </w:r>
      <w:r w:rsidRPr="00A149AC">
        <w:rPr>
          <w:bCs/>
          <w:snapToGrid w:val="0"/>
          <w:lang w:val="en-GB"/>
        </w:rPr>
        <w:t xml:space="preserve"> as reported in the submission (9.7% = 1% </w:t>
      </w:r>
      <w:r w:rsidRPr="00F2242F">
        <w:rPr>
          <w:bCs/>
          <w:i/>
          <w:snapToGrid w:val="0"/>
          <w:lang w:val="en-GB"/>
        </w:rPr>
        <w:t>BRCA1</w:t>
      </w:r>
      <w:r w:rsidRPr="00A149AC">
        <w:rPr>
          <w:bCs/>
          <w:snapToGrid w:val="0"/>
          <w:lang w:val="en-GB"/>
        </w:rPr>
        <w:t xml:space="preserve"> and 8.7% </w:t>
      </w:r>
      <w:r w:rsidRPr="00F2242F">
        <w:rPr>
          <w:bCs/>
          <w:i/>
          <w:snapToGrid w:val="0"/>
          <w:lang w:val="en-GB"/>
        </w:rPr>
        <w:t>BRCA2</w:t>
      </w:r>
      <w:r w:rsidRPr="00A149AC">
        <w:rPr>
          <w:bCs/>
          <w:snapToGrid w:val="0"/>
          <w:lang w:val="en-GB"/>
        </w:rPr>
        <w:t xml:space="preserve">) based on the </w:t>
      </w:r>
      <w:proofErr w:type="spellStart"/>
      <w:r w:rsidRPr="00A149AC">
        <w:rPr>
          <w:bCs/>
          <w:snapToGrid w:val="0"/>
          <w:lang w:val="en-GB"/>
        </w:rPr>
        <w:t>PROfound</w:t>
      </w:r>
      <w:proofErr w:type="spellEnd"/>
      <w:r w:rsidRPr="00A149AC">
        <w:rPr>
          <w:bCs/>
          <w:snapToGrid w:val="0"/>
          <w:lang w:val="en-GB"/>
        </w:rPr>
        <w:t xml:space="preserve"> trial could not be verified from the trial data. The submission stated that this value was a weighted average of tumour testing and germline results, however the number of patients identified with </w:t>
      </w:r>
      <w:r w:rsidRPr="00F2242F">
        <w:rPr>
          <w:bCs/>
          <w:i/>
          <w:snapToGrid w:val="0"/>
          <w:lang w:val="en-GB"/>
        </w:rPr>
        <w:t>BRCA1</w:t>
      </w:r>
      <w:r w:rsidRPr="00A149AC">
        <w:rPr>
          <w:bCs/>
          <w:snapToGrid w:val="0"/>
          <w:lang w:val="en-GB"/>
        </w:rPr>
        <w:t xml:space="preserve"> and/or </w:t>
      </w:r>
      <w:r w:rsidRPr="00F2242F">
        <w:rPr>
          <w:bCs/>
          <w:i/>
          <w:snapToGrid w:val="0"/>
          <w:lang w:val="en-GB"/>
        </w:rPr>
        <w:t>BRCA2</w:t>
      </w:r>
      <w:r w:rsidRPr="00A149AC">
        <w:rPr>
          <w:bCs/>
          <w:snapToGrid w:val="0"/>
          <w:lang w:val="en-GB"/>
        </w:rPr>
        <w:t xml:space="preserve"> pathogenic variants and the denominator for </w:t>
      </w:r>
      <w:r w:rsidRPr="00A149AC">
        <w:rPr>
          <w:bCs/>
          <w:snapToGrid w:val="0"/>
          <w:lang w:val="en-GB"/>
        </w:rPr>
        <w:lastRenderedPageBreak/>
        <w:t xml:space="preserve">determining the prevalence (and their source) were unclear. The PBAC also noted that estimates of prevalence from the literature varied and that it was possible for a patient to have both a </w:t>
      </w:r>
      <w:r w:rsidRPr="001A0C74">
        <w:rPr>
          <w:bCs/>
          <w:i/>
          <w:snapToGrid w:val="0"/>
          <w:lang w:val="en-GB"/>
        </w:rPr>
        <w:t>BRCA1</w:t>
      </w:r>
      <w:r w:rsidRPr="00A149AC">
        <w:rPr>
          <w:bCs/>
          <w:snapToGrid w:val="0"/>
          <w:lang w:val="en-GB"/>
        </w:rPr>
        <w:t xml:space="preserve"> pathogenic variant and a </w:t>
      </w:r>
      <w:r w:rsidRPr="001A0C74">
        <w:rPr>
          <w:bCs/>
          <w:i/>
          <w:snapToGrid w:val="0"/>
          <w:lang w:val="en-GB"/>
        </w:rPr>
        <w:t>BRCA2</w:t>
      </w:r>
      <w:r w:rsidRPr="00A149AC">
        <w:rPr>
          <w:bCs/>
          <w:snapToGrid w:val="0"/>
          <w:lang w:val="en-GB"/>
        </w:rPr>
        <w:t xml:space="preserve"> pathogenic variant. </w:t>
      </w:r>
      <w:r>
        <w:rPr>
          <w:bCs/>
          <w:snapToGrid w:val="0"/>
          <w:lang w:val="en-GB"/>
        </w:rPr>
        <w:t>T</w:t>
      </w:r>
      <w:r w:rsidRPr="00A149AC">
        <w:rPr>
          <w:bCs/>
          <w:snapToGrid w:val="0"/>
          <w:lang w:val="en-GB"/>
        </w:rPr>
        <w:t xml:space="preserve">he PBAC requested that MSAC advise on the likely prevalence in the Australian population with metastatic castration resistant prostate cancer of having a </w:t>
      </w:r>
      <w:r w:rsidRPr="001A0C74">
        <w:rPr>
          <w:bCs/>
          <w:i/>
          <w:snapToGrid w:val="0"/>
          <w:lang w:val="en-GB"/>
        </w:rPr>
        <w:t>BRCA1</w:t>
      </w:r>
      <w:r w:rsidRPr="00A149AC">
        <w:rPr>
          <w:bCs/>
          <w:snapToGrid w:val="0"/>
          <w:lang w:val="en-GB"/>
        </w:rPr>
        <w:t xml:space="preserve"> pathogenic variant and/or a </w:t>
      </w:r>
      <w:r w:rsidRPr="001A0C74">
        <w:rPr>
          <w:bCs/>
          <w:i/>
          <w:snapToGrid w:val="0"/>
          <w:lang w:val="en-GB"/>
        </w:rPr>
        <w:t>BRCA2</w:t>
      </w:r>
      <w:r w:rsidRPr="00A149AC">
        <w:rPr>
          <w:bCs/>
          <w:snapToGrid w:val="0"/>
          <w:lang w:val="en-GB"/>
        </w:rPr>
        <w:t xml:space="preserve"> pathogenic variant.</w:t>
      </w:r>
    </w:p>
    <w:p w:rsidR="009777ED" w:rsidRPr="00A149AC" w:rsidRDefault="00A149AC" w:rsidP="00A149AC">
      <w:pPr>
        <w:pStyle w:val="ListParagraph"/>
        <w:widowControl w:val="0"/>
        <w:rPr>
          <w:bCs/>
          <w:snapToGrid w:val="0"/>
          <w:lang w:val="en-GB"/>
        </w:rPr>
      </w:pPr>
      <w:r>
        <w:rPr>
          <w:bCs/>
          <w:snapToGrid w:val="0"/>
          <w:lang w:val="en-GB"/>
        </w:rPr>
        <w:t xml:space="preserve">In addition to uncertainty regarding the prevalence of </w:t>
      </w:r>
      <w:r w:rsidRPr="001A0C74">
        <w:rPr>
          <w:bCs/>
          <w:i/>
          <w:snapToGrid w:val="0"/>
          <w:lang w:val="en-GB"/>
        </w:rPr>
        <w:t>BRCA1/2</w:t>
      </w:r>
      <w:r w:rsidR="001A0C74">
        <w:rPr>
          <w:bCs/>
          <w:snapToGrid w:val="0"/>
          <w:lang w:val="en-GB"/>
        </w:rPr>
        <w:t xml:space="preserve">, </w:t>
      </w:r>
      <w:r>
        <w:rPr>
          <w:bCs/>
          <w:snapToGrid w:val="0"/>
          <w:lang w:val="en-GB"/>
        </w:rPr>
        <w:t xml:space="preserve">the PBAC considered that the estimated utilisation and financial impact of listing </w:t>
      </w:r>
      <w:proofErr w:type="spellStart"/>
      <w:r>
        <w:rPr>
          <w:bCs/>
          <w:snapToGrid w:val="0"/>
          <w:lang w:val="en-GB"/>
        </w:rPr>
        <w:t>olaparib</w:t>
      </w:r>
      <w:proofErr w:type="spellEnd"/>
      <w:r>
        <w:rPr>
          <w:bCs/>
          <w:snapToGrid w:val="0"/>
          <w:lang w:val="en-GB"/>
        </w:rPr>
        <w:t xml:space="preserve"> was likely overestimated and uncertain due to the reasons outlined in Table </w:t>
      </w:r>
      <w:r w:rsidRPr="00A149AC">
        <w:rPr>
          <w:bCs/>
          <w:snapToGrid w:val="0"/>
          <w:lang w:val="en-GB"/>
        </w:rPr>
        <w:t>16</w:t>
      </w:r>
      <w:r w:rsidR="00E76B35">
        <w:rPr>
          <w:bCs/>
          <w:snapToGrid w:val="0"/>
          <w:lang w:val="en-GB"/>
        </w:rPr>
        <w:t>.</w:t>
      </w:r>
    </w:p>
    <w:p w:rsidR="004C5E37" w:rsidRDefault="008125C4" w:rsidP="00F55582">
      <w:pPr>
        <w:pStyle w:val="ListParagraph"/>
        <w:rPr>
          <w:rFonts w:cs="Arial"/>
          <w:snapToGrid w:val="0"/>
          <w:lang w:val="en-GB"/>
        </w:rPr>
      </w:pPr>
      <w:r w:rsidRPr="004C5E37">
        <w:rPr>
          <w:snapToGrid w:val="0"/>
          <w:lang w:val="en-GB"/>
        </w:rPr>
        <w:t xml:space="preserve">The PBAC considered that a resubmission for </w:t>
      </w:r>
      <w:proofErr w:type="spellStart"/>
      <w:r w:rsidRPr="004C5E37">
        <w:rPr>
          <w:snapToGrid w:val="0"/>
          <w:lang w:val="en-GB"/>
        </w:rPr>
        <w:t>ola</w:t>
      </w:r>
      <w:r w:rsidR="004C5E37" w:rsidRPr="004C5E37">
        <w:rPr>
          <w:snapToGrid w:val="0"/>
          <w:lang w:val="en-GB"/>
        </w:rPr>
        <w:t>parib</w:t>
      </w:r>
      <w:proofErr w:type="spellEnd"/>
      <w:r w:rsidR="004C5E37" w:rsidRPr="004C5E37">
        <w:rPr>
          <w:snapToGrid w:val="0"/>
          <w:lang w:val="en-GB"/>
        </w:rPr>
        <w:t xml:space="preserve"> should address the issue</w:t>
      </w:r>
      <w:r w:rsidR="00284B64">
        <w:rPr>
          <w:snapToGrid w:val="0"/>
          <w:lang w:val="en-GB"/>
        </w:rPr>
        <w:t xml:space="preserve"> </w:t>
      </w:r>
      <w:r w:rsidR="004C5E37" w:rsidRPr="004C5E37">
        <w:rPr>
          <w:snapToGrid w:val="0"/>
          <w:lang w:val="en-GB"/>
        </w:rPr>
        <w:t>with the comparator</w:t>
      </w:r>
      <w:r w:rsidR="001D585E">
        <w:rPr>
          <w:snapToGrid w:val="0"/>
          <w:lang w:val="en-GB"/>
        </w:rPr>
        <w:t>;</w:t>
      </w:r>
      <w:r w:rsidR="004C5E37" w:rsidRPr="004C5E37">
        <w:rPr>
          <w:snapToGrid w:val="0"/>
          <w:lang w:val="en-GB"/>
        </w:rPr>
        <w:t xml:space="preserve"> </w:t>
      </w:r>
      <w:proofErr w:type="spellStart"/>
      <w:r w:rsidR="00E6644D">
        <w:rPr>
          <w:snapToGrid w:val="0"/>
          <w:lang w:val="en-GB"/>
        </w:rPr>
        <w:t>re</w:t>
      </w:r>
      <w:r w:rsidR="001A0C74">
        <w:rPr>
          <w:snapToGrid w:val="0"/>
          <w:lang w:val="en-GB"/>
        </w:rPr>
        <w:t>specify</w:t>
      </w:r>
      <w:proofErr w:type="spellEnd"/>
      <w:r w:rsidR="00E6644D">
        <w:rPr>
          <w:snapToGrid w:val="0"/>
          <w:lang w:val="en-GB"/>
        </w:rPr>
        <w:t xml:space="preserve"> the economic model </w:t>
      </w:r>
      <w:r w:rsidR="001D585E">
        <w:rPr>
          <w:snapToGrid w:val="0"/>
          <w:lang w:val="en-GB"/>
        </w:rPr>
        <w:t xml:space="preserve">further </w:t>
      </w:r>
      <w:r w:rsidR="00E6644D">
        <w:rPr>
          <w:snapToGrid w:val="0"/>
          <w:lang w:val="en-GB"/>
        </w:rPr>
        <w:t>as outlined in paragraph</w:t>
      </w:r>
      <w:r w:rsidR="00161AD9">
        <w:rPr>
          <w:snapToGrid w:val="0"/>
          <w:lang w:val="en-GB"/>
        </w:rPr>
        <w:t xml:space="preserve">s 6.39 </w:t>
      </w:r>
      <w:r w:rsidR="00161AD9" w:rsidRPr="006F10C4">
        <w:rPr>
          <w:snapToGrid w:val="0"/>
          <w:lang w:val="en-GB"/>
        </w:rPr>
        <w:t>and</w:t>
      </w:r>
      <w:r w:rsidR="00E6644D" w:rsidRPr="006F10C4">
        <w:rPr>
          <w:snapToGrid w:val="0"/>
          <w:lang w:val="en-GB"/>
        </w:rPr>
        <w:t xml:space="preserve"> 7.11 and </w:t>
      </w:r>
      <w:r w:rsidR="001D585E" w:rsidRPr="006F10C4">
        <w:rPr>
          <w:snapToGrid w:val="0"/>
          <w:lang w:val="en-GB"/>
        </w:rPr>
        <w:t xml:space="preserve">then </w:t>
      </w:r>
      <w:r w:rsidR="00E6644D" w:rsidRPr="006F10C4">
        <w:rPr>
          <w:snapToGrid w:val="0"/>
          <w:lang w:val="en-GB"/>
        </w:rPr>
        <w:t xml:space="preserve">present an ICER of less than </w:t>
      </w:r>
      <w:r w:rsidR="00F55582" w:rsidRPr="00F55582">
        <w:rPr>
          <w:bCs/>
          <w:snapToGrid w:val="0"/>
          <w:lang w:val="en-GB"/>
        </w:rPr>
        <w:t xml:space="preserve">$55,000 to &lt; $75,000 </w:t>
      </w:r>
      <w:r w:rsidR="00E6644D" w:rsidRPr="006F10C4">
        <w:rPr>
          <w:snapToGrid w:val="0"/>
          <w:lang w:val="en-GB"/>
        </w:rPr>
        <w:t>per QALY</w:t>
      </w:r>
      <w:r w:rsidR="001D585E" w:rsidRPr="006F10C4">
        <w:rPr>
          <w:snapToGrid w:val="0"/>
          <w:lang w:val="en-GB"/>
        </w:rPr>
        <w:t>;</w:t>
      </w:r>
      <w:r w:rsidR="00E6644D" w:rsidRPr="006F10C4">
        <w:rPr>
          <w:snapToGrid w:val="0"/>
          <w:lang w:val="en-GB"/>
        </w:rPr>
        <w:t xml:space="preserve"> </w:t>
      </w:r>
      <w:r w:rsidR="004C5E37" w:rsidRPr="006F10C4">
        <w:rPr>
          <w:snapToGrid w:val="0"/>
          <w:lang w:val="en-GB"/>
        </w:rPr>
        <w:t xml:space="preserve">and </w:t>
      </w:r>
      <w:r w:rsidR="00E6644D" w:rsidRPr="006F10C4">
        <w:rPr>
          <w:snapToGrid w:val="0"/>
          <w:lang w:val="en-GB"/>
        </w:rPr>
        <w:t xml:space="preserve">present revised </w:t>
      </w:r>
      <w:r w:rsidR="001D585E" w:rsidRPr="006F10C4">
        <w:rPr>
          <w:snapToGrid w:val="0"/>
          <w:lang w:val="en-GB"/>
        </w:rPr>
        <w:t xml:space="preserve">estimates of </w:t>
      </w:r>
      <w:r w:rsidR="004C5E37" w:rsidRPr="006F10C4">
        <w:rPr>
          <w:snapToGrid w:val="0"/>
          <w:lang w:val="en-GB"/>
        </w:rPr>
        <w:t>utilisation and financial imp</w:t>
      </w:r>
      <w:r w:rsidR="001D585E" w:rsidRPr="006F10C4">
        <w:rPr>
          <w:snapToGrid w:val="0"/>
          <w:lang w:val="en-GB"/>
        </w:rPr>
        <w:t>lications</w:t>
      </w:r>
      <w:r w:rsidR="00E6644D" w:rsidRPr="006F10C4">
        <w:rPr>
          <w:snapToGrid w:val="0"/>
          <w:lang w:val="en-GB"/>
        </w:rPr>
        <w:t xml:space="preserve"> which incorporate the advice as </w:t>
      </w:r>
      <w:r w:rsidR="004C5E37" w:rsidRPr="006F10C4">
        <w:rPr>
          <w:snapToGrid w:val="0"/>
          <w:lang w:val="en-GB"/>
        </w:rPr>
        <w:t>outlined in Table 16. The</w:t>
      </w:r>
      <w:r w:rsidR="004C5E37" w:rsidRPr="004C5E37">
        <w:rPr>
          <w:snapToGrid w:val="0"/>
          <w:lang w:val="en-GB"/>
        </w:rPr>
        <w:t xml:space="preserve"> resubmission may be lodged at any future standard due date for PBAC submissions using</w:t>
      </w:r>
      <w:r w:rsidR="00E76B35">
        <w:rPr>
          <w:snapToGrid w:val="0"/>
          <w:lang w:val="en-GB"/>
        </w:rPr>
        <w:t xml:space="preserve"> the standard re-entry pathway.</w:t>
      </w:r>
    </w:p>
    <w:p w:rsidR="004C5E37" w:rsidRDefault="00EC5D5D" w:rsidP="004C5E37">
      <w:pPr>
        <w:pStyle w:val="ListParagraph"/>
        <w:widowControl w:val="0"/>
        <w:rPr>
          <w:rFonts w:cs="Arial"/>
          <w:bCs/>
          <w:snapToGrid w:val="0"/>
          <w:lang w:val="en-GB"/>
        </w:rPr>
      </w:pPr>
      <w:r w:rsidRPr="004C5E37">
        <w:rPr>
          <w:rFonts w:cs="Arial"/>
          <w:bCs/>
          <w:snapToGrid w:val="0"/>
          <w:lang w:val="en-GB"/>
        </w:rPr>
        <w:t>The PBAC noted that this submission is eligible for an Ind</w:t>
      </w:r>
      <w:r w:rsidR="00E76B35">
        <w:rPr>
          <w:rFonts w:cs="Arial"/>
          <w:bCs/>
          <w:snapToGrid w:val="0"/>
          <w:lang w:val="en-GB"/>
        </w:rPr>
        <w:t>ependent Review.</w:t>
      </w:r>
    </w:p>
    <w:p w:rsidR="00EC5D5D" w:rsidRPr="004C5E37" w:rsidRDefault="00EC5D5D" w:rsidP="004C5E37">
      <w:pPr>
        <w:widowControl w:val="0"/>
        <w:rPr>
          <w:rFonts w:cs="Arial"/>
          <w:bCs/>
          <w:snapToGrid w:val="0"/>
          <w:lang w:val="en-GB"/>
        </w:rPr>
      </w:pPr>
      <w:r w:rsidRPr="004C5E37">
        <w:rPr>
          <w:rFonts w:cs="Arial"/>
          <w:b/>
          <w:bCs/>
          <w:snapToGrid w:val="0"/>
          <w:lang w:val="en-GB"/>
        </w:rPr>
        <w:t>Outcome:</w:t>
      </w:r>
    </w:p>
    <w:p w:rsidR="00EC5D5D" w:rsidRPr="00525B39" w:rsidRDefault="00E76B35" w:rsidP="00EC5D5D">
      <w:pPr>
        <w:rPr>
          <w:rFonts w:cs="Arial"/>
          <w:bCs/>
          <w:snapToGrid w:val="0"/>
          <w:lang w:val="en-GB"/>
        </w:rPr>
      </w:pPr>
      <w:r>
        <w:rPr>
          <w:rFonts w:cs="Arial"/>
          <w:bCs/>
          <w:snapToGrid w:val="0"/>
          <w:lang w:val="en-GB"/>
        </w:rPr>
        <w:t>Rejected</w:t>
      </w:r>
    </w:p>
    <w:p w:rsidR="004106D3" w:rsidRPr="009562AC" w:rsidRDefault="004106D3" w:rsidP="000F4D7C">
      <w:pPr>
        <w:pStyle w:val="PBACESHeading1"/>
        <w:rPr>
          <w:lang w:val="en-GB"/>
        </w:rPr>
      </w:pPr>
      <w:r w:rsidRPr="000F4D7C">
        <w:rPr>
          <w:lang w:val="en-GB"/>
        </w:rPr>
        <w:t>Context for Decision</w:t>
      </w:r>
    </w:p>
    <w:p w:rsidR="004106D3" w:rsidRPr="007129F2" w:rsidRDefault="004106D3" w:rsidP="004106D3">
      <w:pPr>
        <w:spacing w:after="120"/>
        <w:ind w:left="426"/>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4106D3" w:rsidRPr="000F4D7C" w:rsidRDefault="004106D3" w:rsidP="000F4D7C">
      <w:pPr>
        <w:pStyle w:val="PBACESHeading1"/>
        <w:rPr>
          <w:b w:val="0"/>
          <w:lang w:val="en-GB"/>
        </w:rPr>
      </w:pPr>
      <w:r w:rsidRPr="000F4D7C">
        <w:rPr>
          <w:lang w:val="en-GB"/>
        </w:rPr>
        <w:t>Sponsor’s Comment</w:t>
      </w:r>
    </w:p>
    <w:p w:rsidR="004106D3" w:rsidRPr="001179AC" w:rsidRDefault="004106D3" w:rsidP="004106D3">
      <w:pPr>
        <w:spacing w:after="120"/>
        <w:ind w:left="426"/>
        <w:rPr>
          <w:rFonts w:cs="Arial"/>
          <w:bCs/>
        </w:rPr>
      </w:pPr>
      <w:r w:rsidRPr="00C07617">
        <w:rPr>
          <w:rFonts w:cs="Arial"/>
          <w:bCs/>
        </w:rPr>
        <w:t>The sponsor had no comment.</w:t>
      </w:r>
    </w:p>
    <w:p w:rsidR="00EC5D5D" w:rsidRPr="00525B39" w:rsidRDefault="00EC5D5D" w:rsidP="00EC5D5D">
      <w:pPr>
        <w:widowControl w:val="0"/>
        <w:rPr>
          <w:rFonts w:cs="Arial"/>
          <w:bCs/>
          <w:snapToGrid w:val="0"/>
        </w:rPr>
      </w:pPr>
    </w:p>
    <w:p w:rsidR="00EC5D5D" w:rsidRPr="004C5E37" w:rsidRDefault="00EC5D5D" w:rsidP="004C5E37">
      <w:pPr>
        <w:ind w:left="720" w:hanging="720"/>
        <w:rPr>
          <w:rFonts w:ascii="Calibri" w:hAnsi="Calibri" w:cs="Calibri"/>
        </w:rPr>
      </w:pPr>
    </w:p>
    <w:p w:rsidR="00C221BF" w:rsidRPr="00BE056E" w:rsidRDefault="00C221BF" w:rsidP="00E6644D"/>
    <w:sectPr w:rsidR="00C221BF" w:rsidRPr="00BE056E" w:rsidSect="009562AC">
      <w:headerReference w:type="even" r:id="rId17"/>
      <w:headerReference w:type="default" r:id="rId18"/>
      <w:footerReference w:type="even" r:id="rId19"/>
      <w:footerReference w:type="default" r:id="rId20"/>
      <w:headerReference w:type="first" r:id="rId21"/>
      <w:footerReference w:type="first" r:id="rId22"/>
      <w:pgSz w:w="11906" w:h="16838"/>
      <w:pgMar w:top="2229" w:right="1440" w:bottom="1440" w:left="1440" w:header="964" w:footer="121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B1897" w16cex:dateUtc="2021-04-09T08:46:00Z"/>
  <w16cex:commentExtensible w16cex:durableId="241B2165" w16cex:dateUtc="2021-04-09T09:24:00Z"/>
  <w16cex:commentExtensible w16cex:durableId="241B2373" w16cex:dateUtc="2021-04-09T09:33:00Z"/>
  <w16cex:commentExtensible w16cex:durableId="241B2464" w16cex:dateUtc="2021-04-09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549D44" w16cid:durableId="241B17FC"/>
  <w16cid:commentId w16cid:paraId="53933FE6" w16cid:durableId="241B1897"/>
  <w16cid:commentId w16cid:paraId="4AA76070" w16cid:durableId="241B2165"/>
  <w16cid:commentId w16cid:paraId="49346938" w16cid:durableId="241B17FD"/>
  <w16cid:commentId w16cid:paraId="2C463F61" w16cid:durableId="241B17FE"/>
  <w16cid:commentId w16cid:paraId="29AFA77C" w16cid:durableId="241B2373"/>
  <w16cid:commentId w16cid:paraId="16A56769" w16cid:durableId="241B17FF"/>
  <w16cid:commentId w16cid:paraId="7D10FA98" w16cid:durableId="241B24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AB1" w:rsidRDefault="00333AB1" w:rsidP="00BA3306">
      <w:pPr>
        <w:spacing w:before="0" w:after="0"/>
      </w:pPr>
      <w:r>
        <w:separator/>
      </w:r>
    </w:p>
    <w:p w:rsidR="00333AB1" w:rsidRDefault="00333AB1"/>
  </w:endnote>
  <w:endnote w:type="continuationSeparator" w:id="0">
    <w:p w:rsidR="00333AB1" w:rsidRDefault="00333AB1" w:rsidP="00BA3306">
      <w:pPr>
        <w:spacing w:before="0" w:after="0"/>
      </w:pPr>
      <w:r>
        <w:continuationSeparator/>
      </w:r>
    </w:p>
    <w:p w:rsidR="00333AB1" w:rsidRDefault="00333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ArialNarrow">
    <w:altName w:val="Arial"/>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B1" w:rsidRDefault="00333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0309"/>
      <w:docPartObj>
        <w:docPartGallery w:val="Page Numbers (Bottom of Page)"/>
        <w:docPartUnique/>
      </w:docPartObj>
    </w:sdtPr>
    <w:sdtEndPr>
      <w:rPr>
        <w:noProof/>
      </w:rPr>
    </w:sdtEndPr>
    <w:sdtContent>
      <w:p w:rsidR="00333AB1" w:rsidRDefault="00333AB1">
        <w:pPr>
          <w:pStyle w:val="Footer"/>
          <w:jc w:val="center"/>
        </w:pPr>
      </w:p>
      <w:p w:rsidR="00333AB1" w:rsidRDefault="00333AB1">
        <w:pPr>
          <w:pStyle w:val="Footer"/>
          <w:jc w:val="center"/>
        </w:pPr>
        <w:r w:rsidRPr="00AA6D4A">
          <w:rPr>
            <w:b/>
          </w:rPr>
          <w:fldChar w:fldCharType="begin"/>
        </w:r>
        <w:r w:rsidRPr="00AA6D4A">
          <w:rPr>
            <w:b/>
          </w:rPr>
          <w:instrText xml:space="preserve"> PAGE   \* MERGEFORMAT </w:instrText>
        </w:r>
        <w:r w:rsidRPr="00AA6D4A">
          <w:rPr>
            <w:b/>
          </w:rPr>
          <w:fldChar w:fldCharType="separate"/>
        </w:r>
        <w:r w:rsidR="009963BB">
          <w:rPr>
            <w:b/>
            <w:noProof/>
          </w:rPr>
          <w:t>33</w:t>
        </w:r>
        <w:r w:rsidRPr="00AA6D4A">
          <w:rPr>
            <w:b/>
            <w:noProof/>
          </w:rPr>
          <w:fldChar w:fldCharType="end"/>
        </w:r>
      </w:p>
    </w:sdtContent>
  </w:sdt>
  <w:p w:rsidR="00333AB1" w:rsidRPr="00AA6D4A" w:rsidRDefault="00333AB1" w:rsidP="00AA6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B1" w:rsidRDefault="00333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AB1" w:rsidRDefault="00333AB1" w:rsidP="00BA3306">
      <w:pPr>
        <w:spacing w:before="0" w:after="0"/>
      </w:pPr>
      <w:r>
        <w:separator/>
      </w:r>
    </w:p>
    <w:p w:rsidR="00333AB1" w:rsidRDefault="00333AB1"/>
  </w:footnote>
  <w:footnote w:type="continuationSeparator" w:id="0">
    <w:p w:rsidR="00333AB1" w:rsidRDefault="00333AB1" w:rsidP="00BA3306">
      <w:pPr>
        <w:spacing w:before="0" w:after="0"/>
      </w:pPr>
      <w:r>
        <w:continuationSeparator/>
      </w:r>
    </w:p>
    <w:p w:rsidR="00333AB1" w:rsidRDefault="00333AB1"/>
  </w:footnote>
  <w:footnote w:id="1">
    <w:p w:rsidR="00333AB1" w:rsidRPr="00903620" w:rsidRDefault="00333AB1" w:rsidP="00903620">
      <w:pPr>
        <w:pStyle w:val="FootnoteText"/>
        <w:rPr>
          <w:szCs w:val="18"/>
        </w:rPr>
      </w:pPr>
      <w:r w:rsidRPr="00903620">
        <w:rPr>
          <w:rStyle w:val="FootnoteReference"/>
          <w:szCs w:val="18"/>
        </w:rPr>
        <w:footnoteRef/>
      </w:r>
      <w:r w:rsidRPr="00903620">
        <w:rPr>
          <w:szCs w:val="18"/>
        </w:rPr>
        <w:t xml:space="preserve"> </w:t>
      </w:r>
      <w:proofErr w:type="spellStart"/>
      <w:r w:rsidRPr="00903620">
        <w:rPr>
          <w:rFonts w:ascii="Calibri" w:hAnsi="Calibri" w:cs="Calibri"/>
          <w:color w:val="000000"/>
          <w:szCs w:val="18"/>
        </w:rPr>
        <w:t>Attard</w:t>
      </w:r>
      <w:proofErr w:type="spellEnd"/>
      <w:r w:rsidRPr="00903620">
        <w:rPr>
          <w:rFonts w:ascii="Calibri" w:hAnsi="Calibri" w:cs="Calibri"/>
          <w:color w:val="000000"/>
          <w:szCs w:val="18"/>
        </w:rPr>
        <w:t xml:space="preserve"> G, </w:t>
      </w:r>
      <w:proofErr w:type="spellStart"/>
      <w:r w:rsidRPr="00903620">
        <w:rPr>
          <w:rFonts w:ascii="Calibri" w:hAnsi="Calibri" w:cs="Calibri"/>
          <w:color w:val="000000"/>
          <w:szCs w:val="18"/>
        </w:rPr>
        <w:t>Borre</w:t>
      </w:r>
      <w:proofErr w:type="spellEnd"/>
      <w:r w:rsidRPr="00903620">
        <w:rPr>
          <w:rFonts w:ascii="Calibri" w:hAnsi="Calibri" w:cs="Calibri"/>
          <w:color w:val="000000"/>
          <w:szCs w:val="18"/>
        </w:rPr>
        <w:t xml:space="preserve"> M, Gurney H, et al. A phase IV, randomized, double-blind, placebo-controlled study of continued enzalutamide post prostate-specific antigen progression in men with chemotherapy-naïve metastatic castration-resistant prostate cancer (abstract 5004). 2017 American Society of Clinical Oncology meeting.</w:t>
      </w:r>
    </w:p>
  </w:footnote>
  <w:footnote w:id="2">
    <w:p w:rsidR="00333AB1" w:rsidRDefault="00333AB1">
      <w:pPr>
        <w:pStyle w:val="FootnoteText"/>
      </w:pPr>
      <w:r>
        <w:rPr>
          <w:rStyle w:val="FootnoteReference"/>
        </w:rPr>
        <w:footnoteRef/>
      </w:r>
      <w:r>
        <w:t xml:space="preserve"> </w:t>
      </w:r>
      <w:hyperlink r:id="rId1" w:history="1">
        <w:r w:rsidRPr="003A30C2">
          <w:rPr>
            <w:rFonts w:ascii="Calibri" w:hAnsi="Calibri" w:cs="Calibri"/>
            <w:color w:val="000000"/>
            <w:szCs w:val="18"/>
          </w:rPr>
          <w:t xml:space="preserve">de Bono JS, Chowdhury S, </w:t>
        </w:r>
        <w:proofErr w:type="spellStart"/>
        <w:r w:rsidRPr="003A30C2">
          <w:rPr>
            <w:rFonts w:ascii="Calibri" w:hAnsi="Calibri" w:cs="Calibri"/>
            <w:color w:val="000000"/>
            <w:szCs w:val="18"/>
          </w:rPr>
          <w:t>Feyerabend</w:t>
        </w:r>
        <w:proofErr w:type="spellEnd"/>
        <w:r w:rsidRPr="003A30C2">
          <w:rPr>
            <w:rFonts w:ascii="Calibri" w:hAnsi="Calibri" w:cs="Calibri"/>
            <w:color w:val="000000"/>
            <w:szCs w:val="18"/>
          </w:rPr>
          <w:t xml:space="preserve"> S, et al. </w:t>
        </w:r>
        <w:proofErr w:type="spellStart"/>
        <w:r w:rsidRPr="003A30C2">
          <w:rPr>
            <w:rFonts w:ascii="Calibri" w:hAnsi="Calibri" w:cs="Calibri"/>
            <w:color w:val="000000"/>
            <w:szCs w:val="18"/>
          </w:rPr>
          <w:t>Antitumour</w:t>
        </w:r>
        <w:proofErr w:type="spellEnd"/>
        <w:r w:rsidRPr="003A30C2">
          <w:rPr>
            <w:rFonts w:ascii="Calibri" w:hAnsi="Calibri" w:cs="Calibri"/>
            <w:color w:val="000000"/>
            <w:szCs w:val="18"/>
          </w:rPr>
          <w:t xml:space="preserve"> Activity and Safety of Enzalutamide in Patients with Metastatic Castration-resistant Prostate Cancer Previously Treated with Abiraterone Acetate Plus Prednisone for ≥24 weeks in Europe. </w:t>
        </w:r>
        <w:proofErr w:type="spellStart"/>
        <w:r w:rsidRPr="003A30C2">
          <w:rPr>
            <w:rFonts w:ascii="Calibri" w:hAnsi="Calibri" w:cs="Calibri"/>
            <w:color w:val="000000"/>
            <w:szCs w:val="18"/>
          </w:rPr>
          <w:t>Eur</w:t>
        </w:r>
        <w:proofErr w:type="spellEnd"/>
        <w:r w:rsidRPr="003A30C2">
          <w:rPr>
            <w:rFonts w:ascii="Calibri" w:hAnsi="Calibri" w:cs="Calibri"/>
            <w:color w:val="000000"/>
            <w:szCs w:val="18"/>
          </w:rPr>
          <w:t xml:space="preserve"> </w:t>
        </w:r>
        <w:proofErr w:type="spellStart"/>
        <w:r w:rsidRPr="003A30C2">
          <w:rPr>
            <w:rFonts w:ascii="Calibri" w:hAnsi="Calibri" w:cs="Calibri"/>
            <w:color w:val="000000"/>
            <w:szCs w:val="18"/>
          </w:rPr>
          <w:t>Urol</w:t>
        </w:r>
        <w:proofErr w:type="spellEnd"/>
        <w:r w:rsidRPr="003A30C2">
          <w:rPr>
            <w:rFonts w:ascii="Calibri" w:hAnsi="Calibri" w:cs="Calibri"/>
            <w:color w:val="000000"/>
            <w:szCs w:val="18"/>
          </w:rPr>
          <w:t xml:space="preserve"> 2018; 74:37.</w:t>
        </w:r>
      </w:hyperlink>
    </w:p>
  </w:footnote>
  <w:footnote w:id="3">
    <w:p w:rsidR="00333AB1" w:rsidRDefault="00333AB1" w:rsidP="0088177D">
      <w:pPr>
        <w:pStyle w:val="FootnoteText"/>
        <w:jc w:val="left"/>
      </w:pPr>
      <w:r>
        <w:rPr>
          <w:rStyle w:val="FootnoteReference"/>
        </w:rPr>
        <w:footnoteRef/>
      </w:r>
      <w:r>
        <w:t xml:space="preserve"> DUSC. Metastatic prostate cancer: predicted versus actual analysis. June 2016. Available at: </w:t>
      </w:r>
      <w:r w:rsidRPr="00B67810">
        <w:t>https://www.pbs.gov.au/industry/listing/participants/public-release-docs/2016-06/prostate-cancer-DUSC-PRD-June-2016-final.pdf</w:t>
      </w:r>
    </w:p>
  </w:footnote>
  <w:footnote w:id="4">
    <w:p w:rsidR="00333AB1" w:rsidRPr="00BD2453" w:rsidRDefault="00333AB1" w:rsidP="00BD2453">
      <w:pPr>
        <w:widowControl w:val="0"/>
        <w:numPr>
          <w:ilvl w:val="1"/>
          <w:numId w:val="1"/>
        </w:numPr>
        <w:spacing w:before="0" w:after="120"/>
        <w:ind w:left="170" w:hanging="170"/>
        <w:rPr>
          <w:rFonts w:cs="Arial"/>
          <w:bCs/>
          <w:snapToGrid w:val="0"/>
          <w:sz w:val="20"/>
          <w:szCs w:val="20"/>
        </w:rPr>
      </w:pPr>
      <w:r>
        <w:rPr>
          <w:rStyle w:val="FootnoteReference"/>
        </w:rPr>
        <w:footnoteRef/>
      </w:r>
      <w:r>
        <w:t xml:space="preserve"> </w:t>
      </w:r>
      <w:proofErr w:type="spellStart"/>
      <w:r w:rsidRPr="00BD2453">
        <w:rPr>
          <w:rFonts w:cs="Arial"/>
          <w:bCs/>
          <w:snapToGrid w:val="0"/>
          <w:sz w:val="20"/>
          <w:szCs w:val="20"/>
        </w:rPr>
        <w:t>Cherny</w:t>
      </w:r>
      <w:proofErr w:type="spellEnd"/>
      <w:r w:rsidRPr="00BD2453">
        <w:rPr>
          <w:rFonts w:cs="Arial"/>
          <w:bCs/>
          <w:snapToGrid w:val="0"/>
          <w:sz w:val="20"/>
          <w:szCs w:val="20"/>
        </w:rPr>
        <w:t xml:space="preserve"> NI, Dafni U, </w:t>
      </w:r>
      <w:proofErr w:type="spellStart"/>
      <w:r w:rsidRPr="00BD2453">
        <w:rPr>
          <w:rFonts w:cs="Arial"/>
          <w:bCs/>
          <w:snapToGrid w:val="0"/>
          <w:sz w:val="20"/>
          <w:szCs w:val="20"/>
        </w:rPr>
        <w:t>Bogaerts</w:t>
      </w:r>
      <w:proofErr w:type="spellEnd"/>
      <w:r w:rsidRPr="00BD2453">
        <w:rPr>
          <w:rFonts w:cs="Arial"/>
          <w:bCs/>
          <w:snapToGrid w:val="0"/>
          <w:sz w:val="20"/>
          <w:szCs w:val="20"/>
        </w:rPr>
        <w:t xml:space="preserve"> J, et al: ESMO-Magnitude of Clinical Benefit Scale version 1.1. Annals of Oncology 28:2340-2366, 2017]</w:t>
      </w:r>
    </w:p>
    <w:p w:rsidR="00333AB1" w:rsidRDefault="00333AB1">
      <w:pPr>
        <w:pStyle w:val="FootnoteText"/>
      </w:pPr>
    </w:p>
  </w:footnote>
  <w:footnote w:id="5">
    <w:p w:rsidR="00333AB1" w:rsidRDefault="00333AB1">
      <w:pPr>
        <w:pStyle w:val="FootnoteText"/>
      </w:pPr>
      <w:r>
        <w:rPr>
          <w:rStyle w:val="FootnoteReference"/>
        </w:rPr>
        <w:footnoteRef/>
      </w:r>
      <w:r>
        <w:t xml:space="preserve"> </w:t>
      </w:r>
      <w:r>
        <w:rPr>
          <w:rFonts w:ascii="Segoe UI" w:hAnsi="Segoe UI" w:cs="Segoe UI"/>
          <w:i/>
          <w:iCs/>
          <w:color w:val="000000"/>
          <w:sz w:val="21"/>
          <w:szCs w:val="21"/>
          <w:shd w:val="clear" w:color="auto" w:fill="FFFFFF"/>
        </w:rPr>
        <w:t>Adjusted OS hazard ratio: manuscript submitted to European Urology for publication.</w:t>
      </w:r>
    </w:p>
  </w:footnote>
  <w:footnote w:id="6">
    <w:p w:rsidR="00333AB1" w:rsidRDefault="00333AB1">
      <w:pPr>
        <w:pStyle w:val="FootnoteText"/>
      </w:pPr>
      <w:r>
        <w:rPr>
          <w:rStyle w:val="FootnoteReference"/>
        </w:rPr>
        <w:footnoteRef/>
      </w:r>
      <w:r>
        <w:t xml:space="preserve"> </w:t>
      </w:r>
      <w:proofErr w:type="gramStart"/>
      <w:r>
        <w:t>de</w:t>
      </w:r>
      <w:proofErr w:type="gramEnd"/>
      <w:r>
        <w:t xml:space="preserve"> Bono J, Mateo J, </w:t>
      </w:r>
      <w:proofErr w:type="spellStart"/>
      <w:r>
        <w:t>Fizazi</w:t>
      </w:r>
      <w:proofErr w:type="spellEnd"/>
      <w:r>
        <w:t xml:space="preserve"> K, et al. </w:t>
      </w:r>
      <w:proofErr w:type="spellStart"/>
      <w:r>
        <w:t>Olaparib</w:t>
      </w:r>
      <w:proofErr w:type="spellEnd"/>
      <w:r>
        <w:t xml:space="preserve"> for metastatic-castration-resistant prostate cancer. NEJM. 2020</w:t>
      </w:r>
      <w:proofErr w:type="gramStart"/>
      <w:r>
        <w:t>;382:2091</w:t>
      </w:r>
      <w:proofErr w:type="gramEnd"/>
      <w:r>
        <w:t>-2102.</w:t>
      </w:r>
    </w:p>
  </w:footnote>
  <w:footnote w:id="7">
    <w:p w:rsidR="00333AB1" w:rsidRDefault="00333AB1">
      <w:pPr>
        <w:pStyle w:val="FootnoteText"/>
      </w:pPr>
      <w:r>
        <w:rPr>
          <w:rStyle w:val="FootnoteReference"/>
        </w:rPr>
        <w:footnoteRef/>
      </w:r>
      <w:r>
        <w:t xml:space="preserve"> </w:t>
      </w:r>
      <w:r>
        <w:rPr>
          <w:rFonts w:ascii="Segoe UI" w:hAnsi="Segoe UI" w:cs="Segoe UI"/>
          <w:i/>
          <w:iCs/>
          <w:color w:val="000000"/>
          <w:sz w:val="21"/>
          <w:szCs w:val="21"/>
          <w:shd w:val="clear" w:color="auto" w:fill="FFFFFF"/>
        </w:rPr>
        <w:t>Adjusted OS hazard ratio: manuscript submitted to European Urology for publication.</w:t>
      </w:r>
    </w:p>
  </w:footnote>
  <w:footnote w:id="8">
    <w:p w:rsidR="00333AB1" w:rsidRDefault="00333AB1">
      <w:pPr>
        <w:pStyle w:val="FootnoteText"/>
      </w:pPr>
      <w:r>
        <w:rPr>
          <w:rStyle w:val="FootnoteReference"/>
        </w:rPr>
        <w:footnoteRef/>
      </w:r>
      <w:r>
        <w:t xml:space="preserve"> </w:t>
      </w:r>
      <w:r>
        <w:rPr>
          <w:rFonts w:ascii="Segoe UI" w:hAnsi="Segoe UI" w:cs="Segoe UI"/>
          <w:i/>
          <w:iCs/>
          <w:color w:val="000000"/>
          <w:sz w:val="21"/>
          <w:szCs w:val="21"/>
          <w:shd w:val="clear" w:color="auto" w:fill="FFFFFF"/>
        </w:rPr>
        <w:t>Adjusted OS hazard ratio: manuscript submitted to European Urology for publication.</w:t>
      </w:r>
    </w:p>
  </w:footnote>
  <w:footnote w:id="9">
    <w:p w:rsidR="00333AB1" w:rsidRDefault="00333AB1">
      <w:pPr>
        <w:pStyle w:val="FootnoteText"/>
      </w:pPr>
      <w:r>
        <w:rPr>
          <w:rStyle w:val="FootnoteReference"/>
        </w:rPr>
        <w:footnoteRef/>
      </w:r>
      <w:r>
        <w:t xml:space="preserve"> </w:t>
      </w:r>
      <w:r>
        <w:rPr>
          <w:rFonts w:ascii="Segoe UI" w:hAnsi="Segoe UI" w:cs="Segoe UI"/>
          <w:i/>
          <w:iCs/>
          <w:color w:val="000000"/>
          <w:sz w:val="21"/>
          <w:szCs w:val="21"/>
          <w:shd w:val="clear" w:color="auto" w:fill="FFFFFF"/>
        </w:rPr>
        <w:t>Adjusted OS hazard ratio: manuscript submitted to European Urology for publication.</w:t>
      </w:r>
    </w:p>
  </w:footnote>
  <w:footnote w:id="10">
    <w:p w:rsidR="00333AB1" w:rsidRDefault="00333AB1">
      <w:pPr>
        <w:pStyle w:val="FootnoteText"/>
      </w:pPr>
      <w:r>
        <w:rPr>
          <w:rStyle w:val="FootnoteReference"/>
        </w:rPr>
        <w:footnoteRef/>
      </w:r>
      <w:r>
        <w:t xml:space="preserve"> </w:t>
      </w:r>
      <w:r>
        <w:rPr>
          <w:rFonts w:ascii="Segoe UI" w:hAnsi="Segoe UI" w:cs="Segoe UI"/>
          <w:i/>
          <w:iCs/>
          <w:color w:val="000000"/>
          <w:sz w:val="21"/>
          <w:szCs w:val="21"/>
          <w:shd w:val="clear" w:color="auto" w:fill="FFFFFF"/>
        </w:rPr>
        <w:t>Adjusted OS hazard ratio: manuscript submitted to European Urology for publication.</w:t>
      </w:r>
    </w:p>
  </w:footnote>
  <w:footnote w:id="11">
    <w:p w:rsidR="00333AB1" w:rsidRDefault="00333AB1">
      <w:pPr>
        <w:pStyle w:val="FootnoteText"/>
      </w:pPr>
      <w:r>
        <w:rPr>
          <w:rStyle w:val="FootnoteReference"/>
        </w:rPr>
        <w:footnoteRef/>
      </w:r>
      <w:r>
        <w:t xml:space="preserve"> </w:t>
      </w:r>
      <w:r>
        <w:rPr>
          <w:rFonts w:ascii="Segoe UI" w:hAnsi="Segoe UI" w:cs="Segoe UI"/>
          <w:i/>
          <w:iCs/>
          <w:color w:val="000000"/>
          <w:sz w:val="21"/>
          <w:szCs w:val="21"/>
          <w:shd w:val="clear" w:color="auto" w:fill="FFFFFF"/>
        </w:rPr>
        <w:t>Adjusted OS hazard ratio: manuscript submitted to European Urology for publication.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B1" w:rsidRDefault="00333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B1" w:rsidRDefault="00333AB1" w:rsidP="00AA6D4A">
    <w:pPr>
      <w:pStyle w:val="Header"/>
      <w:jc w:val="center"/>
      <w:rPr>
        <w:i/>
      </w:rPr>
    </w:pPr>
  </w:p>
  <w:p w:rsidR="00333AB1" w:rsidRDefault="00333AB1" w:rsidP="00AA6D4A">
    <w:pPr>
      <w:pStyle w:val="Header"/>
      <w:jc w:val="center"/>
      <w:rPr>
        <w:i/>
      </w:rPr>
    </w:pPr>
  </w:p>
  <w:p w:rsidR="00333AB1" w:rsidRPr="00CD4B9C" w:rsidRDefault="00333AB1" w:rsidP="004106D3">
    <w:pPr>
      <w:pStyle w:val="Header"/>
      <w:jc w:val="center"/>
      <w:rPr>
        <w:i/>
      </w:rPr>
    </w:pPr>
    <w:r>
      <w:rPr>
        <w:i/>
      </w:rPr>
      <w:t xml:space="preserve">Public Summary Document </w:t>
    </w:r>
    <w:r w:rsidRPr="00AA6D4A">
      <w:rPr>
        <w:i/>
      </w:rPr>
      <w:t>– March 2021 PBAC Meeting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B1" w:rsidRDefault="00333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17AC2"/>
    <w:multiLevelType w:val="multilevel"/>
    <w:tmpl w:val="234440E8"/>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0B77EC"/>
    <w:multiLevelType w:val="hybridMultilevel"/>
    <w:tmpl w:val="F496E5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9456AC"/>
    <w:multiLevelType w:val="hybridMultilevel"/>
    <w:tmpl w:val="9D4CF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2553"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E183E71"/>
    <w:multiLevelType w:val="multilevel"/>
    <w:tmpl w:val="73BC93EA"/>
    <w:lvl w:ilvl="0">
      <w:start w:val="1"/>
      <w:numFmt w:val="bullet"/>
      <w:lvlText w:val=""/>
      <w:lvlJc w:val="left"/>
      <w:pPr>
        <w:ind w:left="360" w:hanging="360"/>
      </w:pPr>
      <w:rPr>
        <w:rFonts w:ascii="Symbol" w:hAnsi="Symbol"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B6274A"/>
    <w:multiLevelType w:val="hybridMultilevel"/>
    <w:tmpl w:val="9AB8F190"/>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575C58"/>
    <w:multiLevelType w:val="multilevel"/>
    <w:tmpl w:val="47D653C8"/>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C519A4"/>
    <w:multiLevelType w:val="hybridMultilevel"/>
    <w:tmpl w:val="C240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74028D"/>
    <w:multiLevelType w:val="hybridMultilevel"/>
    <w:tmpl w:val="6F0455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55215E"/>
    <w:multiLevelType w:val="hybridMultilevel"/>
    <w:tmpl w:val="AE58D640"/>
    <w:lvl w:ilvl="0" w:tplc="648A5F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3" w15:restartNumberingAfterBreak="0">
    <w:nsid w:val="46986FE5"/>
    <w:multiLevelType w:val="hybridMultilevel"/>
    <w:tmpl w:val="036246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4D1A267F"/>
    <w:multiLevelType w:val="hybridMultilevel"/>
    <w:tmpl w:val="107240C0"/>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6" w15:restartNumberingAfterBreak="0">
    <w:nsid w:val="54662363"/>
    <w:multiLevelType w:val="multilevel"/>
    <w:tmpl w:val="80D262F8"/>
    <w:lvl w:ilvl="0">
      <w:start w:val="6"/>
      <w:numFmt w:val="decimal"/>
      <w:lvlText w:val="%1"/>
      <w:lvlJc w:val="left"/>
      <w:pPr>
        <w:ind w:left="720" w:hanging="720"/>
      </w:pPr>
      <w:rPr>
        <w:rFonts w:hint="default"/>
        <w:b/>
        <w:i w:val="0"/>
      </w:rPr>
    </w:lvl>
    <w:lvl w:ilvl="1">
      <w:start w:val="5"/>
      <w:numFmt w:val="none"/>
      <w:suff w:val="nothing"/>
      <w:lvlText w:val=""/>
      <w:lvlJc w:val="left"/>
      <w:pPr>
        <w:ind w:left="720" w:hanging="720"/>
      </w:pPr>
      <w:rPr>
        <w:rFonts w:hint="default"/>
      </w:rPr>
    </w:lvl>
    <w:lvl w:ilvl="2">
      <w:start w:val="11"/>
      <w:numFmt w:val="none"/>
      <w:lvlRestart w:val="1"/>
      <w:suff w:val="nothing"/>
      <w:lvlText w:val=""/>
      <w:lvlJc w:val="left"/>
      <w:pPr>
        <w:ind w:left="720" w:hanging="720"/>
      </w:pPr>
      <w:rPr>
        <w:rFonts w:hint="default"/>
      </w:rPr>
    </w:lvl>
    <w:lvl w:ilvl="3">
      <w:numFmt w:val="none"/>
      <w:lvlRestart w:val="1"/>
      <w:suff w:val="nothing"/>
      <w:lvlText w:val=""/>
      <w:lvlJc w:val="left"/>
      <w:pPr>
        <w:ind w:left="1080" w:hanging="1080"/>
      </w:pPr>
      <w:rPr>
        <w:rFonts w:hint="default"/>
      </w:rPr>
    </w:lvl>
    <w:lvl w:ilvl="4">
      <w:start w:val="1"/>
      <w:numFmt w:val="bullet"/>
      <w:lvlText w:val=""/>
      <w:lvlJc w:val="left"/>
      <w:pPr>
        <w:ind w:left="720" w:hanging="720"/>
      </w:pPr>
      <w:rPr>
        <w:rFonts w:ascii="Symbol" w:hAnsi="Symbol" w:hint="default"/>
        <w:i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901B21"/>
    <w:multiLevelType w:val="multilevel"/>
    <w:tmpl w:val="DEBA099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84D033C"/>
    <w:multiLevelType w:val="multilevel"/>
    <w:tmpl w:val="AA086356"/>
    <w:lvl w:ilvl="0">
      <w:start w:val="6"/>
      <w:numFmt w:val="decimal"/>
      <w:pStyle w:val="PBACESHeading1"/>
      <w:lvlText w:val="%1"/>
      <w:lvlJc w:val="left"/>
      <w:pPr>
        <w:ind w:left="720" w:hanging="720"/>
      </w:pPr>
      <w:rPr>
        <w:rFonts w:hint="default"/>
        <w:b/>
        <w:i w:val="0"/>
      </w:rPr>
    </w:lvl>
    <w:lvl w:ilvl="1">
      <w:start w:val="5"/>
      <w:numFmt w:val="none"/>
      <w:pStyle w:val="PBACESHeadingCAPS"/>
      <w:suff w:val="nothing"/>
      <w:lvlText w:val=""/>
      <w:lvlJc w:val="left"/>
      <w:pPr>
        <w:ind w:left="720" w:hanging="720"/>
      </w:pPr>
      <w:rPr>
        <w:rFonts w:hint="default"/>
      </w:rPr>
    </w:lvl>
    <w:lvl w:ilvl="2">
      <w:start w:val="11"/>
      <w:numFmt w:val="none"/>
      <w:lvlRestart w:val="1"/>
      <w:pStyle w:val="PBACESHeading2"/>
      <w:suff w:val="nothing"/>
      <w:lvlText w:val=""/>
      <w:lvlJc w:val="left"/>
      <w:pPr>
        <w:ind w:left="720" w:hanging="720"/>
      </w:pPr>
      <w:rPr>
        <w:rFonts w:hint="default"/>
      </w:rPr>
    </w:lvl>
    <w:lvl w:ilvl="3">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i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16"/>
  </w:num>
  <w:num w:numId="3">
    <w:abstractNumId w:val="21"/>
  </w:num>
  <w:num w:numId="4">
    <w:abstractNumId w:val="8"/>
  </w:num>
  <w:num w:numId="5">
    <w:abstractNumId w:val="7"/>
  </w:num>
  <w:num w:numId="6">
    <w:abstractNumId w:val="31"/>
  </w:num>
  <w:num w:numId="7">
    <w:abstractNumId w:val="24"/>
  </w:num>
  <w:num w:numId="8">
    <w:abstractNumId w:val="3"/>
  </w:num>
  <w:num w:numId="9">
    <w:abstractNumId w:val="14"/>
  </w:num>
  <w:num w:numId="10">
    <w:abstractNumId w:val="29"/>
  </w:num>
  <w:num w:numId="11">
    <w:abstractNumId w:val="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0"/>
  </w:num>
  <w:num w:numId="15">
    <w:abstractNumId w:val="15"/>
  </w:num>
  <w:num w:numId="16">
    <w:abstractNumId w:val="9"/>
  </w:num>
  <w:num w:numId="17">
    <w:abstractNumId w:val="25"/>
  </w:num>
  <w:num w:numId="18">
    <w:abstractNumId w:val="12"/>
  </w:num>
  <w:num w:numId="19">
    <w:abstractNumId w:val="10"/>
  </w:num>
  <w:num w:numId="20">
    <w:abstractNumId w:val="23"/>
  </w:num>
  <w:num w:numId="21">
    <w:abstractNumId w:val="22"/>
  </w:num>
  <w:num w:numId="22">
    <w:abstractNumId w:val="17"/>
  </w:num>
  <w:num w:numId="23">
    <w:abstractNumId w:val="2"/>
  </w:num>
  <w:num w:numId="24">
    <w:abstractNumId w:val="27"/>
  </w:num>
  <w:num w:numId="25">
    <w:abstractNumId w:val="28"/>
  </w:num>
  <w:num w:numId="26">
    <w:abstractNumId w:val="4"/>
  </w:num>
  <w:num w:numId="27">
    <w:abstractNumId w:val="0"/>
  </w:num>
  <w:num w:numId="28">
    <w:abstractNumId w:val="13"/>
  </w:num>
  <w:num w:numId="29">
    <w:abstractNumId w:val="18"/>
  </w:num>
  <w:num w:numId="30">
    <w:abstractNumId w:val="11"/>
  </w:num>
  <w:num w:numId="31">
    <w:abstractNumId w:val="31"/>
    <w:lvlOverride w:ilvl="0">
      <w:startOverride w:val="6"/>
    </w:lvlOverride>
    <w:lvlOverride w:ilvl="1">
      <w:startOverride w:val="7"/>
    </w:lvlOverride>
    <w:lvlOverride w:ilvl="2">
      <w:startOverride w:val="3"/>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6"/>
    </w:lvlOverride>
    <w:lvlOverride w:ilvl="1">
      <w:startOverride w:val="5"/>
    </w:lvlOverride>
    <w:lvlOverride w:ilvl="2">
      <w:startOverride w:val="1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1"/>
  </w:num>
  <w:num w:numId="35">
    <w:abstractNumId w:val="31"/>
  </w:num>
  <w:num w:numId="36">
    <w:abstractNumId w:val="5"/>
  </w:num>
  <w:num w:numId="37">
    <w:abstractNumId w:val="31"/>
  </w:num>
  <w:num w:numId="38">
    <w:abstractNumId w:val="31"/>
  </w:num>
  <w:num w:numId="39">
    <w:abstractNumId w:val="31"/>
  </w:num>
  <w:num w:numId="40">
    <w:abstractNumId w:val="30"/>
  </w:num>
  <w:num w:numId="41">
    <w:abstractNumId w:val="6"/>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AU"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pt-PT"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17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A6"/>
    <w:rsid w:val="00000AD9"/>
    <w:rsid w:val="00000F43"/>
    <w:rsid w:val="0000123C"/>
    <w:rsid w:val="00001AB4"/>
    <w:rsid w:val="000026CB"/>
    <w:rsid w:val="00004372"/>
    <w:rsid w:val="000062E0"/>
    <w:rsid w:val="00006F7A"/>
    <w:rsid w:val="0000771F"/>
    <w:rsid w:val="0001066F"/>
    <w:rsid w:val="0001195D"/>
    <w:rsid w:val="000121D3"/>
    <w:rsid w:val="00012370"/>
    <w:rsid w:val="0001281E"/>
    <w:rsid w:val="000131C9"/>
    <w:rsid w:val="00013222"/>
    <w:rsid w:val="00014FF5"/>
    <w:rsid w:val="0001548D"/>
    <w:rsid w:val="00015822"/>
    <w:rsid w:val="00016DE3"/>
    <w:rsid w:val="000170E1"/>
    <w:rsid w:val="000200E3"/>
    <w:rsid w:val="0002013C"/>
    <w:rsid w:val="0002095B"/>
    <w:rsid w:val="000209BB"/>
    <w:rsid w:val="00020B18"/>
    <w:rsid w:val="00021318"/>
    <w:rsid w:val="00022237"/>
    <w:rsid w:val="00022AE1"/>
    <w:rsid w:val="00024077"/>
    <w:rsid w:val="00024641"/>
    <w:rsid w:val="00024CA4"/>
    <w:rsid w:val="000276BB"/>
    <w:rsid w:val="00027C36"/>
    <w:rsid w:val="00027D87"/>
    <w:rsid w:val="00030D9F"/>
    <w:rsid w:val="000312A7"/>
    <w:rsid w:val="0003156F"/>
    <w:rsid w:val="00033235"/>
    <w:rsid w:val="00033CE1"/>
    <w:rsid w:val="00033EFE"/>
    <w:rsid w:val="00034404"/>
    <w:rsid w:val="0003497C"/>
    <w:rsid w:val="0003529B"/>
    <w:rsid w:val="000354A1"/>
    <w:rsid w:val="000355B3"/>
    <w:rsid w:val="000357DA"/>
    <w:rsid w:val="00035931"/>
    <w:rsid w:val="000359BA"/>
    <w:rsid w:val="00036121"/>
    <w:rsid w:val="000367B8"/>
    <w:rsid w:val="00037169"/>
    <w:rsid w:val="000402A9"/>
    <w:rsid w:val="00041585"/>
    <w:rsid w:val="00042430"/>
    <w:rsid w:val="0004441D"/>
    <w:rsid w:val="00044890"/>
    <w:rsid w:val="00044904"/>
    <w:rsid w:val="00044E6D"/>
    <w:rsid w:val="00045807"/>
    <w:rsid w:val="00045A0E"/>
    <w:rsid w:val="00045AFA"/>
    <w:rsid w:val="0004600D"/>
    <w:rsid w:val="000461CF"/>
    <w:rsid w:val="0004758F"/>
    <w:rsid w:val="00047DC3"/>
    <w:rsid w:val="00047EA8"/>
    <w:rsid w:val="000512AD"/>
    <w:rsid w:val="00051A7E"/>
    <w:rsid w:val="00051A82"/>
    <w:rsid w:val="00051B9B"/>
    <w:rsid w:val="000522EE"/>
    <w:rsid w:val="00052BCD"/>
    <w:rsid w:val="0005406B"/>
    <w:rsid w:val="00054171"/>
    <w:rsid w:val="00054321"/>
    <w:rsid w:val="00054959"/>
    <w:rsid w:val="00054C68"/>
    <w:rsid w:val="00054F1A"/>
    <w:rsid w:val="00055DCD"/>
    <w:rsid w:val="00055E01"/>
    <w:rsid w:val="00055EC6"/>
    <w:rsid w:val="00056E90"/>
    <w:rsid w:val="000578D9"/>
    <w:rsid w:val="00057F71"/>
    <w:rsid w:val="0006184B"/>
    <w:rsid w:val="00061CE4"/>
    <w:rsid w:val="00061F31"/>
    <w:rsid w:val="00062018"/>
    <w:rsid w:val="00062067"/>
    <w:rsid w:val="0006287B"/>
    <w:rsid w:val="0006442F"/>
    <w:rsid w:val="00064682"/>
    <w:rsid w:val="00064A52"/>
    <w:rsid w:val="00064D04"/>
    <w:rsid w:val="000656A2"/>
    <w:rsid w:val="00065C62"/>
    <w:rsid w:val="00065C9E"/>
    <w:rsid w:val="00065CDE"/>
    <w:rsid w:val="00065F4A"/>
    <w:rsid w:val="0006637C"/>
    <w:rsid w:val="00066B92"/>
    <w:rsid w:val="00066CC4"/>
    <w:rsid w:val="00066ECD"/>
    <w:rsid w:val="000676E5"/>
    <w:rsid w:val="000677DE"/>
    <w:rsid w:val="000678D8"/>
    <w:rsid w:val="000703C6"/>
    <w:rsid w:val="0007063B"/>
    <w:rsid w:val="000708AA"/>
    <w:rsid w:val="00070D75"/>
    <w:rsid w:val="00073249"/>
    <w:rsid w:val="00074770"/>
    <w:rsid w:val="000761CF"/>
    <w:rsid w:val="00077040"/>
    <w:rsid w:val="000770D5"/>
    <w:rsid w:val="000774CD"/>
    <w:rsid w:val="00080165"/>
    <w:rsid w:val="00080FF3"/>
    <w:rsid w:val="00081373"/>
    <w:rsid w:val="00081E18"/>
    <w:rsid w:val="00082660"/>
    <w:rsid w:val="00082868"/>
    <w:rsid w:val="0008308F"/>
    <w:rsid w:val="00083101"/>
    <w:rsid w:val="000847FE"/>
    <w:rsid w:val="00084B18"/>
    <w:rsid w:val="00085DFE"/>
    <w:rsid w:val="0008611E"/>
    <w:rsid w:val="00086133"/>
    <w:rsid w:val="0008627A"/>
    <w:rsid w:val="00087EAB"/>
    <w:rsid w:val="000901B3"/>
    <w:rsid w:val="00090AA3"/>
    <w:rsid w:val="00090D86"/>
    <w:rsid w:val="00092727"/>
    <w:rsid w:val="00092945"/>
    <w:rsid w:val="00093285"/>
    <w:rsid w:val="00093511"/>
    <w:rsid w:val="00093944"/>
    <w:rsid w:val="00094CDE"/>
    <w:rsid w:val="0009605C"/>
    <w:rsid w:val="0009688E"/>
    <w:rsid w:val="00096BCD"/>
    <w:rsid w:val="00097F21"/>
    <w:rsid w:val="000A0B01"/>
    <w:rsid w:val="000A0C31"/>
    <w:rsid w:val="000A1481"/>
    <w:rsid w:val="000A1F7B"/>
    <w:rsid w:val="000A2694"/>
    <w:rsid w:val="000A2CEF"/>
    <w:rsid w:val="000A2EF1"/>
    <w:rsid w:val="000A3C16"/>
    <w:rsid w:val="000A3D99"/>
    <w:rsid w:val="000A3F4C"/>
    <w:rsid w:val="000A460C"/>
    <w:rsid w:val="000A6DC2"/>
    <w:rsid w:val="000A6FBD"/>
    <w:rsid w:val="000A7333"/>
    <w:rsid w:val="000A7EA5"/>
    <w:rsid w:val="000B0B74"/>
    <w:rsid w:val="000B0FAB"/>
    <w:rsid w:val="000B1410"/>
    <w:rsid w:val="000B1BD1"/>
    <w:rsid w:val="000B215E"/>
    <w:rsid w:val="000B2BE3"/>
    <w:rsid w:val="000B35EA"/>
    <w:rsid w:val="000B4CD6"/>
    <w:rsid w:val="000B52FC"/>
    <w:rsid w:val="000B56CD"/>
    <w:rsid w:val="000B5A5A"/>
    <w:rsid w:val="000B6B69"/>
    <w:rsid w:val="000B7AED"/>
    <w:rsid w:val="000C0142"/>
    <w:rsid w:val="000C0400"/>
    <w:rsid w:val="000C0FC8"/>
    <w:rsid w:val="000C11CC"/>
    <w:rsid w:val="000C1321"/>
    <w:rsid w:val="000C1443"/>
    <w:rsid w:val="000C1591"/>
    <w:rsid w:val="000C168E"/>
    <w:rsid w:val="000C21A9"/>
    <w:rsid w:val="000C278D"/>
    <w:rsid w:val="000C5AFD"/>
    <w:rsid w:val="000C5EE4"/>
    <w:rsid w:val="000C668E"/>
    <w:rsid w:val="000C6A40"/>
    <w:rsid w:val="000C7883"/>
    <w:rsid w:val="000C793A"/>
    <w:rsid w:val="000C7A8A"/>
    <w:rsid w:val="000D0023"/>
    <w:rsid w:val="000D0A81"/>
    <w:rsid w:val="000D169F"/>
    <w:rsid w:val="000D16D9"/>
    <w:rsid w:val="000D1AB4"/>
    <w:rsid w:val="000D2259"/>
    <w:rsid w:val="000D3655"/>
    <w:rsid w:val="000D39EF"/>
    <w:rsid w:val="000D3B07"/>
    <w:rsid w:val="000D402D"/>
    <w:rsid w:val="000D44C0"/>
    <w:rsid w:val="000D45AF"/>
    <w:rsid w:val="000D4939"/>
    <w:rsid w:val="000D611B"/>
    <w:rsid w:val="000D689F"/>
    <w:rsid w:val="000D7BBA"/>
    <w:rsid w:val="000D7F84"/>
    <w:rsid w:val="000E07CD"/>
    <w:rsid w:val="000E1832"/>
    <w:rsid w:val="000E246E"/>
    <w:rsid w:val="000E3CC2"/>
    <w:rsid w:val="000E40A9"/>
    <w:rsid w:val="000E44D5"/>
    <w:rsid w:val="000E4992"/>
    <w:rsid w:val="000E4CEF"/>
    <w:rsid w:val="000E6293"/>
    <w:rsid w:val="000E6867"/>
    <w:rsid w:val="000E6B0D"/>
    <w:rsid w:val="000E7019"/>
    <w:rsid w:val="000E7725"/>
    <w:rsid w:val="000E7BB8"/>
    <w:rsid w:val="000E7E98"/>
    <w:rsid w:val="000F243A"/>
    <w:rsid w:val="000F249C"/>
    <w:rsid w:val="000F2527"/>
    <w:rsid w:val="000F2534"/>
    <w:rsid w:val="000F28C9"/>
    <w:rsid w:val="000F313A"/>
    <w:rsid w:val="000F3490"/>
    <w:rsid w:val="000F3652"/>
    <w:rsid w:val="000F4795"/>
    <w:rsid w:val="000F4D7C"/>
    <w:rsid w:val="000F6CD4"/>
    <w:rsid w:val="000F71FF"/>
    <w:rsid w:val="001003D6"/>
    <w:rsid w:val="0010086D"/>
    <w:rsid w:val="00100F35"/>
    <w:rsid w:val="00101370"/>
    <w:rsid w:val="00101869"/>
    <w:rsid w:val="0010189C"/>
    <w:rsid w:val="001018A8"/>
    <w:rsid w:val="00103156"/>
    <w:rsid w:val="001034DB"/>
    <w:rsid w:val="00104A1D"/>
    <w:rsid w:val="00105867"/>
    <w:rsid w:val="001059D6"/>
    <w:rsid w:val="00105A03"/>
    <w:rsid w:val="00105FC6"/>
    <w:rsid w:val="00106A29"/>
    <w:rsid w:val="00107F25"/>
    <w:rsid w:val="0011037E"/>
    <w:rsid w:val="00110762"/>
    <w:rsid w:val="001112E7"/>
    <w:rsid w:val="00111338"/>
    <w:rsid w:val="00111696"/>
    <w:rsid w:val="00111951"/>
    <w:rsid w:val="001125CE"/>
    <w:rsid w:val="00112C05"/>
    <w:rsid w:val="00112F1A"/>
    <w:rsid w:val="001142C3"/>
    <w:rsid w:val="00115D22"/>
    <w:rsid w:val="00115D90"/>
    <w:rsid w:val="00116079"/>
    <w:rsid w:val="00116FEE"/>
    <w:rsid w:val="00117241"/>
    <w:rsid w:val="00120767"/>
    <w:rsid w:val="00120D2F"/>
    <w:rsid w:val="0012102F"/>
    <w:rsid w:val="001228F7"/>
    <w:rsid w:val="00122C04"/>
    <w:rsid w:val="0012305D"/>
    <w:rsid w:val="001233E4"/>
    <w:rsid w:val="001234B9"/>
    <w:rsid w:val="001234FA"/>
    <w:rsid w:val="00123567"/>
    <w:rsid w:val="00123AE6"/>
    <w:rsid w:val="00124266"/>
    <w:rsid w:val="001249B3"/>
    <w:rsid w:val="00124CC2"/>
    <w:rsid w:val="00125082"/>
    <w:rsid w:val="0012523C"/>
    <w:rsid w:val="00125673"/>
    <w:rsid w:val="00125AE8"/>
    <w:rsid w:val="0012678F"/>
    <w:rsid w:val="0012701F"/>
    <w:rsid w:val="0012752B"/>
    <w:rsid w:val="001279AE"/>
    <w:rsid w:val="00131321"/>
    <w:rsid w:val="00131B01"/>
    <w:rsid w:val="001323D6"/>
    <w:rsid w:val="00132E7D"/>
    <w:rsid w:val="0013384E"/>
    <w:rsid w:val="00133B1C"/>
    <w:rsid w:val="00134EAC"/>
    <w:rsid w:val="00135050"/>
    <w:rsid w:val="00136399"/>
    <w:rsid w:val="00136E76"/>
    <w:rsid w:val="00140A20"/>
    <w:rsid w:val="00140B02"/>
    <w:rsid w:val="00140B5B"/>
    <w:rsid w:val="001412B4"/>
    <w:rsid w:val="00141411"/>
    <w:rsid w:val="00141CF9"/>
    <w:rsid w:val="00141D43"/>
    <w:rsid w:val="00141EEB"/>
    <w:rsid w:val="00141EFB"/>
    <w:rsid w:val="00142786"/>
    <w:rsid w:val="001437BE"/>
    <w:rsid w:val="00145F4F"/>
    <w:rsid w:val="00145FFC"/>
    <w:rsid w:val="001468C6"/>
    <w:rsid w:val="00146C47"/>
    <w:rsid w:val="0014701B"/>
    <w:rsid w:val="001472EC"/>
    <w:rsid w:val="00147C02"/>
    <w:rsid w:val="001509E1"/>
    <w:rsid w:val="001511C0"/>
    <w:rsid w:val="0015150F"/>
    <w:rsid w:val="00151CF4"/>
    <w:rsid w:val="00151E9B"/>
    <w:rsid w:val="00152635"/>
    <w:rsid w:val="001526A8"/>
    <w:rsid w:val="0015304D"/>
    <w:rsid w:val="00153AAF"/>
    <w:rsid w:val="00154735"/>
    <w:rsid w:val="00154AE3"/>
    <w:rsid w:val="00154FAD"/>
    <w:rsid w:val="00155C20"/>
    <w:rsid w:val="00156300"/>
    <w:rsid w:val="00156BAA"/>
    <w:rsid w:val="001576E1"/>
    <w:rsid w:val="00161AD9"/>
    <w:rsid w:val="00161B12"/>
    <w:rsid w:val="001628D1"/>
    <w:rsid w:val="00162A24"/>
    <w:rsid w:val="00165A49"/>
    <w:rsid w:val="00165B51"/>
    <w:rsid w:val="001667A9"/>
    <w:rsid w:val="00166DC4"/>
    <w:rsid w:val="00167ED0"/>
    <w:rsid w:val="001709D4"/>
    <w:rsid w:val="00172016"/>
    <w:rsid w:val="00173577"/>
    <w:rsid w:val="001735B2"/>
    <w:rsid w:val="001736DA"/>
    <w:rsid w:val="00173A47"/>
    <w:rsid w:val="00173E55"/>
    <w:rsid w:val="00174A50"/>
    <w:rsid w:val="00175FCD"/>
    <w:rsid w:val="00176658"/>
    <w:rsid w:val="00176AA5"/>
    <w:rsid w:val="001770A7"/>
    <w:rsid w:val="001771F0"/>
    <w:rsid w:val="0017720E"/>
    <w:rsid w:val="001772CC"/>
    <w:rsid w:val="00177893"/>
    <w:rsid w:val="00177E00"/>
    <w:rsid w:val="0018141A"/>
    <w:rsid w:val="00182BE8"/>
    <w:rsid w:val="001830E3"/>
    <w:rsid w:val="0018373E"/>
    <w:rsid w:val="001839C0"/>
    <w:rsid w:val="00183C88"/>
    <w:rsid w:val="00184221"/>
    <w:rsid w:val="0018443E"/>
    <w:rsid w:val="00184BCD"/>
    <w:rsid w:val="001853A6"/>
    <w:rsid w:val="00185828"/>
    <w:rsid w:val="00185C35"/>
    <w:rsid w:val="00185E8D"/>
    <w:rsid w:val="00186295"/>
    <w:rsid w:val="00186307"/>
    <w:rsid w:val="001863F7"/>
    <w:rsid w:val="00186614"/>
    <w:rsid w:val="00186EBC"/>
    <w:rsid w:val="00187118"/>
    <w:rsid w:val="001916C0"/>
    <w:rsid w:val="00191A3B"/>
    <w:rsid w:val="00192406"/>
    <w:rsid w:val="0019307A"/>
    <w:rsid w:val="00194767"/>
    <w:rsid w:val="00195DA4"/>
    <w:rsid w:val="001966A5"/>
    <w:rsid w:val="00196B6A"/>
    <w:rsid w:val="00197C58"/>
    <w:rsid w:val="00197D31"/>
    <w:rsid w:val="001A0085"/>
    <w:rsid w:val="001A0142"/>
    <w:rsid w:val="001A0C74"/>
    <w:rsid w:val="001A1062"/>
    <w:rsid w:val="001A20DC"/>
    <w:rsid w:val="001A275E"/>
    <w:rsid w:val="001A3CE5"/>
    <w:rsid w:val="001A3DC9"/>
    <w:rsid w:val="001A5472"/>
    <w:rsid w:val="001A69AE"/>
    <w:rsid w:val="001B00CE"/>
    <w:rsid w:val="001B0DB0"/>
    <w:rsid w:val="001B12A9"/>
    <w:rsid w:val="001B1978"/>
    <w:rsid w:val="001B2429"/>
    <w:rsid w:val="001B314B"/>
    <w:rsid w:val="001B3884"/>
    <w:rsid w:val="001B3A53"/>
    <w:rsid w:val="001B47F4"/>
    <w:rsid w:val="001B4C8E"/>
    <w:rsid w:val="001B4D42"/>
    <w:rsid w:val="001B5749"/>
    <w:rsid w:val="001B5ACE"/>
    <w:rsid w:val="001B5B6B"/>
    <w:rsid w:val="001B5F63"/>
    <w:rsid w:val="001B6146"/>
    <w:rsid w:val="001B6389"/>
    <w:rsid w:val="001B742D"/>
    <w:rsid w:val="001B7B69"/>
    <w:rsid w:val="001C04CC"/>
    <w:rsid w:val="001C051E"/>
    <w:rsid w:val="001C06AA"/>
    <w:rsid w:val="001C1870"/>
    <w:rsid w:val="001C1ED0"/>
    <w:rsid w:val="001C2D01"/>
    <w:rsid w:val="001C2ECB"/>
    <w:rsid w:val="001C3579"/>
    <w:rsid w:val="001C3899"/>
    <w:rsid w:val="001C401C"/>
    <w:rsid w:val="001C40A1"/>
    <w:rsid w:val="001C44FC"/>
    <w:rsid w:val="001C45E4"/>
    <w:rsid w:val="001C655B"/>
    <w:rsid w:val="001C69D7"/>
    <w:rsid w:val="001C6CBE"/>
    <w:rsid w:val="001C7497"/>
    <w:rsid w:val="001C796E"/>
    <w:rsid w:val="001C7D1B"/>
    <w:rsid w:val="001D0AD6"/>
    <w:rsid w:val="001D2604"/>
    <w:rsid w:val="001D26E6"/>
    <w:rsid w:val="001D2772"/>
    <w:rsid w:val="001D27FE"/>
    <w:rsid w:val="001D38A0"/>
    <w:rsid w:val="001D4C0F"/>
    <w:rsid w:val="001D535F"/>
    <w:rsid w:val="001D55C8"/>
    <w:rsid w:val="001D585E"/>
    <w:rsid w:val="001D5D47"/>
    <w:rsid w:val="001D5DE3"/>
    <w:rsid w:val="001D6B4C"/>
    <w:rsid w:val="001D7C59"/>
    <w:rsid w:val="001E0757"/>
    <w:rsid w:val="001E0994"/>
    <w:rsid w:val="001E0B0D"/>
    <w:rsid w:val="001E1827"/>
    <w:rsid w:val="001E19BB"/>
    <w:rsid w:val="001E21FB"/>
    <w:rsid w:val="001E25EC"/>
    <w:rsid w:val="001E265B"/>
    <w:rsid w:val="001E4E98"/>
    <w:rsid w:val="001E5570"/>
    <w:rsid w:val="001E5896"/>
    <w:rsid w:val="001E5918"/>
    <w:rsid w:val="001E68FF"/>
    <w:rsid w:val="001E6E1F"/>
    <w:rsid w:val="001E70C9"/>
    <w:rsid w:val="001E7A50"/>
    <w:rsid w:val="001F027E"/>
    <w:rsid w:val="001F073C"/>
    <w:rsid w:val="001F0D0A"/>
    <w:rsid w:val="001F15AC"/>
    <w:rsid w:val="001F2912"/>
    <w:rsid w:val="001F2BAD"/>
    <w:rsid w:val="001F2F47"/>
    <w:rsid w:val="001F3120"/>
    <w:rsid w:val="001F31FF"/>
    <w:rsid w:val="001F5C4E"/>
    <w:rsid w:val="001F6753"/>
    <w:rsid w:val="001F6804"/>
    <w:rsid w:val="001F6896"/>
    <w:rsid w:val="001F68ED"/>
    <w:rsid w:val="001F693D"/>
    <w:rsid w:val="001F6EB3"/>
    <w:rsid w:val="00200296"/>
    <w:rsid w:val="0020038B"/>
    <w:rsid w:val="0020132B"/>
    <w:rsid w:val="0020158A"/>
    <w:rsid w:val="00201ADB"/>
    <w:rsid w:val="00201EDA"/>
    <w:rsid w:val="00202D2A"/>
    <w:rsid w:val="002039B1"/>
    <w:rsid w:val="00204B6C"/>
    <w:rsid w:val="00204D5B"/>
    <w:rsid w:val="00205599"/>
    <w:rsid w:val="002058E5"/>
    <w:rsid w:val="002059F8"/>
    <w:rsid w:val="00206D69"/>
    <w:rsid w:val="00210001"/>
    <w:rsid w:val="002100DD"/>
    <w:rsid w:val="002101C8"/>
    <w:rsid w:val="0021061F"/>
    <w:rsid w:val="00210FAA"/>
    <w:rsid w:val="00211340"/>
    <w:rsid w:val="00211C10"/>
    <w:rsid w:val="00211F51"/>
    <w:rsid w:val="00212F8A"/>
    <w:rsid w:val="002131C0"/>
    <w:rsid w:val="00214438"/>
    <w:rsid w:val="00215765"/>
    <w:rsid w:val="00215787"/>
    <w:rsid w:val="00216816"/>
    <w:rsid w:val="00216D6D"/>
    <w:rsid w:val="002205EB"/>
    <w:rsid w:val="00220746"/>
    <w:rsid w:val="00220FE5"/>
    <w:rsid w:val="0022112C"/>
    <w:rsid w:val="002213DB"/>
    <w:rsid w:val="00221812"/>
    <w:rsid w:val="00222127"/>
    <w:rsid w:val="0022220D"/>
    <w:rsid w:val="002234A6"/>
    <w:rsid w:val="002240E2"/>
    <w:rsid w:val="0022566E"/>
    <w:rsid w:val="00225FCB"/>
    <w:rsid w:val="002266C7"/>
    <w:rsid w:val="00226D01"/>
    <w:rsid w:val="002274C1"/>
    <w:rsid w:val="0023076F"/>
    <w:rsid w:val="00230A64"/>
    <w:rsid w:val="002310A8"/>
    <w:rsid w:val="0023169D"/>
    <w:rsid w:val="0023183E"/>
    <w:rsid w:val="00232313"/>
    <w:rsid w:val="00233296"/>
    <w:rsid w:val="0023455A"/>
    <w:rsid w:val="002351AD"/>
    <w:rsid w:val="00235293"/>
    <w:rsid w:val="00235452"/>
    <w:rsid w:val="00236FA9"/>
    <w:rsid w:val="0023754B"/>
    <w:rsid w:val="00237A1D"/>
    <w:rsid w:val="0024057E"/>
    <w:rsid w:val="00240E09"/>
    <w:rsid w:val="00241D21"/>
    <w:rsid w:val="002425EA"/>
    <w:rsid w:val="00242C3E"/>
    <w:rsid w:val="00242EA0"/>
    <w:rsid w:val="00243685"/>
    <w:rsid w:val="00243F24"/>
    <w:rsid w:val="0024459C"/>
    <w:rsid w:val="00244A68"/>
    <w:rsid w:val="00245511"/>
    <w:rsid w:val="00245AD1"/>
    <w:rsid w:val="00246BDF"/>
    <w:rsid w:val="002470BB"/>
    <w:rsid w:val="00251DA0"/>
    <w:rsid w:val="002530E7"/>
    <w:rsid w:val="002532B4"/>
    <w:rsid w:val="00253A0F"/>
    <w:rsid w:val="0025487C"/>
    <w:rsid w:val="00254EEB"/>
    <w:rsid w:val="00255046"/>
    <w:rsid w:val="0025560B"/>
    <w:rsid w:val="00255C62"/>
    <w:rsid w:val="00255C67"/>
    <w:rsid w:val="0025613F"/>
    <w:rsid w:val="00256FFF"/>
    <w:rsid w:val="00257003"/>
    <w:rsid w:val="00257B03"/>
    <w:rsid w:val="00257C18"/>
    <w:rsid w:val="00257C43"/>
    <w:rsid w:val="00257F91"/>
    <w:rsid w:val="00257FBD"/>
    <w:rsid w:val="00260BED"/>
    <w:rsid w:val="00260C4D"/>
    <w:rsid w:val="00260CD7"/>
    <w:rsid w:val="00260FA5"/>
    <w:rsid w:val="00261DC6"/>
    <w:rsid w:val="00262C13"/>
    <w:rsid w:val="002637C5"/>
    <w:rsid w:val="00264623"/>
    <w:rsid w:val="00264773"/>
    <w:rsid w:val="00264D09"/>
    <w:rsid w:val="00264E52"/>
    <w:rsid w:val="00266304"/>
    <w:rsid w:val="0026683B"/>
    <w:rsid w:val="00267064"/>
    <w:rsid w:val="00267AE1"/>
    <w:rsid w:val="00267B57"/>
    <w:rsid w:val="00270A52"/>
    <w:rsid w:val="00270BBC"/>
    <w:rsid w:val="00270C8D"/>
    <w:rsid w:val="00270D11"/>
    <w:rsid w:val="00271574"/>
    <w:rsid w:val="00271B26"/>
    <w:rsid w:val="002724D5"/>
    <w:rsid w:val="002733D2"/>
    <w:rsid w:val="002739EC"/>
    <w:rsid w:val="002745EE"/>
    <w:rsid w:val="00275217"/>
    <w:rsid w:val="0027575E"/>
    <w:rsid w:val="002764F6"/>
    <w:rsid w:val="00276C8A"/>
    <w:rsid w:val="00277179"/>
    <w:rsid w:val="00277D40"/>
    <w:rsid w:val="002801F4"/>
    <w:rsid w:val="00280B5B"/>
    <w:rsid w:val="00280D8D"/>
    <w:rsid w:val="00281158"/>
    <w:rsid w:val="00281DCF"/>
    <w:rsid w:val="00281E4C"/>
    <w:rsid w:val="00282851"/>
    <w:rsid w:val="002829B7"/>
    <w:rsid w:val="00283134"/>
    <w:rsid w:val="0028342E"/>
    <w:rsid w:val="002836DF"/>
    <w:rsid w:val="00284B64"/>
    <w:rsid w:val="00284D22"/>
    <w:rsid w:val="0028570D"/>
    <w:rsid w:val="00285716"/>
    <w:rsid w:val="002861AB"/>
    <w:rsid w:val="002866EA"/>
    <w:rsid w:val="00286E29"/>
    <w:rsid w:val="00287081"/>
    <w:rsid w:val="00287596"/>
    <w:rsid w:val="00287E1E"/>
    <w:rsid w:val="00290537"/>
    <w:rsid w:val="00290C82"/>
    <w:rsid w:val="00290F18"/>
    <w:rsid w:val="002923DF"/>
    <w:rsid w:val="0029289C"/>
    <w:rsid w:val="002928F4"/>
    <w:rsid w:val="00292DD5"/>
    <w:rsid w:val="002938FE"/>
    <w:rsid w:val="00293B67"/>
    <w:rsid w:val="00293C37"/>
    <w:rsid w:val="00294B08"/>
    <w:rsid w:val="0029511D"/>
    <w:rsid w:val="00295945"/>
    <w:rsid w:val="00295ECE"/>
    <w:rsid w:val="00296EB5"/>
    <w:rsid w:val="00297598"/>
    <w:rsid w:val="002A0089"/>
    <w:rsid w:val="002A035B"/>
    <w:rsid w:val="002A1F6F"/>
    <w:rsid w:val="002A2035"/>
    <w:rsid w:val="002A3301"/>
    <w:rsid w:val="002A3401"/>
    <w:rsid w:val="002A391F"/>
    <w:rsid w:val="002A4503"/>
    <w:rsid w:val="002A4759"/>
    <w:rsid w:val="002A5CF9"/>
    <w:rsid w:val="002A66C3"/>
    <w:rsid w:val="002A70C8"/>
    <w:rsid w:val="002A78B9"/>
    <w:rsid w:val="002A7F17"/>
    <w:rsid w:val="002B05B8"/>
    <w:rsid w:val="002B144A"/>
    <w:rsid w:val="002B16A0"/>
    <w:rsid w:val="002B24B0"/>
    <w:rsid w:val="002B3DFB"/>
    <w:rsid w:val="002B4941"/>
    <w:rsid w:val="002B501B"/>
    <w:rsid w:val="002B5D74"/>
    <w:rsid w:val="002B67CA"/>
    <w:rsid w:val="002B6817"/>
    <w:rsid w:val="002B6C43"/>
    <w:rsid w:val="002B6C93"/>
    <w:rsid w:val="002B712B"/>
    <w:rsid w:val="002B73E9"/>
    <w:rsid w:val="002B76C9"/>
    <w:rsid w:val="002B7ADB"/>
    <w:rsid w:val="002C00AD"/>
    <w:rsid w:val="002C00F5"/>
    <w:rsid w:val="002C14C1"/>
    <w:rsid w:val="002C1543"/>
    <w:rsid w:val="002C17C7"/>
    <w:rsid w:val="002C1A20"/>
    <w:rsid w:val="002C1D2F"/>
    <w:rsid w:val="002C27AA"/>
    <w:rsid w:val="002C36C5"/>
    <w:rsid w:val="002C4354"/>
    <w:rsid w:val="002C6654"/>
    <w:rsid w:val="002C7C13"/>
    <w:rsid w:val="002C7C2B"/>
    <w:rsid w:val="002C7D13"/>
    <w:rsid w:val="002D0339"/>
    <w:rsid w:val="002D0EF2"/>
    <w:rsid w:val="002D1242"/>
    <w:rsid w:val="002D1358"/>
    <w:rsid w:val="002D19F8"/>
    <w:rsid w:val="002D1AFD"/>
    <w:rsid w:val="002D1E7D"/>
    <w:rsid w:val="002D23E6"/>
    <w:rsid w:val="002D24AC"/>
    <w:rsid w:val="002D2A10"/>
    <w:rsid w:val="002D2FCA"/>
    <w:rsid w:val="002D3CE9"/>
    <w:rsid w:val="002D4BD3"/>
    <w:rsid w:val="002D6432"/>
    <w:rsid w:val="002D7823"/>
    <w:rsid w:val="002E0345"/>
    <w:rsid w:val="002E096C"/>
    <w:rsid w:val="002E31B6"/>
    <w:rsid w:val="002E36F0"/>
    <w:rsid w:val="002E4293"/>
    <w:rsid w:val="002E4C2D"/>
    <w:rsid w:val="002E5285"/>
    <w:rsid w:val="002E58D4"/>
    <w:rsid w:val="002E5980"/>
    <w:rsid w:val="002E5DEA"/>
    <w:rsid w:val="002E6664"/>
    <w:rsid w:val="002E724A"/>
    <w:rsid w:val="002E7622"/>
    <w:rsid w:val="002F0155"/>
    <w:rsid w:val="002F078A"/>
    <w:rsid w:val="002F1DA1"/>
    <w:rsid w:val="002F26E6"/>
    <w:rsid w:val="002F28BE"/>
    <w:rsid w:val="002F311E"/>
    <w:rsid w:val="002F313A"/>
    <w:rsid w:val="002F3264"/>
    <w:rsid w:val="002F345B"/>
    <w:rsid w:val="002F36B5"/>
    <w:rsid w:val="002F4437"/>
    <w:rsid w:val="002F4515"/>
    <w:rsid w:val="002F5BA0"/>
    <w:rsid w:val="002F5FEC"/>
    <w:rsid w:val="002F6582"/>
    <w:rsid w:val="002F71B8"/>
    <w:rsid w:val="002F71F4"/>
    <w:rsid w:val="002F7AF0"/>
    <w:rsid w:val="00300231"/>
    <w:rsid w:val="00300256"/>
    <w:rsid w:val="0030141C"/>
    <w:rsid w:val="00301706"/>
    <w:rsid w:val="003018A9"/>
    <w:rsid w:val="00301DBE"/>
    <w:rsid w:val="00301E27"/>
    <w:rsid w:val="00301EA1"/>
    <w:rsid w:val="00301F26"/>
    <w:rsid w:val="0030276F"/>
    <w:rsid w:val="003027FC"/>
    <w:rsid w:val="00302FCC"/>
    <w:rsid w:val="003032F7"/>
    <w:rsid w:val="003036E8"/>
    <w:rsid w:val="00304578"/>
    <w:rsid w:val="00305B3B"/>
    <w:rsid w:val="00305D93"/>
    <w:rsid w:val="00305E3F"/>
    <w:rsid w:val="003062AE"/>
    <w:rsid w:val="00306DFC"/>
    <w:rsid w:val="003100C5"/>
    <w:rsid w:val="0031033B"/>
    <w:rsid w:val="00310E37"/>
    <w:rsid w:val="00311015"/>
    <w:rsid w:val="003123C7"/>
    <w:rsid w:val="00312885"/>
    <w:rsid w:val="00312F31"/>
    <w:rsid w:val="0031307C"/>
    <w:rsid w:val="00313E3D"/>
    <w:rsid w:val="003144F2"/>
    <w:rsid w:val="003146BD"/>
    <w:rsid w:val="0031480D"/>
    <w:rsid w:val="00314BFC"/>
    <w:rsid w:val="00315514"/>
    <w:rsid w:val="00315C7D"/>
    <w:rsid w:val="00316114"/>
    <w:rsid w:val="00316C91"/>
    <w:rsid w:val="00316D26"/>
    <w:rsid w:val="00317E18"/>
    <w:rsid w:val="0032010D"/>
    <w:rsid w:val="003208AE"/>
    <w:rsid w:val="003208DD"/>
    <w:rsid w:val="003208DE"/>
    <w:rsid w:val="00320D6D"/>
    <w:rsid w:val="003218AE"/>
    <w:rsid w:val="00323A5B"/>
    <w:rsid w:val="00323CDD"/>
    <w:rsid w:val="00323DA0"/>
    <w:rsid w:val="00323FAB"/>
    <w:rsid w:val="00324141"/>
    <w:rsid w:val="0032468C"/>
    <w:rsid w:val="00324B79"/>
    <w:rsid w:val="00324DC5"/>
    <w:rsid w:val="003254F1"/>
    <w:rsid w:val="0032567F"/>
    <w:rsid w:val="0032595D"/>
    <w:rsid w:val="00325C94"/>
    <w:rsid w:val="00326B40"/>
    <w:rsid w:val="00327AD7"/>
    <w:rsid w:val="00327E87"/>
    <w:rsid w:val="00330EAC"/>
    <w:rsid w:val="00331A16"/>
    <w:rsid w:val="00331E46"/>
    <w:rsid w:val="00331F4C"/>
    <w:rsid w:val="00332DE9"/>
    <w:rsid w:val="00332F38"/>
    <w:rsid w:val="00333579"/>
    <w:rsid w:val="003336EC"/>
    <w:rsid w:val="00333AB1"/>
    <w:rsid w:val="00333C84"/>
    <w:rsid w:val="00334ACF"/>
    <w:rsid w:val="00334FB0"/>
    <w:rsid w:val="003362A8"/>
    <w:rsid w:val="00337141"/>
    <w:rsid w:val="00337669"/>
    <w:rsid w:val="003403D4"/>
    <w:rsid w:val="00341A14"/>
    <w:rsid w:val="00341F10"/>
    <w:rsid w:val="003437A1"/>
    <w:rsid w:val="00344439"/>
    <w:rsid w:val="003447E7"/>
    <w:rsid w:val="003448D4"/>
    <w:rsid w:val="0034499F"/>
    <w:rsid w:val="00345C1F"/>
    <w:rsid w:val="00345E01"/>
    <w:rsid w:val="003470E6"/>
    <w:rsid w:val="003479D4"/>
    <w:rsid w:val="00347D71"/>
    <w:rsid w:val="0035045D"/>
    <w:rsid w:val="0035046D"/>
    <w:rsid w:val="0035092E"/>
    <w:rsid w:val="00350EFD"/>
    <w:rsid w:val="00351381"/>
    <w:rsid w:val="00351BE7"/>
    <w:rsid w:val="00352BDC"/>
    <w:rsid w:val="003530A6"/>
    <w:rsid w:val="00353627"/>
    <w:rsid w:val="003541E3"/>
    <w:rsid w:val="0035468D"/>
    <w:rsid w:val="00354C7E"/>
    <w:rsid w:val="00354D9B"/>
    <w:rsid w:val="00354E8F"/>
    <w:rsid w:val="00355773"/>
    <w:rsid w:val="00355989"/>
    <w:rsid w:val="00355A33"/>
    <w:rsid w:val="00355F72"/>
    <w:rsid w:val="00355FD1"/>
    <w:rsid w:val="00356FC7"/>
    <w:rsid w:val="00357657"/>
    <w:rsid w:val="00357E32"/>
    <w:rsid w:val="00360885"/>
    <w:rsid w:val="00360E8C"/>
    <w:rsid w:val="00362F81"/>
    <w:rsid w:val="00363101"/>
    <w:rsid w:val="003639A6"/>
    <w:rsid w:val="003640D9"/>
    <w:rsid w:val="003645D5"/>
    <w:rsid w:val="00366739"/>
    <w:rsid w:val="00367155"/>
    <w:rsid w:val="003675DE"/>
    <w:rsid w:val="003679AE"/>
    <w:rsid w:val="0037021D"/>
    <w:rsid w:val="00370688"/>
    <w:rsid w:val="003714BA"/>
    <w:rsid w:val="00371961"/>
    <w:rsid w:val="00372288"/>
    <w:rsid w:val="003724E0"/>
    <w:rsid w:val="0037425F"/>
    <w:rsid w:val="003747ED"/>
    <w:rsid w:val="00374CDF"/>
    <w:rsid w:val="00375052"/>
    <w:rsid w:val="003750EE"/>
    <w:rsid w:val="00375EF6"/>
    <w:rsid w:val="00376372"/>
    <w:rsid w:val="003774BE"/>
    <w:rsid w:val="00377679"/>
    <w:rsid w:val="0038015E"/>
    <w:rsid w:val="003813FB"/>
    <w:rsid w:val="0038281C"/>
    <w:rsid w:val="00382943"/>
    <w:rsid w:val="00383151"/>
    <w:rsid w:val="00383186"/>
    <w:rsid w:val="00384C2D"/>
    <w:rsid w:val="0038516B"/>
    <w:rsid w:val="003854C5"/>
    <w:rsid w:val="00385A64"/>
    <w:rsid w:val="00386D1A"/>
    <w:rsid w:val="0039045D"/>
    <w:rsid w:val="00391479"/>
    <w:rsid w:val="00391726"/>
    <w:rsid w:val="0039182E"/>
    <w:rsid w:val="00391AFB"/>
    <w:rsid w:val="0039208B"/>
    <w:rsid w:val="00392D1C"/>
    <w:rsid w:val="00392DF8"/>
    <w:rsid w:val="003931D9"/>
    <w:rsid w:val="0039342B"/>
    <w:rsid w:val="003936F7"/>
    <w:rsid w:val="00393AF6"/>
    <w:rsid w:val="00393D8E"/>
    <w:rsid w:val="00394C83"/>
    <w:rsid w:val="00396339"/>
    <w:rsid w:val="00396863"/>
    <w:rsid w:val="00396D5D"/>
    <w:rsid w:val="00397170"/>
    <w:rsid w:val="0039730B"/>
    <w:rsid w:val="003A04B8"/>
    <w:rsid w:val="003A096A"/>
    <w:rsid w:val="003A1D39"/>
    <w:rsid w:val="003A29F1"/>
    <w:rsid w:val="003A30C2"/>
    <w:rsid w:val="003A317F"/>
    <w:rsid w:val="003A3433"/>
    <w:rsid w:val="003A4292"/>
    <w:rsid w:val="003A537E"/>
    <w:rsid w:val="003A5B91"/>
    <w:rsid w:val="003A6201"/>
    <w:rsid w:val="003A656F"/>
    <w:rsid w:val="003A660F"/>
    <w:rsid w:val="003A693E"/>
    <w:rsid w:val="003A79A4"/>
    <w:rsid w:val="003B00DB"/>
    <w:rsid w:val="003B06F4"/>
    <w:rsid w:val="003B095E"/>
    <w:rsid w:val="003B0EE4"/>
    <w:rsid w:val="003B1440"/>
    <w:rsid w:val="003B14FC"/>
    <w:rsid w:val="003B3266"/>
    <w:rsid w:val="003B3A47"/>
    <w:rsid w:val="003B3C35"/>
    <w:rsid w:val="003B47C5"/>
    <w:rsid w:val="003B51E2"/>
    <w:rsid w:val="003B5873"/>
    <w:rsid w:val="003B58C9"/>
    <w:rsid w:val="003B5B0B"/>
    <w:rsid w:val="003B5D40"/>
    <w:rsid w:val="003B6774"/>
    <w:rsid w:val="003B6C09"/>
    <w:rsid w:val="003B7303"/>
    <w:rsid w:val="003B7DD5"/>
    <w:rsid w:val="003C0127"/>
    <w:rsid w:val="003C055D"/>
    <w:rsid w:val="003C0EAF"/>
    <w:rsid w:val="003C1A9F"/>
    <w:rsid w:val="003C1D66"/>
    <w:rsid w:val="003C23AC"/>
    <w:rsid w:val="003C268A"/>
    <w:rsid w:val="003C34ED"/>
    <w:rsid w:val="003C3B0E"/>
    <w:rsid w:val="003C3EED"/>
    <w:rsid w:val="003C4158"/>
    <w:rsid w:val="003C54D2"/>
    <w:rsid w:val="003C5ABB"/>
    <w:rsid w:val="003C5E7B"/>
    <w:rsid w:val="003C777E"/>
    <w:rsid w:val="003C792E"/>
    <w:rsid w:val="003C7DE8"/>
    <w:rsid w:val="003D11A9"/>
    <w:rsid w:val="003D1451"/>
    <w:rsid w:val="003D1FB3"/>
    <w:rsid w:val="003D23A6"/>
    <w:rsid w:val="003D2A37"/>
    <w:rsid w:val="003D377F"/>
    <w:rsid w:val="003D3BE2"/>
    <w:rsid w:val="003D3E6A"/>
    <w:rsid w:val="003D3EFE"/>
    <w:rsid w:val="003D482A"/>
    <w:rsid w:val="003D4939"/>
    <w:rsid w:val="003D69EF"/>
    <w:rsid w:val="003E087D"/>
    <w:rsid w:val="003E0ADE"/>
    <w:rsid w:val="003E0CEF"/>
    <w:rsid w:val="003E0EDB"/>
    <w:rsid w:val="003E45AE"/>
    <w:rsid w:val="003E5172"/>
    <w:rsid w:val="003E51D2"/>
    <w:rsid w:val="003E5365"/>
    <w:rsid w:val="003E6196"/>
    <w:rsid w:val="003E6475"/>
    <w:rsid w:val="003E6742"/>
    <w:rsid w:val="003E740B"/>
    <w:rsid w:val="003F012B"/>
    <w:rsid w:val="003F018A"/>
    <w:rsid w:val="003F105A"/>
    <w:rsid w:val="003F291D"/>
    <w:rsid w:val="003F2CC6"/>
    <w:rsid w:val="003F4A50"/>
    <w:rsid w:val="003F57E6"/>
    <w:rsid w:val="003F6199"/>
    <w:rsid w:val="003F6387"/>
    <w:rsid w:val="003F66E1"/>
    <w:rsid w:val="003F6AD1"/>
    <w:rsid w:val="003F6C0E"/>
    <w:rsid w:val="003F6F3A"/>
    <w:rsid w:val="003F728B"/>
    <w:rsid w:val="003F7B97"/>
    <w:rsid w:val="00400331"/>
    <w:rsid w:val="00400921"/>
    <w:rsid w:val="00400C6D"/>
    <w:rsid w:val="00401E77"/>
    <w:rsid w:val="00402290"/>
    <w:rsid w:val="004033BF"/>
    <w:rsid w:val="004044F2"/>
    <w:rsid w:val="004049BE"/>
    <w:rsid w:val="00404AAD"/>
    <w:rsid w:val="00404B7C"/>
    <w:rsid w:val="00404C3E"/>
    <w:rsid w:val="004067E0"/>
    <w:rsid w:val="00407137"/>
    <w:rsid w:val="00407222"/>
    <w:rsid w:val="00407374"/>
    <w:rsid w:val="0040783F"/>
    <w:rsid w:val="004106D3"/>
    <w:rsid w:val="004112C2"/>
    <w:rsid w:val="004126A6"/>
    <w:rsid w:val="0041336E"/>
    <w:rsid w:val="00413982"/>
    <w:rsid w:val="00413FE6"/>
    <w:rsid w:val="0041408F"/>
    <w:rsid w:val="004146FC"/>
    <w:rsid w:val="00414755"/>
    <w:rsid w:val="0041498A"/>
    <w:rsid w:val="00414B94"/>
    <w:rsid w:val="00414FDC"/>
    <w:rsid w:val="004150E7"/>
    <w:rsid w:val="00415220"/>
    <w:rsid w:val="004152E6"/>
    <w:rsid w:val="00415864"/>
    <w:rsid w:val="004160AB"/>
    <w:rsid w:val="00416479"/>
    <w:rsid w:val="004167CF"/>
    <w:rsid w:val="00416858"/>
    <w:rsid w:val="0041685C"/>
    <w:rsid w:val="0041686F"/>
    <w:rsid w:val="00416894"/>
    <w:rsid w:val="00417851"/>
    <w:rsid w:val="0042002A"/>
    <w:rsid w:val="00420540"/>
    <w:rsid w:val="004213EC"/>
    <w:rsid w:val="00421450"/>
    <w:rsid w:val="00421AD7"/>
    <w:rsid w:val="00422564"/>
    <w:rsid w:val="00422A0B"/>
    <w:rsid w:val="00422F23"/>
    <w:rsid w:val="00422F46"/>
    <w:rsid w:val="00423F3A"/>
    <w:rsid w:val="0042426D"/>
    <w:rsid w:val="0042495A"/>
    <w:rsid w:val="00424E2D"/>
    <w:rsid w:val="00425029"/>
    <w:rsid w:val="004251C9"/>
    <w:rsid w:val="004251DE"/>
    <w:rsid w:val="00425D25"/>
    <w:rsid w:val="00426090"/>
    <w:rsid w:val="00426C29"/>
    <w:rsid w:val="00426CF2"/>
    <w:rsid w:val="00427E55"/>
    <w:rsid w:val="00427EA1"/>
    <w:rsid w:val="00430751"/>
    <w:rsid w:val="00431635"/>
    <w:rsid w:val="00432C0A"/>
    <w:rsid w:val="00432C95"/>
    <w:rsid w:val="00432CD2"/>
    <w:rsid w:val="00433181"/>
    <w:rsid w:val="004336D6"/>
    <w:rsid w:val="00434785"/>
    <w:rsid w:val="00434E8E"/>
    <w:rsid w:val="00434EC5"/>
    <w:rsid w:val="004356EF"/>
    <w:rsid w:val="0043696E"/>
    <w:rsid w:val="0043724F"/>
    <w:rsid w:val="00437A1A"/>
    <w:rsid w:val="00437BB5"/>
    <w:rsid w:val="00440013"/>
    <w:rsid w:val="00440655"/>
    <w:rsid w:val="004408C3"/>
    <w:rsid w:val="004408F3"/>
    <w:rsid w:val="00441CE7"/>
    <w:rsid w:val="00441E44"/>
    <w:rsid w:val="00442A05"/>
    <w:rsid w:val="004438FF"/>
    <w:rsid w:val="004439AD"/>
    <w:rsid w:val="004449ED"/>
    <w:rsid w:val="00445119"/>
    <w:rsid w:val="00445AE7"/>
    <w:rsid w:val="004468CD"/>
    <w:rsid w:val="00447EED"/>
    <w:rsid w:val="0045029B"/>
    <w:rsid w:val="004503C7"/>
    <w:rsid w:val="004504C1"/>
    <w:rsid w:val="00451599"/>
    <w:rsid w:val="0045389C"/>
    <w:rsid w:val="00453BAE"/>
    <w:rsid w:val="00453D59"/>
    <w:rsid w:val="004548E9"/>
    <w:rsid w:val="00456242"/>
    <w:rsid w:val="00456462"/>
    <w:rsid w:val="00456F76"/>
    <w:rsid w:val="00460B6A"/>
    <w:rsid w:val="00460DDB"/>
    <w:rsid w:val="004619BB"/>
    <w:rsid w:val="00462A22"/>
    <w:rsid w:val="00462B88"/>
    <w:rsid w:val="00463BC4"/>
    <w:rsid w:val="0046438F"/>
    <w:rsid w:val="0046491A"/>
    <w:rsid w:val="00464B92"/>
    <w:rsid w:val="004651E9"/>
    <w:rsid w:val="004655CF"/>
    <w:rsid w:val="00465D3F"/>
    <w:rsid w:val="0046600B"/>
    <w:rsid w:val="0046621E"/>
    <w:rsid w:val="004677D0"/>
    <w:rsid w:val="00467ADC"/>
    <w:rsid w:val="00470169"/>
    <w:rsid w:val="00470AEC"/>
    <w:rsid w:val="00470C8B"/>
    <w:rsid w:val="004723C1"/>
    <w:rsid w:val="00472D4D"/>
    <w:rsid w:val="00473128"/>
    <w:rsid w:val="00473E75"/>
    <w:rsid w:val="00474F96"/>
    <w:rsid w:val="00476F8C"/>
    <w:rsid w:val="0047709B"/>
    <w:rsid w:val="00477C72"/>
    <w:rsid w:val="00480876"/>
    <w:rsid w:val="00480A19"/>
    <w:rsid w:val="00480E95"/>
    <w:rsid w:val="00481549"/>
    <w:rsid w:val="00481E2F"/>
    <w:rsid w:val="00482E0C"/>
    <w:rsid w:val="00482F23"/>
    <w:rsid w:val="0048361D"/>
    <w:rsid w:val="0048527C"/>
    <w:rsid w:val="004852CF"/>
    <w:rsid w:val="00485543"/>
    <w:rsid w:val="00485B35"/>
    <w:rsid w:val="0048761C"/>
    <w:rsid w:val="0049056E"/>
    <w:rsid w:val="004908B7"/>
    <w:rsid w:val="00490A71"/>
    <w:rsid w:val="00490DAD"/>
    <w:rsid w:val="004919DD"/>
    <w:rsid w:val="00492E64"/>
    <w:rsid w:val="004935EF"/>
    <w:rsid w:val="00493C56"/>
    <w:rsid w:val="00493FDA"/>
    <w:rsid w:val="00494230"/>
    <w:rsid w:val="00494D28"/>
    <w:rsid w:val="00494F7C"/>
    <w:rsid w:val="00495519"/>
    <w:rsid w:val="004956CB"/>
    <w:rsid w:val="0049675B"/>
    <w:rsid w:val="00497114"/>
    <w:rsid w:val="00497D0B"/>
    <w:rsid w:val="00497DBB"/>
    <w:rsid w:val="004A0051"/>
    <w:rsid w:val="004A0270"/>
    <w:rsid w:val="004A0C6D"/>
    <w:rsid w:val="004A19F4"/>
    <w:rsid w:val="004A2289"/>
    <w:rsid w:val="004A273F"/>
    <w:rsid w:val="004A2926"/>
    <w:rsid w:val="004A2DF5"/>
    <w:rsid w:val="004A3D2B"/>
    <w:rsid w:val="004A3EB4"/>
    <w:rsid w:val="004A4EF3"/>
    <w:rsid w:val="004A530A"/>
    <w:rsid w:val="004A55C7"/>
    <w:rsid w:val="004A5746"/>
    <w:rsid w:val="004A6105"/>
    <w:rsid w:val="004A6E78"/>
    <w:rsid w:val="004A7A42"/>
    <w:rsid w:val="004A7A66"/>
    <w:rsid w:val="004B088E"/>
    <w:rsid w:val="004B0FD3"/>
    <w:rsid w:val="004B10A4"/>
    <w:rsid w:val="004B1F86"/>
    <w:rsid w:val="004B20F7"/>
    <w:rsid w:val="004B2F38"/>
    <w:rsid w:val="004B31CA"/>
    <w:rsid w:val="004B3C00"/>
    <w:rsid w:val="004B5491"/>
    <w:rsid w:val="004B6791"/>
    <w:rsid w:val="004B72FF"/>
    <w:rsid w:val="004B775F"/>
    <w:rsid w:val="004B7D80"/>
    <w:rsid w:val="004C059D"/>
    <w:rsid w:val="004C0705"/>
    <w:rsid w:val="004C0A67"/>
    <w:rsid w:val="004C0E15"/>
    <w:rsid w:val="004C1322"/>
    <w:rsid w:val="004C1C08"/>
    <w:rsid w:val="004C1D0C"/>
    <w:rsid w:val="004C2FF3"/>
    <w:rsid w:val="004C3B63"/>
    <w:rsid w:val="004C3C46"/>
    <w:rsid w:val="004C445C"/>
    <w:rsid w:val="004C5E37"/>
    <w:rsid w:val="004C5F62"/>
    <w:rsid w:val="004C60D7"/>
    <w:rsid w:val="004C61F2"/>
    <w:rsid w:val="004C69A7"/>
    <w:rsid w:val="004C766B"/>
    <w:rsid w:val="004C7705"/>
    <w:rsid w:val="004D1006"/>
    <w:rsid w:val="004D222D"/>
    <w:rsid w:val="004D25C8"/>
    <w:rsid w:val="004D28DA"/>
    <w:rsid w:val="004D2D24"/>
    <w:rsid w:val="004D38E7"/>
    <w:rsid w:val="004D45DF"/>
    <w:rsid w:val="004D5466"/>
    <w:rsid w:val="004D6068"/>
    <w:rsid w:val="004D79E1"/>
    <w:rsid w:val="004D7F30"/>
    <w:rsid w:val="004E0BD4"/>
    <w:rsid w:val="004E0C0B"/>
    <w:rsid w:val="004E1D1C"/>
    <w:rsid w:val="004E2125"/>
    <w:rsid w:val="004E2EF1"/>
    <w:rsid w:val="004E346E"/>
    <w:rsid w:val="004E4537"/>
    <w:rsid w:val="004E5645"/>
    <w:rsid w:val="004E5DAC"/>
    <w:rsid w:val="004E5F8F"/>
    <w:rsid w:val="004E6A1E"/>
    <w:rsid w:val="004E6CFF"/>
    <w:rsid w:val="004E6D75"/>
    <w:rsid w:val="004E7131"/>
    <w:rsid w:val="004E7AD4"/>
    <w:rsid w:val="004F0D62"/>
    <w:rsid w:val="004F0E2D"/>
    <w:rsid w:val="004F1802"/>
    <w:rsid w:val="004F3688"/>
    <w:rsid w:val="004F3AAE"/>
    <w:rsid w:val="004F3B64"/>
    <w:rsid w:val="004F4987"/>
    <w:rsid w:val="004F4BDE"/>
    <w:rsid w:val="004F6D92"/>
    <w:rsid w:val="004F6E4A"/>
    <w:rsid w:val="004F72FD"/>
    <w:rsid w:val="004F7C5D"/>
    <w:rsid w:val="004F7CAC"/>
    <w:rsid w:val="00500497"/>
    <w:rsid w:val="0050175A"/>
    <w:rsid w:val="00502E97"/>
    <w:rsid w:val="00502FB3"/>
    <w:rsid w:val="00503E77"/>
    <w:rsid w:val="00504BE6"/>
    <w:rsid w:val="00504DA3"/>
    <w:rsid w:val="00510630"/>
    <w:rsid w:val="00510B33"/>
    <w:rsid w:val="00510BD7"/>
    <w:rsid w:val="00511320"/>
    <w:rsid w:val="005119C9"/>
    <w:rsid w:val="005121C3"/>
    <w:rsid w:val="00513692"/>
    <w:rsid w:val="005139AD"/>
    <w:rsid w:val="00513DE8"/>
    <w:rsid w:val="005143F9"/>
    <w:rsid w:val="0051470B"/>
    <w:rsid w:val="00514E56"/>
    <w:rsid w:val="0051526B"/>
    <w:rsid w:val="0051534D"/>
    <w:rsid w:val="005159D9"/>
    <w:rsid w:val="005164D2"/>
    <w:rsid w:val="00516566"/>
    <w:rsid w:val="00516C57"/>
    <w:rsid w:val="005173CE"/>
    <w:rsid w:val="00517B5F"/>
    <w:rsid w:val="00517F70"/>
    <w:rsid w:val="0052005C"/>
    <w:rsid w:val="005203A0"/>
    <w:rsid w:val="00520713"/>
    <w:rsid w:val="005218C3"/>
    <w:rsid w:val="0052208F"/>
    <w:rsid w:val="00522FAF"/>
    <w:rsid w:val="00522FC5"/>
    <w:rsid w:val="00523B21"/>
    <w:rsid w:val="00523FA1"/>
    <w:rsid w:val="0052411E"/>
    <w:rsid w:val="00524144"/>
    <w:rsid w:val="0052439B"/>
    <w:rsid w:val="0052566A"/>
    <w:rsid w:val="00525A89"/>
    <w:rsid w:val="00526353"/>
    <w:rsid w:val="00526BEC"/>
    <w:rsid w:val="0052758B"/>
    <w:rsid w:val="0053049B"/>
    <w:rsid w:val="00531C11"/>
    <w:rsid w:val="00531F75"/>
    <w:rsid w:val="0053211C"/>
    <w:rsid w:val="0053350B"/>
    <w:rsid w:val="00533562"/>
    <w:rsid w:val="0053370B"/>
    <w:rsid w:val="00535A10"/>
    <w:rsid w:val="00535C74"/>
    <w:rsid w:val="005361AB"/>
    <w:rsid w:val="005363A1"/>
    <w:rsid w:val="00537829"/>
    <w:rsid w:val="005416CF"/>
    <w:rsid w:val="00541868"/>
    <w:rsid w:val="00541D43"/>
    <w:rsid w:val="00542068"/>
    <w:rsid w:val="0054214D"/>
    <w:rsid w:val="005422A8"/>
    <w:rsid w:val="00543431"/>
    <w:rsid w:val="005439E5"/>
    <w:rsid w:val="00543AF9"/>
    <w:rsid w:val="0054450B"/>
    <w:rsid w:val="00544C74"/>
    <w:rsid w:val="00544DE1"/>
    <w:rsid w:val="00545978"/>
    <w:rsid w:val="00545A93"/>
    <w:rsid w:val="00545E69"/>
    <w:rsid w:val="00546701"/>
    <w:rsid w:val="00547FC0"/>
    <w:rsid w:val="00551538"/>
    <w:rsid w:val="00551DCF"/>
    <w:rsid w:val="005526EC"/>
    <w:rsid w:val="00552C63"/>
    <w:rsid w:val="00552C9C"/>
    <w:rsid w:val="0055323C"/>
    <w:rsid w:val="005535A0"/>
    <w:rsid w:val="0055373C"/>
    <w:rsid w:val="00554A43"/>
    <w:rsid w:val="00554E1B"/>
    <w:rsid w:val="0055532F"/>
    <w:rsid w:val="005558A9"/>
    <w:rsid w:val="00555C53"/>
    <w:rsid w:val="0055633E"/>
    <w:rsid w:val="00556549"/>
    <w:rsid w:val="00556EBA"/>
    <w:rsid w:val="005574A9"/>
    <w:rsid w:val="00557628"/>
    <w:rsid w:val="0055780A"/>
    <w:rsid w:val="00557D6B"/>
    <w:rsid w:val="00557DD1"/>
    <w:rsid w:val="00560B4A"/>
    <w:rsid w:val="00560BC3"/>
    <w:rsid w:val="00560CEF"/>
    <w:rsid w:val="005617DF"/>
    <w:rsid w:val="00561D24"/>
    <w:rsid w:val="005625AC"/>
    <w:rsid w:val="00562B7C"/>
    <w:rsid w:val="0056360D"/>
    <w:rsid w:val="00563B64"/>
    <w:rsid w:val="0056429D"/>
    <w:rsid w:val="005643D7"/>
    <w:rsid w:val="005645DC"/>
    <w:rsid w:val="00564B45"/>
    <w:rsid w:val="00564F67"/>
    <w:rsid w:val="0056537E"/>
    <w:rsid w:val="00566412"/>
    <w:rsid w:val="00566926"/>
    <w:rsid w:val="0056743A"/>
    <w:rsid w:val="00567BA5"/>
    <w:rsid w:val="00571340"/>
    <w:rsid w:val="00572EAC"/>
    <w:rsid w:val="0057324A"/>
    <w:rsid w:val="005738A6"/>
    <w:rsid w:val="00573D99"/>
    <w:rsid w:val="005744B5"/>
    <w:rsid w:val="00574904"/>
    <w:rsid w:val="00575488"/>
    <w:rsid w:val="00575BEC"/>
    <w:rsid w:val="00576ADE"/>
    <w:rsid w:val="00576CCE"/>
    <w:rsid w:val="00577726"/>
    <w:rsid w:val="00577CFD"/>
    <w:rsid w:val="00577DEF"/>
    <w:rsid w:val="005803C9"/>
    <w:rsid w:val="00581B91"/>
    <w:rsid w:val="00581FED"/>
    <w:rsid w:val="00582278"/>
    <w:rsid w:val="00583297"/>
    <w:rsid w:val="00583544"/>
    <w:rsid w:val="00583F69"/>
    <w:rsid w:val="00585066"/>
    <w:rsid w:val="0058753A"/>
    <w:rsid w:val="0059003D"/>
    <w:rsid w:val="00590A47"/>
    <w:rsid w:val="00590FAF"/>
    <w:rsid w:val="00591522"/>
    <w:rsid w:val="00591D82"/>
    <w:rsid w:val="005923EC"/>
    <w:rsid w:val="005927DE"/>
    <w:rsid w:val="00592FC3"/>
    <w:rsid w:val="00593A80"/>
    <w:rsid w:val="005944D3"/>
    <w:rsid w:val="00595A97"/>
    <w:rsid w:val="00595C7C"/>
    <w:rsid w:val="00596453"/>
    <w:rsid w:val="00597972"/>
    <w:rsid w:val="00597FAB"/>
    <w:rsid w:val="005A20B7"/>
    <w:rsid w:val="005A30C7"/>
    <w:rsid w:val="005A310D"/>
    <w:rsid w:val="005A3281"/>
    <w:rsid w:val="005A4C43"/>
    <w:rsid w:val="005A4DA7"/>
    <w:rsid w:val="005A4FFB"/>
    <w:rsid w:val="005A5831"/>
    <w:rsid w:val="005A5843"/>
    <w:rsid w:val="005A61D3"/>
    <w:rsid w:val="005A7821"/>
    <w:rsid w:val="005A7F22"/>
    <w:rsid w:val="005B0A6E"/>
    <w:rsid w:val="005B0E64"/>
    <w:rsid w:val="005B104C"/>
    <w:rsid w:val="005B300C"/>
    <w:rsid w:val="005B5C30"/>
    <w:rsid w:val="005B5DED"/>
    <w:rsid w:val="005B61EA"/>
    <w:rsid w:val="005B7B12"/>
    <w:rsid w:val="005C1E6D"/>
    <w:rsid w:val="005C2085"/>
    <w:rsid w:val="005C3A10"/>
    <w:rsid w:val="005C407E"/>
    <w:rsid w:val="005C446F"/>
    <w:rsid w:val="005C586F"/>
    <w:rsid w:val="005C696F"/>
    <w:rsid w:val="005C6A66"/>
    <w:rsid w:val="005C793C"/>
    <w:rsid w:val="005D0BC0"/>
    <w:rsid w:val="005D1319"/>
    <w:rsid w:val="005D1D5F"/>
    <w:rsid w:val="005D221F"/>
    <w:rsid w:val="005D24CB"/>
    <w:rsid w:val="005D32D6"/>
    <w:rsid w:val="005D367F"/>
    <w:rsid w:val="005D4630"/>
    <w:rsid w:val="005D50E9"/>
    <w:rsid w:val="005D5BA1"/>
    <w:rsid w:val="005D697E"/>
    <w:rsid w:val="005D7A84"/>
    <w:rsid w:val="005E0487"/>
    <w:rsid w:val="005E055E"/>
    <w:rsid w:val="005E076D"/>
    <w:rsid w:val="005E18D0"/>
    <w:rsid w:val="005E1E5B"/>
    <w:rsid w:val="005E2B81"/>
    <w:rsid w:val="005E3983"/>
    <w:rsid w:val="005E49B2"/>
    <w:rsid w:val="005E588D"/>
    <w:rsid w:val="005E6358"/>
    <w:rsid w:val="005E663B"/>
    <w:rsid w:val="005E6707"/>
    <w:rsid w:val="005E6B0B"/>
    <w:rsid w:val="005F0077"/>
    <w:rsid w:val="005F022D"/>
    <w:rsid w:val="005F0AE8"/>
    <w:rsid w:val="005F0BB6"/>
    <w:rsid w:val="005F0D85"/>
    <w:rsid w:val="005F1209"/>
    <w:rsid w:val="005F1369"/>
    <w:rsid w:val="005F15C1"/>
    <w:rsid w:val="005F1FD6"/>
    <w:rsid w:val="005F228D"/>
    <w:rsid w:val="005F2515"/>
    <w:rsid w:val="005F2A6B"/>
    <w:rsid w:val="005F2A8A"/>
    <w:rsid w:val="005F3366"/>
    <w:rsid w:val="005F386C"/>
    <w:rsid w:val="005F38C0"/>
    <w:rsid w:val="005F3936"/>
    <w:rsid w:val="005F40C1"/>
    <w:rsid w:val="005F5F97"/>
    <w:rsid w:val="005F6782"/>
    <w:rsid w:val="005F75EC"/>
    <w:rsid w:val="005F79CB"/>
    <w:rsid w:val="00600294"/>
    <w:rsid w:val="006003B0"/>
    <w:rsid w:val="00600A39"/>
    <w:rsid w:val="00601040"/>
    <w:rsid w:val="00601243"/>
    <w:rsid w:val="006024D3"/>
    <w:rsid w:val="00602904"/>
    <w:rsid w:val="0060293B"/>
    <w:rsid w:val="00602FC1"/>
    <w:rsid w:val="006038C7"/>
    <w:rsid w:val="00604F01"/>
    <w:rsid w:val="006052AB"/>
    <w:rsid w:val="0060593F"/>
    <w:rsid w:val="00605962"/>
    <w:rsid w:val="00606EF9"/>
    <w:rsid w:val="0060706A"/>
    <w:rsid w:val="00607758"/>
    <w:rsid w:val="0060786C"/>
    <w:rsid w:val="00610411"/>
    <w:rsid w:val="00610582"/>
    <w:rsid w:val="00610674"/>
    <w:rsid w:val="00610D5E"/>
    <w:rsid w:val="006110E8"/>
    <w:rsid w:val="00611138"/>
    <w:rsid w:val="006112E3"/>
    <w:rsid w:val="00613467"/>
    <w:rsid w:val="00613A65"/>
    <w:rsid w:val="00614C6B"/>
    <w:rsid w:val="0061550C"/>
    <w:rsid w:val="00615A6C"/>
    <w:rsid w:val="006169F7"/>
    <w:rsid w:val="00616C56"/>
    <w:rsid w:val="0061733D"/>
    <w:rsid w:val="00617471"/>
    <w:rsid w:val="0062027A"/>
    <w:rsid w:val="006219F3"/>
    <w:rsid w:val="006226B4"/>
    <w:rsid w:val="00622C6F"/>
    <w:rsid w:val="00623092"/>
    <w:rsid w:val="00623454"/>
    <w:rsid w:val="0062398E"/>
    <w:rsid w:val="00624315"/>
    <w:rsid w:val="006245AB"/>
    <w:rsid w:val="00624778"/>
    <w:rsid w:val="00624C1E"/>
    <w:rsid w:val="00624FDA"/>
    <w:rsid w:val="0062545B"/>
    <w:rsid w:val="0062552A"/>
    <w:rsid w:val="00625B0E"/>
    <w:rsid w:val="0062628B"/>
    <w:rsid w:val="00626B8A"/>
    <w:rsid w:val="0062726F"/>
    <w:rsid w:val="00627CBD"/>
    <w:rsid w:val="00627EB9"/>
    <w:rsid w:val="00630496"/>
    <w:rsid w:val="00630BCA"/>
    <w:rsid w:val="00631D63"/>
    <w:rsid w:val="0063224D"/>
    <w:rsid w:val="00632AF9"/>
    <w:rsid w:val="00632FC2"/>
    <w:rsid w:val="006332BE"/>
    <w:rsid w:val="00634480"/>
    <w:rsid w:val="00634F8B"/>
    <w:rsid w:val="006362A6"/>
    <w:rsid w:val="00636B09"/>
    <w:rsid w:val="00637B56"/>
    <w:rsid w:val="00637C5B"/>
    <w:rsid w:val="00637ED4"/>
    <w:rsid w:val="006408C3"/>
    <w:rsid w:val="00640E3F"/>
    <w:rsid w:val="00640E65"/>
    <w:rsid w:val="00641995"/>
    <w:rsid w:val="00641F9D"/>
    <w:rsid w:val="0064235C"/>
    <w:rsid w:val="006425A2"/>
    <w:rsid w:val="006427E9"/>
    <w:rsid w:val="0064290C"/>
    <w:rsid w:val="00642A03"/>
    <w:rsid w:val="00643430"/>
    <w:rsid w:val="0064344A"/>
    <w:rsid w:val="006436B7"/>
    <w:rsid w:val="006448C0"/>
    <w:rsid w:val="00644B1E"/>
    <w:rsid w:val="00645AB3"/>
    <w:rsid w:val="00645C65"/>
    <w:rsid w:val="0064602F"/>
    <w:rsid w:val="0064620D"/>
    <w:rsid w:val="00646D7F"/>
    <w:rsid w:val="0064719A"/>
    <w:rsid w:val="0064764F"/>
    <w:rsid w:val="006500FE"/>
    <w:rsid w:val="00650329"/>
    <w:rsid w:val="006512E9"/>
    <w:rsid w:val="00651BCD"/>
    <w:rsid w:val="0065226B"/>
    <w:rsid w:val="00653A2A"/>
    <w:rsid w:val="0065509E"/>
    <w:rsid w:val="00655158"/>
    <w:rsid w:val="006559CD"/>
    <w:rsid w:val="00655C76"/>
    <w:rsid w:val="00656A27"/>
    <w:rsid w:val="00657754"/>
    <w:rsid w:val="00657DCB"/>
    <w:rsid w:val="00660134"/>
    <w:rsid w:val="00660B18"/>
    <w:rsid w:val="006618AA"/>
    <w:rsid w:val="00662365"/>
    <w:rsid w:val="00662932"/>
    <w:rsid w:val="00662DFF"/>
    <w:rsid w:val="0066359D"/>
    <w:rsid w:val="006638E8"/>
    <w:rsid w:val="00663EA5"/>
    <w:rsid w:val="00664356"/>
    <w:rsid w:val="00665509"/>
    <w:rsid w:val="0066583B"/>
    <w:rsid w:val="00665A4E"/>
    <w:rsid w:val="00665FC6"/>
    <w:rsid w:val="00666628"/>
    <w:rsid w:val="006667D8"/>
    <w:rsid w:val="00667104"/>
    <w:rsid w:val="00667CBF"/>
    <w:rsid w:val="00667E71"/>
    <w:rsid w:val="006719D8"/>
    <w:rsid w:val="00671A3B"/>
    <w:rsid w:val="00672120"/>
    <w:rsid w:val="00672B79"/>
    <w:rsid w:val="00672EE4"/>
    <w:rsid w:val="0067327D"/>
    <w:rsid w:val="00673352"/>
    <w:rsid w:val="00673676"/>
    <w:rsid w:val="00673843"/>
    <w:rsid w:val="00674CCB"/>
    <w:rsid w:val="00675C31"/>
    <w:rsid w:val="00676274"/>
    <w:rsid w:val="0067695F"/>
    <w:rsid w:val="006770D5"/>
    <w:rsid w:val="00677798"/>
    <w:rsid w:val="00677EBE"/>
    <w:rsid w:val="006802B5"/>
    <w:rsid w:val="006802DC"/>
    <w:rsid w:val="006812EE"/>
    <w:rsid w:val="00681836"/>
    <w:rsid w:val="00681C5B"/>
    <w:rsid w:val="006820DA"/>
    <w:rsid w:val="00682A78"/>
    <w:rsid w:val="0068368C"/>
    <w:rsid w:val="0068446B"/>
    <w:rsid w:val="0068464C"/>
    <w:rsid w:val="006856DD"/>
    <w:rsid w:val="006857C8"/>
    <w:rsid w:val="006860A4"/>
    <w:rsid w:val="00686444"/>
    <w:rsid w:val="0068650C"/>
    <w:rsid w:val="00686A71"/>
    <w:rsid w:val="0069036F"/>
    <w:rsid w:val="0069123E"/>
    <w:rsid w:val="00691656"/>
    <w:rsid w:val="00691913"/>
    <w:rsid w:val="00693399"/>
    <w:rsid w:val="00693560"/>
    <w:rsid w:val="00694050"/>
    <w:rsid w:val="0069459C"/>
    <w:rsid w:val="006960C9"/>
    <w:rsid w:val="006966D2"/>
    <w:rsid w:val="0069689D"/>
    <w:rsid w:val="006A0DE1"/>
    <w:rsid w:val="006A138B"/>
    <w:rsid w:val="006A1569"/>
    <w:rsid w:val="006A15B9"/>
    <w:rsid w:val="006A1844"/>
    <w:rsid w:val="006A264C"/>
    <w:rsid w:val="006A3D3D"/>
    <w:rsid w:val="006A49C2"/>
    <w:rsid w:val="006A58AE"/>
    <w:rsid w:val="006A5EE1"/>
    <w:rsid w:val="006A6C50"/>
    <w:rsid w:val="006A713D"/>
    <w:rsid w:val="006B0480"/>
    <w:rsid w:val="006B0DA8"/>
    <w:rsid w:val="006B134B"/>
    <w:rsid w:val="006B140A"/>
    <w:rsid w:val="006B2AC0"/>
    <w:rsid w:val="006B3ED1"/>
    <w:rsid w:val="006B430F"/>
    <w:rsid w:val="006B534D"/>
    <w:rsid w:val="006B5D29"/>
    <w:rsid w:val="006B5D4A"/>
    <w:rsid w:val="006B6044"/>
    <w:rsid w:val="006B6DE4"/>
    <w:rsid w:val="006B7977"/>
    <w:rsid w:val="006C014A"/>
    <w:rsid w:val="006C0974"/>
    <w:rsid w:val="006C1DE6"/>
    <w:rsid w:val="006C208A"/>
    <w:rsid w:val="006C232C"/>
    <w:rsid w:val="006C2465"/>
    <w:rsid w:val="006C26B4"/>
    <w:rsid w:val="006C28B0"/>
    <w:rsid w:val="006C3D62"/>
    <w:rsid w:val="006C3E2F"/>
    <w:rsid w:val="006C4906"/>
    <w:rsid w:val="006C4C8C"/>
    <w:rsid w:val="006C4E80"/>
    <w:rsid w:val="006C5053"/>
    <w:rsid w:val="006C6453"/>
    <w:rsid w:val="006C6A07"/>
    <w:rsid w:val="006C6AA6"/>
    <w:rsid w:val="006C73C4"/>
    <w:rsid w:val="006C7429"/>
    <w:rsid w:val="006C7667"/>
    <w:rsid w:val="006D031B"/>
    <w:rsid w:val="006D106C"/>
    <w:rsid w:val="006D139A"/>
    <w:rsid w:val="006D1D68"/>
    <w:rsid w:val="006D3271"/>
    <w:rsid w:val="006D33C5"/>
    <w:rsid w:val="006D406D"/>
    <w:rsid w:val="006D4E1F"/>
    <w:rsid w:val="006D5390"/>
    <w:rsid w:val="006D5984"/>
    <w:rsid w:val="006D5A41"/>
    <w:rsid w:val="006D5D03"/>
    <w:rsid w:val="006D5F43"/>
    <w:rsid w:val="006D6425"/>
    <w:rsid w:val="006D72BB"/>
    <w:rsid w:val="006D78D4"/>
    <w:rsid w:val="006D7D25"/>
    <w:rsid w:val="006E00ED"/>
    <w:rsid w:val="006E3156"/>
    <w:rsid w:val="006E43AD"/>
    <w:rsid w:val="006E4BB4"/>
    <w:rsid w:val="006E57D5"/>
    <w:rsid w:val="006E6CEF"/>
    <w:rsid w:val="006E7302"/>
    <w:rsid w:val="006E7904"/>
    <w:rsid w:val="006F0813"/>
    <w:rsid w:val="006F10C4"/>
    <w:rsid w:val="006F161E"/>
    <w:rsid w:val="006F1A1A"/>
    <w:rsid w:val="006F1BB3"/>
    <w:rsid w:val="006F2026"/>
    <w:rsid w:val="006F21CC"/>
    <w:rsid w:val="006F2B46"/>
    <w:rsid w:val="006F350A"/>
    <w:rsid w:val="006F49A9"/>
    <w:rsid w:val="006F4B0F"/>
    <w:rsid w:val="006F619B"/>
    <w:rsid w:val="00700376"/>
    <w:rsid w:val="00700FE7"/>
    <w:rsid w:val="007018AA"/>
    <w:rsid w:val="00702DBD"/>
    <w:rsid w:val="00703418"/>
    <w:rsid w:val="00703897"/>
    <w:rsid w:val="00706007"/>
    <w:rsid w:val="007061AA"/>
    <w:rsid w:val="007063D3"/>
    <w:rsid w:val="0070664B"/>
    <w:rsid w:val="0070672B"/>
    <w:rsid w:val="00706AA1"/>
    <w:rsid w:val="00707333"/>
    <w:rsid w:val="00707DC0"/>
    <w:rsid w:val="00710485"/>
    <w:rsid w:val="007109D8"/>
    <w:rsid w:val="007126F0"/>
    <w:rsid w:val="00712C73"/>
    <w:rsid w:val="0071362E"/>
    <w:rsid w:val="007140A9"/>
    <w:rsid w:val="00714E0D"/>
    <w:rsid w:val="00715033"/>
    <w:rsid w:val="007156B4"/>
    <w:rsid w:val="00715F9B"/>
    <w:rsid w:val="007177C6"/>
    <w:rsid w:val="00717C8E"/>
    <w:rsid w:val="00720356"/>
    <w:rsid w:val="00720AF4"/>
    <w:rsid w:val="00720B4C"/>
    <w:rsid w:val="00721D6C"/>
    <w:rsid w:val="00722107"/>
    <w:rsid w:val="00722446"/>
    <w:rsid w:val="00722E05"/>
    <w:rsid w:val="007231DF"/>
    <w:rsid w:val="007235FE"/>
    <w:rsid w:val="00723E1E"/>
    <w:rsid w:val="007241CF"/>
    <w:rsid w:val="007269F0"/>
    <w:rsid w:val="00726E27"/>
    <w:rsid w:val="007276A5"/>
    <w:rsid w:val="00727744"/>
    <w:rsid w:val="0073089A"/>
    <w:rsid w:val="00730A66"/>
    <w:rsid w:val="00730D7F"/>
    <w:rsid w:val="00731985"/>
    <w:rsid w:val="007325D3"/>
    <w:rsid w:val="00732A10"/>
    <w:rsid w:val="00734242"/>
    <w:rsid w:val="00734940"/>
    <w:rsid w:val="00735175"/>
    <w:rsid w:val="00735846"/>
    <w:rsid w:val="00735895"/>
    <w:rsid w:val="00735982"/>
    <w:rsid w:val="007364D7"/>
    <w:rsid w:val="00736E72"/>
    <w:rsid w:val="00736F40"/>
    <w:rsid w:val="0073766D"/>
    <w:rsid w:val="00737BC9"/>
    <w:rsid w:val="00737DFC"/>
    <w:rsid w:val="007408F2"/>
    <w:rsid w:val="00742887"/>
    <w:rsid w:val="00743477"/>
    <w:rsid w:val="00743B80"/>
    <w:rsid w:val="007442F2"/>
    <w:rsid w:val="00744AE1"/>
    <w:rsid w:val="00744E99"/>
    <w:rsid w:val="007452FD"/>
    <w:rsid w:val="00745430"/>
    <w:rsid w:val="007469AD"/>
    <w:rsid w:val="007500B7"/>
    <w:rsid w:val="007503C5"/>
    <w:rsid w:val="00750420"/>
    <w:rsid w:val="00750579"/>
    <w:rsid w:val="0075082C"/>
    <w:rsid w:val="007509A6"/>
    <w:rsid w:val="00750B5A"/>
    <w:rsid w:val="00750CE1"/>
    <w:rsid w:val="00751899"/>
    <w:rsid w:val="00751BF7"/>
    <w:rsid w:val="00751C6B"/>
    <w:rsid w:val="00751F15"/>
    <w:rsid w:val="00751F45"/>
    <w:rsid w:val="00752805"/>
    <w:rsid w:val="007539CE"/>
    <w:rsid w:val="0075485F"/>
    <w:rsid w:val="00755181"/>
    <w:rsid w:val="0075523D"/>
    <w:rsid w:val="00755A36"/>
    <w:rsid w:val="00755AC4"/>
    <w:rsid w:val="00756406"/>
    <w:rsid w:val="00756C0D"/>
    <w:rsid w:val="0075748A"/>
    <w:rsid w:val="00757931"/>
    <w:rsid w:val="007628C2"/>
    <w:rsid w:val="00763BFD"/>
    <w:rsid w:val="0076446C"/>
    <w:rsid w:val="007646BD"/>
    <w:rsid w:val="00770966"/>
    <w:rsid w:val="0077115F"/>
    <w:rsid w:val="00771299"/>
    <w:rsid w:val="00771560"/>
    <w:rsid w:val="007723E3"/>
    <w:rsid w:val="00772C70"/>
    <w:rsid w:val="00772D45"/>
    <w:rsid w:val="0077346C"/>
    <w:rsid w:val="0077357C"/>
    <w:rsid w:val="00774DC1"/>
    <w:rsid w:val="0077517A"/>
    <w:rsid w:val="0077548D"/>
    <w:rsid w:val="00776A07"/>
    <w:rsid w:val="007772AD"/>
    <w:rsid w:val="00777958"/>
    <w:rsid w:val="00777BA9"/>
    <w:rsid w:val="007800E4"/>
    <w:rsid w:val="007806A5"/>
    <w:rsid w:val="00780A0D"/>
    <w:rsid w:val="00781284"/>
    <w:rsid w:val="00781429"/>
    <w:rsid w:val="0078151A"/>
    <w:rsid w:val="00781777"/>
    <w:rsid w:val="00781EC7"/>
    <w:rsid w:val="00781F4B"/>
    <w:rsid w:val="0078218C"/>
    <w:rsid w:val="007837A0"/>
    <w:rsid w:val="007847FA"/>
    <w:rsid w:val="007850BE"/>
    <w:rsid w:val="00785B64"/>
    <w:rsid w:val="00785DC4"/>
    <w:rsid w:val="00786FFA"/>
    <w:rsid w:val="00787332"/>
    <w:rsid w:val="007874A0"/>
    <w:rsid w:val="00790910"/>
    <w:rsid w:val="00791028"/>
    <w:rsid w:val="0079138C"/>
    <w:rsid w:val="00791D8A"/>
    <w:rsid w:val="00791DE1"/>
    <w:rsid w:val="007920A6"/>
    <w:rsid w:val="007927EF"/>
    <w:rsid w:val="0079375E"/>
    <w:rsid w:val="00794CFB"/>
    <w:rsid w:val="0079515E"/>
    <w:rsid w:val="00795C4E"/>
    <w:rsid w:val="007964C3"/>
    <w:rsid w:val="00796FE4"/>
    <w:rsid w:val="0079742C"/>
    <w:rsid w:val="0079754C"/>
    <w:rsid w:val="00797B26"/>
    <w:rsid w:val="00797D36"/>
    <w:rsid w:val="007A0667"/>
    <w:rsid w:val="007A0797"/>
    <w:rsid w:val="007A0C94"/>
    <w:rsid w:val="007A1613"/>
    <w:rsid w:val="007A1731"/>
    <w:rsid w:val="007A19A1"/>
    <w:rsid w:val="007A321D"/>
    <w:rsid w:val="007A37EA"/>
    <w:rsid w:val="007A3A8C"/>
    <w:rsid w:val="007A4500"/>
    <w:rsid w:val="007A5292"/>
    <w:rsid w:val="007A557D"/>
    <w:rsid w:val="007A5FB6"/>
    <w:rsid w:val="007A6254"/>
    <w:rsid w:val="007A71FD"/>
    <w:rsid w:val="007B0B54"/>
    <w:rsid w:val="007B0E0C"/>
    <w:rsid w:val="007B1105"/>
    <w:rsid w:val="007B1320"/>
    <w:rsid w:val="007B146F"/>
    <w:rsid w:val="007B1B17"/>
    <w:rsid w:val="007B1E80"/>
    <w:rsid w:val="007B20A0"/>
    <w:rsid w:val="007B23AF"/>
    <w:rsid w:val="007B2AF8"/>
    <w:rsid w:val="007B3033"/>
    <w:rsid w:val="007B3103"/>
    <w:rsid w:val="007B327C"/>
    <w:rsid w:val="007B3993"/>
    <w:rsid w:val="007B3F11"/>
    <w:rsid w:val="007B41C9"/>
    <w:rsid w:val="007B67E4"/>
    <w:rsid w:val="007C0355"/>
    <w:rsid w:val="007C0486"/>
    <w:rsid w:val="007C0D0E"/>
    <w:rsid w:val="007C26E5"/>
    <w:rsid w:val="007C31EB"/>
    <w:rsid w:val="007C4A5B"/>
    <w:rsid w:val="007C52C6"/>
    <w:rsid w:val="007C5D16"/>
    <w:rsid w:val="007C6078"/>
    <w:rsid w:val="007C6B1D"/>
    <w:rsid w:val="007C720A"/>
    <w:rsid w:val="007C7499"/>
    <w:rsid w:val="007C74BD"/>
    <w:rsid w:val="007C7562"/>
    <w:rsid w:val="007D0004"/>
    <w:rsid w:val="007D1092"/>
    <w:rsid w:val="007D118C"/>
    <w:rsid w:val="007D146E"/>
    <w:rsid w:val="007D1924"/>
    <w:rsid w:val="007D2170"/>
    <w:rsid w:val="007D2621"/>
    <w:rsid w:val="007D291D"/>
    <w:rsid w:val="007D328C"/>
    <w:rsid w:val="007D3608"/>
    <w:rsid w:val="007D3F55"/>
    <w:rsid w:val="007D5CA8"/>
    <w:rsid w:val="007D6695"/>
    <w:rsid w:val="007D6780"/>
    <w:rsid w:val="007D6B9E"/>
    <w:rsid w:val="007D6E51"/>
    <w:rsid w:val="007D7382"/>
    <w:rsid w:val="007D76F9"/>
    <w:rsid w:val="007E0CAF"/>
    <w:rsid w:val="007E124D"/>
    <w:rsid w:val="007E1AD4"/>
    <w:rsid w:val="007E1BBE"/>
    <w:rsid w:val="007E2F09"/>
    <w:rsid w:val="007E351C"/>
    <w:rsid w:val="007E38F3"/>
    <w:rsid w:val="007E3F5E"/>
    <w:rsid w:val="007E48D1"/>
    <w:rsid w:val="007E5800"/>
    <w:rsid w:val="007E58EB"/>
    <w:rsid w:val="007E68F4"/>
    <w:rsid w:val="007E6D28"/>
    <w:rsid w:val="007E7FD1"/>
    <w:rsid w:val="007F08CA"/>
    <w:rsid w:val="007F0CE5"/>
    <w:rsid w:val="007F13BC"/>
    <w:rsid w:val="007F1EDE"/>
    <w:rsid w:val="007F2139"/>
    <w:rsid w:val="007F31B3"/>
    <w:rsid w:val="007F3B6E"/>
    <w:rsid w:val="007F4D18"/>
    <w:rsid w:val="007F4DAB"/>
    <w:rsid w:val="007F5025"/>
    <w:rsid w:val="007F6441"/>
    <w:rsid w:val="007F72FC"/>
    <w:rsid w:val="007F7AC2"/>
    <w:rsid w:val="00800057"/>
    <w:rsid w:val="008002AE"/>
    <w:rsid w:val="00801BCA"/>
    <w:rsid w:val="008021FA"/>
    <w:rsid w:val="008028AA"/>
    <w:rsid w:val="00802B63"/>
    <w:rsid w:val="00804885"/>
    <w:rsid w:val="0080590E"/>
    <w:rsid w:val="00806434"/>
    <w:rsid w:val="00806B0F"/>
    <w:rsid w:val="008070AC"/>
    <w:rsid w:val="00807559"/>
    <w:rsid w:val="008115C2"/>
    <w:rsid w:val="008117BF"/>
    <w:rsid w:val="008125C4"/>
    <w:rsid w:val="008127AA"/>
    <w:rsid w:val="00813218"/>
    <w:rsid w:val="00813288"/>
    <w:rsid w:val="0081380F"/>
    <w:rsid w:val="0081470E"/>
    <w:rsid w:val="00815160"/>
    <w:rsid w:val="008155A2"/>
    <w:rsid w:val="00816998"/>
    <w:rsid w:val="00816B19"/>
    <w:rsid w:val="00817085"/>
    <w:rsid w:val="008175BE"/>
    <w:rsid w:val="00817AD0"/>
    <w:rsid w:val="00820E7C"/>
    <w:rsid w:val="0082171E"/>
    <w:rsid w:val="00821992"/>
    <w:rsid w:val="00821A29"/>
    <w:rsid w:val="00822405"/>
    <w:rsid w:val="00822A97"/>
    <w:rsid w:val="00822D03"/>
    <w:rsid w:val="00823233"/>
    <w:rsid w:val="00823DE7"/>
    <w:rsid w:val="00824426"/>
    <w:rsid w:val="00824AF8"/>
    <w:rsid w:val="00824B0E"/>
    <w:rsid w:val="00824C9D"/>
    <w:rsid w:val="00824D25"/>
    <w:rsid w:val="00825528"/>
    <w:rsid w:val="008260B8"/>
    <w:rsid w:val="00826351"/>
    <w:rsid w:val="008264ED"/>
    <w:rsid w:val="008266AA"/>
    <w:rsid w:val="00827126"/>
    <w:rsid w:val="00827916"/>
    <w:rsid w:val="00827AEE"/>
    <w:rsid w:val="008304C1"/>
    <w:rsid w:val="00830597"/>
    <w:rsid w:val="00830E52"/>
    <w:rsid w:val="008314E5"/>
    <w:rsid w:val="0083158B"/>
    <w:rsid w:val="008320ED"/>
    <w:rsid w:val="0083233F"/>
    <w:rsid w:val="00832381"/>
    <w:rsid w:val="008324E3"/>
    <w:rsid w:val="00832DE2"/>
    <w:rsid w:val="00833013"/>
    <w:rsid w:val="00833E59"/>
    <w:rsid w:val="00833FE1"/>
    <w:rsid w:val="008347AD"/>
    <w:rsid w:val="008347AF"/>
    <w:rsid w:val="008353EF"/>
    <w:rsid w:val="0083669D"/>
    <w:rsid w:val="00836E8D"/>
    <w:rsid w:val="00837473"/>
    <w:rsid w:val="0083764D"/>
    <w:rsid w:val="00840A40"/>
    <w:rsid w:val="00842ACA"/>
    <w:rsid w:val="00843A36"/>
    <w:rsid w:val="00843F38"/>
    <w:rsid w:val="00844347"/>
    <w:rsid w:val="0084437F"/>
    <w:rsid w:val="00844813"/>
    <w:rsid w:val="008450F3"/>
    <w:rsid w:val="00845946"/>
    <w:rsid w:val="00845AD9"/>
    <w:rsid w:val="00846040"/>
    <w:rsid w:val="00847095"/>
    <w:rsid w:val="008473FC"/>
    <w:rsid w:val="008476A0"/>
    <w:rsid w:val="0085041B"/>
    <w:rsid w:val="008509E0"/>
    <w:rsid w:val="00850A19"/>
    <w:rsid w:val="0085101B"/>
    <w:rsid w:val="00851930"/>
    <w:rsid w:val="00851C5E"/>
    <w:rsid w:val="0085201C"/>
    <w:rsid w:val="008522CA"/>
    <w:rsid w:val="008526DA"/>
    <w:rsid w:val="00852994"/>
    <w:rsid w:val="00852F38"/>
    <w:rsid w:val="00854EF0"/>
    <w:rsid w:val="0085571C"/>
    <w:rsid w:val="0085660E"/>
    <w:rsid w:val="00856734"/>
    <w:rsid w:val="00856C34"/>
    <w:rsid w:val="008576AE"/>
    <w:rsid w:val="0086054E"/>
    <w:rsid w:val="0086103B"/>
    <w:rsid w:val="00861942"/>
    <w:rsid w:val="00861B16"/>
    <w:rsid w:val="008621C6"/>
    <w:rsid w:val="00862B69"/>
    <w:rsid w:val="008631B5"/>
    <w:rsid w:val="0086386E"/>
    <w:rsid w:val="00863E95"/>
    <w:rsid w:val="00863FB9"/>
    <w:rsid w:val="00864332"/>
    <w:rsid w:val="00865546"/>
    <w:rsid w:val="00865AF1"/>
    <w:rsid w:val="00865DC1"/>
    <w:rsid w:val="0086679F"/>
    <w:rsid w:val="008668B9"/>
    <w:rsid w:val="00867E67"/>
    <w:rsid w:val="00870112"/>
    <w:rsid w:val="0087036A"/>
    <w:rsid w:val="00870C8E"/>
    <w:rsid w:val="008712BE"/>
    <w:rsid w:val="00871646"/>
    <w:rsid w:val="00872675"/>
    <w:rsid w:val="00873486"/>
    <w:rsid w:val="0087365A"/>
    <w:rsid w:val="00874178"/>
    <w:rsid w:val="008742CD"/>
    <w:rsid w:val="008743C7"/>
    <w:rsid w:val="00874558"/>
    <w:rsid w:val="0087455D"/>
    <w:rsid w:val="00874CC2"/>
    <w:rsid w:val="008750F9"/>
    <w:rsid w:val="008751CA"/>
    <w:rsid w:val="00875341"/>
    <w:rsid w:val="0087536F"/>
    <w:rsid w:val="0087556D"/>
    <w:rsid w:val="00875D08"/>
    <w:rsid w:val="00876397"/>
    <w:rsid w:val="00876D3C"/>
    <w:rsid w:val="00876E23"/>
    <w:rsid w:val="0087774F"/>
    <w:rsid w:val="00880204"/>
    <w:rsid w:val="00880209"/>
    <w:rsid w:val="00880A40"/>
    <w:rsid w:val="00880B37"/>
    <w:rsid w:val="008810DB"/>
    <w:rsid w:val="0088177D"/>
    <w:rsid w:val="008818BB"/>
    <w:rsid w:val="00881C81"/>
    <w:rsid w:val="00881E0E"/>
    <w:rsid w:val="008824B5"/>
    <w:rsid w:val="00882C06"/>
    <w:rsid w:val="00882CC7"/>
    <w:rsid w:val="0088303F"/>
    <w:rsid w:val="0088306A"/>
    <w:rsid w:val="00883CC3"/>
    <w:rsid w:val="0088512C"/>
    <w:rsid w:val="008860A7"/>
    <w:rsid w:val="008869F4"/>
    <w:rsid w:val="0088722B"/>
    <w:rsid w:val="008874E6"/>
    <w:rsid w:val="0088784A"/>
    <w:rsid w:val="008911CB"/>
    <w:rsid w:val="0089163D"/>
    <w:rsid w:val="0089214A"/>
    <w:rsid w:val="008934E9"/>
    <w:rsid w:val="0089369B"/>
    <w:rsid w:val="00893A61"/>
    <w:rsid w:val="00893EEF"/>
    <w:rsid w:val="0089445C"/>
    <w:rsid w:val="00894A5F"/>
    <w:rsid w:val="00895700"/>
    <w:rsid w:val="00895F97"/>
    <w:rsid w:val="008960AE"/>
    <w:rsid w:val="00896528"/>
    <w:rsid w:val="008975A2"/>
    <w:rsid w:val="00897B51"/>
    <w:rsid w:val="008A073B"/>
    <w:rsid w:val="008A12B3"/>
    <w:rsid w:val="008A14CB"/>
    <w:rsid w:val="008A184F"/>
    <w:rsid w:val="008A1F0E"/>
    <w:rsid w:val="008A2C72"/>
    <w:rsid w:val="008A327B"/>
    <w:rsid w:val="008A33FC"/>
    <w:rsid w:val="008A3ADD"/>
    <w:rsid w:val="008A40BC"/>
    <w:rsid w:val="008A40DD"/>
    <w:rsid w:val="008A4880"/>
    <w:rsid w:val="008A4AF2"/>
    <w:rsid w:val="008A52B1"/>
    <w:rsid w:val="008A56AB"/>
    <w:rsid w:val="008A5754"/>
    <w:rsid w:val="008A58EE"/>
    <w:rsid w:val="008A5E0E"/>
    <w:rsid w:val="008A708B"/>
    <w:rsid w:val="008B07EB"/>
    <w:rsid w:val="008B0C53"/>
    <w:rsid w:val="008B1648"/>
    <w:rsid w:val="008B1FFD"/>
    <w:rsid w:val="008B2287"/>
    <w:rsid w:val="008B23FF"/>
    <w:rsid w:val="008B25E0"/>
    <w:rsid w:val="008B2C31"/>
    <w:rsid w:val="008B2C46"/>
    <w:rsid w:val="008B2E71"/>
    <w:rsid w:val="008B3480"/>
    <w:rsid w:val="008B3EB7"/>
    <w:rsid w:val="008B4C64"/>
    <w:rsid w:val="008B4EA4"/>
    <w:rsid w:val="008B5A7D"/>
    <w:rsid w:val="008B5B32"/>
    <w:rsid w:val="008B5F92"/>
    <w:rsid w:val="008B778B"/>
    <w:rsid w:val="008C16B4"/>
    <w:rsid w:val="008C241A"/>
    <w:rsid w:val="008C2989"/>
    <w:rsid w:val="008C2D9F"/>
    <w:rsid w:val="008C3D0F"/>
    <w:rsid w:val="008C435F"/>
    <w:rsid w:val="008C45D7"/>
    <w:rsid w:val="008C460D"/>
    <w:rsid w:val="008C4C74"/>
    <w:rsid w:val="008C515F"/>
    <w:rsid w:val="008C53FF"/>
    <w:rsid w:val="008C5563"/>
    <w:rsid w:val="008C63AA"/>
    <w:rsid w:val="008C6740"/>
    <w:rsid w:val="008C67E8"/>
    <w:rsid w:val="008C69C5"/>
    <w:rsid w:val="008C78A2"/>
    <w:rsid w:val="008D09DD"/>
    <w:rsid w:val="008D0A52"/>
    <w:rsid w:val="008D1784"/>
    <w:rsid w:val="008D19D3"/>
    <w:rsid w:val="008D1BF7"/>
    <w:rsid w:val="008D21B4"/>
    <w:rsid w:val="008D32E3"/>
    <w:rsid w:val="008D4436"/>
    <w:rsid w:val="008D475B"/>
    <w:rsid w:val="008D5431"/>
    <w:rsid w:val="008D5550"/>
    <w:rsid w:val="008D57D6"/>
    <w:rsid w:val="008D6556"/>
    <w:rsid w:val="008D66D5"/>
    <w:rsid w:val="008D6D40"/>
    <w:rsid w:val="008D78FF"/>
    <w:rsid w:val="008D7BF5"/>
    <w:rsid w:val="008D7DB8"/>
    <w:rsid w:val="008D7F31"/>
    <w:rsid w:val="008E03F9"/>
    <w:rsid w:val="008E110B"/>
    <w:rsid w:val="008E1A79"/>
    <w:rsid w:val="008E2747"/>
    <w:rsid w:val="008E2DA7"/>
    <w:rsid w:val="008E477C"/>
    <w:rsid w:val="008E4AA3"/>
    <w:rsid w:val="008E5B07"/>
    <w:rsid w:val="008E6716"/>
    <w:rsid w:val="008E6B54"/>
    <w:rsid w:val="008E7763"/>
    <w:rsid w:val="008F07FC"/>
    <w:rsid w:val="008F10C3"/>
    <w:rsid w:val="008F116D"/>
    <w:rsid w:val="008F1731"/>
    <w:rsid w:val="008F1D7B"/>
    <w:rsid w:val="008F326A"/>
    <w:rsid w:val="008F3519"/>
    <w:rsid w:val="008F40D7"/>
    <w:rsid w:val="008F4670"/>
    <w:rsid w:val="008F4A7E"/>
    <w:rsid w:val="008F5299"/>
    <w:rsid w:val="008F5E43"/>
    <w:rsid w:val="008F5E79"/>
    <w:rsid w:val="008F6C3B"/>
    <w:rsid w:val="008F6CAE"/>
    <w:rsid w:val="008F703E"/>
    <w:rsid w:val="008F79A9"/>
    <w:rsid w:val="008F7F60"/>
    <w:rsid w:val="009000CA"/>
    <w:rsid w:val="00900174"/>
    <w:rsid w:val="009003BE"/>
    <w:rsid w:val="0090067B"/>
    <w:rsid w:val="00901AB5"/>
    <w:rsid w:val="009023B3"/>
    <w:rsid w:val="00902518"/>
    <w:rsid w:val="009027CC"/>
    <w:rsid w:val="00903620"/>
    <w:rsid w:val="00903F33"/>
    <w:rsid w:val="00904A8B"/>
    <w:rsid w:val="00904D61"/>
    <w:rsid w:val="00904FDA"/>
    <w:rsid w:val="009055C5"/>
    <w:rsid w:val="00905D32"/>
    <w:rsid w:val="0090609D"/>
    <w:rsid w:val="00906C2F"/>
    <w:rsid w:val="0090734D"/>
    <w:rsid w:val="009077B1"/>
    <w:rsid w:val="00907899"/>
    <w:rsid w:val="00910B41"/>
    <w:rsid w:val="009110FB"/>
    <w:rsid w:val="00911F8B"/>
    <w:rsid w:val="0091238F"/>
    <w:rsid w:val="00913D77"/>
    <w:rsid w:val="00914DA7"/>
    <w:rsid w:val="009153BF"/>
    <w:rsid w:val="009158BF"/>
    <w:rsid w:val="00915F63"/>
    <w:rsid w:val="00916AFA"/>
    <w:rsid w:val="00916D22"/>
    <w:rsid w:val="009177E9"/>
    <w:rsid w:val="00920E3C"/>
    <w:rsid w:val="00920E9D"/>
    <w:rsid w:val="00920F86"/>
    <w:rsid w:val="00921478"/>
    <w:rsid w:val="00921900"/>
    <w:rsid w:val="009221AD"/>
    <w:rsid w:val="0092289A"/>
    <w:rsid w:val="00923366"/>
    <w:rsid w:val="00923D6F"/>
    <w:rsid w:val="009240B7"/>
    <w:rsid w:val="0092600B"/>
    <w:rsid w:val="00926217"/>
    <w:rsid w:val="009265C7"/>
    <w:rsid w:val="00927AFC"/>
    <w:rsid w:val="00930424"/>
    <w:rsid w:val="0093081A"/>
    <w:rsid w:val="00930D09"/>
    <w:rsid w:val="00931326"/>
    <w:rsid w:val="00931614"/>
    <w:rsid w:val="00931E09"/>
    <w:rsid w:val="009327D6"/>
    <w:rsid w:val="009328C9"/>
    <w:rsid w:val="00932AE9"/>
    <w:rsid w:val="00932FBB"/>
    <w:rsid w:val="00933176"/>
    <w:rsid w:val="009331CF"/>
    <w:rsid w:val="009334AC"/>
    <w:rsid w:val="00933568"/>
    <w:rsid w:val="00934564"/>
    <w:rsid w:val="00935290"/>
    <w:rsid w:val="00935916"/>
    <w:rsid w:val="00935DDA"/>
    <w:rsid w:val="00935E35"/>
    <w:rsid w:val="00937001"/>
    <w:rsid w:val="00937BEC"/>
    <w:rsid w:val="00937E53"/>
    <w:rsid w:val="00937F8B"/>
    <w:rsid w:val="00940592"/>
    <w:rsid w:val="00940919"/>
    <w:rsid w:val="00940B6C"/>
    <w:rsid w:val="009415C7"/>
    <w:rsid w:val="009415F5"/>
    <w:rsid w:val="00941A22"/>
    <w:rsid w:val="00941ED9"/>
    <w:rsid w:val="00942010"/>
    <w:rsid w:val="00943170"/>
    <w:rsid w:val="0094317B"/>
    <w:rsid w:val="0094320A"/>
    <w:rsid w:val="00943503"/>
    <w:rsid w:val="00944CEE"/>
    <w:rsid w:val="009450BF"/>
    <w:rsid w:val="00945A89"/>
    <w:rsid w:val="00945CA2"/>
    <w:rsid w:val="009472E1"/>
    <w:rsid w:val="00947728"/>
    <w:rsid w:val="0094775B"/>
    <w:rsid w:val="0094794D"/>
    <w:rsid w:val="00947CF0"/>
    <w:rsid w:val="00947D71"/>
    <w:rsid w:val="00950001"/>
    <w:rsid w:val="00950677"/>
    <w:rsid w:val="0095081C"/>
    <w:rsid w:val="0095170D"/>
    <w:rsid w:val="00952555"/>
    <w:rsid w:val="00952632"/>
    <w:rsid w:val="009528FB"/>
    <w:rsid w:val="00952915"/>
    <w:rsid w:val="00952F2E"/>
    <w:rsid w:val="0095307F"/>
    <w:rsid w:val="00953329"/>
    <w:rsid w:val="009535CA"/>
    <w:rsid w:val="009544C4"/>
    <w:rsid w:val="009548FF"/>
    <w:rsid w:val="00954E34"/>
    <w:rsid w:val="00955526"/>
    <w:rsid w:val="00955E53"/>
    <w:rsid w:val="009562AC"/>
    <w:rsid w:val="0095676A"/>
    <w:rsid w:val="00956A32"/>
    <w:rsid w:val="009575DA"/>
    <w:rsid w:val="00957632"/>
    <w:rsid w:val="00957FD5"/>
    <w:rsid w:val="00960D18"/>
    <w:rsid w:val="009624F6"/>
    <w:rsid w:val="00962538"/>
    <w:rsid w:val="009632E5"/>
    <w:rsid w:val="00963319"/>
    <w:rsid w:val="00963AF3"/>
    <w:rsid w:val="0096410D"/>
    <w:rsid w:val="00964142"/>
    <w:rsid w:val="00965269"/>
    <w:rsid w:val="00965366"/>
    <w:rsid w:val="009666DF"/>
    <w:rsid w:val="009667C9"/>
    <w:rsid w:val="00966C09"/>
    <w:rsid w:val="00966E9E"/>
    <w:rsid w:val="00967CE3"/>
    <w:rsid w:val="00970460"/>
    <w:rsid w:val="00970D2E"/>
    <w:rsid w:val="009727FC"/>
    <w:rsid w:val="00972FA4"/>
    <w:rsid w:val="009730F0"/>
    <w:rsid w:val="009732E6"/>
    <w:rsid w:val="00973388"/>
    <w:rsid w:val="00973E9B"/>
    <w:rsid w:val="00974F24"/>
    <w:rsid w:val="0097589D"/>
    <w:rsid w:val="009759AD"/>
    <w:rsid w:val="00975A73"/>
    <w:rsid w:val="00975BF4"/>
    <w:rsid w:val="00975CE5"/>
    <w:rsid w:val="009767B9"/>
    <w:rsid w:val="009777ED"/>
    <w:rsid w:val="00977E1A"/>
    <w:rsid w:val="0098072E"/>
    <w:rsid w:val="00980AE5"/>
    <w:rsid w:val="00980F87"/>
    <w:rsid w:val="00981467"/>
    <w:rsid w:val="009817C2"/>
    <w:rsid w:val="009817D8"/>
    <w:rsid w:val="00982F86"/>
    <w:rsid w:val="009841C0"/>
    <w:rsid w:val="00984441"/>
    <w:rsid w:val="009844CF"/>
    <w:rsid w:val="00984DD8"/>
    <w:rsid w:val="00984F09"/>
    <w:rsid w:val="009850A1"/>
    <w:rsid w:val="009859F4"/>
    <w:rsid w:val="00987B55"/>
    <w:rsid w:val="00987E4E"/>
    <w:rsid w:val="009904DA"/>
    <w:rsid w:val="0099085F"/>
    <w:rsid w:val="00991662"/>
    <w:rsid w:val="00991FB6"/>
    <w:rsid w:val="009920D5"/>
    <w:rsid w:val="009925DB"/>
    <w:rsid w:val="009925F8"/>
    <w:rsid w:val="00992A8B"/>
    <w:rsid w:val="00992B8F"/>
    <w:rsid w:val="00993114"/>
    <w:rsid w:val="009939E6"/>
    <w:rsid w:val="00993C59"/>
    <w:rsid w:val="00993CC9"/>
    <w:rsid w:val="009940A4"/>
    <w:rsid w:val="00994441"/>
    <w:rsid w:val="009948B1"/>
    <w:rsid w:val="00995AD7"/>
    <w:rsid w:val="009963BB"/>
    <w:rsid w:val="009A07A0"/>
    <w:rsid w:val="009A1740"/>
    <w:rsid w:val="009A199D"/>
    <w:rsid w:val="009A2132"/>
    <w:rsid w:val="009A3E7C"/>
    <w:rsid w:val="009A4305"/>
    <w:rsid w:val="009A46FB"/>
    <w:rsid w:val="009A563B"/>
    <w:rsid w:val="009A5647"/>
    <w:rsid w:val="009A580E"/>
    <w:rsid w:val="009A61DE"/>
    <w:rsid w:val="009A6A4D"/>
    <w:rsid w:val="009A6F40"/>
    <w:rsid w:val="009A6F74"/>
    <w:rsid w:val="009A7185"/>
    <w:rsid w:val="009A781B"/>
    <w:rsid w:val="009B0768"/>
    <w:rsid w:val="009B0C93"/>
    <w:rsid w:val="009B17A0"/>
    <w:rsid w:val="009B295A"/>
    <w:rsid w:val="009B3064"/>
    <w:rsid w:val="009B3CEE"/>
    <w:rsid w:val="009B4853"/>
    <w:rsid w:val="009B56F6"/>
    <w:rsid w:val="009B5AC4"/>
    <w:rsid w:val="009B69BA"/>
    <w:rsid w:val="009B7A97"/>
    <w:rsid w:val="009B7C36"/>
    <w:rsid w:val="009B7C88"/>
    <w:rsid w:val="009C0675"/>
    <w:rsid w:val="009C0C2A"/>
    <w:rsid w:val="009C0CC4"/>
    <w:rsid w:val="009C0F03"/>
    <w:rsid w:val="009C177A"/>
    <w:rsid w:val="009C1C6F"/>
    <w:rsid w:val="009C2185"/>
    <w:rsid w:val="009C2391"/>
    <w:rsid w:val="009C293A"/>
    <w:rsid w:val="009C4074"/>
    <w:rsid w:val="009C4D08"/>
    <w:rsid w:val="009C4F22"/>
    <w:rsid w:val="009C5CC5"/>
    <w:rsid w:val="009C6BB6"/>
    <w:rsid w:val="009C6F39"/>
    <w:rsid w:val="009C70B0"/>
    <w:rsid w:val="009D0454"/>
    <w:rsid w:val="009D0A54"/>
    <w:rsid w:val="009D1785"/>
    <w:rsid w:val="009D204A"/>
    <w:rsid w:val="009D26AF"/>
    <w:rsid w:val="009D3237"/>
    <w:rsid w:val="009D33B2"/>
    <w:rsid w:val="009D3628"/>
    <w:rsid w:val="009D371E"/>
    <w:rsid w:val="009D3911"/>
    <w:rsid w:val="009D3C28"/>
    <w:rsid w:val="009D451A"/>
    <w:rsid w:val="009D47CA"/>
    <w:rsid w:val="009D4ADB"/>
    <w:rsid w:val="009D4C2A"/>
    <w:rsid w:val="009D5930"/>
    <w:rsid w:val="009D63D2"/>
    <w:rsid w:val="009D652C"/>
    <w:rsid w:val="009D6914"/>
    <w:rsid w:val="009D7C70"/>
    <w:rsid w:val="009E0034"/>
    <w:rsid w:val="009E1A3C"/>
    <w:rsid w:val="009E1C22"/>
    <w:rsid w:val="009E1EE0"/>
    <w:rsid w:val="009E226E"/>
    <w:rsid w:val="009E22A9"/>
    <w:rsid w:val="009E2481"/>
    <w:rsid w:val="009E3460"/>
    <w:rsid w:val="009E37E4"/>
    <w:rsid w:val="009E3C7E"/>
    <w:rsid w:val="009E43E8"/>
    <w:rsid w:val="009E4522"/>
    <w:rsid w:val="009E4D52"/>
    <w:rsid w:val="009E7138"/>
    <w:rsid w:val="009E7411"/>
    <w:rsid w:val="009E7696"/>
    <w:rsid w:val="009E7A04"/>
    <w:rsid w:val="009E7AE5"/>
    <w:rsid w:val="009E7C13"/>
    <w:rsid w:val="009F0381"/>
    <w:rsid w:val="009F04AD"/>
    <w:rsid w:val="009F1287"/>
    <w:rsid w:val="009F193A"/>
    <w:rsid w:val="009F1B60"/>
    <w:rsid w:val="009F33D1"/>
    <w:rsid w:val="009F3631"/>
    <w:rsid w:val="009F363C"/>
    <w:rsid w:val="009F3790"/>
    <w:rsid w:val="009F4169"/>
    <w:rsid w:val="009F4239"/>
    <w:rsid w:val="009F476C"/>
    <w:rsid w:val="009F513A"/>
    <w:rsid w:val="009F586C"/>
    <w:rsid w:val="009F5D30"/>
    <w:rsid w:val="009F61D7"/>
    <w:rsid w:val="009F65B8"/>
    <w:rsid w:val="009F6680"/>
    <w:rsid w:val="009F6BB5"/>
    <w:rsid w:val="009F6F75"/>
    <w:rsid w:val="009F6FDF"/>
    <w:rsid w:val="009F7A90"/>
    <w:rsid w:val="009F7CEB"/>
    <w:rsid w:val="00A00927"/>
    <w:rsid w:val="00A00978"/>
    <w:rsid w:val="00A009B1"/>
    <w:rsid w:val="00A012B9"/>
    <w:rsid w:val="00A01747"/>
    <w:rsid w:val="00A026B6"/>
    <w:rsid w:val="00A03256"/>
    <w:rsid w:val="00A040FD"/>
    <w:rsid w:val="00A04170"/>
    <w:rsid w:val="00A0426A"/>
    <w:rsid w:val="00A04C0D"/>
    <w:rsid w:val="00A06351"/>
    <w:rsid w:val="00A064D5"/>
    <w:rsid w:val="00A068ED"/>
    <w:rsid w:val="00A06FD5"/>
    <w:rsid w:val="00A07327"/>
    <w:rsid w:val="00A10491"/>
    <w:rsid w:val="00A10495"/>
    <w:rsid w:val="00A10FBF"/>
    <w:rsid w:val="00A11D08"/>
    <w:rsid w:val="00A12A44"/>
    <w:rsid w:val="00A12A77"/>
    <w:rsid w:val="00A13627"/>
    <w:rsid w:val="00A149AC"/>
    <w:rsid w:val="00A16638"/>
    <w:rsid w:val="00A167E0"/>
    <w:rsid w:val="00A172C2"/>
    <w:rsid w:val="00A17490"/>
    <w:rsid w:val="00A179C8"/>
    <w:rsid w:val="00A205BB"/>
    <w:rsid w:val="00A20B1A"/>
    <w:rsid w:val="00A216F9"/>
    <w:rsid w:val="00A21738"/>
    <w:rsid w:val="00A227E9"/>
    <w:rsid w:val="00A22A39"/>
    <w:rsid w:val="00A230AC"/>
    <w:rsid w:val="00A2315A"/>
    <w:rsid w:val="00A242E4"/>
    <w:rsid w:val="00A2462C"/>
    <w:rsid w:val="00A24B2D"/>
    <w:rsid w:val="00A252C9"/>
    <w:rsid w:val="00A25EC0"/>
    <w:rsid w:val="00A2672F"/>
    <w:rsid w:val="00A26AAA"/>
    <w:rsid w:val="00A26E4A"/>
    <w:rsid w:val="00A30042"/>
    <w:rsid w:val="00A3054D"/>
    <w:rsid w:val="00A313EE"/>
    <w:rsid w:val="00A3164F"/>
    <w:rsid w:val="00A329C1"/>
    <w:rsid w:val="00A3360A"/>
    <w:rsid w:val="00A3438A"/>
    <w:rsid w:val="00A34436"/>
    <w:rsid w:val="00A34563"/>
    <w:rsid w:val="00A35974"/>
    <w:rsid w:val="00A37AE7"/>
    <w:rsid w:val="00A40143"/>
    <w:rsid w:val="00A4045E"/>
    <w:rsid w:val="00A404E1"/>
    <w:rsid w:val="00A406BE"/>
    <w:rsid w:val="00A40BFF"/>
    <w:rsid w:val="00A412E8"/>
    <w:rsid w:val="00A41E5D"/>
    <w:rsid w:val="00A44C6F"/>
    <w:rsid w:val="00A45200"/>
    <w:rsid w:val="00A45378"/>
    <w:rsid w:val="00A465C2"/>
    <w:rsid w:val="00A472CC"/>
    <w:rsid w:val="00A478FD"/>
    <w:rsid w:val="00A47AB6"/>
    <w:rsid w:val="00A52278"/>
    <w:rsid w:val="00A532E5"/>
    <w:rsid w:val="00A535FB"/>
    <w:rsid w:val="00A5364E"/>
    <w:rsid w:val="00A53FA8"/>
    <w:rsid w:val="00A53FBA"/>
    <w:rsid w:val="00A5443C"/>
    <w:rsid w:val="00A54BB0"/>
    <w:rsid w:val="00A550AE"/>
    <w:rsid w:val="00A55432"/>
    <w:rsid w:val="00A57387"/>
    <w:rsid w:val="00A573E5"/>
    <w:rsid w:val="00A60699"/>
    <w:rsid w:val="00A61130"/>
    <w:rsid w:val="00A6135B"/>
    <w:rsid w:val="00A61817"/>
    <w:rsid w:val="00A61CDF"/>
    <w:rsid w:val="00A630C2"/>
    <w:rsid w:val="00A63630"/>
    <w:rsid w:val="00A6374D"/>
    <w:rsid w:val="00A63E7D"/>
    <w:rsid w:val="00A64ABF"/>
    <w:rsid w:val="00A6517D"/>
    <w:rsid w:val="00A6547B"/>
    <w:rsid w:val="00A654E2"/>
    <w:rsid w:val="00A65C1F"/>
    <w:rsid w:val="00A66D9E"/>
    <w:rsid w:val="00A66EF3"/>
    <w:rsid w:val="00A673D0"/>
    <w:rsid w:val="00A67410"/>
    <w:rsid w:val="00A67E50"/>
    <w:rsid w:val="00A71EC1"/>
    <w:rsid w:val="00A720C0"/>
    <w:rsid w:val="00A72B88"/>
    <w:rsid w:val="00A72C46"/>
    <w:rsid w:val="00A73A9C"/>
    <w:rsid w:val="00A73FC6"/>
    <w:rsid w:val="00A7417A"/>
    <w:rsid w:val="00A75112"/>
    <w:rsid w:val="00A75B56"/>
    <w:rsid w:val="00A75DA1"/>
    <w:rsid w:val="00A765C9"/>
    <w:rsid w:val="00A7677D"/>
    <w:rsid w:val="00A76B85"/>
    <w:rsid w:val="00A76EA4"/>
    <w:rsid w:val="00A77505"/>
    <w:rsid w:val="00A77BDE"/>
    <w:rsid w:val="00A77CBB"/>
    <w:rsid w:val="00A77F64"/>
    <w:rsid w:val="00A803AB"/>
    <w:rsid w:val="00A80C35"/>
    <w:rsid w:val="00A815EF"/>
    <w:rsid w:val="00A81F82"/>
    <w:rsid w:val="00A82692"/>
    <w:rsid w:val="00A838D9"/>
    <w:rsid w:val="00A841B0"/>
    <w:rsid w:val="00A848A2"/>
    <w:rsid w:val="00A84A21"/>
    <w:rsid w:val="00A84B59"/>
    <w:rsid w:val="00A84EAA"/>
    <w:rsid w:val="00A84EC9"/>
    <w:rsid w:val="00A85019"/>
    <w:rsid w:val="00A8518D"/>
    <w:rsid w:val="00A85A2B"/>
    <w:rsid w:val="00A85D7C"/>
    <w:rsid w:val="00A86148"/>
    <w:rsid w:val="00A86200"/>
    <w:rsid w:val="00A86E0A"/>
    <w:rsid w:val="00A873C4"/>
    <w:rsid w:val="00A9284D"/>
    <w:rsid w:val="00A931BC"/>
    <w:rsid w:val="00A93543"/>
    <w:rsid w:val="00A93D0E"/>
    <w:rsid w:val="00A93F16"/>
    <w:rsid w:val="00A93F6B"/>
    <w:rsid w:val="00A94135"/>
    <w:rsid w:val="00A9438F"/>
    <w:rsid w:val="00A94C06"/>
    <w:rsid w:val="00A94EC9"/>
    <w:rsid w:val="00A94EFC"/>
    <w:rsid w:val="00A95B02"/>
    <w:rsid w:val="00A95CC8"/>
    <w:rsid w:val="00A963DD"/>
    <w:rsid w:val="00A9644D"/>
    <w:rsid w:val="00A96B52"/>
    <w:rsid w:val="00AA07C1"/>
    <w:rsid w:val="00AA1044"/>
    <w:rsid w:val="00AA1549"/>
    <w:rsid w:val="00AA1681"/>
    <w:rsid w:val="00AA1CEE"/>
    <w:rsid w:val="00AA20C0"/>
    <w:rsid w:val="00AA2990"/>
    <w:rsid w:val="00AA2FA1"/>
    <w:rsid w:val="00AA3768"/>
    <w:rsid w:val="00AA3F16"/>
    <w:rsid w:val="00AA51C1"/>
    <w:rsid w:val="00AA6156"/>
    <w:rsid w:val="00AA6D4A"/>
    <w:rsid w:val="00AA6EE2"/>
    <w:rsid w:val="00AA73AC"/>
    <w:rsid w:val="00AA7B1C"/>
    <w:rsid w:val="00AA7B77"/>
    <w:rsid w:val="00AB09DF"/>
    <w:rsid w:val="00AB1837"/>
    <w:rsid w:val="00AB187A"/>
    <w:rsid w:val="00AB35B4"/>
    <w:rsid w:val="00AB439B"/>
    <w:rsid w:val="00AB47DE"/>
    <w:rsid w:val="00AB514A"/>
    <w:rsid w:val="00AB5358"/>
    <w:rsid w:val="00AB6BAD"/>
    <w:rsid w:val="00AB6EEF"/>
    <w:rsid w:val="00AB70A0"/>
    <w:rsid w:val="00AC0110"/>
    <w:rsid w:val="00AC0C5C"/>
    <w:rsid w:val="00AC0D5F"/>
    <w:rsid w:val="00AC133B"/>
    <w:rsid w:val="00AC17AA"/>
    <w:rsid w:val="00AC1DF2"/>
    <w:rsid w:val="00AC1E12"/>
    <w:rsid w:val="00AC2D2E"/>
    <w:rsid w:val="00AC397C"/>
    <w:rsid w:val="00AC3B07"/>
    <w:rsid w:val="00AC4C5B"/>
    <w:rsid w:val="00AC4CBA"/>
    <w:rsid w:val="00AC50E3"/>
    <w:rsid w:val="00AC512D"/>
    <w:rsid w:val="00AC539D"/>
    <w:rsid w:val="00AC59CF"/>
    <w:rsid w:val="00AC5C40"/>
    <w:rsid w:val="00AC5DB0"/>
    <w:rsid w:val="00AC68E9"/>
    <w:rsid w:val="00AC6E3B"/>
    <w:rsid w:val="00AD0640"/>
    <w:rsid w:val="00AD0778"/>
    <w:rsid w:val="00AD1877"/>
    <w:rsid w:val="00AD358F"/>
    <w:rsid w:val="00AD35BC"/>
    <w:rsid w:val="00AD387F"/>
    <w:rsid w:val="00AD4615"/>
    <w:rsid w:val="00AD4BA6"/>
    <w:rsid w:val="00AD51C9"/>
    <w:rsid w:val="00AD542F"/>
    <w:rsid w:val="00AD691C"/>
    <w:rsid w:val="00AD74E6"/>
    <w:rsid w:val="00AD74EA"/>
    <w:rsid w:val="00AD7C21"/>
    <w:rsid w:val="00AE0EF6"/>
    <w:rsid w:val="00AE111B"/>
    <w:rsid w:val="00AE1680"/>
    <w:rsid w:val="00AE184B"/>
    <w:rsid w:val="00AE1AF1"/>
    <w:rsid w:val="00AE2641"/>
    <w:rsid w:val="00AE2A68"/>
    <w:rsid w:val="00AE2B76"/>
    <w:rsid w:val="00AE36AC"/>
    <w:rsid w:val="00AE3825"/>
    <w:rsid w:val="00AE3A5A"/>
    <w:rsid w:val="00AE513C"/>
    <w:rsid w:val="00AE6D2A"/>
    <w:rsid w:val="00AE772D"/>
    <w:rsid w:val="00AE7849"/>
    <w:rsid w:val="00AE7E0C"/>
    <w:rsid w:val="00AF04E2"/>
    <w:rsid w:val="00AF0DF9"/>
    <w:rsid w:val="00AF1105"/>
    <w:rsid w:val="00AF1A88"/>
    <w:rsid w:val="00AF1DCF"/>
    <w:rsid w:val="00AF23EA"/>
    <w:rsid w:val="00AF2631"/>
    <w:rsid w:val="00AF318F"/>
    <w:rsid w:val="00AF4B11"/>
    <w:rsid w:val="00AF4BCB"/>
    <w:rsid w:val="00AF4BE4"/>
    <w:rsid w:val="00AF4C16"/>
    <w:rsid w:val="00AF4CBB"/>
    <w:rsid w:val="00AF568D"/>
    <w:rsid w:val="00AF7178"/>
    <w:rsid w:val="00AF7685"/>
    <w:rsid w:val="00B00DC9"/>
    <w:rsid w:val="00B0230D"/>
    <w:rsid w:val="00B02FAB"/>
    <w:rsid w:val="00B0529B"/>
    <w:rsid w:val="00B05A6C"/>
    <w:rsid w:val="00B05CD6"/>
    <w:rsid w:val="00B05E21"/>
    <w:rsid w:val="00B10316"/>
    <w:rsid w:val="00B112C0"/>
    <w:rsid w:val="00B11426"/>
    <w:rsid w:val="00B11EA0"/>
    <w:rsid w:val="00B126A7"/>
    <w:rsid w:val="00B12AF9"/>
    <w:rsid w:val="00B13338"/>
    <w:rsid w:val="00B13605"/>
    <w:rsid w:val="00B13955"/>
    <w:rsid w:val="00B13A8F"/>
    <w:rsid w:val="00B13CAF"/>
    <w:rsid w:val="00B13DBF"/>
    <w:rsid w:val="00B140A5"/>
    <w:rsid w:val="00B14B35"/>
    <w:rsid w:val="00B14FE2"/>
    <w:rsid w:val="00B1542E"/>
    <w:rsid w:val="00B17FDB"/>
    <w:rsid w:val="00B2001A"/>
    <w:rsid w:val="00B20794"/>
    <w:rsid w:val="00B207B7"/>
    <w:rsid w:val="00B20BD3"/>
    <w:rsid w:val="00B20D44"/>
    <w:rsid w:val="00B21BB1"/>
    <w:rsid w:val="00B21FEB"/>
    <w:rsid w:val="00B225D0"/>
    <w:rsid w:val="00B22F74"/>
    <w:rsid w:val="00B23AF6"/>
    <w:rsid w:val="00B23F2A"/>
    <w:rsid w:val="00B244F1"/>
    <w:rsid w:val="00B25779"/>
    <w:rsid w:val="00B259DF"/>
    <w:rsid w:val="00B25CBD"/>
    <w:rsid w:val="00B25D68"/>
    <w:rsid w:val="00B2719F"/>
    <w:rsid w:val="00B2777B"/>
    <w:rsid w:val="00B30120"/>
    <w:rsid w:val="00B30578"/>
    <w:rsid w:val="00B30C37"/>
    <w:rsid w:val="00B30D73"/>
    <w:rsid w:val="00B312C6"/>
    <w:rsid w:val="00B31AE6"/>
    <w:rsid w:val="00B3238C"/>
    <w:rsid w:val="00B333DC"/>
    <w:rsid w:val="00B3384E"/>
    <w:rsid w:val="00B33914"/>
    <w:rsid w:val="00B33AB3"/>
    <w:rsid w:val="00B34D7C"/>
    <w:rsid w:val="00B35622"/>
    <w:rsid w:val="00B35A8B"/>
    <w:rsid w:val="00B35E5B"/>
    <w:rsid w:val="00B366A9"/>
    <w:rsid w:val="00B367E2"/>
    <w:rsid w:val="00B37951"/>
    <w:rsid w:val="00B37B8F"/>
    <w:rsid w:val="00B40264"/>
    <w:rsid w:val="00B403B2"/>
    <w:rsid w:val="00B4069E"/>
    <w:rsid w:val="00B40E4C"/>
    <w:rsid w:val="00B42093"/>
    <w:rsid w:val="00B4220C"/>
    <w:rsid w:val="00B4252A"/>
    <w:rsid w:val="00B43206"/>
    <w:rsid w:val="00B446C2"/>
    <w:rsid w:val="00B44840"/>
    <w:rsid w:val="00B448A4"/>
    <w:rsid w:val="00B4529B"/>
    <w:rsid w:val="00B45541"/>
    <w:rsid w:val="00B464F2"/>
    <w:rsid w:val="00B4656A"/>
    <w:rsid w:val="00B4706F"/>
    <w:rsid w:val="00B4780B"/>
    <w:rsid w:val="00B5010F"/>
    <w:rsid w:val="00B53793"/>
    <w:rsid w:val="00B542DE"/>
    <w:rsid w:val="00B55CAC"/>
    <w:rsid w:val="00B561A7"/>
    <w:rsid w:val="00B561CA"/>
    <w:rsid w:val="00B56359"/>
    <w:rsid w:val="00B56D6A"/>
    <w:rsid w:val="00B56F50"/>
    <w:rsid w:val="00B63460"/>
    <w:rsid w:val="00B64CFE"/>
    <w:rsid w:val="00B660CA"/>
    <w:rsid w:val="00B66C04"/>
    <w:rsid w:val="00B66C37"/>
    <w:rsid w:val="00B66D20"/>
    <w:rsid w:val="00B66E57"/>
    <w:rsid w:val="00B67119"/>
    <w:rsid w:val="00B67161"/>
    <w:rsid w:val="00B67810"/>
    <w:rsid w:val="00B70522"/>
    <w:rsid w:val="00B70F1B"/>
    <w:rsid w:val="00B70F50"/>
    <w:rsid w:val="00B711A9"/>
    <w:rsid w:val="00B71675"/>
    <w:rsid w:val="00B71B62"/>
    <w:rsid w:val="00B721CA"/>
    <w:rsid w:val="00B737AF"/>
    <w:rsid w:val="00B73CEE"/>
    <w:rsid w:val="00B740B7"/>
    <w:rsid w:val="00B75BC0"/>
    <w:rsid w:val="00B75C2E"/>
    <w:rsid w:val="00B7636B"/>
    <w:rsid w:val="00B76492"/>
    <w:rsid w:val="00B7796D"/>
    <w:rsid w:val="00B80446"/>
    <w:rsid w:val="00B80B83"/>
    <w:rsid w:val="00B80E42"/>
    <w:rsid w:val="00B80F54"/>
    <w:rsid w:val="00B81744"/>
    <w:rsid w:val="00B81D24"/>
    <w:rsid w:val="00B82171"/>
    <w:rsid w:val="00B8254D"/>
    <w:rsid w:val="00B82D6A"/>
    <w:rsid w:val="00B83300"/>
    <w:rsid w:val="00B83BDF"/>
    <w:rsid w:val="00B83C3D"/>
    <w:rsid w:val="00B84119"/>
    <w:rsid w:val="00B84293"/>
    <w:rsid w:val="00B846E9"/>
    <w:rsid w:val="00B84B48"/>
    <w:rsid w:val="00B84C0B"/>
    <w:rsid w:val="00B8560C"/>
    <w:rsid w:val="00B8588D"/>
    <w:rsid w:val="00B858DE"/>
    <w:rsid w:val="00B85FA6"/>
    <w:rsid w:val="00B863A0"/>
    <w:rsid w:val="00B86417"/>
    <w:rsid w:val="00B87E8B"/>
    <w:rsid w:val="00B91224"/>
    <w:rsid w:val="00B92027"/>
    <w:rsid w:val="00B92D13"/>
    <w:rsid w:val="00B92E47"/>
    <w:rsid w:val="00B93061"/>
    <w:rsid w:val="00B93418"/>
    <w:rsid w:val="00B9357F"/>
    <w:rsid w:val="00B940E0"/>
    <w:rsid w:val="00B94984"/>
    <w:rsid w:val="00B95A53"/>
    <w:rsid w:val="00B964C8"/>
    <w:rsid w:val="00BA01AB"/>
    <w:rsid w:val="00BA0907"/>
    <w:rsid w:val="00BA13FA"/>
    <w:rsid w:val="00BA3306"/>
    <w:rsid w:val="00BA342C"/>
    <w:rsid w:val="00BA365A"/>
    <w:rsid w:val="00BA3D95"/>
    <w:rsid w:val="00BA40D2"/>
    <w:rsid w:val="00BA45E1"/>
    <w:rsid w:val="00BA46B8"/>
    <w:rsid w:val="00BA5724"/>
    <w:rsid w:val="00BA73EE"/>
    <w:rsid w:val="00BB11EF"/>
    <w:rsid w:val="00BB2329"/>
    <w:rsid w:val="00BB251B"/>
    <w:rsid w:val="00BB2B67"/>
    <w:rsid w:val="00BB2D04"/>
    <w:rsid w:val="00BB3063"/>
    <w:rsid w:val="00BB3110"/>
    <w:rsid w:val="00BB3622"/>
    <w:rsid w:val="00BB3934"/>
    <w:rsid w:val="00BB3F45"/>
    <w:rsid w:val="00BB54A6"/>
    <w:rsid w:val="00BB576D"/>
    <w:rsid w:val="00BB5A1D"/>
    <w:rsid w:val="00BB5FE8"/>
    <w:rsid w:val="00BB5FF9"/>
    <w:rsid w:val="00BB6754"/>
    <w:rsid w:val="00BB6875"/>
    <w:rsid w:val="00BB71D1"/>
    <w:rsid w:val="00BC05AF"/>
    <w:rsid w:val="00BC0A62"/>
    <w:rsid w:val="00BC1C63"/>
    <w:rsid w:val="00BC1CAF"/>
    <w:rsid w:val="00BC1ECD"/>
    <w:rsid w:val="00BC21F1"/>
    <w:rsid w:val="00BC2515"/>
    <w:rsid w:val="00BC2DD7"/>
    <w:rsid w:val="00BC3142"/>
    <w:rsid w:val="00BC3D8B"/>
    <w:rsid w:val="00BC40BD"/>
    <w:rsid w:val="00BC554A"/>
    <w:rsid w:val="00BC5965"/>
    <w:rsid w:val="00BC6435"/>
    <w:rsid w:val="00BC6F7B"/>
    <w:rsid w:val="00BC7715"/>
    <w:rsid w:val="00BC7985"/>
    <w:rsid w:val="00BD03EC"/>
    <w:rsid w:val="00BD04AE"/>
    <w:rsid w:val="00BD0E67"/>
    <w:rsid w:val="00BD113E"/>
    <w:rsid w:val="00BD1C10"/>
    <w:rsid w:val="00BD1C6A"/>
    <w:rsid w:val="00BD2339"/>
    <w:rsid w:val="00BD2453"/>
    <w:rsid w:val="00BD3962"/>
    <w:rsid w:val="00BD4013"/>
    <w:rsid w:val="00BD495E"/>
    <w:rsid w:val="00BD590A"/>
    <w:rsid w:val="00BD5FBA"/>
    <w:rsid w:val="00BD6507"/>
    <w:rsid w:val="00BD6621"/>
    <w:rsid w:val="00BD7150"/>
    <w:rsid w:val="00BD7184"/>
    <w:rsid w:val="00BD7639"/>
    <w:rsid w:val="00BE056E"/>
    <w:rsid w:val="00BE07C5"/>
    <w:rsid w:val="00BE07E0"/>
    <w:rsid w:val="00BE12B2"/>
    <w:rsid w:val="00BE3211"/>
    <w:rsid w:val="00BE3A29"/>
    <w:rsid w:val="00BE3CAA"/>
    <w:rsid w:val="00BE3D49"/>
    <w:rsid w:val="00BE3E5F"/>
    <w:rsid w:val="00BE4254"/>
    <w:rsid w:val="00BE4CF6"/>
    <w:rsid w:val="00BE5025"/>
    <w:rsid w:val="00BE583A"/>
    <w:rsid w:val="00BE619D"/>
    <w:rsid w:val="00BF0D5E"/>
    <w:rsid w:val="00BF10F5"/>
    <w:rsid w:val="00BF1F96"/>
    <w:rsid w:val="00BF1FA3"/>
    <w:rsid w:val="00BF23AE"/>
    <w:rsid w:val="00BF263B"/>
    <w:rsid w:val="00BF2A96"/>
    <w:rsid w:val="00BF2C85"/>
    <w:rsid w:val="00BF2FF5"/>
    <w:rsid w:val="00BF5716"/>
    <w:rsid w:val="00BF59BF"/>
    <w:rsid w:val="00BF5AE3"/>
    <w:rsid w:val="00BF5F98"/>
    <w:rsid w:val="00BF67FC"/>
    <w:rsid w:val="00BF694B"/>
    <w:rsid w:val="00BF764E"/>
    <w:rsid w:val="00BF7E30"/>
    <w:rsid w:val="00C0040B"/>
    <w:rsid w:val="00C00633"/>
    <w:rsid w:val="00C008C5"/>
    <w:rsid w:val="00C011E9"/>
    <w:rsid w:val="00C02056"/>
    <w:rsid w:val="00C031FA"/>
    <w:rsid w:val="00C0408D"/>
    <w:rsid w:val="00C0418A"/>
    <w:rsid w:val="00C04405"/>
    <w:rsid w:val="00C04809"/>
    <w:rsid w:val="00C04A22"/>
    <w:rsid w:val="00C05659"/>
    <w:rsid w:val="00C05EB4"/>
    <w:rsid w:val="00C06011"/>
    <w:rsid w:val="00C06459"/>
    <w:rsid w:val="00C072EA"/>
    <w:rsid w:val="00C07417"/>
    <w:rsid w:val="00C07BBA"/>
    <w:rsid w:val="00C07F24"/>
    <w:rsid w:val="00C10407"/>
    <w:rsid w:val="00C10B20"/>
    <w:rsid w:val="00C10B79"/>
    <w:rsid w:val="00C110F8"/>
    <w:rsid w:val="00C115F0"/>
    <w:rsid w:val="00C12956"/>
    <w:rsid w:val="00C137E2"/>
    <w:rsid w:val="00C13805"/>
    <w:rsid w:val="00C13FAA"/>
    <w:rsid w:val="00C13FBB"/>
    <w:rsid w:val="00C14609"/>
    <w:rsid w:val="00C14AB0"/>
    <w:rsid w:val="00C1554B"/>
    <w:rsid w:val="00C164A4"/>
    <w:rsid w:val="00C16ACC"/>
    <w:rsid w:val="00C16EC8"/>
    <w:rsid w:val="00C17105"/>
    <w:rsid w:val="00C177C9"/>
    <w:rsid w:val="00C17CB7"/>
    <w:rsid w:val="00C2011C"/>
    <w:rsid w:val="00C204C9"/>
    <w:rsid w:val="00C20845"/>
    <w:rsid w:val="00C21513"/>
    <w:rsid w:val="00C2162A"/>
    <w:rsid w:val="00C221BF"/>
    <w:rsid w:val="00C23C4F"/>
    <w:rsid w:val="00C23D35"/>
    <w:rsid w:val="00C23D45"/>
    <w:rsid w:val="00C23FEA"/>
    <w:rsid w:val="00C241E1"/>
    <w:rsid w:val="00C24637"/>
    <w:rsid w:val="00C24D6E"/>
    <w:rsid w:val="00C255D4"/>
    <w:rsid w:val="00C262DC"/>
    <w:rsid w:val="00C268CF"/>
    <w:rsid w:val="00C26913"/>
    <w:rsid w:val="00C26F79"/>
    <w:rsid w:val="00C27F77"/>
    <w:rsid w:val="00C30004"/>
    <w:rsid w:val="00C3014F"/>
    <w:rsid w:val="00C31220"/>
    <w:rsid w:val="00C317F3"/>
    <w:rsid w:val="00C31B0E"/>
    <w:rsid w:val="00C32157"/>
    <w:rsid w:val="00C329EB"/>
    <w:rsid w:val="00C339CC"/>
    <w:rsid w:val="00C341E1"/>
    <w:rsid w:val="00C347F6"/>
    <w:rsid w:val="00C349C2"/>
    <w:rsid w:val="00C355BE"/>
    <w:rsid w:val="00C361F4"/>
    <w:rsid w:val="00C3623D"/>
    <w:rsid w:val="00C369BF"/>
    <w:rsid w:val="00C36AA4"/>
    <w:rsid w:val="00C36CE8"/>
    <w:rsid w:val="00C37AC9"/>
    <w:rsid w:val="00C37F48"/>
    <w:rsid w:val="00C4121D"/>
    <w:rsid w:val="00C41969"/>
    <w:rsid w:val="00C41B69"/>
    <w:rsid w:val="00C41E9A"/>
    <w:rsid w:val="00C42422"/>
    <w:rsid w:val="00C42DA5"/>
    <w:rsid w:val="00C42F97"/>
    <w:rsid w:val="00C433C9"/>
    <w:rsid w:val="00C445C9"/>
    <w:rsid w:val="00C44C37"/>
    <w:rsid w:val="00C4647E"/>
    <w:rsid w:val="00C46AE5"/>
    <w:rsid w:val="00C472B6"/>
    <w:rsid w:val="00C47654"/>
    <w:rsid w:val="00C47E0A"/>
    <w:rsid w:val="00C47E70"/>
    <w:rsid w:val="00C50141"/>
    <w:rsid w:val="00C502DC"/>
    <w:rsid w:val="00C509C2"/>
    <w:rsid w:val="00C50A84"/>
    <w:rsid w:val="00C51897"/>
    <w:rsid w:val="00C51EB3"/>
    <w:rsid w:val="00C51F93"/>
    <w:rsid w:val="00C52B37"/>
    <w:rsid w:val="00C52BE0"/>
    <w:rsid w:val="00C542F8"/>
    <w:rsid w:val="00C54892"/>
    <w:rsid w:val="00C55E43"/>
    <w:rsid w:val="00C56093"/>
    <w:rsid w:val="00C57B18"/>
    <w:rsid w:val="00C57E4D"/>
    <w:rsid w:val="00C60623"/>
    <w:rsid w:val="00C60ADC"/>
    <w:rsid w:val="00C60D47"/>
    <w:rsid w:val="00C61D38"/>
    <w:rsid w:val="00C61F9A"/>
    <w:rsid w:val="00C622A3"/>
    <w:rsid w:val="00C626E2"/>
    <w:rsid w:val="00C628C8"/>
    <w:rsid w:val="00C62941"/>
    <w:rsid w:val="00C62C40"/>
    <w:rsid w:val="00C65198"/>
    <w:rsid w:val="00C656DC"/>
    <w:rsid w:val="00C66BD6"/>
    <w:rsid w:val="00C66C5B"/>
    <w:rsid w:val="00C66D47"/>
    <w:rsid w:val="00C67026"/>
    <w:rsid w:val="00C700BF"/>
    <w:rsid w:val="00C7091C"/>
    <w:rsid w:val="00C71734"/>
    <w:rsid w:val="00C71A5D"/>
    <w:rsid w:val="00C721CC"/>
    <w:rsid w:val="00C732C2"/>
    <w:rsid w:val="00C73340"/>
    <w:rsid w:val="00C736E7"/>
    <w:rsid w:val="00C743E7"/>
    <w:rsid w:val="00C7470E"/>
    <w:rsid w:val="00C7519E"/>
    <w:rsid w:val="00C75B03"/>
    <w:rsid w:val="00C77695"/>
    <w:rsid w:val="00C808B3"/>
    <w:rsid w:val="00C81A12"/>
    <w:rsid w:val="00C81C91"/>
    <w:rsid w:val="00C821DC"/>
    <w:rsid w:val="00C82261"/>
    <w:rsid w:val="00C824E4"/>
    <w:rsid w:val="00C8296F"/>
    <w:rsid w:val="00C830B6"/>
    <w:rsid w:val="00C83319"/>
    <w:rsid w:val="00C83539"/>
    <w:rsid w:val="00C8369D"/>
    <w:rsid w:val="00C843C0"/>
    <w:rsid w:val="00C843EE"/>
    <w:rsid w:val="00C844E9"/>
    <w:rsid w:val="00C846BE"/>
    <w:rsid w:val="00C84C02"/>
    <w:rsid w:val="00C84EED"/>
    <w:rsid w:val="00C85B60"/>
    <w:rsid w:val="00C8656C"/>
    <w:rsid w:val="00C867E9"/>
    <w:rsid w:val="00C87120"/>
    <w:rsid w:val="00C8734F"/>
    <w:rsid w:val="00C87A29"/>
    <w:rsid w:val="00C87B7F"/>
    <w:rsid w:val="00C87D25"/>
    <w:rsid w:val="00C87F5E"/>
    <w:rsid w:val="00C905AB"/>
    <w:rsid w:val="00C90C95"/>
    <w:rsid w:val="00C9161F"/>
    <w:rsid w:val="00C918A6"/>
    <w:rsid w:val="00C91990"/>
    <w:rsid w:val="00C920A1"/>
    <w:rsid w:val="00C92FFE"/>
    <w:rsid w:val="00C934DC"/>
    <w:rsid w:val="00C93787"/>
    <w:rsid w:val="00C93B08"/>
    <w:rsid w:val="00C94560"/>
    <w:rsid w:val="00C94B9B"/>
    <w:rsid w:val="00C952AE"/>
    <w:rsid w:val="00C95408"/>
    <w:rsid w:val="00C958F8"/>
    <w:rsid w:val="00C963DE"/>
    <w:rsid w:val="00C979FF"/>
    <w:rsid w:val="00CA0C26"/>
    <w:rsid w:val="00CA0CBC"/>
    <w:rsid w:val="00CA0FD9"/>
    <w:rsid w:val="00CA1CD8"/>
    <w:rsid w:val="00CA26AC"/>
    <w:rsid w:val="00CA2797"/>
    <w:rsid w:val="00CA29F7"/>
    <w:rsid w:val="00CA2CFF"/>
    <w:rsid w:val="00CA3D4E"/>
    <w:rsid w:val="00CA5169"/>
    <w:rsid w:val="00CA63CB"/>
    <w:rsid w:val="00CA68F3"/>
    <w:rsid w:val="00CA69AC"/>
    <w:rsid w:val="00CA75B3"/>
    <w:rsid w:val="00CA75E5"/>
    <w:rsid w:val="00CA7610"/>
    <w:rsid w:val="00CA7E9A"/>
    <w:rsid w:val="00CA7FFB"/>
    <w:rsid w:val="00CB0769"/>
    <w:rsid w:val="00CB07A8"/>
    <w:rsid w:val="00CB0BEA"/>
    <w:rsid w:val="00CB17F2"/>
    <w:rsid w:val="00CB1938"/>
    <w:rsid w:val="00CB1D16"/>
    <w:rsid w:val="00CB2072"/>
    <w:rsid w:val="00CB23F4"/>
    <w:rsid w:val="00CB3247"/>
    <w:rsid w:val="00CB37F8"/>
    <w:rsid w:val="00CB3850"/>
    <w:rsid w:val="00CB46AF"/>
    <w:rsid w:val="00CB5389"/>
    <w:rsid w:val="00CB6B96"/>
    <w:rsid w:val="00CB716D"/>
    <w:rsid w:val="00CB7878"/>
    <w:rsid w:val="00CB78F9"/>
    <w:rsid w:val="00CB7C1E"/>
    <w:rsid w:val="00CC044F"/>
    <w:rsid w:val="00CC0845"/>
    <w:rsid w:val="00CC0FC5"/>
    <w:rsid w:val="00CC10E1"/>
    <w:rsid w:val="00CC33A6"/>
    <w:rsid w:val="00CC3543"/>
    <w:rsid w:val="00CC3BF4"/>
    <w:rsid w:val="00CC3D0D"/>
    <w:rsid w:val="00CC48A2"/>
    <w:rsid w:val="00CC4C25"/>
    <w:rsid w:val="00CC4DC9"/>
    <w:rsid w:val="00CC50F7"/>
    <w:rsid w:val="00CC5899"/>
    <w:rsid w:val="00CC5AFE"/>
    <w:rsid w:val="00CC655D"/>
    <w:rsid w:val="00CC688F"/>
    <w:rsid w:val="00CC6C68"/>
    <w:rsid w:val="00CC79A7"/>
    <w:rsid w:val="00CC7AF8"/>
    <w:rsid w:val="00CD12E3"/>
    <w:rsid w:val="00CD185F"/>
    <w:rsid w:val="00CD2497"/>
    <w:rsid w:val="00CD31A7"/>
    <w:rsid w:val="00CD362C"/>
    <w:rsid w:val="00CD3934"/>
    <w:rsid w:val="00CD3FFD"/>
    <w:rsid w:val="00CD41C7"/>
    <w:rsid w:val="00CD4B9C"/>
    <w:rsid w:val="00CD5BEE"/>
    <w:rsid w:val="00CD5C15"/>
    <w:rsid w:val="00CD6027"/>
    <w:rsid w:val="00CD6327"/>
    <w:rsid w:val="00CD64C6"/>
    <w:rsid w:val="00CD6B31"/>
    <w:rsid w:val="00CD799D"/>
    <w:rsid w:val="00CE03B7"/>
    <w:rsid w:val="00CE064E"/>
    <w:rsid w:val="00CE119E"/>
    <w:rsid w:val="00CE13EB"/>
    <w:rsid w:val="00CE29BD"/>
    <w:rsid w:val="00CE2B78"/>
    <w:rsid w:val="00CE2CFC"/>
    <w:rsid w:val="00CE2E82"/>
    <w:rsid w:val="00CE353B"/>
    <w:rsid w:val="00CE4B1B"/>
    <w:rsid w:val="00CE5848"/>
    <w:rsid w:val="00CE58A1"/>
    <w:rsid w:val="00CE5AAB"/>
    <w:rsid w:val="00CE5E2A"/>
    <w:rsid w:val="00CE650C"/>
    <w:rsid w:val="00CE74A3"/>
    <w:rsid w:val="00CE7A3F"/>
    <w:rsid w:val="00CE7EC1"/>
    <w:rsid w:val="00CF0006"/>
    <w:rsid w:val="00CF0D38"/>
    <w:rsid w:val="00CF1380"/>
    <w:rsid w:val="00CF1CAC"/>
    <w:rsid w:val="00CF2B76"/>
    <w:rsid w:val="00CF2CA9"/>
    <w:rsid w:val="00CF40E5"/>
    <w:rsid w:val="00CF4240"/>
    <w:rsid w:val="00CF437B"/>
    <w:rsid w:val="00CF48F5"/>
    <w:rsid w:val="00CF4B11"/>
    <w:rsid w:val="00CF53F0"/>
    <w:rsid w:val="00CF56DC"/>
    <w:rsid w:val="00CF5D9E"/>
    <w:rsid w:val="00CF657B"/>
    <w:rsid w:val="00CF75C7"/>
    <w:rsid w:val="00D0007D"/>
    <w:rsid w:val="00D002D2"/>
    <w:rsid w:val="00D008C3"/>
    <w:rsid w:val="00D00931"/>
    <w:rsid w:val="00D00997"/>
    <w:rsid w:val="00D01CDA"/>
    <w:rsid w:val="00D026F7"/>
    <w:rsid w:val="00D02DBB"/>
    <w:rsid w:val="00D032AE"/>
    <w:rsid w:val="00D034DD"/>
    <w:rsid w:val="00D036FF"/>
    <w:rsid w:val="00D04952"/>
    <w:rsid w:val="00D05C55"/>
    <w:rsid w:val="00D061C6"/>
    <w:rsid w:val="00D064BD"/>
    <w:rsid w:val="00D06A16"/>
    <w:rsid w:val="00D0723E"/>
    <w:rsid w:val="00D07395"/>
    <w:rsid w:val="00D07520"/>
    <w:rsid w:val="00D1078F"/>
    <w:rsid w:val="00D10E60"/>
    <w:rsid w:val="00D12550"/>
    <w:rsid w:val="00D12837"/>
    <w:rsid w:val="00D12991"/>
    <w:rsid w:val="00D12CD2"/>
    <w:rsid w:val="00D136A4"/>
    <w:rsid w:val="00D13840"/>
    <w:rsid w:val="00D142F8"/>
    <w:rsid w:val="00D14D23"/>
    <w:rsid w:val="00D15072"/>
    <w:rsid w:val="00D15755"/>
    <w:rsid w:val="00D159BE"/>
    <w:rsid w:val="00D15D8B"/>
    <w:rsid w:val="00D15DE4"/>
    <w:rsid w:val="00D1606B"/>
    <w:rsid w:val="00D168A9"/>
    <w:rsid w:val="00D177BE"/>
    <w:rsid w:val="00D17984"/>
    <w:rsid w:val="00D17A2B"/>
    <w:rsid w:val="00D216AD"/>
    <w:rsid w:val="00D21968"/>
    <w:rsid w:val="00D22437"/>
    <w:rsid w:val="00D2311D"/>
    <w:rsid w:val="00D23207"/>
    <w:rsid w:val="00D23635"/>
    <w:rsid w:val="00D23754"/>
    <w:rsid w:val="00D23ADA"/>
    <w:rsid w:val="00D23F6E"/>
    <w:rsid w:val="00D248E3"/>
    <w:rsid w:val="00D24D4B"/>
    <w:rsid w:val="00D24DAD"/>
    <w:rsid w:val="00D25916"/>
    <w:rsid w:val="00D26259"/>
    <w:rsid w:val="00D262A5"/>
    <w:rsid w:val="00D26380"/>
    <w:rsid w:val="00D2646F"/>
    <w:rsid w:val="00D26D97"/>
    <w:rsid w:val="00D301AE"/>
    <w:rsid w:val="00D3032E"/>
    <w:rsid w:val="00D3094D"/>
    <w:rsid w:val="00D30AA5"/>
    <w:rsid w:val="00D329E6"/>
    <w:rsid w:val="00D33018"/>
    <w:rsid w:val="00D340C0"/>
    <w:rsid w:val="00D3430D"/>
    <w:rsid w:val="00D343B4"/>
    <w:rsid w:val="00D35817"/>
    <w:rsid w:val="00D35D6F"/>
    <w:rsid w:val="00D364E9"/>
    <w:rsid w:val="00D3696A"/>
    <w:rsid w:val="00D36987"/>
    <w:rsid w:val="00D36C83"/>
    <w:rsid w:val="00D36F30"/>
    <w:rsid w:val="00D36F99"/>
    <w:rsid w:val="00D37277"/>
    <w:rsid w:val="00D3769F"/>
    <w:rsid w:val="00D37972"/>
    <w:rsid w:val="00D379D9"/>
    <w:rsid w:val="00D37CC5"/>
    <w:rsid w:val="00D40896"/>
    <w:rsid w:val="00D40DA0"/>
    <w:rsid w:val="00D41534"/>
    <w:rsid w:val="00D418AF"/>
    <w:rsid w:val="00D420F7"/>
    <w:rsid w:val="00D42502"/>
    <w:rsid w:val="00D42650"/>
    <w:rsid w:val="00D4270E"/>
    <w:rsid w:val="00D42CE3"/>
    <w:rsid w:val="00D43AE9"/>
    <w:rsid w:val="00D44967"/>
    <w:rsid w:val="00D449FA"/>
    <w:rsid w:val="00D44A32"/>
    <w:rsid w:val="00D451FC"/>
    <w:rsid w:val="00D45850"/>
    <w:rsid w:val="00D46A7F"/>
    <w:rsid w:val="00D46D65"/>
    <w:rsid w:val="00D47BD5"/>
    <w:rsid w:val="00D5004A"/>
    <w:rsid w:val="00D5238F"/>
    <w:rsid w:val="00D52CAC"/>
    <w:rsid w:val="00D52CC3"/>
    <w:rsid w:val="00D53C20"/>
    <w:rsid w:val="00D53F67"/>
    <w:rsid w:val="00D544E9"/>
    <w:rsid w:val="00D54CE8"/>
    <w:rsid w:val="00D55E0F"/>
    <w:rsid w:val="00D563D2"/>
    <w:rsid w:val="00D579FE"/>
    <w:rsid w:val="00D6060D"/>
    <w:rsid w:val="00D60B23"/>
    <w:rsid w:val="00D61286"/>
    <w:rsid w:val="00D616F5"/>
    <w:rsid w:val="00D61F15"/>
    <w:rsid w:val="00D62756"/>
    <w:rsid w:val="00D62D45"/>
    <w:rsid w:val="00D63BB9"/>
    <w:rsid w:val="00D63C48"/>
    <w:rsid w:val="00D64289"/>
    <w:rsid w:val="00D65178"/>
    <w:rsid w:val="00D66127"/>
    <w:rsid w:val="00D6614F"/>
    <w:rsid w:val="00D6660D"/>
    <w:rsid w:val="00D6667B"/>
    <w:rsid w:val="00D66F5C"/>
    <w:rsid w:val="00D67EC2"/>
    <w:rsid w:val="00D702E0"/>
    <w:rsid w:val="00D70497"/>
    <w:rsid w:val="00D70893"/>
    <w:rsid w:val="00D70C1D"/>
    <w:rsid w:val="00D70DD2"/>
    <w:rsid w:val="00D71194"/>
    <w:rsid w:val="00D71400"/>
    <w:rsid w:val="00D7174E"/>
    <w:rsid w:val="00D71761"/>
    <w:rsid w:val="00D7296B"/>
    <w:rsid w:val="00D73ABF"/>
    <w:rsid w:val="00D743FE"/>
    <w:rsid w:val="00D74C8F"/>
    <w:rsid w:val="00D74EEC"/>
    <w:rsid w:val="00D75583"/>
    <w:rsid w:val="00D762F3"/>
    <w:rsid w:val="00D76330"/>
    <w:rsid w:val="00D766C1"/>
    <w:rsid w:val="00D76F62"/>
    <w:rsid w:val="00D776E5"/>
    <w:rsid w:val="00D777D4"/>
    <w:rsid w:val="00D77C25"/>
    <w:rsid w:val="00D820CB"/>
    <w:rsid w:val="00D825E3"/>
    <w:rsid w:val="00D8366C"/>
    <w:rsid w:val="00D83CE3"/>
    <w:rsid w:val="00D8441F"/>
    <w:rsid w:val="00D8455B"/>
    <w:rsid w:val="00D858A9"/>
    <w:rsid w:val="00D863C5"/>
    <w:rsid w:val="00D8672D"/>
    <w:rsid w:val="00D86E5D"/>
    <w:rsid w:val="00D87528"/>
    <w:rsid w:val="00D90636"/>
    <w:rsid w:val="00D90D1F"/>
    <w:rsid w:val="00D9151C"/>
    <w:rsid w:val="00D93937"/>
    <w:rsid w:val="00D93CA8"/>
    <w:rsid w:val="00D93D75"/>
    <w:rsid w:val="00D94785"/>
    <w:rsid w:val="00D95394"/>
    <w:rsid w:val="00D9622C"/>
    <w:rsid w:val="00D96F69"/>
    <w:rsid w:val="00D970E7"/>
    <w:rsid w:val="00D97837"/>
    <w:rsid w:val="00D97C78"/>
    <w:rsid w:val="00DA0061"/>
    <w:rsid w:val="00DA01E5"/>
    <w:rsid w:val="00DA0258"/>
    <w:rsid w:val="00DA032B"/>
    <w:rsid w:val="00DA0456"/>
    <w:rsid w:val="00DA05A4"/>
    <w:rsid w:val="00DA163A"/>
    <w:rsid w:val="00DA1DE8"/>
    <w:rsid w:val="00DA477C"/>
    <w:rsid w:val="00DA4D42"/>
    <w:rsid w:val="00DA55BB"/>
    <w:rsid w:val="00DA59E8"/>
    <w:rsid w:val="00DA5BA4"/>
    <w:rsid w:val="00DA5E2B"/>
    <w:rsid w:val="00DA6097"/>
    <w:rsid w:val="00DA73EE"/>
    <w:rsid w:val="00DA77B2"/>
    <w:rsid w:val="00DA78EE"/>
    <w:rsid w:val="00DA7C1F"/>
    <w:rsid w:val="00DA7CF9"/>
    <w:rsid w:val="00DB05E8"/>
    <w:rsid w:val="00DB179B"/>
    <w:rsid w:val="00DB4215"/>
    <w:rsid w:val="00DB5023"/>
    <w:rsid w:val="00DB5AF6"/>
    <w:rsid w:val="00DB6108"/>
    <w:rsid w:val="00DB64BA"/>
    <w:rsid w:val="00DB6C5F"/>
    <w:rsid w:val="00DC0547"/>
    <w:rsid w:val="00DC09BB"/>
    <w:rsid w:val="00DC0A04"/>
    <w:rsid w:val="00DC0AFF"/>
    <w:rsid w:val="00DC1743"/>
    <w:rsid w:val="00DC1929"/>
    <w:rsid w:val="00DC1C1C"/>
    <w:rsid w:val="00DC2335"/>
    <w:rsid w:val="00DC26A1"/>
    <w:rsid w:val="00DC273B"/>
    <w:rsid w:val="00DC30CB"/>
    <w:rsid w:val="00DC482E"/>
    <w:rsid w:val="00DC4B73"/>
    <w:rsid w:val="00DC4CC9"/>
    <w:rsid w:val="00DC4F8A"/>
    <w:rsid w:val="00DC6C93"/>
    <w:rsid w:val="00DC6ECE"/>
    <w:rsid w:val="00DC6F1E"/>
    <w:rsid w:val="00DC6F32"/>
    <w:rsid w:val="00DC7746"/>
    <w:rsid w:val="00DD006F"/>
    <w:rsid w:val="00DD110E"/>
    <w:rsid w:val="00DD1DB2"/>
    <w:rsid w:val="00DD2409"/>
    <w:rsid w:val="00DD2F2A"/>
    <w:rsid w:val="00DD3049"/>
    <w:rsid w:val="00DD30CC"/>
    <w:rsid w:val="00DD4443"/>
    <w:rsid w:val="00DD452A"/>
    <w:rsid w:val="00DD4AB8"/>
    <w:rsid w:val="00DD4C06"/>
    <w:rsid w:val="00DD5169"/>
    <w:rsid w:val="00DD5714"/>
    <w:rsid w:val="00DD624A"/>
    <w:rsid w:val="00DD6566"/>
    <w:rsid w:val="00DD7395"/>
    <w:rsid w:val="00DD7454"/>
    <w:rsid w:val="00DD75FB"/>
    <w:rsid w:val="00DD7812"/>
    <w:rsid w:val="00DD7916"/>
    <w:rsid w:val="00DD7C0F"/>
    <w:rsid w:val="00DE00F3"/>
    <w:rsid w:val="00DE0B1F"/>
    <w:rsid w:val="00DE0E25"/>
    <w:rsid w:val="00DE1F52"/>
    <w:rsid w:val="00DE200D"/>
    <w:rsid w:val="00DE2BDD"/>
    <w:rsid w:val="00DE30E2"/>
    <w:rsid w:val="00DE3A9A"/>
    <w:rsid w:val="00DE3AA4"/>
    <w:rsid w:val="00DE3E27"/>
    <w:rsid w:val="00DE512B"/>
    <w:rsid w:val="00DE6421"/>
    <w:rsid w:val="00DE652D"/>
    <w:rsid w:val="00DE705E"/>
    <w:rsid w:val="00DE706B"/>
    <w:rsid w:val="00DE74A7"/>
    <w:rsid w:val="00DF04DF"/>
    <w:rsid w:val="00DF0F10"/>
    <w:rsid w:val="00DF16C0"/>
    <w:rsid w:val="00DF1B9C"/>
    <w:rsid w:val="00DF203A"/>
    <w:rsid w:val="00DF2291"/>
    <w:rsid w:val="00DF2D1A"/>
    <w:rsid w:val="00DF3246"/>
    <w:rsid w:val="00DF35E8"/>
    <w:rsid w:val="00DF36F5"/>
    <w:rsid w:val="00DF383C"/>
    <w:rsid w:val="00DF3923"/>
    <w:rsid w:val="00DF39F7"/>
    <w:rsid w:val="00DF3A42"/>
    <w:rsid w:val="00DF469D"/>
    <w:rsid w:val="00DF4FE4"/>
    <w:rsid w:val="00DF548B"/>
    <w:rsid w:val="00DF5B31"/>
    <w:rsid w:val="00DF5BD5"/>
    <w:rsid w:val="00DF5CFD"/>
    <w:rsid w:val="00DF6C28"/>
    <w:rsid w:val="00E00210"/>
    <w:rsid w:val="00E0084B"/>
    <w:rsid w:val="00E011AE"/>
    <w:rsid w:val="00E0121D"/>
    <w:rsid w:val="00E01314"/>
    <w:rsid w:val="00E01465"/>
    <w:rsid w:val="00E0187F"/>
    <w:rsid w:val="00E0193C"/>
    <w:rsid w:val="00E01D22"/>
    <w:rsid w:val="00E0242C"/>
    <w:rsid w:val="00E02506"/>
    <w:rsid w:val="00E03CDB"/>
    <w:rsid w:val="00E041E4"/>
    <w:rsid w:val="00E052AA"/>
    <w:rsid w:val="00E05FBC"/>
    <w:rsid w:val="00E06F4A"/>
    <w:rsid w:val="00E07209"/>
    <w:rsid w:val="00E10B7D"/>
    <w:rsid w:val="00E11461"/>
    <w:rsid w:val="00E115A7"/>
    <w:rsid w:val="00E119E3"/>
    <w:rsid w:val="00E12430"/>
    <w:rsid w:val="00E13975"/>
    <w:rsid w:val="00E140E7"/>
    <w:rsid w:val="00E1419F"/>
    <w:rsid w:val="00E147EC"/>
    <w:rsid w:val="00E14B0A"/>
    <w:rsid w:val="00E14D2F"/>
    <w:rsid w:val="00E15DD4"/>
    <w:rsid w:val="00E16C5B"/>
    <w:rsid w:val="00E177FC"/>
    <w:rsid w:val="00E17CE2"/>
    <w:rsid w:val="00E20012"/>
    <w:rsid w:val="00E2099C"/>
    <w:rsid w:val="00E210A4"/>
    <w:rsid w:val="00E21C10"/>
    <w:rsid w:val="00E2267B"/>
    <w:rsid w:val="00E227EA"/>
    <w:rsid w:val="00E23426"/>
    <w:rsid w:val="00E23660"/>
    <w:rsid w:val="00E236E3"/>
    <w:rsid w:val="00E24518"/>
    <w:rsid w:val="00E252B3"/>
    <w:rsid w:val="00E25D3B"/>
    <w:rsid w:val="00E26034"/>
    <w:rsid w:val="00E264A6"/>
    <w:rsid w:val="00E26AC9"/>
    <w:rsid w:val="00E2761D"/>
    <w:rsid w:val="00E27C0E"/>
    <w:rsid w:val="00E30082"/>
    <w:rsid w:val="00E31326"/>
    <w:rsid w:val="00E31A1E"/>
    <w:rsid w:val="00E31B9C"/>
    <w:rsid w:val="00E3233D"/>
    <w:rsid w:val="00E323C0"/>
    <w:rsid w:val="00E32907"/>
    <w:rsid w:val="00E32C18"/>
    <w:rsid w:val="00E34484"/>
    <w:rsid w:val="00E36C2E"/>
    <w:rsid w:val="00E37424"/>
    <w:rsid w:val="00E37DAD"/>
    <w:rsid w:val="00E40128"/>
    <w:rsid w:val="00E40DB1"/>
    <w:rsid w:val="00E412E2"/>
    <w:rsid w:val="00E41E90"/>
    <w:rsid w:val="00E422CA"/>
    <w:rsid w:val="00E443E6"/>
    <w:rsid w:val="00E45180"/>
    <w:rsid w:val="00E45305"/>
    <w:rsid w:val="00E45E7E"/>
    <w:rsid w:val="00E460C5"/>
    <w:rsid w:val="00E46AC9"/>
    <w:rsid w:val="00E47275"/>
    <w:rsid w:val="00E4744F"/>
    <w:rsid w:val="00E50407"/>
    <w:rsid w:val="00E513C8"/>
    <w:rsid w:val="00E52772"/>
    <w:rsid w:val="00E52A61"/>
    <w:rsid w:val="00E53197"/>
    <w:rsid w:val="00E53407"/>
    <w:rsid w:val="00E53DB6"/>
    <w:rsid w:val="00E53E47"/>
    <w:rsid w:val="00E54ACA"/>
    <w:rsid w:val="00E54FB3"/>
    <w:rsid w:val="00E55904"/>
    <w:rsid w:val="00E55E72"/>
    <w:rsid w:val="00E55E74"/>
    <w:rsid w:val="00E569BD"/>
    <w:rsid w:val="00E57521"/>
    <w:rsid w:val="00E57E03"/>
    <w:rsid w:val="00E60005"/>
    <w:rsid w:val="00E60154"/>
    <w:rsid w:val="00E60616"/>
    <w:rsid w:val="00E60C03"/>
    <w:rsid w:val="00E6113F"/>
    <w:rsid w:val="00E6157A"/>
    <w:rsid w:val="00E6172A"/>
    <w:rsid w:val="00E61D2F"/>
    <w:rsid w:val="00E623BA"/>
    <w:rsid w:val="00E628DC"/>
    <w:rsid w:val="00E6346D"/>
    <w:rsid w:val="00E63C33"/>
    <w:rsid w:val="00E64883"/>
    <w:rsid w:val="00E64A74"/>
    <w:rsid w:val="00E66342"/>
    <w:rsid w:val="00E6644D"/>
    <w:rsid w:val="00E66614"/>
    <w:rsid w:val="00E6669F"/>
    <w:rsid w:val="00E66924"/>
    <w:rsid w:val="00E669A3"/>
    <w:rsid w:val="00E703EC"/>
    <w:rsid w:val="00E7176C"/>
    <w:rsid w:val="00E71CEB"/>
    <w:rsid w:val="00E721C4"/>
    <w:rsid w:val="00E72939"/>
    <w:rsid w:val="00E72C54"/>
    <w:rsid w:val="00E72E7A"/>
    <w:rsid w:val="00E7398B"/>
    <w:rsid w:val="00E74154"/>
    <w:rsid w:val="00E74358"/>
    <w:rsid w:val="00E75DDA"/>
    <w:rsid w:val="00E762ED"/>
    <w:rsid w:val="00E764AD"/>
    <w:rsid w:val="00E7671A"/>
    <w:rsid w:val="00E76B35"/>
    <w:rsid w:val="00E80035"/>
    <w:rsid w:val="00E805F7"/>
    <w:rsid w:val="00E808C2"/>
    <w:rsid w:val="00E821A4"/>
    <w:rsid w:val="00E8269B"/>
    <w:rsid w:val="00E82A43"/>
    <w:rsid w:val="00E83AF3"/>
    <w:rsid w:val="00E8424D"/>
    <w:rsid w:val="00E84824"/>
    <w:rsid w:val="00E8500A"/>
    <w:rsid w:val="00E85860"/>
    <w:rsid w:val="00E85CAF"/>
    <w:rsid w:val="00E85E08"/>
    <w:rsid w:val="00E86A65"/>
    <w:rsid w:val="00E86D25"/>
    <w:rsid w:val="00E873A8"/>
    <w:rsid w:val="00E87B7B"/>
    <w:rsid w:val="00E87C24"/>
    <w:rsid w:val="00E915AC"/>
    <w:rsid w:val="00E91BA6"/>
    <w:rsid w:val="00E928FC"/>
    <w:rsid w:val="00E929AD"/>
    <w:rsid w:val="00E92B30"/>
    <w:rsid w:val="00E930FA"/>
    <w:rsid w:val="00E93202"/>
    <w:rsid w:val="00E9424C"/>
    <w:rsid w:val="00E942AF"/>
    <w:rsid w:val="00E94613"/>
    <w:rsid w:val="00E94C35"/>
    <w:rsid w:val="00E94F14"/>
    <w:rsid w:val="00E94FCD"/>
    <w:rsid w:val="00E95AE4"/>
    <w:rsid w:val="00E969C7"/>
    <w:rsid w:val="00E96EC3"/>
    <w:rsid w:val="00E976DF"/>
    <w:rsid w:val="00E97E9A"/>
    <w:rsid w:val="00EA0566"/>
    <w:rsid w:val="00EA060C"/>
    <w:rsid w:val="00EA0A60"/>
    <w:rsid w:val="00EA0B6C"/>
    <w:rsid w:val="00EA0B8B"/>
    <w:rsid w:val="00EA0D0B"/>
    <w:rsid w:val="00EA1417"/>
    <w:rsid w:val="00EA142E"/>
    <w:rsid w:val="00EA1507"/>
    <w:rsid w:val="00EA1B29"/>
    <w:rsid w:val="00EA1D44"/>
    <w:rsid w:val="00EA3D72"/>
    <w:rsid w:val="00EA4914"/>
    <w:rsid w:val="00EA4CAB"/>
    <w:rsid w:val="00EA4CED"/>
    <w:rsid w:val="00EA5552"/>
    <w:rsid w:val="00EA5E20"/>
    <w:rsid w:val="00EA5E8B"/>
    <w:rsid w:val="00EA5EE0"/>
    <w:rsid w:val="00EA6256"/>
    <w:rsid w:val="00EA64A3"/>
    <w:rsid w:val="00EA655D"/>
    <w:rsid w:val="00EA66E6"/>
    <w:rsid w:val="00EA68B6"/>
    <w:rsid w:val="00EA701D"/>
    <w:rsid w:val="00EA7D38"/>
    <w:rsid w:val="00EB14E5"/>
    <w:rsid w:val="00EB295A"/>
    <w:rsid w:val="00EB31E4"/>
    <w:rsid w:val="00EB31F9"/>
    <w:rsid w:val="00EB360C"/>
    <w:rsid w:val="00EB426B"/>
    <w:rsid w:val="00EB54DD"/>
    <w:rsid w:val="00EB56AC"/>
    <w:rsid w:val="00EB5E6D"/>
    <w:rsid w:val="00EB602F"/>
    <w:rsid w:val="00EB68BD"/>
    <w:rsid w:val="00EB6FED"/>
    <w:rsid w:val="00EB7995"/>
    <w:rsid w:val="00EB7A23"/>
    <w:rsid w:val="00EC0F5A"/>
    <w:rsid w:val="00EC1E53"/>
    <w:rsid w:val="00EC2484"/>
    <w:rsid w:val="00EC310B"/>
    <w:rsid w:val="00EC3222"/>
    <w:rsid w:val="00EC32A5"/>
    <w:rsid w:val="00EC4228"/>
    <w:rsid w:val="00EC4758"/>
    <w:rsid w:val="00EC54F1"/>
    <w:rsid w:val="00EC57D3"/>
    <w:rsid w:val="00EC5D5D"/>
    <w:rsid w:val="00EC5EB6"/>
    <w:rsid w:val="00EC6741"/>
    <w:rsid w:val="00EC7E7E"/>
    <w:rsid w:val="00ED0EF9"/>
    <w:rsid w:val="00ED13F4"/>
    <w:rsid w:val="00ED1F76"/>
    <w:rsid w:val="00ED28CB"/>
    <w:rsid w:val="00ED29A2"/>
    <w:rsid w:val="00ED2FCF"/>
    <w:rsid w:val="00ED36E5"/>
    <w:rsid w:val="00ED3C16"/>
    <w:rsid w:val="00ED3DF6"/>
    <w:rsid w:val="00ED4887"/>
    <w:rsid w:val="00ED50F3"/>
    <w:rsid w:val="00ED55EF"/>
    <w:rsid w:val="00ED5BB3"/>
    <w:rsid w:val="00ED5BE1"/>
    <w:rsid w:val="00ED6DB9"/>
    <w:rsid w:val="00ED7061"/>
    <w:rsid w:val="00ED7509"/>
    <w:rsid w:val="00ED792E"/>
    <w:rsid w:val="00ED7997"/>
    <w:rsid w:val="00EE0506"/>
    <w:rsid w:val="00EE0793"/>
    <w:rsid w:val="00EE09B1"/>
    <w:rsid w:val="00EE09D8"/>
    <w:rsid w:val="00EE1625"/>
    <w:rsid w:val="00EE1BEE"/>
    <w:rsid w:val="00EE1EF0"/>
    <w:rsid w:val="00EE2852"/>
    <w:rsid w:val="00EE28A3"/>
    <w:rsid w:val="00EE2C00"/>
    <w:rsid w:val="00EE421F"/>
    <w:rsid w:val="00EE4DD9"/>
    <w:rsid w:val="00EE5014"/>
    <w:rsid w:val="00EE5063"/>
    <w:rsid w:val="00EE65F2"/>
    <w:rsid w:val="00EE6C4C"/>
    <w:rsid w:val="00EF0716"/>
    <w:rsid w:val="00EF1337"/>
    <w:rsid w:val="00EF1372"/>
    <w:rsid w:val="00EF1E75"/>
    <w:rsid w:val="00EF2349"/>
    <w:rsid w:val="00EF2A3D"/>
    <w:rsid w:val="00EF3278"/>
    <w:rsid w:val="00EF327A"/>
    <w:rsid w:val="00EF3908"/>
    <w:rsid w:val="00EF3C94"/>
    <w:rsid w:val="00EF3E8B"/>
    <w:rsid w:val="00EF4F91"/>
    <w:rsid w:val="00EF59B7"/>
    <w:rsid w:val="00EF5E73"/>
    <w:rsid w:val="00EF727F"/>
    <w:rsid w:val="00F005E2"/>
    <w:rsid w:val="00F00678"/>
    <w:rsid w:val="00F00AC5"/>
    <w:rsid w:val="00F0152D"/>
    <w:rsid w:val="00F01723"/>
    <w:rsid w:val="00F02787"/>
    <w:rsid w:val="00F02B9A"/>
    <w:rsid w:val="00F02D52"/>
    <w:rsid w:val="00F02DB9"/>
    <w:rsid w:val="00F03F93"/>
    <w:rsid w:val="00F049EC"/>
    <w:rsid w:val="00F04C26"/>
    <w:rsid w:val="00F0542E"/>
    <w:rsid w:val="00F0559A"/>
    <w:rsid w:val="00F0645B"/>
    <w:rsid w:val="00F0654C"/>
    <w:rsid w:val="00F06932"/>
    <w:rsid w:val="00F0773E"/>
    <w:rsid w:val="00F07785"/>
    <w:rsid w:val="00F10348"/>
    <w:rsid w:val="00F10657"/>
    <w:rsid w:val="00F1172E"/>
    <w:rsid w:val="00F11E2C"/>
    <w:rsid w:val="00F12ED0"/>
    <w:rsid w:val="00F131F9"/>
    <w:rsid w:val="00F13CFE"/>
    <w:rsid w:val="00F13E95"/>
    <w:rsid w:val="00F14133"/>
    <w:rsid w:val="00F145A6"/>
    <w:rsid w:val="00F15149"/>
    <w:rsid w:val="00F1546C"/>
    <w:rsid w:val="00F15A89"/>
    <w:rsid w:val="00F15CE5"/>
    <w:rsid w:val="00F1615D"/>
    <w:rsid w:val="00F16853"/>
    <w:rsid w:val="00F20065"/>
    <w:rsid w:val="00F20617"/>
    <w:rsid w:val="00F20B40"/>
    <w:rsid w:val="00F2184D"/>
    <w:rsid w:val="00F21B8F"/>
    <w:rsid w:val="00F2242F"/>
    <w:rsid w:val="00F225E3"/>
    <w:rsid w:val="00F226A1"/>
    <w:rsid w:val="00F226D4"/>
    <w:rsid w:val="00F22F71"/>
    <w:rsid w:val="00F23A53"/>
    <w:rsid w:val="00F26024"/>
    <w:rsid w:val="00F26484"/>
    <w:rsid w:val="00F26B4B"/>
    <w:rsid w:val="00F26DFE"/>
    <w:rsid w:val="00F2706C"/>
    <w:rsid w:val="00F271B9"/>
    <w:rsid w:val="00F30372"/>
    <w:rsid w:val="00F305A4"/>
    <w:rsid w:val="00F3094A"/>
    <w:rsid w:val="00F30AEB"/>
    <w:rsid w:val="00F31CC8"/>
    <w:rsid w:val="00F31FEB"/>
    <w:rsid w:val="00F32746"/>
    <w:rsid w:val="00F33B83"/>
    <w:rsid w:val="00F3411B"/>
    <w:rsid w:val="00F34351"/>
    <w:rsid w:val="00F34BEC"/>
    <w:rsid w:val="00F34DF3"/>
    <w:rsid w:val="00F36331"/>
    <w:rsid w:val="00F37864"/>
    <w:rsid w:val="00F37EE4"/>
    <w:rsid w:val="00F41B3C"/>
    <w:rsid w:val="00F426FF"/>
    <w:rsid w:val="00F4308F"/>
    <w:rsid w:val="00F44505"/>
    <w:rsid w:val="00F45005"/>
    <w:rsid w:val="00F45686"/>
    <w:rsid w:val="00F45D24"/>
    <w:rsid w:val="00F46127"/>
    <w:rsid w:val="00F46681"/>
    <w:rsid w:val="00F46D46"/>
    <w:rsid w:val="00F46FCD"/>
    <w:rsid w:val="00F47A2D"/>
    <w:rsid w:val="00F50F7D"/>
    <w:rsid w:val="00F512F7"/>
    <w:rsid w:val="00F532BB"/>
    <w:rsid w:val="00F54DCD"/>
    <w:rsid w:val="00F55582"/>
    <w:rsid w:val="00F56314"/>
    <w:rsid w:val="00F56C32"/>
    <w:rsid w:val="00F573E3"/>
    <w:rsid w:val="00F6120B"/>
    <w:rsid w:val="00F6177B"/>
    <w:rsid w:val="00F61E38"/>
    <w:rsid w:val="00F61E46"/>
    <w:rsid w:val="00F61F28"/>
    <w:rsid w:val="00F625F2"/>
    <w:rsid w:val="00F630C9"/>
    <w:rsid w:val="00F63C80"/>
    <w:rsid w:val="00F6431B"/>
    <w:rsid w:val="00F663F9"/>
    <w:rsid w:val="00F66BAF"/>
    <w:rsid w:val="00F66E19"/>
    <w:rsid w:val="00F70138"/>
    <w:rsid w:val="00F702C5"/>
    <w:rsid w:val="00F708D1"/>
    <w:rsid w:val="00F70B93"/>
    <w:rsid w:val="00F712EE"/>
    <w:rsid w:val="00F71F49"/>
    <w:rsid w:val="00F7277D"/>
    <w:rsid w:val="00F72A47"/>
    <w:rsid w:val="00F72B42"/>
    <w:rsid w:val="00F72BB2"/>
    <w:rsid w:val="00F72C19"/>
    <w:rsid w:val="00F72FA0"/>
    <w:rsid w:val="00F730C9"/>
    <w:rsid w:val="00F733F3"/>
    <w:rsid w:val="00F73A39"/>
    <w:rsid w:val="00F73E47"/>
    <w:rsid w:val="00F73EC7"/>
    <w:rsid w:val="00F74BD3"/>
    <w:rsid w:val="00F758FF"/>
    <w:rsid w:val="00F75D3A"/>
    <w:rsid w:val="00F75EE3"/>
    <w:rsid w:val="00F7685B"/>
    <w:rsid w:val="00F77A41"/>
    <w:rsid w:val="00F77AD7"/>
    <w:rsid w:val="00F80139"/>
    <w:rsid w:val="00F80A08"/>
    <w:rsid w:val="00F8102F"/>
    <w:rsid w:val="00F82246"/>
    <w:rsid w:val="00F825B5"/>
    <w:rsid w:val="00F82EA5"/>
    <w:rsid w:val="00F835E1"/>
    <w:rsid w:val="00F838BA"/>
    <w:rsid w:val="00F841CA"/>
    <w:rsid w:val="00F84773"/>
    <w:rsid w:val="00F84852"/>
    <w:rsid w:val="00F84EBC"/>
    <w:rsid w:val="00F853AB"/>
    <w:rsid w:val="00F865DC"/>
    <w:rsid w:val="00F87C31"/>
    <w:rsid w:val="00F90422"/>
    <w:rsid w:val="00F91219"/>
    <w:rsid w:val="00F9199B"/>
    <w:rsid w:val="00F9212E"/>
    <w:rsid w:val="00F92331"/>
    <w:rsid w:val="00F92345"/>
    <w:rsid w:val="00F92764"/>
    <w:rsid w:val="00F930F2"/>
    <w:rsid w:val="00F93EB3"/>
    <w:rsid w:val="00F9445F"/>
    <w:rsid w:val="00F94CDE"/>
    <w:rsid w:val="00F95B02"/>
    <w:rsid w:val="00F95F0A"/>
    <w:rsid w:val="00F96556"/>
    <w:rsid w:val="00F96E21"/>
    <w:rsid w:val="00F97F9D"/>
    <w:rsid w:val="00FA0329"/>
    <w:rsid w:val="00FA0FBE"/>
    <w:rsid w:val="00FA11ED"/>
    <w:rsid w:val="00FA1A77"/>
    <w:rsid w:val="00FA2FFC"/>
    <w:rsid w:val="00FA3738"/>
    <w:rsid w:val="00FA37B7"/>
    <w:rsid w:val="00FA39F2"/>
    <w:rsid w:val="00FA3BE1"/>
    <w:rsid w:val="00FA42EE"/>
    <w:rsid w:val="00FA5504"/>
    <w:rsid w:val="00FA5742"/>
    <w:rsid w:val="00FA5E22"/>
    <w:rsid w:val="00FA5F81"/>
    <w:rsid w:val="00FA6156"/>
    <w:rsid w:val="00FA6AB0"/>
    <w:rsid w:val="00FA6B7E"/>
    <w:rsid w:val="00FA6C5B"/>
    <w:rsid w:val="00FB11A4"/>
    <w:rsid w:val="00FB2096"/>
    <w:rsid w:val="00FB3D28"/>
    <w:rsid w:val="00FB4114"/>
    <w:rsid w:val="00FB495B"/>
    <w:rsid w:val="00FB4E5F"/>
    <w:rsid w:val="00FB5052"/>
    <w:rsid w:val="00FB57DB"/>
    <w:rsid w:val="00FB6669"/>
    <w:rsid w:val="00FB6A11"/>
    <w:rsid w:val="00FB73AC"/>
    <w:rsid w:val="00FB7864"/>
    <w:rsid w:val="00FB797F"/>
    <w:rsid w:val="00FC06E3"/>
    <w:rsid w:val="00FC0C8D"/>
    <w:rsid w:val="00FC14AA"/>
    <w:rsid w:val="00FC18FD"/>
    <w:rsid w:val="00FC1AD3"/>
    <w:rsid w:val="00FC2087"/>
    <w:rsid w:val="00FC22AB"/>
    <w:rsid w:val="00FC257C"/>
    <w:rsid w:val="00FC272E"/>
    <w:rsid w:val="00FC294A"/>
    <w:rsid w:val="00FC30F3"/>
    <w:rsid w:val="00FC3954"/>
    <w:rsid w:val="00FC4BC8"/>
    <w:rsid w:val="00FC4DBD"/>
    <w:rsid w:val="00FC5607"/>
    <w:rsid w:val="00FC594B"/>
    <w:rsid w:val="00FC5EB5"/>
    <w:rsid w:val="00FC5F24"/>
    <w:rsid w:val="00FC6AF5"/>
    <w:rsid w:val="00FC6D3A"/>
    <w:rsid w:val="00FC7DDB"/>
    <w:rsid w:val="00FC7EF4"/>
    <w:rsid w:val="00FD0DA5"/>
    <w:rsid w:val="00FD1088"/>
    <w:rsid w:val="00FD2394"/>
    <w:rsid w:val="00FD2E62"/>
    <w:rsid w:val="00FD4211"/>
    <w:rsid w:val="00FD4F49"/>
    <w:rsid w:val="00FD5092"/>
    <w:rsid w:val="00FD53FB"/>
    <w:rsid w:val="00FD5FAA"/>
    <w:rsid w:val="00FD6617"/>
    <w:rsid w:val="00FD68E5"/>
    <w:rsid w:val="00FD69A1"/>
    <w:rsid w:val="00FD6AF3"/>
    <w:rsid w:val="00FD6CE2"/>
    <w:rsid w:val="00FD71C7"/>
    <w:rsid w:val="00FD756A"/>
    <w:rsid w:val="00FD7841"/>
    <w:rsid w:val="00FE0C19"/>
    <w:rsid w:val="00FE16F9"/>
    <w:rsid w:val="00FE17D5"/>
    <w:rsid w:val="00FE1BEE"/>
    <w:rsid w:val="00FE2431"/>
    <w:rsid w:val="00FE2678"/>
    <w:rsid w:val="00FE2F4B"/>
    <w:rsid w:val="00FE3017"/>
    <w:rsid w:val="00FE45D7"/>
    <w:rsid w:val="00FE4C2D"/>
    <w:rsid w:val="00FE4C58"/>
    <w:rsid w:val="00FE5A69"/>
    <w:rsid w:val="00FE6221"/>
    <w:rsid w:val="00FE6746"/>
    <w:rsid w:val="00FE6B7A"/>
    <w:rsid w:val="00FE6CB8"/>
    <w:rsid w:val="00FE7A80"/>
    <w:rsid w:val="00FE7EE9"/>
    <w:rsid w:val="00FF00E5"/>
    <w:rsid w:val="00FF0491"/>
    <w:rsid w:val="00FF0C90"/>
    <w:rsid w:val="00FF1663"/>
    <w:rsid w:val="00FF1701"/>
    <w:rsid w:val="00FF2550"/>
    <w:rsid w:val="00FF321A"/>
    <w:rsid w:val="00FF3592"/>
    <w:rsid w:val="00FF5299"/>
    <w:rsid w:val="00FF54A0"/>
    <w:rsid w:val="00FF610D"/>
    <w:rsid w:val="00FF67C7"/>
    <w:rsid w:val="00FF75C2"/>
    <w:rsid w:val="00FF79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8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60D"/>
    <w:pPr>
      <w:spacing w:before="120" w:line="240" w:lineRule="auto"/>
      <w:jc w:val="both"/>
    </w:pPr>
    <w:rPr>
      <w:rFonts w:eastAsia="Times New Roman" w:cs="Times New Roman"/>
      <w:sz w:val="24"/>
      <w:szCs w:val="24"/>
      <w:lang w:eastAsia="en-GB"/>
    </w:rPr>
  </w:style>
  <w:style w:type="paragraph" w:styleId="Heading1">
    <w:name w:val="heading 1"/>
    <w:next w:val="MSACESParagraph"/>
    <w:link w:val="Heading1Char"/>
    <w:uiPriority w:val="9"/>
    <w:qFormat/>
    <w:rsid w:val="005C2085"/>
    <w:pPr>
      <w:keepNext/>
      <w:keepLines/>
      <w:numPr>
        <w:numId w:val="4"/>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numPr>
        <w:ilvl w:val="3"/>
        <w:numId w:val="4"/>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9"/>
    <w:qFormat/>
    <w:rsid w:val="00186307"/>
    <w:pPr>
      <w:keepNext/>
      <w:keepLines/>
      <w:numPr>
        <w:ilvl w:val="5"/>
        <w:numId w:val="4"/>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9"/>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ind w:left="6480" w:hanging="180"/>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lang w:eastAsia="en-GB"/>
    </w:rPr>
  </w:style>
  <w:style w:type="character" w:customStyle="1" w:styleId="Heading3Char">
    <w:name w:val="Heading 3 Char"/>
    <w:basedOn w:val="DefaultParagraphFont"/>
    <w:link w:val="Heading3"/>
    <w:uiPriority w:val="9"/>
    <w:rsid w:val="00245AD1"/>
    <w:rPr>
      <w:rFonts w:eastAsiaTheme="majorEastAsia" w:cstheme="majorBidi"/>
      <w:b/>
      <w:sz w:val="28"/>
      <w:szCs w:val="28"/>
      <w:lang w:eastAsia="en-GB"/>
    </w:rPr>
  </w:style>
  <w:style w:type="paragraph" w:styleId="ListParagraph">
    <w:name w:val="List Paragraph"/>
    <w:aliases w:val="PBAC ES Paragraph,Body Text Bullet Points,Numbered para,BulletPoints,List Paragraph1,Bullet point,List Paragraph11,Recommendation,Section heading,Footnote,ES Paragraph,PBAC normal points,Bullet List,Bullet 1,Bullet1,Summary Bullets"/>
    <w:basedOn w:val="Normal"/>
    <w:link w:val="ListParagraphChar"/>
    <w:uiPriority w:val="34"/>
    <w:qFormat/>
    <w:rsid w:val="004908B7"/>
    <w:pPr>
      <w:numPr>
        <w:ilvl w:val="4"/>
        <w:numId w:val="1"/>
      </w:numPr>
    </w:pPr>
    <w:rPr>
      <w:color w:val="000000" w:themeColor="text1"/>
    </w:r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9000CA"/>
    <w:rPr>
      <w:color w:val="0070C0"/>
    </w:rPr>
  </w:style>
  <w:style w:type="character" w:customStyle="1" w:styleId="Heading4Char">
    <w:name w:val="Heading 4 Char"/>
    <w:basedOn w:val="DefaultParagraphFont"/>
    <w:link w:val="Heading4"/>
    <w:uiPriority w:val="9"/>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lang w:eastAsia="en-GB"/>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PBAC table,new style,MSD Table Grid,CMA Table Template,ASD Table,RTI AMCP Table"/>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Char"/>
    <w:next w:val="Normal"/>
    <w:link w:val="CaptionChar"/>
    <w:autoRedefine/>
    <w:qFormat/>
    <w:rsid w:val="00781284"/>
    <w:pPr>
      <w:keepNext/>
      <w:keepLines/>
      <w:spacing w:before="240" w:after="0"/>
      <w:contextualSpacing/>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H18,Annotationmark"/>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9000CA"/>
    <w:rPr>
      <w:rFonts w:eastAsia="Times New Roman" w:cs="Times New Roman"/>
      <w:color w:val="0070C0"/>
      <w:sz w:val="24"/>
      <w:szCs w:val="24"/>
      <w:lang w:eastAsia="en-GB"/>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rsid w:val="00781284"/>
    <w:rPr>
      <w:rFonts w:ascii="Arial Narrow" w:hAnsi="Arial Narrow"/>
      <w:b/>
      <w:iCs/>
      <w:sz w:val="20"/>
      <w:szCs w:val="18"/>
    </w:rPr>
  </w:style>
  <w:style w:type="paragraph" w:customStyle="1" w:styleId="TableFooter">
    <w:name w:val="Table Footer"/>
    <w:basedOn w:val="Normal"/>
    <w:link w:val="TableFooterChar"/>
    <w:uiPriority w:val="1"/>
    <w:qFormat/>
    <w:rsid w:val="00140A20"/>
    <w:pPr>
      <w:widowControl w:val="0"/>
      <w:spacing w:before="0" w:after="240"/>
      <w:contextualSpacing/>
    </w:pPr>
    <w:rPr>
      <w:rFonts w:ascii="Arial Narrow" w:hAnsi="Arial Narrow" w:cs="Arial"/>
      <w:snapToGrid w:val="0"/>
      <w:sz w:val="18"/>
      <w:szCs w:val="20"/>
    </w:rPr>
  </w:style>
  <w:style w:type="character" w:customStyle="1" w:styleId="TableFooterChar">
    <w:name w:val="Table Footer Char"/>
    <w:link w:val="TableFooter"/>
    <w:uiPriority w:val="1"/>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hAnsi="Times New Roman"/>
      <w:szCs w:val="20"/>
      <w:lang w:val="en-GB"/>
    </w:rPr>
  </w:style>
  <w:style w:type="paragraph" w:styleId="TOCHeading">
    <w:name w:val="TOC Heading"/>
    <w:basedOn w:val="Heading1"/>
    <w:next w:val="Normal"/>
    <w:uiPriority w:val="39"/>
    <w:qFormat/>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rsid w:val="00D93D75"/>
    <w:pPr>
      <w:widowControl w:val="0"/>
      <w:tabs>
        <w:tab w:val="right" w:pos="1134"/>
        <w:tab w:val="right" w:leader="dot" w:pos="9015"/>
      </w:tabs>
      <w:spacing w:after="0"/>
      <w:ind w:left="1758" w:hanging="879"/>
    </w:pPr>
    <w:rPr>
      <w:rFonts w:ascii="Arial"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ES Paragraph Char"/>
    <w:basedOn w:val="DefaultParagraphFont"/>
    <w:link w:val="ListParagraph"/>
    <w:uiPriority w:val="34"/>
    <w:qFormat/>
    <w:locked/>
    <w:rsid w:val="00F12ED0"/>
    <w:rPr>
      <w:rFonts w:eastAsia="Times New Roman" w:cs="Times New Roman"/>
      <w:color w:val="000000" w:themeColor="text1"/>
      <w:sz w:val="24"/>
      <w:szCs w:val="24"/>
      <w:lang w:eastAsia="en-GB"/>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1"/>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lang w:eastAsia="en-GB"/>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imesNewRoman" w:hAnsi="TimesNewRoman"/>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imesNewRoman" w:hAnsi="TimesNewRoman"/>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imesNewRoman" w:hAnsi="TimesNewRoman"/>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6A58AE"/>
    <w:pPr>
      <w:numPr>
        <w:numId w:val="9"/>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1"/>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6A58AE"/>
    <w:rPr>
      <w:rFonts w:ascii="Calibri" w:eastAsia="Times New Roman" w:hAnsi="Calibri" w:cs="Times New Roman"/>
      <w:color w:val="0070C0"/>
      <w:sz w:val="24"/>
      <w:szCs w:val="24"/>
      <w:lang w:eastAsia="en-GB"/>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lang w:eastAsia="en-GB"/>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lang w:eastAsia="en-GB"/>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lang w:eastAsia="en-GB"/>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10"/>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rFonts w:eastAsia="Times New Roman" w:cs="Times New Roman"/>
      <w:color w:val="000000" w:themeColor="text1"/>
      <w:sz w:val="24"/>
      <w:szCs w:val="24"/>
      <w:lang w:eastAsia="en-GB"/>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lang w:eastAsia="en-GB"/>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lang w:eastAsia="en-GB"/>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1"/>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1"/>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5"/>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lang w:eastAsia="en-GB"/>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link w:val="ESHeading2Char"/>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7"/>
      </w:numPr>
    </w:pPr>
  </w:style>
  <w:style w:type="paragraph" w:customStyle="1" w:styleId="MainBodyBulletPoint">
    <w:name w:val="MainBody Bullet Point"/>
    <w:basedOn w:val="InstructionBulletpoint"/>
    <w:link w:val="MainBodyBulletPointChar"/>
    <w:uiPriority w:val="1"/>
    <w:qFormat/>
    <w:rsid w:val="002532B4"/>
    <w:pPr>
      <w:numPr>
        <w:numId w:val="8"/>
      </w:numPr>
      <w:ind w:left="714" w:hanging="357"/>
    </w:pPr>
    <w:rPr>
      <w:color w:val="auto"/>
    </w:rPr>
  </w:style>
  <w:style w:type="character" w:customStyle="1" w:styleId="MainBodyBulletPointChar">
    <w:name w:val="MainBody Bullet Point Char"/>
    <w:basedOn w:val="InstructionBulletpointChar"/>
    <w:link w:val="MainBodyBulletPoint"/>
    <w:uiPriority w:val="1"/>
    <w:rsid w:val="00F61E38"/>
    <w:rPr>
      <w:rFonts w:ascii="Calibri" w:eastAsia="Times New Roman" w:hAnsi="Calibri" w:cs="Times New Roman"/>
      <w:color w:val="0070C0"/>
      <w:sz w:val="24"/>
      <w:szCs w:val="24"/>
      <w:lang w:eastAsia="en-GB"/>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1"/>
      </w:numPr>
    </w:pPr>
  </w:style>
  <w:style w:type="numbering" w:customStyle="1" w:styleId="Style2">
    <w:name w:val="Style2"/>
    <w:uiPriority w:val="99"/>
    <w:rsid w:val="002A391F"/>
    <w:pPr>
      <w:numPr>
        <w:numId w:val="13"/>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4"/>
      </w:numPr>
    </w:pPr>
  </w:style>
  <w:style w:type="character" w:customStyle="1" w:styleId="TableRowHeaderChar">
    <w:name w:val="Table Row Header Char"/>
    <w:basedOn w:val="TableTextChar"/>
    <w:link w:val="TableRowHeader"/>
    <w:rsid w:val="0015150F"/>
    <w:rPr>
      <w:rFonts w:ascii="Arial Narrow" w:hAnsi="Arial Narrow"/>
      <w:b/>
      <w:sz w:val="20"/>
    </w:rPr>
  </w:style>
  <w:style w:type="character" w:customStyle="1" w:styleId="UnresolvedMention1">
    <w:name w:val="Unresolved Mention1"/>
    <w:basedOn w:val="DefaultParagraphFont"/>
    <w:uiPriority w:val="99"/>
    <w:semiHidden/>
    <w:unhideWhenUsed/>
    <w:rsid w:val="005F5F97"/>
    <w:rPr>
      <w:color w:val="605E5C"/>
      <w:shd w:val="clear" w:color="auto" w:fill="E1DFDD"/>
    </w:rPr>
  </w:style>
  <w:style w:type="paragraph" w:customStyle="1" w:styleId="TableText0">
    <w:name w:val="TableText"/>
    <w:basedOn w:val="Normal"/>
    <w:link w:val="TableTextChar0"/>
    <w:uiPriority w:val="3"/>
    <w:qFormat/>
    <w:rsid w:val="00AF4CBB"/>
    <w:pPr>
      <w:keepNext/>
      <w:spacing w:before="60" w:after="60"/>
      <w:jc w:val="left"/>
    </w:pPr>
    <w:rPr>
      <w:rFonts w:ascii="Times New Roman" w:hAnsi="Times New Roman"/>
      <w:color w:val="000000"/>
      <w:sz w:val="21"/>
      <w:szCs w:val="21"/>
      <w:lang w:eastAsia="en-AU"/>
    </w:rPr>
  </w:style>
  <w:style w:type="character" w:customStyle="1" w:styleId="TableTextChar0">
    <w:name w:val="TableText Char"/>
    <w:link w:val="TableText0"/>
    <w:uiPriority w:val="3"/>
    <w:rsid w:val="00AF4CBB"/>
    <w:rPr>
      <w:rFonts w:ascii="Times New Roman" w:eastAsia="Times New Roman" w:hAnsi="Times New Roman" w:cs="Times New Roman"/>
      <w:color w:val="000000"/>
      <w:sz w:val="21"/>
      <w:szCs w:val="21"/>
      <w:lang w:eastAsia="en-AU"/>
    </w:rPr>
  </w:style>
  <w:style w:type="paragraph" w:customStyle="1" w:styleId="Default">
    <w:name w:val="Default"/>
    <w:rsid w:val="00EE1EF0"/>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Comment Text Char1 Char"/>
    <w:basedOn w:val="Normal"/>
    <w:link w:val="CommentTextChar"/>
    <w:uiPriority w:val="99"/>
    <w:unhideWhenUsed/>
    <w:qFormat/>
    <w:rsid w:val="00D762F3"/>
    <w:pPr>
      <w:spacing w:after="120"/>
      <w:jc w:val="left"/>
    </w:pPr>
    <w:rPr>
      <w:rFonts w:ascii="Arial" w:eastAsiaTheme="minorHAnsi" w:hAnsi="Arial" w:cstheme="minorBidi"/>
      <w:sz w:val="20"/>
      <w:szCs w:val="20"/>
      <w:lang w:val="en-GB" w:eastAsia="en-US"/>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D762F3"/>
    <w:rPr>
      <w:rFonts w:ascii="Arial" w:hAnsi="Arial"/>
      <w:sz w:val="20"/>
      <w:szCs w:val="20"/>
      <w:lang w:val="en-GB"/>
    </w:rPr>
  </w:style>
  <w:style w:type="paragraph" w:customStyle="1" w:styleId="RegularText">
    <w:name w:val="Regular Text"/>
    <w:basedOn w:val="BodyText"/>
    <w:link w:val="RegularTextChar"/>
    <w:rsid w:val="00595C7C"/>
    <w:pPr>
      <w:spacing w:before="0" w:after="0"/>
      <w:jc w:val="left"/>
    </w:pPr>
    <w:rPr>
      <w:rFonts w:ascii="Calibri" w:hAnsi="Calibri"/>
      <w:b/>
    </w:rPr>
  </w:style>
  <w:style w:type="character" w:customStyle="1" w:styleId="RegularTextChar">
    <w:name w:val="Regular Text Char"/>
    <w:basedOn w:val="BodyTextChar"/>
    <w:link w:val="RegularText"/>
    <w:rsid w:val="00595C7C"/>
    <w:rPr>
      <w:rFonts w:ascii="Calibri" w:eastAsia="Times New Roman" w:hAnsi="Calibri" w:cs="Times New Roman"/>
      <w:b/>
      <w:sz w:val="24"/>
      <w:szCs w:val="24"/>
      <w:lang w:eastAsia="en-GB"/>
    </w:rPr>
  </w:style>
  <w:style w:type="paragraph" w:styleId="BodyText">
    <w:name w:val="Body Text"/>
    <w:aliases w:val="- H16,Char1,Body Text PP,Body Text Char1 Char,Body Text Char3 Char Char,Body Text Char2 Char1 Char Char,Body Text Char1 Char Char1 Char Char,Body Text Char Char Char Char1 Char Char,Body Text Char1 Char Char Char Char1 Char Char"/>
    <w:basedOn w:val="Normal"/>
    <w:link w:val="BodyTextChar"/>
    <w:uiPriority w:val="4"/>
    <w:unhideWhenUsed/>
    <w:qFormat/>
    <w:rsid w:val="00595C7C"/>
    <w:pPr>
      <w:spacing w:after="120"/>
    </w:pPr>
  </w:style>
  <w:style w:type="character" w:customStyle="1" w:styleId="BodyTextChar">
    <w:name w:val="Body Text Char"/>
    <w:aliases w:val="- H16 Char,Char1 Char,Body Text PP Char,Body Text Char1 Char Char,Body Text Char3 Char Char Char,Body Text Char2 Char1 Char Char Char,Body Text Char1 Char Char1 Char Char Char,Body Text Char Char Char Char1 Char Char Char"/>
    <w:basedOn w:val="DefaultParagraphFont"/>
    <w:link w:val="BodyText"/>
    <w:uiPriority w:val="4"/>
    <w:rsid w:val="00595C7C"/>
    <w:rPr>
      <w:rFonts w:eastAsia="Times New Roman" w:cs="Times New Roman"/>
      <w:sz w:val="24"/>
      <w:szCs w:val="24"/>
      <w:lang w:eastAsia="en-GB"/>
    </w:rPr>
  </w:style>
  <w:style w:type="table" w:customStyle="1" w:styleId="AZTable">
    <w:name w:val="AZ Table"/>
    <w:basedOn w:val="TableNormal"/>
    <w:uiPriority w:val="99"/>
    <w:rsid w:val="00C05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Tabletext1">
    <w:name w:val="Table text"/>
    <w:basedOn w:val="Normal"/>
    <w:link w:val="TabletextChar1"/>
    <w:qFormat/>
    <w:rsid w:val="000B1410"/>
    <w:pPr>
      <w:spacing w:before="0" w:after="0"/>
      <w:jc w:val="left"/>
    </w:pPr>
    <w:rPr>
      <w:rFonts w:ascii="Arial Narrow" w:hAnsi="Arial Narrow"/>
      <w:snapToGrid w:val="0"/>
      <w:sz w:val="20"/>
    </w:rPr>
  </w:style>
  <w:style w:type="character" w:customStyle="1" w:styleId="TabletextChar1">
    <w:name w:val="Table text Char"/>
    <w:link w:val="Tabletext1"/>
    <w:rsid w:val="000B1410"/>
    <w:rPr>
      <w:rFonts w:ascii="Arial Narrow" w:eastAsia="Times New Roman" w:hAnsi="Arial Narrow" w:cs="Times New Roman"/>
      <w:snapToGrid w:val="0"/>
      <w:sz w:val="20"/>
      <w:szCs w:val="24"/>
      <w:lang w:eastAsia="en-GB"/>
    </w:rPr>
  </w:style>
  <w:style w:type="paragraph" w:customStyle="1" w:styleId="In-tableHeading">
    <w:name w:val="In-table Heading"/>
    <w:rsid w:val="00201EDA"/>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Heading">
    <w:name w:val="Table/Figure Heading"/>
    <w:next w:val="In-tableHeading"/>
    <w:link w:val="TableFigureHeadingChar"/>
    <w:qFormat/>
    <w:rsid w:val="00201ED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201EDA"/>
    <w:rPr>
      <w:rFonts w:ascii="Arial Narrow" w:eastAsiaTheme="majorEastAsia" w:hAnsi="Arial Narrow" w:cstheme="majorBidi"/>
      <w:b/>
      <w:bCs/>
      <w:sz w:val="20"/>
      <w:szCs w:val="24"/>
      <w:lang w:eastAsia="en-AU"/>
    </w:rPr>
  </w:style>
  <w:style w:type="paragraph" w:customStyle="1" w:styleId="TableFigureFooter">
    <w:name w:val="Table/Figure Footer"/>
    <w:basedOn w:val="Normal"/>
    <w:link w:val="TableFigureFooterChar"/>
    <w:qFormat/>
    <w:rsid w:val="00201EDA"/>
    <w:pPr>
      <w:spacing w:before="0" w:after="120"/>
      <w:contextualSpacing/>
    </w:pPr>
    <w:rPr>
      <w:rFonts w:ascii="Arial Narrow" w:hAnsi="Arial Narrow" w:cs="Arial"/>
      <w:snapToGrid w:val="0"/>
      <w:sz w:val="18"/>
      <w:szCs w:val="22"/>
      <w:lang w:eastAsia="en-AU"/>
    </w:rPr>
  </w:style>
  <w:style w:type="character" w:customStyle="1" w:styleId="TableFigureFooterChar">
    <w:name w:val="Table/Figure Footer Char"/>
    <w:link w:val="TableFigureFooter"/>
    <w:rsid w:val="00201EDA"/>
    <w:rPr>
      <w:rFonts w:ascii="Arial Narrow" w:eastAsia="Times New Roman" w:hAnsi="Arial Narrow" w:cs="Arial"/>
      <w:snapToGrid w:val="0"/>
      <w:sz w:val="18"/>
      <w:lang w:eastAsia="en-AU"/>
    </w:rPr>
  </w:style>
  <w:style w:type="table" w:customStyle="1" w:styleId="TableGridbeth1">
    <w:name w:val="Table Gridbeth1"/>
    <w:basedOn w:val="TableNormal"/>
    <w:next w:val="TableGrid"/>
    <w:uiPriority w:val="59"/>
    <w:rsid w:val="00B6716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ReportDate">
    <w:name w:val="ReportDate"/>
    <w:basedOn w:val="Normal"/>
    <w:locked/>
    <w:rsid w:val="00B67161"/>
    <w:pPr>
      <w:spacing w:before="0" w:after="0" w:line="360" w:lineRule="auto"/>
      <w:jc w:val="right"/>
    </w:pPr>
    <w:rPr>
      <w:rFonts w:ascii="Arial" w:hAnsi="Arial" w:cs="Arial"/>
      <w:sz w:val="40"/>
      <w:szCs w:val="40"/>
      <w:lang w:eastAsia="en-US"/>
    </w:rPr>
  </w:style>
  <w:style w:type="table" w:styleId="TableGridLight">
    <w:name w:val="Grid Table Light"/>
    <w:basedOn w:val="TableNormal"/>
    <w:uiPriority w:val="40"/>
    <w:rsid w:val="00B671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B67161"/>
    <w:pPr>
      <w:spacing w:after="0" w:line="240" w:lineRule="auto"/>
    </w:pPr>
    <w:rPr>
      <w:rFonts w:eastAsiaTheme="minorEastAsia"/>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183C88"/>
  </w:style>
  <w:style w:type="table" w:styleId="GridTable1Light">
    <w:name w:val="Grid Table 1 Light"/>
    <w:basedOn w:val="TableNormal"/>
    <w:uiPriority w:val="46"/>
    <w:rsid w:val="00C312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BACTableStyle2">
    <w:name w:val="PBAC Table Style2"/>
    <w:basedOn w:val="TableGrid1"/>
    <w:uiPriority w:val="99"/>
    <w:rsid w:val="00C31220"/>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dobe Devanagari" w:hAnsi="Adobe Devanagari"/>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dobe Devanagari" w:hAnsi="Adobe Devanagari"/>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dobe Devanagari" w:hAnsi="Adobe Devanagari"/>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character" w:customStyle="1" w:styleId="UnresolvedMention2">
    <w:name w:val="Unresolved Mention2"/>
    <w:basedOn w:val="DefaultParagraphFont"/>
    <w:uiPriority w:val="99"/>
    <w:semiHidden/>
    <w:unhideWhenUsed/>
    <w:rsid w:val="009767B9"/>
    <w:rPr>
      <w:color w:val="605E5C"/>
      <w:shd w:val="clear" w:color="auto" w:fill="E1DFDD"/>
    </w:rPr>
  </w:style>
  <w:style w:type="character" w:customStyle="1" w:styleId="gmail-m-8596847518911470572m-7443919224967220230msofootnotereference">
    <w:name w:val="gmail-m-8596847518911470572m-7443919224967220230msofootnotereference"/>
    <w:basedOn w:val="DefaultParagraphFont"/>
    <w:rsid w:val="009F6680"/>
  </w:style>
  <w:style w:type="character" w:customStyle="1" w:styleId="UnresolvedMention3">
    <w:name w:val="Unresolved Mention3"/>
    <w:basedOn w:val="DefaultParagraphFont"/>
    <w:uiPriority w:val="99"/>
    <w:semiHidden/>
    <w:unhideWhenUsed/>
    <w:rsid w:val="00E75DDA"/>
    <w:rPr>
      <w:color w:val="605E5C"/>
      <w:shd w:val="clear" w:color="auto" w:fill="E1DFDD"/>
    </w:rPr>
  </w:style>
  <w:style w:type="paragraph" w:customStyle="1" w:styleId="gmail-m2598126404956349089gmail-m8109927878222445536gmail-msocommenttext">
    <w:name w:val="gmail-m_2598126404956349089gmail-m8109927878222445536gmail-msocommenttext"/>
    <w:basedOn w:val="Normal"/>
    <w:rsid w:val="00E75DDA"/>
    <w:pPr>
      <w:spacing w:before="100" w:beforeAutospacing="1" w:after="100" w:afterAutospacing="1"/>
      <w:jc w:val="left"/>
    </w:pPr>
    <w:rPr>
      <w:rFonts w:ascii="Times New Roman" w:eastAsiaTheme="minorEastAsia" w:hAnsi="Times New Roman"/>
      <w:lang w:eastAsia="zh-CN" w:bidi="th-TH"/>
    </w:rPr>
  </w:style>
  <w:style w:type="character" w:customStyle="1" w:styleId="gmail-m2598126404956349089gmail-m8109927878222445536gmail-msocommentreference">
    <w:name w:val="gmail-m_2598126404956349089gmail-m8109927878222445536gmail-msocommentreference"/>
    <w:basedOn w:val="DefaultParagraphFont"/>
    <w:rsid w:val="00E75DDA"/>
  </w:style>
  <w:style w:type="paragraph" w:customStyle="1" w:styleId="gmail-msacesbulletpoint">
    <w:name w:val="gmail-msacesbulletpoint"/>
    <w:basedOn w:val="Normal"/>
    <w:rsid w:val="00E75DDA"/>
    <w:pPr>
      <w:spacing w:before="100" w:beforeAutospacing="1" w:after="100" w:afterAutospacing="1"/>
      <w:jc w:val="left"/>
    </w:pPr>
    <w:rPr>
      <w:rFonts w:ascii="Times New Roman" w:eastAsiaTheme="minorEastAsia" w:hAnsi="Times New Roman"/>
      <w:lang w:eastAsia="zh-CN" w:bidi="th-TH"/>
    </w:rPr>
  </w:style>
  <w:style w:type="paragraph" w:customStyle="1" w:styleId="PBACHeading1">
    <w:name w:val="PBAC Heading 1"/>
    <w:qFormat/>
    <w:rsid w:val="00D52CAC"/>
    <w:pPr>
      <w:spacing w:after="0" w:line="240" w:lineRule="auto"/>
      <w:ind w:left="720" w:hanging="720"/>
      <w:outlineLvl w:val="0"/>
    </w:pPr>
    <w:rPr>
      <w:rFonts w:ascii="Calibri" w:eastAsia="Times New Roman" w:hAnsi="Calibri" w:cs="Calibri"/>
      <w:b/>
      <w:snapToGrid w:val="0"/>
      <w:sz w:val="32"/>
      <w:szCs w:val="32"/>
    </w:rPr>
  </w:style>
  <w:style w:type="paragraph" w:customStyle="1" w:styleId="paragraph">
    <w:name w:val="paragraph"/>
    <w:basedOn w:val="Normal"/>
    <w:rsid w:val="006D106C"/>
    <w:pPr>
      <w:spacing w:before="100" w:beforeAutospacing="1" w:after="100" w:afterAutospacing="1"/>
      <w:jc w:val="left"/>
    </w:pPr>
    <w:rPr>
      <w:rFonts w:ascii="Times New Roman" w:eastAsiaTheme="minorHAnsi" w:hAnsi="Times New Roman"/>
      <w:lang w:eastAsia="en-AU"/>
    </w:rPr>
  </w:style>
  <w:style w:type="character" w:customStyle="1" w:styleId="normaltextrun">
    <w:name w:val="normaltextrun"/>
    <w:basedOn w:val="DefaultParagraphFont"/>
    <w:rsid w:val="006D106C"/>
  </w:style>
  <w:style w:type="character" w:customStyle="1" w:styleId="eop">
    <w:name w:val="eop"/>
    <w:basedOn w:val="DefaultParagraphFont"/>
    <w:rsid w:val="006D106C"/>
  </w:style>
  <w:style w:type="numbering" w:customStyle="1" w:styleId="NoList1">
    <w:name w:val="No List1"/>
    <w:next w:val="NoList"/>
    <w:uiPriority w:val="99"/>
    <w:semiHidden/>
    <w:unhideWhenUsed/>
    <w:rsid w:val="00D3430D"/>
  </w:style>
  <w:style w:type="paragraph" w:customStyle="1" w:styleId="Table">
    <w:name w:val="Table"/>
    <w:basedOn w:val="Normal"/>
    <w:link w:val="TableChar"/>
    <w:qFormat/>
    <w:rsid w:val="00D3430D"/>
    <w:pPr>
      <w:spacing w:before="0" w:after="0"/>
      <w:jc w:val="left"/>
    </w:pPr>
    <w:rPr>
      <w:rFonts w:ascii="Candara" w:hAnsi="Candara"/>
      <w:sz w:val="20"/>
      <w:szCs w:val="22"/>
      <w:lang w:eastAsia="en-US" w:bidi="en-US"/>
    </w:rPr>
  </w:style>
  <w:style w:type="character" w:customStyle="1" w:styleId="TableChar">
    <w:name w:val="Table Char"/>
    <w:basedOn w:val="DefaultParagraphFont"/>
    <w:link w:val="Table"/>
    <w:locked/>
    <w:rsid w:val="00D3430D"/>
    <w:rPr>
      <w:rFonts w:ascii="Candara" w:eastAsia="Times New Roman" w:hAnsi="Candara" w:cs="Times New Roman"/>
      <w:sz w:val="20"/>
      <w:lang w:bidi="en-US"/>
    </w:rPr>
  </w:style>
  <w:style w:type="paragraph" w:customStyle="1" w:styleId="TableCentre">
    <w:name w:val="Table Centre"/>
    <w:basedOn w:val="Table"/>
    <w:uiPriority w:val="99"/>
    <w:qFormat/>
    <w:rsid w:val="00D3430D"/>
    <w:pPr>
      <w:jc w:val="center"/>
    </w:pPr>
  </w:style>
  <w:style w:type="table" w:customStyle="1" w:styleId="TableGrid10">
    <w:name w:val="Table Grid1"/>
    <w:basedOn w:val="TableNormal"/>
    <w:next w:val="TableGrid"/>
    <w:uiPriority w:val="59"/>
    <w:rsid w:val="00D3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Normal"/>
    <w:link w:val="TabletextboldChar"/>
    <w:rsid w:val="00D3430D"/>
    <w:pPr>
      <w:keepNext/>
      <w:spacing w:before="0" w:after="0"/>
      <w:jc w:val="center"/>
    </w:pPr>
    <w:rPr>
      <w:rFonts w:ascii="Arial Narrow" w:hAnsi="Arial Narrow" w:cs="Arial"/>
      <w:b/>
      <w:sz w:val="20"/>
      <w:szCs w:val="20"/>
      <w:lang w:eastAsia="en-US"/>
    </w:rPr>
  </w:style>
  <w:style w:type="character" w:customStyle="1" w:styleId="TabletextboldChar">
    <w:name w:val="Table text bold Char"/>
    <w:basedOn w:val="DefaultParagraphFont"/>
    <w:link w:val="Tabletextbold"/>
    <w:rsid w:val="00D3430D"/>
    <w:rPr>
      <w:rFonts w:ascii="Arial Narrow" w:eastAsia="Times New Roman" w:hAnsi="Arial Narrow" w:cs="Arial"/>
      <w:b/>
      <w:sz w:val="20"/>
      <w:szCs w:val="20"/>
    </w:rPr>
  </w:style>
  <w:style w:type="character" w:customStyle="1" w:styleId="ESHeading2Char">
    <w:name w:val="ES Heading 2 Char"/>
    <w:basedOn w:val="Heading2Char"/>
    <w:link w:val="ESHeading2"/>
    <w:rsid w:val="00D3430D"/>
    <w:rPr>
      <w:rFonts w:asciiTheme="majorHAnsi" w:eastAsiaTheme="majorEastAsia" w:hAnsiTheme="majorHAnsi" w:cstheme="majorBidi"/>
      <w:b/>
      <w:i/>
      <w:snapToGrid w:val="0"/>
      <w:sz w:val="28"/>
      <w:szCs w:val="28"/>
      <w:lang w:eastAsia="en-GB"/>
    </w:rPr>
  </w:style>
  <w:style w:type="table" w:customStyle="1" w:styleId="Submissiontemplate2">
    <w:name w:val="Submission template2"/>
    <w:basedOn w:val="TableNormal"/>
    <w:uiPriority w:val="99"/>
    <w:rsid w:val="00D3430D"/>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textboldleft">
    <w:name w:val="Table text bold left"/>
    <w:basedOn w:val="Tabletextbold"/>
    <w:link w:val="TabletextboldleftChar"/>
    <w:qFormat/>
    <w:rsid w:val="00D3430D"/>
    <w:pPr>
      <w:jc w:val="left"/>
    </w:pPr>
  </w:style>
  <w:style w:type="character" w:customStyle="1" w:styleId="TabletextboldleftChar">
    <w:name w:val="Table text bold left Char"/>
    <w:basedOn w:val="TabletextboldChar"/>
    <w:link w:val="Tabletextboldleft"/>
    <w:rsid w:val="00D3430D"/>
    <w:rPr>
      <w:rFonts w:ascii="Arial Narrow" w:eastAsia="Times New Roman" w:hAnsi="Arial Narrow" w:cs="Arial"/>
      <w:b/>
      <w:sz w:val="20"/>
      <w:szCs w:val="20"/>
    </w:rPr>
  </w:style>
  <w:style w:type="table" w:customStyle="1" w:styleId="Submissiontemplate7">
    <w:name w:val="Submission template7"/>
    <w:basedOn w:val="TableNormal"/>
    <w:uiPriority w:val="99"/>
    <w:rsid w:val="00D3430D"/>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caption">
    <w:name w:val="Table caption"/>
    <w:basedOn w:val="Normal"/>
    <w:link w:val="TablecaptionChar"/>
    <w:qFormat/>
    <w:rsid w:val="00D3430D"/>
    <w:pPr>
      <w:keepNext/>
      <w:keepLines/>
      <w:spacing w:before="0" w:after="0"/>
    </w:pPr>
    <w:rPr>
      <w:rFonts w:ascii="Arial Narrow" w:hAnsi="Arial Narrow" w:cs="Arial"/>
      <w:sz w:val="20"/>
      <w:szCs w:val="20"/>
      <w:lang w:eastAsia="en-US"/>
    </w:rPr>
  </w:style>
  <w:style w:type="character" w:customStyle="1" w:styleId="TablecaptionChar">
    <w:name w:val="Table caption Char"/>
    <w:basedOn w:val="DefaultParagraphFont"/>
    <w:link w:val="Tablecaption"/>
    <w:rsid w:val="00D3430D"/>
    <w:rPr>
      <w:rFonts w:ascii="Arial Narrow" w:eastAsia="Times New Roman" w:hAnsi="Arial Narrow" w:cs="Arial"/>
      <w:sz w:val="20"/>
      <w:szCs w:val="20"/>
    </w:rPr>
  </w:style>
  <w:style w:type="paragraph" w:customStyle="1" w:styleId="Tabletextcentred">
    <w:name w:val="Table text centred"/>
    <w:basedOn w:val="Tabletext1"/>
    <w:link w:val="TabletextcentredChar"/>
    <w:qFormat/>
    <w:rsid w:val="00D3430D"/>
    <w:pPr>
      <w:spacing w:before="40" w:after="40"/>
      <w:jc w:val="center"/>
    </w:pPr>
    <w:rPr>
      <w:snapToGrid/>
    </w:rPr>
  </w:style>
  <w:style w:type="character" w:customStyle="1" w:styleId="TabletextcentredChar">
    <w:name w:val="Table text centred Char"/>
    <w:basedOn w:val="TabletextChar1"/>
    <w:link w:val="Tabletextcentred"/>
    <w:rsid w:val="00D3430D"/>
    <w:rPr>
      <w:rFonts w:ascii="Arial Narrow" w:eastAsia="Times New Roman" w:hAnsi="Arial Narrow" w:cs="Times New Roman"/>
      <w:snapToGrid/>
      <w:sz w:val="20"/>
      <w:szCs w:val="24"/>
      <w:lang w:eastAsia="en-GB"/>
    </w:rPr>
  </w:style>
  <w:style w:type="character" w:customStyle="1" w:styleId="TableBold">
    <w:name w:val="Table Bold"/>
    <w:uiPriority w:val="4"/>
    <w:qFormat/>
    <w:rsid w:val="00D3430D"/>
    <w:rPr>
      <w:rFonts w:ascii="Calibri" w:hAnsi="Calibri" w:hint="default"/>
      <w:b/>
      <w:bCs w:val="0"/>
      <w:sz w:val="20"/>
      <w:lang w:val="en-AU"/>
    </w:rPr>
  </w:style>
  <w:style w:type="table" w:customStyle="1" w:styleId="TableGrid12">
    <w:name w:val="Table Grid12"/>
    <w:basedOn w:val="TableNormal"/>
    <w:next w:val="TableGrid"/>
    <w:uiPriority w:val="59"/>
    <w:rsid w:val="00D3430D"/>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tyle2Char">
    <w:name w:val="Style2 Char"/>
    <w:basedOn w:val="DefaultParagraphFont"/>
    <w:rsid w:val="00D3430D"/>
    <w:rPr>
      <w:rFonts w:ascii="Arial" w:eastAsia="Times New Roman" w:hAnsi="Arial" w:cs="Arial"/>
      <w:color w:val="3366FF"/>
      <w:szCs w:val="24"/>
      <w:lang w:eastAsia="en-AU"/>
    </w:rPr>
  </w:style>
  <w:style w:type="paragraph" w:customStyle="1" w:styleId="NormalBulletList">
    <w:name w:val="Normal Bullet List"/>
    <w:basedOn w:val="Normal"/>
    <w:uiPriority w:val="3"/>
    <w:qFormat/>
    <w:rsid w:val="00D3430D"/>
    <w:pPr>
      <w:numPr>
        <w:numId w:val="21"/>
      </w:numPr>
      <w:spacing w:before="0" w:after="240" w:line="276" w:lineRule="auto"/>
      <w:ind w:left="717"/>
      <w:contextualSpacing/>
    </w:pPr>
    <w:rPr>
      <w:rFonts w:ascii="Candara" w:hAnsi="Candara"/>
      <w:szCs w:val="22"/>
      <w:lang w:eastAsia="en-US" w:bidi="en-US"/>
    </w:rPr>
  </w:style>
  <w:style w:type="paragraph" w:styleId="EndnoteText">
    <w:name w:val="endnote text"/>
    <w:basedOn w:val="Normal"/>
    <w:link w:val="EndnoteTextChar"/>
    <w:rsid w:val="00D3430D"/>
    <w:pPr>
      <w:widowControl w:val="0"/>
      <w:spacing w:before="0" w:after="0"/>
      <w:jc w:val="left"/>
    </w:pPr>
    <w:rPr>
      <w:rFonts w:ascii="Times New Roman" w:hAnsi="Times New Roman"/>
      <w:snapToGrid w:val="0"/>
      <w:sz w:val="20"/>
      <w:szCs w:val="20"/>
      <w:lang w:val="en-US" w:eastAsia="en-US"/>
    </w:rPr>
  </w:style>
  <w:style w:type="character" w:customStyle="1" w:styleId="EndnoteTextChar">
    <w:name w:val="Endnote Text Char"/>
    <w:basedOn w:val="DefaultParagraphFont"/>
    <w:link w:val="EndnoteText"/>
    <w:rsid w:val="00D3430D"/>
    <w:rPr>
      <w:rFonts w:ascii="Times New Roman" w:eastAsia="Times New Roman" w:hAnsi="Times New Roman" w:cs="Times New Roman"/>
      <w:snapToGrid w:val="0"/>
      <w:sz w:val="20"/>
      <w:szCs w:val="20"/>
      <w:lang w:val="en-US"/>
    </w:rPr>
  </w:style>
  <w:style w:type="character" w:styleId="EndnoteReference">
    <w:name w:val="endnote reference"/>
    <w:basedOn w:val="DefaultParagraphFont"/>
    <w:rsid w:val="00D3430D"/>
    <w:rPr>
      <w:vertAlign w:val="superscript"/>
    </w:rPr>
  </w:style>
  <w:style w:type="character" w:customStyle="1" w:styleId="SmallBold">
    <w:name w:val="Small Bold"/>
    <w:basedOn w:val="DefaultParagraphFont"/>
    <w:uiPriority w:val="4"/>
    <w:qFormat/>
    <w:rsid w:val="00D3430D"/>
    <w:rPr>
      <w:rFonts w:ascii="Candara" w:hAnsi="Candara"/>
      <w:b/>
      <w:sz w:val="20"/>
      <w:lang w:val="en-AU"/>
    </w:rPr>
  </w:style>
  <w:style w:type="table" w:customStyle="1" w:styleId="Submissiontemplate">
    <w:name w:val="Submission template"/>
    <w:basedOn w:val="TableNormal"/>
    <w:uiPriority w:val="99"/>
    <w:rsid w:val="00D3430D"/>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Heading">
    <w:name w:val="TableHeading"/>
    <w:basedOn w:val="Normal"/>
    <w:link w:val="TableHeadingChar"/>
    <w:qFormat/>
    <w:rsid w:val="00D3430D"/>
    <w:pPr>
      <w:keepNext/>
      <w:spacing w:before="40" w:after="40"/>
      <w:ind w:left="1134" w:hanging="1134"/>
    </w:pPr>
    <w:rPr>
      <w:rFonts w:ascii="Arial Narrow" w:hAnsi="Arial Narrow" w:cs="Tahoma"/>
      <w:b/>
      <w:noProof/>
      <w:sz w:val="20"/>
      <w:szCs w:val="20"/>
      <w:lang w:eastAsia="en-AU"/>
    </w:rPr>
  </w:style>
  <w:style w:type="character" w:customStyle="1" w:styleId="TableHeadingChar">
    <w:name w:val="TableHeading Char"/>
    <w:link w:val="TableHeading"/>
    <w:rsid w:val="00D3430D"/>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D3430D"/>
    <w:pPr>
      <w:widowControl w:val="0"/>
      <w:spacing w:before="60" w:after="120"/>
      <w:contextualSpacing/>
      <w:jc w:val="left"/>
    </w:pPr>
    <w:rPr>
      <w:rFonts w:ascii="Arial Narrow" w:hAnsi="Arial Narrow" w:cs="Arial"/>
      <w:snapToGrid w:val="0"/>
      <w:sz w:val="18"/>
      <w:szCs w:val="20"/>
      <w:lang w:eastAsia="en-US"/>
    </w:rPr>
  </w:style>
  <w:style w:type="character" w:customStyle="1" w:styleId="TablenotesChar">
    <w:name w:val="Tablenotes Char"/>
    <w:basedOn w:val="DefaultParagraphFont"/>
    <w:link w:val="Tablenotes"/>
    <w:rsid w:val="00D3430D"/>
    <w:rPr>
      <w:rFonts w:ascii="Arial Narrow" w:eastAsia="Times New Roman" w:hAnsi="Arial Narrow" w:cs="Arial"/>
      <w:snapToGrid w:val="0"/>
      <w:sz w:val="18"/>
      <w:szCs w:val="20"/>
    </w:rPr>
  </w:style>
  <w:style w:type="table" w:customStyle="1" w:styleId="TableGrid2">
    <w:name w:val="Table Grid2"/>
    <w:basedOn w:val="TableNormal"/>
    <w:next w:val="TableGrid"/>
    <w:rsid w:val="00D3430D"/>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D3430D"/>
    <w:pPr>
      <w:widowControl w:val="0"/>
      <w:spacing w:before="0" w:after="240"/>
      <w:contextualSpacing/>
      <w:jc w:val="left"/>
    </w:pPr>
    <w:rPr>
      <w:rFonts w:ascii="Arial Narrow" w:hAnsi="Arial Narrow" w:cs="Arial"/>
      <w:snapToGrid w:val="0"/>
      <w:sz w:val="18"/>
      <w:szCs w:val="20"/>
      <w:lang w:eastAsia="en-US"/>
    </w:rPr>
  </w:style>
  <w:style w:type="character" w:customStyle="1" w:styleId="Tablenotes1Char">
    <w:name w:val="Tablenotes 1 Char"/>
    <w:basedOn w:val="DefaultParagraphFont"/>
    <w:link w:val="Tablenotes1"/>
    <w:rsid w:val="00D3430D"/>
    <w:rPr>
      <w:rFonts w:ascii="Arial Narrow" w:eastAsia="Times New Roman" w:hAnsi="Arial Narrow" w:cs="Arial"/>
      <w:snapToGrid w:val="0"/>
      <w:sz w:val="18"/>
      <w:szCs w:val="20"/>
    </w:rPr>
  </w:style>
  <w:style w:type="numbering" w:customStyle="1" w:styleId="Heading1a">
    <w:name w:val="Heading 1a"/>
    <w:basedOn w:val="NoList"/>
    <w:uiPriority w:val="99"/>
    <w:rsid w:val="00D3430D"/>
    <w:pPr>
      <w:numPr>
        <w:numId w:val="22"/>
      </w:numPr>
    </w:pPr>
  </w:style>
  <w:style w:type="paragraph" w:customStyle="1" w:styleId="Tabletext-left">
    <w:name w:val="Table text - left"/>
    <w:basedOn w:val="Normal"/>
    <w:link w:val="Tabletext-leftChar"/>
    <w:rsid w:val="00D3430D"/>
    <w:pPr>
      <w:keepNext/>
      <w:tabs>
        <w:tab w:val="left" w:pos="2835"/>
      </w:tabs>
      <w:spacing w:after="120" w:line="312" w:lineRule="auto"/>
    </w:pPr>
    <w:rPr>
      <w:rFonts w:cs="Arial"/>
      <w:sz w:val="20"/>
      <w:szCs w:val="20"/>
      <w:lang w:eastAsia="en-US"/>
    </w:rPr>
  </w:style>
  <w:style w:type="character" w:customStyle="1" w:styleId="Tabletext-leftChar">
    <w:name w:val="Table text - left Char"/>
    <w:basedOn w:val="DefaultParagraphFont"/>
    <w:link w:val="Tabletext-left"/>
    <w:rsid w:val="00D3430D"/>
    <w:rPr>
      <w:rFonts w:eastAsia="Times New Roman" w:cs="Arial"/>
      <w:sz w:val="20"/>
      <w:szCs w:val="20"/>
    </w:rPr>
  </w:style>
  <w:style w:type="table" w:customStyle="1" w:styleId="TableGrid9">
    <w:name w:val="Table Grid9"/>
    <w:basedOn w:val="TableNormal"/>
    <w:next w:val="TableGrid"/>
    <w:uiPriority w:val="39"/>
    <w:rsid w:val="00D343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21">
    <w:name w:val="PBAC Table Style21"/>
    <w:basedOn w:val="TableGrid1"/>
    <w:uiPriority w:val="99"/>
    <w:rsid w:val="00D3430D"/>
    <w:pPr>
      <w:widowControl w:val="0"/>
      <w:spacing w:after="0"/>
      <w:contextualSpacing/>
      <w:jc w:val="center"/>
    </w:pPr>
    <w:rPr>
      <w:rFonts w:ascii="Arial Narrow" w:hAnsi="Arial Narrow"/>
      <w:color w:val="00000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dobe Devanagari" w:hAnsi="Adobe Devanagari"/>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dobe Devanagari" w:hAnsi="Adobe Devanagari"/>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dobe Devanagari" w:hAnsi="Adobe Devanagari"/>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D3430D"/>
    <w:pPr>
      <w:spacing w:after="0" w:line="240" w:lineRule="auto"/>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BACTableStyle1">
    <w:name w:val="PBAC Table Style1"/>
    <w:basedOn w:val="TableGrid1"/>
    <w:uiPriority w:val="99"/>
    <w:rsid w:val="00D3430D"/>
    <w:pPr>
      <w:widowControl w:val="0"/>
      <w:spacing w:after="0"/>
      <w:contextualSpacing/>
      <w:jc w:val="center"/>
    </w:pPr>
    <w:rPr>
      <w:rFonts w:ascii="Arial Narrow" w:hAnsi="Arial Narrow"/>
      <w:color w:val="000000"/>
      <w:sz w:val="20"/>
      <w:szCs w:val="20"/>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imesNewRoman" w:hAnsi="TimesNewRoman"/>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imesNewRoman" w:hAnsi="TimesNewRoman"/>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imesNewRoman" w:hAnsi="TimesNewRoman"/>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10">
    <w:name w:val="Table Grid11"/>
    <w:basedOn w:val="TableNormal"/>
    <w:next w:val="TableGrid"/>
    <w:rsid w:val="00D3430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3430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211">
    <w:name w:val="PBAC Table Style211"/>
    <w:basedOn w:val="TableGrid1"/>
    <w:uiPriority w:val="99"/>
    <w:rsid w:val="00D3430D"/>
    <w:pPr>
      <w:widowControl w:val="0"/>
      <w:spacing w:after="0"/>
      <w:contextualSpacing/>
      <w:jc w:val="center"/>
    </w:pPr>
    <w:rPr>
      <w:rFonts w:ascii="Arial Narrow" w:hAnsi="Arial Narrow" w:cs="Times New Roman"/>
      <w:color w:val="00000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dobe Devanagari" w:hAnsi="Adobe Devanagari"/>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dobe Devanagari" w:hAnsi="Adobe Devanagari"/>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dobe Devanagari" w:hAnsi="Adobe Devanagari"/>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11">
    <w:name w:val="Table Grid 111"/>
    <w:basedOn w:val="TableNormal"/>
    <w:next w:val="TableGrid1"/>
    <w:uiPriority w:val="99"/>
    <w:semiHidden/>
    <w:unhideWhenUsed/>
    <w:rsid w:val="00D3430D"/>
    <w:rPr>
      <w:rFonts w:ascii="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TIAMCPTable1">
    <w:name w:val="RTI AMCP Table1"/>
    <w:basedOn w:val="TableNormal"/>
    <w:next w:val="TableGrid"/>
    <w:uiPriority w:val="59"/>
    <w:rsid w:val="00730A66"/>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24982810">
      <w:bodyDiv w:val="1"/>
      <w:marLeft w:val="0"/>
      <w:marRight w:val="0"/>
      <w:marTop w:val="0"/>
      <w:marBottom w:val="0"/>
      <w:divBdr>
        <w:top w:val="none" w:sz="0" w:space="0" w:color="auto"/>
        <w:left w:val="none" w:sz="0" w:space="0" w:color="auto"/>
        <w:bottom w:val="none" w:sz="0" w:space="0" w:color="auto"/>
        <w:right w:val="none" w:sz="0" w:space="0" w:color="auto"/>
      </w:divBdr>
    </w:div>
    <w:div w:id="26683499">
      <w:bodyDiv w:val="1"/>
      <w:marLeft w:val="0"/>
      <w:marRight w:val="0"/>
      <w:marTop w:val="0"/>
      <w:marBottom w:val="0"/>
      <w:divBdr>
        <w:top w:val="none" w:sz="0" w:space="0" w:color="auto"/>
        <w:left w:val="none" w:sz="0" w:space="0" w:color="auto"/>
        <w:bottom w:val="none" w:sz="0" w:space="0" w:color="auto"/>
        <w:right w:val="none" w:sz="0" w:space="0" w:color="auto"/>
      </w:divBdr>
      <w:divsChild>
        <w:div w:id="543298748">
          <w:marLeft w:val="0"/>
          <w:marRight w:val="0"/>
          <w:marTop w:val="0"/>
          <w:marBottom w:val="0"/>
          <w:divBdr>
            <w:top w:val="none" w:sz="0" w:space="0" w:color="auto"/>
            <w:left w:val="none" w:sz="0" w:space="0" w:color="auto"/>
            <w:bottom w:val="none" w:sz="0" w:space="0" w:color="auto"/>
            <w:right w:val="none" w:sz="0" w:space="0" w:color="auto"/>
          </w:divBdr>
          <w:divsChild>
            <w:div w:id="416177122">
              <w:marLeft w:val="0"/>
              <w:marRight w:val="0"/>
              <w:marTop w:val="0"/>
              <w:marBottom w:val="0"/>
              <w:divBdr>
                <w:top w:val="none" w:sz="0" w:space="0" w:color="auto"/>
                <w:left w:val="none" w:sz="0" w:space="0" w:color="auto"/>
                <w:bottom w:val="none" w:sz="0" w:space="0" w:color="auto"/>
                <w:right w:val="none" w:sz="0" w:space="0" w:color="auto"/>
              </w:divBdr>
              <w:divsChild>
                <w:div w:id="2520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0358">
      <w:bodyDiv w:val="1"/>
      <w:marLeft w:val="0"/>
      <w:marRight w:val="0"/>
      <w:marTop w:val="0"/>
      <w:marBottom w:val="0"/>
      <w:divBdr>
        <w:top w:val="none" w:sz="0" w:space="0" w:color="auto"/>
        <w:left w:val="none" w:sz="0" w:space="0" w:color="auto"/>
        <w:bottom w:val="none" w:sz="0" w:space="0" w:color="auto"/>
        <w:right w:val="none" w:sz="0" w:space="0" w:color="auto"/>
      </w:divBdr>
      <w:divsChild>
        <w:div w:id="1802992248">
          <w:marLeft w:val="360"/>
          <w:marRight w:val="0"/>
          <w:marTop w:val="200"/>
          <w:marBottom w:val="0"/>
          <w:divBdr>
            <w:top w:val="none" w:sz="0" w:space="0" w:color="auto"/>
            <w:left w:val="none" w:sz="0" w:space="0" w:color="auto"/>
            <w:bottom w:val="none" w:sz="0" w:space="0" w:color="auto"/>
            <w:right w:val="none" w:sz="0" w:space="0" w:color="auto"/>
          </w:divBdr>
        </w:div>
      </w:divsChild>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16334369">
      <w:bodyDiv w:val="1"/>
      <w:marLeft w:val="0"/>
      <w:marRight w:val="0"/>
      <w:marTop w:val="0"/>
      <w:marBottom w:val="0"/>
      <w:divBdr>
        <w:top w:val="none" w:sz="0" w:space="0" w:color="auto"/>
        <w:left w:val="none" w:sz="0" w:space="0" w:color="auto"/>
        <w:bottom w:val="none" w:sz="0" w:space="0" w:color="auto"/>
        <w:right w:val="none" w:sz="0" w:space="0" w:color="auto"/>
      </w:divBdr>
      <w:divsChild>
        <w:div w:id="929774870">
          <w:marLeft w:val="0"/>
          <w:marRight w:val="0"/>
          <w:marTop w:val="0"/>
          <w:marBottom w:val="0"/>
          <w:divBdr>
            <w:top w:val="none" w:sz="0" w:space="0" w:color="auto"/>
            <w:left w:val="none" w:sz="0" w:space="0" w:color="auto"/>
            <w:bottom w:val="none" w:sz="0" w:space="0" w:color="auto"/>
            <w:right w:val="none" w:sz="0" w:space="0" w:color="auto"/>
          </w:divBdr>
          <w:divsChild>
            <w:div w:id="589118740">
              <w:marLeft w:val="0"/>
              <w:marRight w:val="0"/>
              <w:marTop w:val="0"/>
              <w:marBottom w:val="0"/>
              <w:divBdr>
                <w:top w:val="none" w:sz="0" w:space="0" w:color="auto"/>
                <w:left w:val="none" w:sz="0" w:space="0" w:color="auto"/>
                <w:bottom w:val="none" w:sz="0" w:space="0" w:color="auto"/>
                <w:right w:val="none" w:sz="0" w:space="0" w:color="auto"/>
              </w:divBdr>
              <w:divsChild>
                <w:div w:id="5131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9132">
      <w:bodyDiv w:val="1"/>
      <w:marLeft w:val="0"/>
      <w:marRight w:val="0"/>
      <w:marTop w:val="0"/>
      <w:marBottom w:val="0"/>
      <w:divBdr>
        <w:top w:val="none" w:sz="0" w:space="0" w:color="auto"/>
        <w:left w:val="none" w:sz="0" w:space="0" w:color="auto"/>
        <w:bottom w:val="none" w:sz="0" w:space="0" w:color="auto"/>
        <w:right w:val="none" w:sz="0" w:space="0" w:color="auto"/>
      </w:divBdr>
      <w:divsChild>
        <w:div w:id="414211315">
          <w:marLeft w:val="0"/>
          <w:marRight w:val="0"/>
          <w:marTop w:val="0"/>
          <w:marBottom w:val="0"/>
          <w:divBdr>
            <w:top w:val="none" w:sz="0" w:space="0" w:color="auto"/>
            <w:left w:val="none" w:sz="0" w:space="0" w:color="auto"/>
            <w:bottom w:val="none" w:sz="0" w:space="0" w:color="auto"/>
            <w:right w:val="none" w:sz="0" w:space="0" w:color="auto"/>
          </w:divBdr>
        </w:div>
        <w:div w:id="580262116">
          <w:marLeft w:val="0"/>
          <w:marRight w:val="0"/>
          <w:marTop w:val="0"/>
          <w:marBottom w:val="0"/>
          <w:divBdr>
            <w:top w:val="none" w:sz="0" w:space="0" w:color="auto"/>
            <w:left w:val="none" w:sz="0" w:space="0" w:color="auto"/>
            <w:bottom w:val="none" w:sz="0" w:space="0" w:color="auto"/>
            <w:right w:val="none" w:sz="0" w:space="0" w:color="auto"/>
          </w:divBdr>
        </w:div>
        <w:div w:id="598830142">
          <w:marLeft w:val="0"/>
          <w:marRight w:val="0"/>
          <w:marTop w:val="0"/>
          <w:marBottom w:val="0"/>
          <w:divBdr>
            <w:top w:val="none" w:sz="0" w:space="0" w:color="auto"/>
            <w:left w:val="none" w:sz="0" w:space="0" w:color="auto"/>
            <w:bottom w:val="none" w:sz="0" w:space="0" w:color="auto"/>
            <w:right w:val="none" w:sz="0" w:space="0" w:color="auto"/>
          </w:divBdr>
        </w:div>
        <w:div w:id="607977581">
          <w:marLeft w:val="0"/>
          <w:marRight w:val="0"/>
          <w:marTop w:val="0"/>
          <w:marBottom w:val="0"/>
          <w:divBdr>
            <w:top w:val="none" w:sz="0" w:space="0" w:color="auto"/>
            <w:left w:val="none" w:sz="0" w:space="0" w:color="auto"/>
            <w:bottom w:val="none" w:sz="0" w:space="0" w:color="auto"/>
            <w:right w:val="none" w:sz="0" w:space="0" w:color="auto"/>
          </w:divBdr>
        </w:div>
        <w:div w:id="992297805">
          <w:marLeft w:val="0"/>
          <w:marRight w:val="0"/>
          <w:marTop w:val="0"/>
          <w:marBottom w:val="0"/>
          <w:divBdr>
            <w:top w:val="none" w:sz="0" w:space="0" w:color="auto"/>
            <w:left w:val="none" w:sz="0" w:space="0" w:color="auto"/>
            <w:bottom w:val="none" w:sz="0" w:space="0" w:color="auto"/>
            <w:right w:val="none" w:sz="0" w:space="0" w:color="auto"/>
          </w:divBdr>
        </w:div>
        <w:div w:id="1157648367">
          <w:marLeft w:val="0"/>
          <w:marRight w:val="0"/>
          <w:marTop w:val="0"/>
          <w:marBottom w:val="0"/>
          <w:divBdr>
            <w:top w:val="none" w:sz="0" w:space="0" w:color="auto"/>
            <w:left w:val="none" w:sz="0" w:space="0" w:color="auto"/>
            <w:bottom w:val="none" w:sz="0" w:space="0" w:color="auto"/>
            <w:right w:val="none" w:sz="0" w:space="0" w:color="auto"/>
          </w:divBdr>
        </w:div>
        <w:div w:id="1167135478">
          <w:marLeft w:val="0"/>
          <w:marRight w:val="0"/>
          <w:marTop w:val="0"/>
          <w:marBottom w:val="0"/>
          <w:divBdr>
            <w:top w:val="none" w:sz="0" w:space="0" w:color="auto"/>
            <w:left w:val="none" w:sz="0" w:space="0" w:color="auto"/>
            <w:bottom w:val="none" w:sz="0" w:space="0" w:color="auto"/>
            <w:right w:val="none" w:sz="0" w:space="0" w:color="auto"/>
          </w:divBdr>
        </w:div>
        <w:div w:id="1367634250">
          <w:marLeft w:val="0"/>
          <w:marRight w:val="0"/>
          <w:marTop w:val="0"/>
          <w:marBottom w:val="0"/>
          <w:divBdr>
            <w:top w:val="none" w:sz="0" w:space="0" w:color="auto"/>
            <w:left w:val="none" w:sz="0" w:space="0" w:color="auto"/>
            <w:bottom w:val="none" w:sz="0" w:space="0" w:color="auto"/>
            <w:right w:val="none" w:sz="0" w:space="0" w:color="auto"/>
          </w:divBdr>
        </w:div>
        <w:div w:id="1654292066">
          <w:marLeft w:val="0"/>
          <w:marRight w:val="0"/>
          <w:marTop w:val="0"/>
          <w:marBottom w:val="0"/>
          <w:divBdr>
            <w:top w:val="none" w:sz="0" w:space="0" w:color="auto"/>
            <w:left w:val="none" w:sz="0" w:space="0" w:color="auto"/>
            <w:bottom w:val="none" w:sz="0" w:space="0" w:color="auto"/>
            <w:right w:val="none" w:sz="0" w:space="0" w:color="auto"/>
          </w:divBdr>
        </w:div>
        <w:div w:id="1790932541">
          <w:marLeft w:val="0"/>
          <w:marRight w:val="0"/>
          <w:marTop w:val="0"/>
          <w:marBottom w:val="0"/>
          <w:divBdr>
            <w:top w:val="none" w:sz="0" w:space="0" w:color="auto"/>
            <w:left w:val="none" w:sz="0" w:space="0" w:color="auto"/>
            <w:bottom w:val="none" w:sz="0" w:space="0" w:color="auto"/>
            <w:right w:val="none" w:sz="0" w:space="0" w:color="auto"/>
          </w:divBdr>
        </w:div>
        <w:div w:id="1939411592">
          <w:marLeft w:val="0"/>
          <w:marRight w:val="0"/>
          <w:marTop w:val="0"/>
          <w:marBottom w:val="0"/>
          <w:divBdr>
            <w:top w:val="none" w:sz="0" w:space="0" w:color="auto"/>
            <w:left w:val="none" w:sz="0" w:space="0" w:color="auto"/>
            <w:bottom w:val="none" w:sz="0" w:space="0" w:color="auto"/>
            <w:right w:val="none" w:sz="0" w:space="0" w:color="auto"/>
          </w:divBdr>
        </w:div>
        <w:div w:id="1987664565">
          <w:marLeft w:val="0"/>
          <w:marRight w:val="0"/>
          <w:marTop w:val="0"/>
          <w:marBottom w:val="0"/>
          <w:divBdr>
            <w:top w:val="none" w:sz="0" w:space="0" w:color="auto"/>
            <w:left w:val="none" w:sz="0" w:space="0" w:color="auto"/>
            <w:bottom w:val="none" w:sz="0" w:space="0" w:color="auto"/>
            <w:right w:val="none" w:sz="0" w:space="0" w:color="auto"/>
          </w:divBdr>
        </w:div>
        <w:div w:id="2126920336">
          <w:marLeft w:val="0"/>
          <w:marRight w:val="0"/>
          <w:marTop w:val="0"/>
          <w:marBottom w:val="0"/>
          <w:divBdr>
            <w:top w:val="none" w:sz="0" w:space="0" w:color="auto"/>
            <w:left w:val="none" w:sz="0" w:space="0" w:color="auto"/>
            <w:bottom w:val="none" w:sz="0" w:space="0" w:color="auto"/>
            <w:right w:val="none" w:sz="0" w:space="0" w:color="auto"/>
          </w:divBdr>
        </w:div>
      </w:divsChild>
    </w:div>
    <w:div w:id="154345229">
      <w:bodyDiv w:val="1"/>
      <w:marLeft w:val="0"/>
      <w:marRight w:val="0"/>
      <w:marTop w:val="0"/>
      <w:marBottom w:val="0"/>
      <w:divBdr>
        <w:top w:val="none" w:sz="0" w:space="0" w:color="auto"/>
        <w:left w:val="none" w:sz="0" w:space="0" w:color="auto"/>
        <w:bottom w:val="none" w:sz="0" w:space="0" w:color="auto"/>
        <w:right w:val="none" w:sz="0" w:space="0" w:color="auto"/>
      </w:divBdr>
      <w:divsChild>
        <w:div w:id="2120903674">
          <w:marLeft w:val="0"/>
          <w:marRight w:val="0"/>
          <w:marTop w:val="0"/>
          <w:marBottom w:val="0"/>
          <w:divBdr>
            <w:top w:val="none" w:sz="0" w:space="0" w:color="auto"/>
            <w:left w:val="none" w:sz="0" w:space="0" w:color="auto"/>
            <w:bottom w:val="none" w:sz="0" w:space="0" w:color="auto"/>
            <w:right w:val="none" w:sz="0" w:space="0" w:color="auto"/>
          </w:divBdr>
          <w:divsChild>
            <w:div w:id="926351660">
              <w:marLeft w:val="0"/>
              <w:marRight w:val="0"/>
              <w:marTop w:val="0"/>
              <w:marBottom w:val="0"/>
              <w:divBdr>
                <w:top w:val="none" w:sz="0" w:space="0" w:color="auto"/>
                <w:left w:val="none" w:sz="0" w:space="0" w:color="auto"/>
                <w:bottom w:val="none" w:sz="0" w:space="0" w:color="auto"/>
                <w:right w:val="none" w:sz="0" w:space="0" w:color="auto"/>
              </w:divBdr>
              <w:divsChild>
                <w:div w:id="5873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6798076">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62567196">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10865537">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57459460">
      <w:bodyDiv w:val="1"/>
      <w:marLeft w:val="0"/>
      <w:marRight w:val="0"/>
      <w:marTop w:val="0"/>
      <w:marBottom w:val="0"/>
      <w:divBdr>
        <w:top w:val="none" w:sz="0" w:space="0" w:color="auto"/>
        <w:left w:val="none" w:sz="0" w:space="0" w:color="auto"/>
        <w:bottom w:val="none" w:sz="0" w:space="0" w:color="auto"/>
        <w:right w:val="none" w:sz="0" w:space="0" w:color="auto"/>
      </w:divBdr>
      <w:divsChild>
        <w:div w:id="165101633">
          <w:marLeft w:val="0"/>
          <w:marRight w:val="0"/>
          <w:marTop w:val="0"/>
          <w:marBottom w:val="0"/>
          <w:divBdr>
            <w:top w:val="none" w:sz="0" w:space="0" w:color="auto"/>
            <w:left w:val="none" w:sz="0" w:space="0" w:color="auto"/>
            <w:bottom w:val="none" w:sz="0" w:space="0" w:color="auto"/>
            <w:right w:val="none" w:sz="0" w:space="0" w:color="auto"/>
          </w:divBdr>
          <w:divsChild>
            <w:div w:id="352465143">
              <w:marLeft w:val="0"/>
              <w:marRight w:val="0"/>
              <w:marTop w:val="0"/>
              <w:marBottom w:val="0"/>
              <w:divBdr>
                <w:top w:val="none" w:sz="0" w:space="0" w:color="auto"/>
                <w:left w:val="none" w:sz="0" w:space="0" w:color="auto"/>
                <w:bottom w:val="none" w:sz="0" w:space="0" w:color="auto"/>
                <w:right w:val="none" w:sz="0" w:space="0" w:color="auto"/>
              </w:divBdr>
              <w:divsChild>
                <w:div w:id="13652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4419190">
      <w:bodyDiv w:val="1"/>
      <w:marLeft w:val="0"/>
      <w:marRight w:val="0"/>
      <w:marTop w:val="0"/>
      <w:marBottom w:val="0"/>
      <w:divBdr>
        <w:top w:val="none" w:sz="0" w:space="0" w:color="auto"/>
        <w:left w:val="none" w:sz="0" w:space="0" w:color="auto"/>
        <w:bottom w:val="none" w:sz="0" w:space="0" w:color="auto"/>
        <w:right w:val="none" w:sz="0" w:space="0" w:color="auto"/>
      </w:divBdr>
    </w:div>
    <w:div w:id="523590636">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9375">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83900181">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0059">
      <w:bodyDiv w:val="1"/>
      <w:marLeft w:val="0"/>
      <w:marRight w:val="0"/>
      <w:marTop w:val="0"/>
      <w:marBottom w:val="0"/>
      <w:divBdr>
        <w:top w:val="none" w:sz="0" w:space="0" w:color="auto"/>
        <w:left w:val="none" w:sz="0" w:space="0" w:color="auto"/>
        <w:bottom w:val="none" w:sz="0" w:space="0" w:color="auto"/>
        <w:right w:val="none" w:sz="0" w:space="0" w:color="auto"/>
      </w:divBdr>
      <w:divsChild>
        <w:div w:id="1895965029">
          <w:marLeft w:val="0"/>
          <w:marRight w:val="0"/>
          <w:marTop w:val="0"/>
          <w:marBottom w:val="0"/>
          <w:divBdr>
            <w:top w:val="none" w:sz="0" w:space="0" w:color="auto"/>
            <w:left w:val="none" w:sz="0" w:space="0" w:color="auto"/>
            <w:bottom w:val="none" w:sz="0" w:space="0" w:color="auto"/>
            <w:right w:val="none" w:sz="0" w:space="0" w:color="auto"/>
          </w:divBdr>
          <w:divsChild>
            <w:div w:id="47456158">
              <w:marLeft w:val="0"/>
              <w:marRight w:val="0"/>
              <w:marTop w:val="0"/>
              <w:marBottom w:val="0"/>
              <w:divBdr>
                <w:top w:val="none" w:sz="0" w:space="0" w:color="auto"/>
                <w:left w:val="none" w:sz="0" w:space="0" w:color="auto"/>
                <w:bottom w:val="none" w:sz="0" w:space="0" w:color="auto"/>
                <w:right w:val="none" w:sz="0" w:space="0" w:color="auto"/>
              </w:divBdr>
              <w:divsChild>
                <w:div w:id="14275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4656341">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55407418">
      <w:bodyDiv w:val="1"/>
      <w:marLeft w:val="0"/>
      <w:marRight w:val="0"/>
      <w:marTop w:val="0"/>
      <w:marBottom w:val="0"/>
      <w:divBdr>
        <w:top w:val="none" w:sz="0" w:space="0" w:color="auto"/>
        <w:left w:val="none" w:sz="0" w:space="0" w:color="auto"/>
        <w:bottom w:val="none" w:sz="0" w:space="0" w:color="auto"/>
        <w:right w:val="none" w:sz="0" w:space="0" w:color="auto"/>
      </w:divBdr>
      <w:divsChild>
        <w:div w:id="1216890696">
          <w:marLeft w:val="0"/>
          <w:marRight w:val="0"/>
          <w:marTop w:val="0"/>
          <w:marBottom w:val="0"/>
          <w:divBdr>
            <w:top w:val="none" w:sz="0" w:space="0" w:color="auto"/>
            <w:left w:val="none" w:sz="0" w:space="0" w:color="auto"/>
            <w:bottom w:val="none" w:sz="0" w:space="0" w:color="auto"/>
            <w:right w:val="none" w:sz="0" w:space="0" w:color="auto"/>
          </w:divBdr>
        </w:div>
      </w:divsChild>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4990">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24542605">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38181782">
      <w:bodyDiv w:val="1"/>
      <w:marLeft w:val="0"/>
      <w:marRight w:val="0"/>
      <w:marTop w:val="0"/>
      <w:marBottom w:val="0"/>
      <w:divBdr>
        <w:top w:val="none" w:sz="0" w:space="0" w:color="auto"/>
        <w:left w:val="none" w:sz="0" w:space="0" w:color="auto"/>
        <w:bottom w:val="none" w:sz="0" w:space="0" w:color="auto"/>
        <w:right w:val="none" w:sz="0" w:space="0" w:color="auto"/>
      </w:divBdr>
    </w:div>
    <w:div w:id="1145781696">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49119859">
      <w:bodyDiv w:val="1"/>
      <w:marLeft w:val="0"/>
      <w:marRight w:val="0"/>
      <w:marTop w:val="0"/>
      <w:marBottom w:val="0"/>
      <w:divBdr>
        <w:top w:val="none" w:sz="0" w:space="0" w:color="auto"/>
        <w:left w:val="none" w:sz="0" w:space="0" w:color="auto"/>
        <w:bottom w:val="none" w:sz="0" w:space="0" w:color="auto"/>
        <w:right w:val="none" w:sz="0" w:space="0" w:color="auto"/>
      </w:divBdr>
      <w:divsChild>
        <w:div w:id="1637032444">
          <w:marLeft w:val="0"/>
          <w:marRight w:val="0"/>
          <w:marTop w:val="0"/>
          <w:marBottom w:val="0"/>
          <w:divBdr>
            <w:top w:val="none" w:sz="0" w:space="0" w:color="auto"/>
            <w:left w:val="none" w:sz="0" w:space="0" w:color="auto"/>
            <w:bottom w:val="none" w:sz="0" w:space="0" w:color="auto"/>
            <w:right w:val="none" w:sz="0" w:space="0" w:color="auto"/>
          </w:divBdr>
          <w:divsChild>
            <w:div w:id="540214175">
              <w:marLeft w:val="0"/>
              <w:marRight w:val="0"/>
              <w:marTop w:val="0"/>
              <w:marBottom w:val="0"/>
              <w:divBdr>
                <w:top w:val="none" w:sz="0" w:space="0" w:color="auto"/>
                <w:left w:val="none" w:sz="0" w:space="0" w:color="auto"/>
                <w:bottom w:val="none" w:sz="0" w:space="0" w:color="auto"/>
                <w:right w:val="none" w:sz="0" w:space="0" w:color="auto"/>
              </w:divBdr>
              <w:divsChild>
                <w:div w:id="13237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386627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66510968">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598371438">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8901">
      <w:bodyDiv w:val="1"/>
      <w:marLeft w:val="0"/>
      <w:marRight w:val="0"/>
      <w:marTop w:val="0"/>
      <w:marBottom w:val="0"/>
      <w:divBdr>
        <w:top w:val="none" w:sz="0" w:space="0" w:color="auto"/>
        <w:left w:val="none" w:sz="0" w:space="0" w:color="auto"/>
        <w:bottom w:val="none" w:sz="0" w:space="0" w:color="auto"/>
        <w:right w:val="none" w:sz="0" w:space="0" w:color="auto"/>
      </w:divBdr>
    </w:div>
    <w:div w:id="1999113159">
      <w:bodyDiv w:val="1"/>
      <w:marLeft w:val="0"/>
      <w:marRight w:val="0"/>
      <w:marTop w:val="0"/>
      <w:marBottom w:val="0"/>
      <w:divBdr>
        <w:top w:val="none" w:sz="0" w:space="0" w:color="auto"/>
        <w:left w:val="none" w:sz="0" w:space="0" w:color="auto"/>
        <w:bottom w:val="none" w:sz="0" w:space="0" w:color="auto"/>
        <w:right w:val="none" w:sz="0" w:space="0" w:color="auto"/>
      </w:divBdr>
      <w:divsChild>
        <w:div w:id="817453385">
          <w:marLeft w:val="0"/>
          <w:marRight w:val="0"/>
          <w:marTop w:val="0"/>
          <w:marBottom w:val="0"/>
          <w:divBdr>
            <w:top w:val="none" w:sz="0" w:space="0" w:color="auto"/>
            <w:left w:val="none" w:sz="0" w:space="0" w:color="auto"/>
            <w:bottom w:val="none" w:sz="0" w:space="0" w:color="auto"/>
            <w:right w:val="none" w:sz="0" w:space="0" w:color="auto"/>
          </w:divBdr>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18795496">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4590846">
      <w:bodyDiv w:val="1"/>
      <w:marLeft w:val="0"/>
      <w:marRight w:val="0"/>
      <w:marTop w:val="0"/>
      <w:marBottom w:val="0"/>
      <w:divBdr>
        <w:top w:val="none" w:sz="0" w:space="0" w:color="auto"/>
        <w:left w:val="none" w:sz="0" w:space="0" w:color="auto"/>
        <w:bottom w:val="none" w:sz="0" w:space="0" w:color="auto"/>
        <w:right w:val="none" w:sz="0" w:space="0" w:color="auto"/>
      </w:divBdr>
      <w:divsChild>
        <w:div w:id="1158305888">
          <w:marLeft w:val="0"/>
          <w:marRight w:val="0"/>
          <w:marTop w:val="0"/>
          <w:marBottom w:val="0"/>
          <w:divBdr>
            <w:top w:val="none" w:sz="0" w:space="0" w:color="auto"/>
            <w:left w:val="none" w:sz="0" w:space="0" w:color="auto"/>
            <w:bottom w:val="none" w:sz="0" w:space="0" w:color="auto"/>
            <w:right w:val="none" w:sz="0" w:space="0" w:color="auto"/>
          </w:divBdr>
          <w:divsChild>
            <w:div w:id="316735797">
              <w:marLeft w:val="0"/>
              <w:marRight w:val="0"/>
              <w:marTop w:val="0"/>
              <w:marBottom w:val="0"/>
              <w:divBdr>
                <w:top w:val="none" w:sz="0" w:space="0" w:color="auto"/>
                <w:left w:val="none" w:sz="0" w:space="0" w:color="auto"/>
                <w:bottom w:val="none" w:sz="0" w:space="0" w:color="auto"/>
                <w:right w:val="none" w:sz="0" w:space="0" w:color="auto"/>
              </w:divBdr>
              <w:divsChild>
                <w:div w:id="13320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footer" Target="footer3.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uptodate.com/contents/castration-resistant-prostate-cancer-treatments-targeting-the-androgen-pathway/abstract/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AD75-CC8B-45C4-95F7-11BDCA73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12887</Words>
  <Characters>73461</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2021-07-08T05:48:00Z</dcterms:created>
  <dcterms:modified xsi:type="dcterms:W3CDTF">2021-07-15T03:56:00Z</dcterms:modified>
</cp:coreProperties>
</file>