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6C66F" w14:textId="43516C25" w:rsidR="004D6215" w:rsidRPr="004D6215" w:rsidRDefault="008A1AA9" w:rsidP="00FC4BAF">
      <w:pPr>
        <w:pStyle w:val="1-MainHeading"/>
        <w:ind w:left="0" w:firstLine="0"/>
        <w:rPr>
          <w:rFonts w:ascii="Calibri" w:eastAsia="Times New Roman" w:hAnsi="Calibri" w:cs="Arial"/>
          <w:b w:val="0"/>
          <w:snapToGrid w:val="0"/>
          <w:color w:val="FF0000"/>
          <w:spacing w:val="0"/>
          <w:kern w:val="0"/>
          <w:sz w:val="24"/>
          <w:szCs w:val="22"/>
          <w:lang w:eastAsia="en-US"/>
        </w:rPr>
      </w:pPr>
      <w:r>
        <w:rPr>
          <w:rFonts w:ascii="Calibri" w:eastAsia="Times New Roman" w:hAnsi="Calibri" w:cs="Arial"/>
          <w:b w:val="0"/>
          <w:snapToGrid w:val="0"/>
          <w:color w:val="FF0000"/>
          <w:spacing w:val="0"/>
          <w:kern w:val="0"/>
          <w:sz w:val="24"/>
          <w:szCs w:val="22"/>
          <w:lang w:eastAsia="en-US"/>
        </w:rPr>
        <w:t>Changes have been made to this item</w:t>
      </w:r>
      <w:r w:rsidR="004D6215">
        <w:rPr>
          <w:rFonts w:ascii="Calibri" w:eastAsia="Times New Roman" w:hAnsi="Calibri" w:cs="Arial"/>
          <w:b w:val="0"/>
          <w:snapToGrid w:val="0"/>
          <w:color w:val="FF0000"/>
          <w:spacing w:val="0"/>
          <w:kern w:val="0"/>
          <w:sz w:val="24"/>
          <w:szCs w:val="22"/>
          <w:lang w:eastAsia="en-US"/>
        </w:rPr>
        <w:t xml:space="preserve">. Details of the corrigendum </w:t>
      </w:r>
      <w:r w:rsidR="00AE569D">
        <w:rPr>
          <w:rFonts w:ascii="Calibri" w:eastAsia="Times New Roman" w:hAnsi="Calibri" w:cs="Arial"/>
          <w:b w:val="0"/>
          <w:snapToGrid w:val="0"/>
          <w:color w:val="FF0000"/>
          <w:spacing w:val="0"/>
          <w:kern w:val="0"/>
          <w:sz w:val="24"/>
          <w:szCs w:val="22"/>
          <w:lang w:eastAsia="en-US"/>
        </w:rPr>
        <w:t xml:space="preserve">are </w:t>
      </w:r>
      <w:r>
        <w:rPr>
          <w:rFonts w:ascii="Calibri" w:eastAsia="Times New Roman" w:hAnsi="Calibri" w:cs="Arial"/>
          <w:b w:val="0"/>
          <w:snapToGrid w:val="0"/>
          <w:color w:val="FF0000"/>
          <w:spacing w:val="0"/>
          <w:kern w:val="0"/>
          <w:sz w:val="24"/>
          <w:szCs w:val="22"/>
          <w:lang w:eastAsia="en-US"/>
        </w:rPr>
        <w:t xml:space="preserve">at the end of this </w:t>
      </w:r>
      <w:r w:rsidR="004D6215">
        <w:rPr>
          <w:rFonts w:ascii="Calibri" w:eastAsia="Times New Roman" w:hAnsi="Calibri" w:cs="Arial"/>
          <w:b w:val="0"/>
          <w:snapToGrid w:val="0"/>
          <w:color w:val="FF0000"/>
          <w:spacing w:val="0"/>
          <w:kern w:val="0"/>
          <w:sz w:val="24"/>
          <w:szCs w:val="22"/>
          <w:lang w:eastAsia="en-US"/>
        </w:rPr>
        <w:t>document.</w:t>
      </w:r>
    </w:p>
    <w:p w14:paraId="15673F15" w14:textId="77777777" w:rsidR="00957FCE" w:rsidRDefault="00BB574E" w:rsidP="009F5351">
      <w:pPr>
        <w:pStyle w:val="1-MainHeading"/>
      </w:pPr>
      <w:r>
        <w:t>5</w:t>
      </w:r>
      <w:r w:rsidR="00957FCE" w:rsidRPr="00C12C14">
        <w:t>.</w:t>
      </w:r>
      <w:r>
        <w:t>15</w:t>
      </w:r>
      <w:r w:rsidR="00957FCE" w:rsidRPr="00C12C14">
        <w:tab/>
      </w:r>
      <w:r w:rsidR="00957FCE">
        <w:t>RISDIPLAM</w:t>
      </w:r>
      <w:r w:rsidR="00957FCE" w:rsidRPr="00C12C14">
        <w:t xml:space="preserve">, </w:t>
      </w:r>
      <w:r w:rsidR="009F5351">
        <w:br/>
      </w:r>
      <w:r w:rsidR="00F05730">
        <w:t>Powder for o</w:t>
      </w:r>
      <w:r w:rsidR="00957FCE">
        <w:t>ral solution</w:t>
      </w:r>
      <w:r w:rsidR="00551C82">
        <w:t xml:space="preserve"> </w:t>
      </w:r>
      <w:r w:rsidR="00F05730">
        <w:t>0.75</w:t>
      </w:r>
      <w:r w:rsidR="00551C82">
        <w:t xml:space="preserve"> mg per </w:t>
      </w:r>
      <w:r w:rsidR="00F05730">
        <w:t xml:space="preserve">1mL, </w:t>
      </w:r>
      <w:r w:rsidR="00957FCE">
        <w:t>80</w:t>
      </w:r>
      <w:r w:rsidR="00551C82">
        <w:t xml:space="preserve"> </w:t>
      </w:r>
      <w:r w:rsidR="00957FCE">
        <w:t>mL</w:t>
      </w:r>
      <w:r w:rsidR="00957FCE" w:rsidRPr="00C12C14">
        <w:t xml:space="preserve">, </w:t>
      </w:r>
      <w:r w:rsidR="009F5351">
        <w:br/>
      </w:r>
      <w:r w:rsidR="00957FCE">
        <w:t>Evrysdi</w:t>
      </w:r>
      <w:r w:rsidR="00957FCE" w:rsidRPr="009F5351">
        <w:t>®</w:t>
      </w:r>
      <w:r w:rsidR="00957FCE" w:rsidRPr="00C12C14">
        <w:t xml:space="preserve">, </w:t>
      </w:r>
      <w:r w:rsidR="009F5351">
        <w:br/>
      </w:r>
      <w:r w:rsidR="00957FCE">
        <w:t>Roche Products Pty Ltd</w:t>
      </w:r>
      <w:r w:rsidR="009F5351">
        <w:t>.</w:t>
      </w:r>
    </w:p>
    <w:p w14:paraId="34EBC94B" w14:textId="77777777" w:rsidR="00C4351A" w:rsidRPr="009F5351" w:rsidRDefault="00C4351A" w:rsidP="009F5351">
      <w:pPr>
        <w:pStyle w:val="2-SectionHeading"/>
      </w:pPr>
      <w:bookmarkStart w:id="0" w:name="_Toc59404585"/>
      <w:bookmarkStart w:id="1" w:name="_Toc61959927"/>
      <w:bookmarkStart w:id="2" w:name="_Toc58337995"/>
      <w:r w:rsidRPr="009F5351">
        <w:t>Purpose of Application</w:t>
      </w:r>
      <w:bookmarkEnd w:id="0"/>
      <w:bookmarkEnd w:id="1"/>
    </w:p>
    <w:bookmarkEnd w:id="2"/>
    <w:p w14:paraId="549612B8" w14:textId="77777777" w:rsidR="00957FCE" w:rsidRPr="0037240C" w:rsidRDefault="00957FCE" w:rsidP="0037240C">
      <w:pPr>
        <w:pStyle w:val="3-BodyText"/>
      </w:pPr>
      <w:r w:rsidRPr="0037240C">
        <w:t xml:space="preserve">The submission requested a Section 100, Highly Specialised Drugs Program, Authority Required listing for risdiplam for treatment of spinal muscular atrophy (SMA) for the following patient populations. </w:t>
      </w:r>
    </w:p>
    <w:p w14:paraId="1C58F9D5" w14:textId="77777777" w:rsidR="00957FCE" w:rsidRDefault="00957FCE" w:rsidP="006C5CF2">
      <w:pPr>
        <w:pStyle w:val="ListParagraph"/>
        <w:widowControl/>
        <w:numPr>
          <w:ilvl w:val="0"/>
          <w:numId w:val="5"/>
        </w:numPr>
        <w:ind w:left="993" w:hanging="284"/>
      </w:pPr>
      <w:r>
        <w:t xml:space="preserve">Population 1 – SMA Types 1, 2 and 3a in patients aged </w:t>
      </w:r>
      <w:r w:rsidR="00C63FA8">
        <w:t xml:space="preserve">18 years or under (i.e. </w:t>
      </w:r>
      <w:r>
        <w:t>&lt;19 years</w:t>
      </w:r>
      <w:r w:rsidR="00C63FA8">
        <w:t>)</w:t>
      </w:r>
      <w:r>
        <w:t xml:space="preserve"> at treatment initiation; </w:t>
      </w:r>
    </w:p>
    <w:p w14:paraId="1C7523D1" w14:textId="77777777" w:rsidR="00957FCE" w:rsidRDefault="00957FCE" w:rsidP="006C5CF2">
      <w:pPr>
        <w:pStyle w:val="ListParagraph"/>
        <w:widowControl/>
        <w:numPr>
          <w:ilvl w:val="0"/>
          <w:numId w:val="5"/>
        </w:numPr>
        <w:ind w:left="993" w:hanging="284"/>
      </w:pPr>
      <w:r>
        <w:t xml:space="preserve">Population 2 – SMA Type 3b in patients aged </w:t>
      </w:r>
      <w:r w:rsidR="00C63FA8">
        <w:t xml:space="preserve">18 </w:t>
      </w:r>
      <w:r>
        <w:t xml:space="preserve">years </w:t>
      </w:r>
      <w:r w:rsidR="00C63FA8">
        <w:t xml:space="preserve">or under </w:t>
      </w:r>
      <w:r>
        <w:t xml:space="preserve">at treatment initiation; and </w:t>
      </w:r>
    </w:p>
    <w:p w14:paraId="54EBCEAF" w14:textId="77777777" w:rsidR="00957FCE" w:rsidRDefault="00957FCE" w:rsidP="006C5CF2">
      <w:pPr>
        <w:pStyle w:val="ListParagraph"/>
        <w:widowControl/>
        <w:numPr>
          <w:ilvl w:val="0"/>
          <w:numId w:val="5"/>
        </w:numPr>
        <w:ind w:left="993" w:hanging="284"/>
      </w:pPr>
      <w:r>
        <w:t xml:space="preserve">Population 3 – SMA Types 1, 2 or 3 in patients aged </w:t>
      </w:r>
      <w:r w:rsidR="00C63FA8">
        <w:t xml:space="preserve">over 18 years (i.e. </w:t>
      </w:r>
      <w:r>
        <w:t xml:space="preserve">19 years </w:t>
      </w:r>
      <w:r w:rsidR="00C63FA8">
        <w:t xml:space="preserve">and above) </w:t>
      </w:r>
      <w:r>
        <w:t>at treatment initiation.</w:t>
      </w:r>
    </w:p>
    <w:p w14:paraId="7564ED88" w14:textId="77777777" w:rsidR="00086D78" w:rsidRDefault="00957FCE" w:rsidP="00D576D4">
      <w:pPr>
        <w:pStyle w:val="ListParagraph"/>
        <w:keepNext/>
        <w:keepLines/>
        <w:widowControl/>
        <w:numPr>
          <w:ilvl w:val="1"/>
          <w:numId w:val="2"/>
        </w:numPr>
        <w:spacing w:after="120"/>
      </w:pPr>
      <w:r>
        <w:t>The requested basis for listing was</w:t>
      </w:r>
      <w:r w:rsidR="00086D78">
        <w:t>:</w:t>
      </w:r>
    </w:p>
    <w:p w14:paraId="3BF97211" w14:textId="77777777" w:rsidR="00086D78" w:rsidRDefault="00086D78" w:rsidP="006C5CF2">
      <w:pPr>
        <w:pStyle w:val="ListParagraph"/>
        <w:keepNext/>
        <w:keepLines/>
        <w:widowControl/>
        <w:numPr>
          <w:ilvl w:val="0"/>
          <w:numId w:val="5"/>
        </w:numPr>
        <w:ind w:left="993" w:hanging="284"/>
      </w:pPr>
      <w:r>
        <w:t xml:space="preserve">Population 1 – a cost-minimisation analysis versus nusinersen; </w:t>
      </w:r>
    </w:p>
    <w:p w14:paraId="6B99D329" w14:textId="77777777" w:rsidR="00086D78" w:rsidRDefault="00086D78" w:rsidP="006C5CF2">
      <w:pPr>
        <w:pStyle w:val="ListParagraph"/>
        <w:keepNext/>
        <w:keepLines/>
        <w:widowControl/>
        <w:numPr>
          <w:ilvl w:val="0"/>
          <w:numId w:val="5"/>
        </w:numPr>
        <w:ind w:left="993" w:hanging="284"/>
      </w:pPr>
      <w:r>
        <w:t xml:space="preserve">Population 2 – </w:t>
      </w:r>
      <w:r w:rsidR="00D81089">
        <w:t xml:space="preserve">the submission provided </w:t>
      </w:r>
      <w:r>
        <w:t xml:space="preserve">no analysis </w:t>
      </w:r>
      <w:r w:rsidR="00D81089">
        <w:t>to support listing for patients in populati</w:t>
      </w:r>
      <w:r w:rsidR="002561F6">
        <w:t>o</w:t>
      </w:r>
      <w:r w:rsidR="00D81089">
        <w:t>n 2, with S</w:t>
      </w:r>
      <w:r>
        <w:t xml:space="preserve">MA Type 3b patients </w:t>
      </w:r>
      <w:r w:rsidR="00D81089">
        <w:t>not</w:t>
      </w:r>
      <w:r>
        <w:t xml:space="preserve"> explicitly modelled; and </w:t>
      </w:r>
    </w:p>
    <w:p w14:paraId="0746B5B2" w14:textId="77777777" w:rsidR="00086D78" w:rsidRDefault="00086D78" w:rsidP="006C5CF2">
      <w:pPr>
        <w:pStyle w:val="ListParagraph"/>
        <w:keepNext/>
        <w:keepLines/>
        <w:widowControl/>
        <w:numPr>
          <w:ilvl w:val="0"/>
          <w:numId w:val="5"/>
        </w:numPr>
        <w:ind w:left="993" w:hanging="284"/>
      </w:pPr>
      <w:r>
        <w:t xml:space="preserve">Population 3 – a cost-utility analysis </w:t>
      </w:r>
      <w:r w:rsidR="00D81089">
        <w:t>versus</w:t>
      </w:r>
      <w:r>
        <w:t xml:space="preserve"> best supportive care (BSC).</w:t>
      </w:r>
    </w:p>
    <w:p w14:paraId="3EB5336C" w14:textId="77777777" w:rsidR="00957FCE" w:rsidRDefault="00957FCE" w:rsidP="004422FA">
      <w:pPr>
        <w:pStyle w:val="ListParagraph"/>
        <w:widowControl/>
        <w:numPr>
          <w:ilvl w:val="1"/>
          <w:numId w:val="2"/>
        </w:numPr>
        <w:spacing w:after="120"/>
      </w:pPr>
      <w:r w:rsidRPr="006D0C3A">
        <w:t xml:space="preserve">The submission considered that the cost-effectiveness for </w:t>
      </w:r>
      <w:r w:rsidR="00A370F4" w:rsidRPr="006D0C3A">
        <w:t>p</w:t>
      </w:r>
      <w:r w:rsidRPr="006D0C3A">
        <w:t>opulation 2 would be informed by the analyses presented</w:t>
      </w:r>
      <w:r w:rsidRPr="00CE3643">
        <w:t xml:space="preserve"> for </w:t>
      </w:r>
      <w:r w:rsidR="00A370F4" w:rsidRPr="00CE3643">
        <w:t>p</w:t>
      </w:r>
      <w:r w:rsidRPr="00CE3643">
        <w:t xml:space="preserve">opulations </w:t>
      </w:r>
      <w:r w:rsidR="00D758E2" w:rsidRPr="00CE3643">
        <w:t xml:space="preserve">1 and </w:t>
      </w:r>
      <w:r w:rsidRPr="00CE3643">
        <w:t xml:space="preserve">3, which </w:t>
      </w:r>
      <w:r w:rsidR="00FC02DB" w:rsidRPr="007B3DA4">
        <w:t>the ESC considered</w:t>
      </w:r>
      <w:r w:rsidR="00FC02DB">
        <w:t xml:space="preserve"> </w:t>
      </w:r>
      <w:r w:rsidRPr="00CE3643">
        <w:t>was not reasonable</w:t>
      </w:r>
      <w:r w:rsidR="00D37D8F">
        <w:t xml:space="preserve">, </w:t>
      </w:r>
      <w:r w:rsidR="00C63FA8" w:rsidRPr="00CE3643">
        <w:t>given patients in populations 2 and 3 were different in both age and likely disease progression</w:t>
      </w:r>
      <w:r w:rsidRPr="007B3DA4">
        <w:t>.</w:t>
      </w:r>
      <w:r w:rsidR="00D37D8F" w:rsidRPr="007B3DA4">
        <w:t xml:space="preserve"> The </w:t>
      </w:r>
      <w:r w:rsidR="00A57396">
        <w:t>Pre-Sub-Committee Response (</w:t>
      </w:r>
      <w:r w:rsidR="00D37D8F" w:rsidRPr="007B3DA4">
        <w:t>PSCR</w:t>
      </w:r>
      <w:r w:rsidR="00A57396">
        <w:t>)</w:t>
      </w:r>
      <w:r w:rsidR="00D37D8F" w:rsidRPr="007B3DA4">
        <w:t xml:space="preserve"> stated that </w:t>
      </w:r>
      <w:r w:rsidR="004F401A">
        <w:rPr>
          <w:rFonts w:eastAsia="Calibri" w:cs="Calibri"/>
        </w:rPr>
        <w:t>the sponsor</w:t>
      </w:r>
      <w:r w:rsidR="004F401A" w:rsidRPr="007B3DA4">
        <w:rPr>
          <w:rFonts w:eastAsia="Calibri" w:cs="Calibri"/>
        </w:rPr>
        <w:t xml:space="preserve"> </w:t>
      </w:r>
      <w:r w:rsidR="00D37D8F" w:rsidRPr="007B3DA4">
        <w:rPr>
          <w:rFonts w:eastAsia="Calibri" w:cs="Calibri"/>
        </w:rPr>
        <w:t xml:space="preserve">and its clinical advisors deem Population 2 sufficiently comparable to patients diagnosed with Type 3a SMA </w:t>
      </w:r>
      <w:r w:rsidR="00FC02DB" w:rsidRPr="007B3DA4">
        <w:rPr>
          <w:rFonts w:eastAsia="Calibri" w:cs="Calibri"/>
        </w:rPr>
        <w:t>but</w:t>
      </w:r>
      <w:r w:rsidR="00D37D8F" w:rsidRPr="007B3DA4">
        <w:rPr>
          <w:rFonts w:eastAsia="Calibri" w:cs="Calibri"/>
        </w:rPr>
        <w:t xml:space="preserve"> in the absence of clinical evidence specifically for this subgroup of patients alone,</w:t>
      </w:r>
      <w:r w:rsidR="00D37D8F" w:rsidRPr="007B3DA4">
        <w:t xml:space="preserve"> proposed </w:t>
      </w:r>
      <w:r w:rsidR="00D37D8F" w:rsidRPr="007B3DA4">
        <w:rPr>
          <w:rFonts w:eastAsia="Calibri" w:cs="Calibri"/>
        </w:rPr>
        <w:t xml:space="preserve">to </w:t>
      </w:r>
      <w:r w:rsidR="006860F4">
        <w:rPr>
          <w:rFonts w:eastAsia="Calibri" w:cs="Calibri"/>
          <w:noProof/>
          <w:color w:val="000000"/>
          <w:highlight w:val="black"/>
        </w:rPr>
        <w:t>'''''''''''''</w:t>
      </w:r>
      <w:r w:rsidR="00D37D8F" w:rsidRPr="007B3DA4">
        <w:rPr>
          <w:rFonts w:eastAsia="Calibri" w:cs="Calibri"/>
        </w:rPr>
        <w:t xml:space="preserve"> the budgetary impact of treating these patients within the Risk Share Arrangement (RSA) </w:t>
      </w:r>
      <w:r w:rsidR="003A37B7">
        <w:rPr>
          <w:rFonts w:eastAsia="Calibri" w:cs="Calibri"/>
          <w:noProof/>
          <w:color w:val="000000"/>
          <w:highlight w:val="black"/>
        </w:rPr>
        <w:t>'''' ''''''''''' '''''' ''''''''''''''''''''' '''</w:t>
      </w:r>
      <w:r w:rsidR="00D37D8F" w:rsidRPr="007B3DA4">
        <w:t>.</w:t>
      </w:r>
    </w:p>
    <w:p w14:paraId="48829432" w14:textId="77777777" w:rsidR="00957FCE" w:rsidRPr="008B1757" w:rsidRDefault="002561F6" w:rsidP="002561F6">
      <w:pPr>
        <w:keepNext/>
        <w:keepLines/>
        <w:rPr>
          <w:rStyle w:val="CommentReference"/>
        </w:rPr>
      </w:pPr>
      <w:r w:rsidRPr="002561F6">
        <w:rPr>
          <w:rStyle w:val="CommentReference"/>
        </w:rPr>
        <w:lastRenderedPageBreak/>
        <w:t xml:space="preserve">Table </w:t>
      </w:r>
      <w:r w:rsidR="009825B3">
        <w:rPr>
          <w:rStyle w:val="CommentReference"/>
          <w:noProof/>
        </w:rPr>
        <w:t>1</w:t>
      </w:r>
      <w:r w:rsidR="00957FCE">
        <w:rPr>
          <w:rStyle w:val="CommentReference"/>
        </w:rPr>
        <w:t>: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6"/>
        <w:gridCol w:w="3037"/>
        <w:gridCol w:w="2653"/>
        <w:gridCol w:w="2180"/>
      </w:tblGrid>
      <w:tr w:rsidR="00891AF3" w:rsidRPr="003A44F8" w14:paraId="1A571F20" w14:textId="77777777" w:rsidTr="00E96E81">
        <w:tc>
          <w:tcPr>
            <w:tcW w:w="636" w:type="pct"/>
            <w:vMerge w:val="restart"/>
            <w:vAlign w:val="center"/>
          </w:tcPr>
          <w:p w14:paraId="547C1376" w14:textId="77777777" w:rsidR="00891AF3" w:rsidRPr="003A44F8" w:rsidRDefault="00891AF3" w:rsidP="002561F6">
            <w:pPr>
              <w:pStyle w:val="Tabletext"/>
              <w:keepNext/>
              <w:keepLines/>
              <w:rPr>
                <w:b/>
                <w:szCs w:val="20"/>
              </w:rPr>
            </w:pPr>
            <w:r w:rsidRPr="003A44F8">
              <w:rPr>
                <w:b/>
                <w:szCs w:val="20"/>
              </w:rPr>
              <w:t>Component</w:t>
            </w:r>
          </w:p>
        </w:tc>
        <w:tc>
          <w:tcPr>
            <w:tcW w:w="4364" w:type="pct"/>
            <w:gridSpan w:val="3"/>
            <w:vAlign w:val="center"/>
          </w:tcPr>
          <w:p w14:paraId="370372C7" w14:textId="77777777" w:rsidR="00891AF3" w:rsidRPr="003A44F8" w:rsidRDefault="00891AF3" w:rsidP="002561F6">
            <w:pPr>
              <w:pStyle w:val="Tabletext"/>
              <w:keepNext/>
              <w:keepLines/>
              <w:jc w:val="center"/>
              <w:rPr>
                <w:b/>
                <w:szCs w:val="20"/>
              </w:rPr>
            </w:pPr>
            <w:r w:rsidRPr="003A44F8">
              <w:rPr>
                <w:b/>
                <w:szCs w:val="20"/>
              </w:rPr>
              <w:t>Description</w:t>
            </w:r>
          </w:p>
        </w:tc>
      </w:tr>
      <w:tr w:rsidR="00891AF3" w:rsidRPr="003A44F8" w14:paraId="5147C741" w14:textId="77777777" w:rsidTr="00E96E81">
        <w:tc>
          <w:tcPr>
            <w:tcW w:w="636" w:type="pct"/>
            <w:vMerge/>
            <w:vAlign w:val="center"/>
          </w:tcPr>
          <w:p w14:paraId="1B51D882" w14:textId="77777777" w:rsidR="00891AF3" w:rsidRPr="003A44F8" w:rsidRDefault="00891AF3" w:rsidP="002561F6">
            <w:pPr>
              <w:pStyle w:val="Tabletext"/>
              <w:keepNext/>
              <w:keepLines/>
              <w:rPr>
                <w:szCs w:val="20"/>
              </w:rPr>
            </w:pPr>
          </w:p>
        </w:tc>
        <w:tc>
          <w:tcPr>
            <w:tcW w:w="1684" w:type="pct"/>
            <w:vAlign w:val="center"/>
          </w:tcPr>
          <w:p w14:paraId="2DEBAA73" w14:textId="77777777" w:rsidR="00891AF3" w:rsidRPr="003A44F8" w:rsidRDefault="00891AF3" w:rsidP="002561F6">
            <w:pPr>
              <w:pStyle w:val="TableText1"/>
              <w:keepNext/>
              <w:keepLines/>
              <w:spacing w:before="0" w:after="0"/>
              <w:jc w:val="center"/>
              <w:rPr>
                <w:rFonts w:ascii="Arial Narrow" w:hAnsi="Arial Narrow"/>
                <w:b/>
              </w:rPr>
            </w:pPr>
            <w:r w:rsidRPr="003A44F8">
              <w:rPr>
                <w:rFonts w:ascii="Arial Narrow" w:hAnsi="Arial Narrow"/>
                <w:b/>
              </w:rPr>
              <w:t>Population 1</w:t>
            </w:r>
          </w:p>
        </w:tc>
        <w:tc>
          <w:tcPr>
            <w:tcW w:w="1471" w:type="pct"/>
            <w:vAlign w:val="center"/>
          </w:tcPr>
          <w:p w14:paraId="44F6D299" w14:textId="77777777" w:rsidR="00891AF3" w:rsidRPr="003A44F8" w:rsidRDefault="00891AF3" w:rsidP="002561F6">
            <w:pPr>
              <w:pStyle w:val="TableText1"/>
              <w:keepNext/>
              <w:keepLines/>
              <w:spacing w:before="0" w:after="0"/>
              <w:jc w:val="center"/>
              <w:rPr>
                <w:rFonts w:ascii="Arial Narrow" w:hAnsi="Arial Narrow"/>
                <w:b/>
              </w:rPr>
            </w:pPr>
            <w:r w:rsidRPr="003A44F8">
              <w:rPr>
                <w:rFonts w:ascii="Arial Narrow" w:hAnsi="Arial Narrow"/>
                <w:b/>
              </w:rPr>
              <w:t>Population 2</w:t>
            </w:r>
          </w:p>
        </w:tc>
        <w:tc>
          <w:tcPr>
            <w:tcW w:w="1210" w:type="pct"/>
            <w:vAlign w:val="center"/>
          </w:tcPr>
          <w:p w14:paraId="4BFA02BC" w14:textId="77777777" w:rsidR="00891AF3" w:rsidRPr="003A44F8" w:rsidRDefault="00891AF3" w:rsidP="002561F6">
            <w:pPr>
              <w:pStyle w:val="TableText1"/>
              <w:keepNext/>
              <w:keepLines/>
              <w:spacing w:before="0" w:after="0"/>
              <w:jc w:val="center"/>
              <w:rPr>
                <w:rFonts w:ascii="Arial Narrow" w:hAnsi="Arial Narrow"/>
                <w:b/>
              </w:rPr>
            </w:pPr>
            <w:r w:rsidRPr="003A44F8">
              <w:rPr>
                <w:rFonts w:ascii="Arial Narrow" w:hAnsi="Arial Narrow"/>
                <w:b/>
              </w:rPr>
              <w:t>Population 3</w:t>
            </w:r>
          </w:p>
        </w:tc>
      </w:tr>
      <w:tr w:rsidR="00C63FA8" w:rsidRPr="003A44F8" w14:paraId="4AD38A56" w14:textId="77777777" w:rsidTr="00E96E81">
        <w:tc>
          <w:tcPr>
            <w:tcW w:w="636" w:type="pct"/>
            <w:vAlign w:val="center"/>
          </w:tcPr>
          <w:p w14:paraId="49B3E41A" w14:textId="77777777" w:rsidR="00C63FA8" w:rsidRPr="003A44F8" w:rsidRDefault="00C63FA8" w:rsidP="002561F6">
            <w:pPr>
              <w:pStyle w:val="Tabletext"/>
              <w:keepNext/>
              <w:keepLines/>
              <w:rPr>
                <w:szCs w:val="20"/>
              </w:rPr>
            </w:pPr>
            <w:r w:rsidRPr="003A44F8">
              <w:rPr>
                <w:szCs w:val="20"/>
              </w:rPr>
              <w:t>Populations</w:t>
            </w:r>
          </w:p>
        </w:tc>
        <w:tc>
          <w:tcPr>
            <w:tcW w:w="1684" w:type="pct"/>
            <w:vAlign w:val="center"/>
          </w:tcPr>
          <w:p w14:paraId="15428AF8" w14:textId="77777777" w:rsidR="00C63FA8" w:rsidRPr="003A44F8" w:rsidRDefault="00C63FA8" w:rsidP="002561F6">
            <w:pPr>
              <w:pStyle w:val="TableText1"/>
              <w:keepNext/>
              <w:keepLines/>
              <w:spacing w:before="0" w:after="0"/>
              <w:rPr>
                <w:rFonts w:ascii="Arial Narrow" w:hAnsi="Arial Narrow"/>
              </w:rPr>
            </w:pPr>
            <w:r w:rsidRPr="003A44F8">
              <w:rPr>
                <w:rFonts w:ascii="Arial Narrow" w:hAnsi="Arial Narrow"/>
              </w:rPr>
              <w:t xml:space="preserve">18 years of age and under </w:t>
            </w:r>
          </w:p>
          <w:p w14:paraId="34DA178C" w14:textId="77777777" w:rsidR="00C63FA8" w:rsidRPr="003A44F8" w:rsidRDefault="00C63FA8" w:rsidP="002561F6">
            <w:pPr>
              <w:pStyle w:val="TableText1"/>
              <w:keepNext/>
              <w:keepLines/>
              <w:spacing w:before="0" w:after="0"/>
              <w:rPr>
                <w:rFonts w:ascii="Arial Narrow" w:hAnsi="Arial Narrow"/>
                <w:b/>
              </w:rPr>
            </w:pPr>
            <w:r w:rsidRPr="003A44F8">
              <w:rPr>
                <w:rFonts w:ascii="Arial Narrow" w:hAnsi="Arial Narrow"/>
              </w:rPr>
              <w:t>SMA Type 1, 2 and 3a</w:t>
            </w:r>
            <w:r w:rsidR="00891AF3">
              <w:rPr>
                <w:rFonts w:ascii="Arial Narrow" w:hAnsi="Arial Narrow"/>
              </w:rPr>
              <w:t>.</w:t>
            </w:r>
          </w:p>
        </w:tc>
        <w:tc>
          <w:tcPr>
            <w:tcW w:w="1471" w:type="pct"/>
            <w:vAlign w:val="center"/>
          </w:tcPr>
          <w:p w14:paraId="2DC62C54" w14:textId="77777777" w:rsidR="00C63FA8" w:rsidRPr="003A44F8" w:rsidRDefault="00C63FA8" w:rsidP="002561F6">
            <w:pPr>
              <w:pStyle w:val="TableText1"/>
              <w:keepNext/>
              <w:keepLines/>
              <w:spacing w:before="0" w:after="0"/>
              <w:rPr>
                <w:rFonts w:ascii="Arial Narrow" w:hAnsi="Arial Narrow"/>
                <w:b/>
              </w:rPr>
            </w:pPr>
            <w:r w:rsidRPr="003A44F8">
              <w:rPr>
                <w:rFonts w:ascii="Arial Narrow" w:hAnsi="Arial Narrow"/>
              </w:rPr>
              <w:t>18 years of age and under with SMA Type 3b</w:t>
            </w:r>
            <w:r w:rsidR="00891AF3">
              <w:rPr>
                <w:rFonts w:ascii="Arial Narrow" w:hAnsi="Arial Narrow"/>
              </w:rPr>
              <w:t>.</w:t>
            </w:r>
          </w:p>
        </w:tc>
        <w:tc>
          <w:tcPr>
            <w:tcW w:w="1210" w:type="pct"/>
            <w:vAlign w:val="center"/>
          </w:tcPr>
          <w:p w14:paraId="269F5D85" w14:textId="77777777" w:rsidR="00C63FA8" w:rsidRPr="003A44F8" w:rsidRDefault="00C63FA8" w:rsidP="002561F6">
            <w:pPr>
              <w:pStyle w:val="TableText1"/>
              <w:keepNext/>
              <w:keepLines/>
              <w:spacing w:before="0" w:after="0"/>
              <w:rPr>
                <w:rFonts w:ascii="Arial Narrow" w:hAnsi="Arial Narrow"/>
                <w:b/>
              </w:rPr>
            </w:pPr>
            <w:r w:rsidRPr="003A44F8">
              <w:rPr>
                <w:rFonts w:ascii="Arial Narrow" w:hAnsi="Arial Narrow"/>
              </w:rPr>
              <w:t>Over 18 years of age with SMA Ty</w:t>
            </w:r>
            <w:r w:rsidR="00DA073F">
              <w:rPr>
                <w:rFonts w:ascii="Arial Narrow" w:hAnsi="Arial Narrow"/>
              </w:rPr>
              <w:t xml:space="preserve"> </w:t>
            </w:r>
            <w:r w:rsidRPr="003A44F8">
              <w:rPr>
                <w:rFonts w:ascii="Arial Narrow" w:hAnsi="Arial Narrow"/>
              </w:rPr>
              <w:t>pe 1, 2 or 3</w:t>
            </w:r>
            <w:r w:rsidR="00891AF3">
              <w:rPr>
                <w:rFonts w:ascii="Arial Narrow" w:hAnsi="Arial Narrow"/>
              </w:rPr>
              <w:t>.</w:t>
            </w:r>
          </w:p>
        </w:tc>
      </w:tr>
      <w:tr w:rsidR="00C63FA8" w:rsidRPr="003A44F8" w14:paraId="6D8DCEED" w14:textId="77777777" w:rsidTr="00E96E81">
        <w:tc>
          <w:tcPr>
            <w:tcW w:w="636" w:type="pct"/>
            <w:vAlign w:val="center"/>
          </w:tcPr>
          <w:p w14:paraId="306EE8F9" w14:textId="77777777" w:rsidR="00C63FA8" w:rsidRPr="003A44F8" w:rsidRDefault="00C63FA8" w:rsidP="002561F6">
            <w:pPr>
              <w:pStyle w:val="Tabletext"/>
              <w:keepNext/>
              <w:keepLines/>
              <w:rPr>
                <w:szCs w:val="20"/>
              </w:rPr>
            </w:pPr>
            <w:r w:rsidRPr="003A44F8">
              <w:rPr>
                <w:szCs w:val="20"/>
              </w:rPr>
              <w:t>Intervention</w:t>
            </w:r>
          </w:p>
        </w:tc>
        <w:tc>
          <w:tcPr>
            <w:tcW w:w="4364" w:type="pct"/>
            <w:gridSpan w:val="3"/>
          </w:tcPr>
          <w:p w14:paraId="29EC693B" w14:textId="77777777" w:rsidR="00C63FA8" w:rsidRPr="003A44F8" w:rsidRDefault="00C63FA8" w:rsidP="002561F6">
            <w:pPr>
              <w:pStyle w:val="TableText1"/>
              <w:keepNext/>
              <w:keepLines/>
              <w:spacing w:before="0" w:after="0"/>
              <w:rPr>
                <w:rFonts w:ascii="Arial Narrow" w:hAnsi="Arial Narrow"/>
                <w:b/>
              </w:rPr>
            </w:pPr>
            <w:r w:rsidRPr="003A44F8">
              <w:rPr>
                <w:rFonts w:ascii="Arial Narrow" w:hAnsi="Arial Narrow"/>
              </w:rPr>
              <w:t xml:space="preserve">Risdiplam orally administered powder for solution given daily. Dose is </w:t>
            </w:r>
            <w:r w:rsidR="00891AF3">
              <w:rPr>
                <w:rFonts w:ascii="Arial Narrow" w:hAnsi="Arial Narrow"/>
              </w:rPr>
              <w:t>age/</w:t>
            </w:r>
            <w:r w:rsidRPr="003A44F8">
              <w:rPr>
                <w:rFonts w:ascii="Arial Narrow" w:hAnsi="Arial Narrow"/>
              </w:rPr>
              <w:t>weight dependent (0.20</w:t>
            </w:r>
            <w:r w:rsidR="00891AF3">
              <w:rPr>
                <w:rFonts w:ascii="Arial Narrow" w:hAnsi="Arial Narrow"/>
              </w:rPr>
              <w:t xml:space="preserve"> </w:t>
            </w:r>
            <w:r w:rsidRPr="003A44F8">
              <w:rPr>
                <w:rFonts w:ascii="Arial Narrow" w:hAnsi="Arial Narrow"/>
              </w:rPr>
              <w:t>mg/kg for &gt;2month and &lt;2 years of age, 0.25</w:t>
            </w:r>
            <w:r w:rsidR="00891AF3">
              <w:rPr>
                <w:rFonts w:ascii="Arial Narrow" w:hAnsi="Arial Narrow"/>
              </w:rPr>
              <w:t xml:space="preserve"> </w:t>
            </w:r>
            <w:r w:rsidRPr="003A44F8">
              <w:rPr>
                <w:rFonts w:ascii="Arial Narrow" w:hAnsi="Arial Narrow"/>
              </w:rPr>
              <w:t>mg/kg for ≥2 years of age and &lt;20</w:t>
            </w:r>
            <w:r>
              <w:rPr>
                <w:rFonts w:ascii="Arial Narrow" w:hAnsi="Arial Narrow"/>
              </w:rPr>
              <w:t>kg</w:t>
            </w:r>
            <w:r w:rsidRPr="003A44F8">
              <w:rPr>
                <w:rFonts w:ascii="Arial Narrow" w:hAnsi="Arial Narrow"/>
              </w:rPr>
              <w:t>, and 5mg for ≥2 years of age and ≥20kg)</w:t>
            </w:r>
            <w:r w:rsidR="00891AF3">
              <w:rPr>
                <w:rFonts w:ascii="Arial Narrow" w:hAnsi="Arial Narrow"/>
              </w:rPr>
              <w:t>.</w:t>
            </w:r>
          </w:p>
        </w:tc>
      </w:tr>
      <w:tr w:rsidR="00C63FA8" w:rsidRPr="003A44F8" w14:paraId="13BB88DF" w14:textId="77777777" w:rsidTr="00E96E81">
        <w:tc>
          <w:tcPr>
            <w:tcW w:w="636" w:type="pct"/>
            <w:vAlign w:val="center"/>
          </w:tcPr>
          <w:p w14:paraId="744859C6" w14:textId="77777777" w:rsidR="00C63FA8" w:rsidRPr="003A44F8" w:rsidRDefault="00C63FA8" w:rsidP="002561F6">
            <w:pPr>
              <w:pStyle w:val="Tabletext"/>
              <w:keepNext/>
              <w:keepLines/>
              <w:rPr>
                <w:szCs w:val="20"/>
              </w:rPr>
            </w:pPr>
            <w:r w:rsidRPr="003A44F8">
              <w:rPr>
                <w:szCs w:val="20"/>
              </w:rPr>
              <w:t>Comparators</w:t>
            </w:r>
          </w:p>
        </w:tc>
        <w:tc>
          <w:tcPr>
            <w:tcW w:w="1684" w:type="pct"/>
            <w:vAlign w:val="center"/>
          </w:tcPr>
          <w:p w14:paraId="16A8EE8D" w14:textId="77777777" w:rsidR="00C63FA8" w:rsidRPr="003A44F8" w:rsidRDefault="00C63FA8" w:rsidP="002561F6">
            <w:pPr>
              <w:pStyle w:val="TableText1"/>
              <w:keepNext/>
              <w:keepLines/>
              <w:spacing w:before="0" w:after="0"/>
              <w:rPr>
                <w:rFonts w:ascii="Arial Narrow" w:hAnsi="Arial Narrow"/>
                <w:b/>
              </w:rPr>
            </w:pPr>
            <w:bookmarkStart w:id="3" w:name="_Hlk58879412"/>
            <w:r w:rsidRPr="003A44F8">
              <w:rPr>
                <w:rFonts w:ascii="Arial Narrow" w:hAnsi="Arial Narrow"/>
              </w:rPr>
              <w:t>Nusinersen 12mg intrathecally administered solution for injection</w:t>
            </w:r>
            <w:r>
              <w:rPr>
                <w:rFonts w:ascii="Arial Narrow" w:hAnsi="Arial Narrow"/>
              </w:rPr>
              <w:t xml:space="preserve"> every </w:t>
            </w:r>
            <w:r w:rsidR="0012625D">
              <w:rPr>
                <w:rFonts w:ascii="Arial Narrow" w:hAnsi="Arial Narrow"/>
              </w:rPr>
              <w:t>4</w:t>
            </w:r>
            <w:r>
              <w:rPr>
                <w:rFonts w:ascii="Arial Narrow" w:hAnsi="Arial Narrow"/>
              </w:rPr>
              <w:t xml:space="preserve"> months</w:t>
            </w:r>
            <w:r w:rsidRPr="003A44F8">
              <w:rPr>
                <w:rFonts w:ascii="Arial Narrow" w:hAnsi="Arial Narrow"/>
              </w:rPr>
              <w:t xml:space="preserve">. </w:t>
            </w:r>
            <w:bookmarkEnd w:id="3"/>
          </w:p>
        </w:tc>
        <w:tc>
          <w:tcPr>
            <w:tcW w:w="1471" w:type="pct"/>
            <w:vAlign w:val="center"/>
          </w:tcPr>
          <w:p w14:paraId="69D4672B" w14:textId="77777777" w:rsidR="00C63FA8" w:rsidRPr="003A44F8" w:rsidRDefault="00C63FA8" w:rsidP="002561F6">
            <w:pPr>
              <w:pStyle w:val="TableText1"/>
              <w:keepNext/>
              <w:keepLines/>
              <w:spacing w:before="0" w:after="0"/>
              <w:rPr>
                <w:rFonts w:ascii="Arial Narrow" w:hAnsi="Arial Narrow"/>
                <w:b/>
              </w:rPr>
            </w:pPr>
            <w:r w:rsidRPr="003A44F8">
              <w:rPr>
                <w:rFonts w:ascii="Arial Narrow" w:hAnsi="Arial Narrow"/>
              </w:rPr>
              <w:t>Best supportive care</w:t>
            </w:r>
            <w:r w:rsidR="00891AF3">
              <w:rPr>
                <w:rFonts w:ascii="Arial Narrow" w:hAnsi="Arial Narrow"/>
              </w:rPr>
              <w:t>.</w:t>
            </w:r>
          </w:p>
        </w:tc>
        <w:tc>
          <w:tcPr>
            <w:tcW w:w="1210" w:type="pct"/>
            <w:vAlign w:val="center"/>
          </w:tcPr>
          <w:p w14:paraId="1486D58F" w14:textId="77777777" w:rsidR="00C63FA8" w:rsidRPr="003A44F8" w:rsidRDefault="00C63FA8" w:rsidP="002561F6">
            <w:pPr>
              <w:pStyle w:val="TableText1"/>
              <w:keepNext/>
              <w:keepLines/>
              <w:spacing w:before="0" w:after="0"/>
              <w:rPr>
                <w:rFonts w:ascii="Arial Narrow" w:hAnsi="Arial Narrow"/>
                <w:b/>
              </w:rPr>
            </w:pPr>
            <w:r w:rsidRPr="003A44F8">
              <w:rPr>
                <w:rFonts w:ascii="Arial Narrow" w:hAnsi="Arial Narrow"/>
              </w:rPr>
              <w:t>Best supportive care</w:t>
            </w:r>
            <w:r w:rsidR="00891AF3">
              <w:rPr>
                <w:rFonts w:ascii="Arial Narrow" w:hAnsi="Arial Narrow"/>
              </w:rPr>
              <w:t>.</w:t>
            </w:r>
          </w:p>
        </w:tc>
      </w:tr>
      <w:tr w:rsidR="00C63FA8" w:rsidRPr="003A44F8" w14:paraId="240BFE6C" w14:textId="77777777" w:rsidTr="00E96E81">
        <w:tc>
          <w:tcPr>
            <w:tcW w:w="636" w:type="pct"/>
            <w:vAlign w:val="center"/>
          </w:tcPr>
          <w:p w14:paraId="1C7E9626" w14:textId="77777777" w:rsidR="00C63FA8" w:rsidRPr="003A44F8" w:rsidRDefault="00C63FA8" w:rsidP="002561F6">
            <w:pPr>
              <w:pStyle w:val="Tabletext"/>
              <w:keepNext/>
              <w:keepLines/>
              <w:rPr>
                <w:szCs w:val="20"/>
              </w:rPr>
            </w:pPr>
            <w:r w:rsidRPr="003A44F8">
              <w:rPr>
                <w:szCs w:val="20"/>
              </w:rPr>
              <w:t>Outcomes</w:t>
            </w:r>
          </w:p>
        </w:tc>
        <w:tc>
          <w:tcPr>
            <w:tcW w:w="4364" w:type="pct"/>
            <w:gridSpan w:val="3"/>
            <w:vAlign w:val="center"/>
          </w:tcPr>
          <w:p w14:paraId="3F53000E" w14:textId="77777777" w:rsidR="00C63FA8" w:rsidRPr="003A44F8" w:rsidRDefault="00C63FA8" w:rsidP="002561F6">
            <w:pPr>
              <w:pStyle w:val="Tabletext"/>
              <w:keepNext/>
              <w:keepLines/>
              <w:rPr>
                <w:szCs w:val="20"/>
              </w:rPr>
            </w:pPr>
            <w:r w:rsidRPr="003A44F8">
              <w:rPr>
                <w:szCs w:val="20"/>
              </w:rPr>
              <w:t xml:space="preserve">Type 1 SMA: Sitting without support for at least 5 seconds (BSID-III), </w:t>
            </w:r>
            <w:r w:rsidR="00891AF3">
              <w:rPr>
                <w:szCs w:val="20"/>
              </w:rPr>
              <w:t>e</w:t>
            </w:r>
            <w:r w:rsidRPr="003A44F8">
              <w:rPr>
                <w:szCs w:val="20"/>
              </w:rPr>
              <w:t>vent free survival</w:t>
            </w:r>
            <w:r w:rsidR="00891AF3">
              <w:rPr>
                <w:szCs w:val="20"/>
              </w:rPr>
              <w:t xml:space="preserve"> (EFS)</w:t>
            </w:r>
            <w:r w:rsidRPr="003A44F8">
              <w:rPr>
                <w:szCs w:val="20"/>
              </w:rPr>
              <w:t xml:space="preserve">, </w:t>
            </w:r>
            <w:r w:rsidR="00891AF3">
              <w:rPr>
                <w:szCs w:val="20"/>
              </w:rPr>
              <w:t>o</w:t>
            </w:r>
            <w:r w:rsidRPr="003A44F8">
              <w:rPr>
                <w:szCs w:val="20"/>
              </w:rPr>
              <w:t>verall survival</w:t>
            </w:r>
            <w:r w:rsidR="00891AF3">
              <w:rPr>
                <w:szCs w:val="20"/>
              </w:rPr>
              <w:t xml:space="preserve"> (OS)</w:t>
            </w:r>
            <w:r w:rsidRPr="003A44F8">
              <w:rPr>
                <w:szCs w:val="20"/>
              </w:rPr>
              <w:t>, motor milestones as measured by the CHOP-INTEND and HINE-2</w:t>
            </w:r>
          </w:p>
          <w:p w14:paraId="6E35E12A" w14:textId="77777777" w:rsidR="00C63FA8" w:rsidRPr="003A44F8" w:rsidRDefault="00C63FA8" w:rsidP="002561F6">
            <w:pPr>
              <w:pStyle w:val="TableText1"/>
              <w:keepNext/>
              <w:keepLines/>
              <w:spacing w:before="0" w:after="0"/>
              <w:rPr>
                <w:rFonts w:ascii="Arial Narrow" w:hAnsi="Arial Narrow"/>
                <w:b/>
              </w:rPr>
            </w:pPr>
            <w:r w:rsidRPr="003A44F8">
              <w:rPr>
                <w:rFonts w:ascii="Arial Narrow" w:hAnsi="Arial Narrow"/>
              </w:rPr>
              <w:t>Type 2 and 3 SMA: MFM32, RULM, HFMSE, SMAIS</w:t>
            </w:r>
          </w:p>
        </w:tc>
      </w:tr>
      <w:tr w:rsidR="00C63FA8" w:rsidRPr="003A44F8" w14:paraId="40B769FA" w14:textId="77777777" w:rsidTr="00E96E81">
        <w:tc>
          <w:tcPr>
            <w:tcW w:w="636" w:type="pct"/>
            <w:vAlign w:val="center"/>
          </w:tcPr>
          <w:p w14:paraId="7B2C39F1" w14:textId="77777777" w:rsidR="00C63FA8" w:rsidRPr="003A44F8" w:rsidRDefault="00C63FA8" w:rsidP="002561F6">
            <w:pPr>
              <w:pStyle w:val="Tabletext"/>
              <w:keepNext/>
              <w:keepLines/>
              <w:rPr>
                <w:szCs w:val="20"/>
              </w:rPr>
            </w:pPr>
            <w:r w:rsidRPr="003A44F8">
              <w:rPr>
                <w:szCs w:val="20"/>
              </w:rPr>
              <w:t>Clinical claims</w:t>
            </w:r>
          </w:p>
        </w:tc>
        <w:tc>
          <w:tcPr>
            <w:tcW w:w="1684" w:type="pct"/>
            <w:vAlign w:val="center"/>
          </w:tcPr>
          <w:p w14:paraId="6AB7C20B" w14:textId="77777777" w:rsidR="00C63FA8" w:rsidRPr="003A44F8" w:rsidRDefault="00C63FA8" w:rsidP="002561F6">
            <w:pPr>
              <w:pStyle w:val="TableText1"/>
              <w:keepNext/>
              <w:keepLines/>
              <w:spacing w:before="0" w:after="0"/>
              <w:rPr>
                <w:rFonts w:ascii="Arial Narrow" w:hAnsi="Arial Narrow"/>
                <w:b/>
              </w:rPr>
            </w:pPr>
            <w:r w:rsidRPr="003A44F8">
              <w:rPr>
                <w:rFonts w:ascii="Arial Narrow" w:hAnsi="Arial Narrow"/>
              </w:rPr>
              <w:t xml:space="preserve">In patients 18 years of age and under with </w:t>
            </w:r>
            <w:r w:rsidRPr="003A44F8">
              <w:rPr>
                <w:rFonts w:ascii="Arial Narrow" w:hAnsi="Arial Narrow"/>
                <w:u w:val="single"/>
              </w:rPr>
              <w:t>Type 1, 2 or 3a SMA</w:t>
            </w:r>
            <w:r w:rsidRPr="003A44F8">
              <w:rPr>
                <w:rFonts w:ascii="Arial Narrow" w:hAnsi="Arial Narrow"/>
              </w:rPr>
              <w:t>, risdiplam is non-inferior in terms of efficacy compared with nusinersen; risdiplam is non-inferior in terms of safety compared with nusinersen</w:t>
            </w:r>
            <w:r w:rsidR="00891AF3">
              <w:rPr>
                <w:rFonts w:ascii="Arial Narrow" w:hAnsi="Arial Narrow"/>
              </w:rPr>
              <w:t xml:space="preserve">, </w:t>
            </w:r>
            <w:r w:rsidRPr="003A44F8">
              <w:rPr>
                <w:rFonts w:ascii="Arial Narrow" w:hAnsi="Arial Narrow"/>
              </w:rPr>
              <w:t>with a favourable safety profile in some patients due to differences in administration (oral vs intrathecal).</w:t>
            </w:r>
          </w:p>
        </w:tc>
        <w:tc>
          <w:tcPr>
            <w:tcW w:w="1471" w:type="pct"/>
            <w:vAlign w:val="center"/>
          </w:tcPr>
          <w:p w14:paraId="269C04A0" w14:textId="77777777" w:rsidR="00C63FA8" w:rsidRDefault="00C63FA8" w:rsidP="002561F6">
            <w:pPr>
              <w:pStyle w:val="TableText1"/>
              <w:keepNext/>
              <w:keepLines/>
              <w:spacing w:before="0" w:after="0"/>
              <w:rPr>
                <w:rFonts w:ascii="Arial Narrow" w:hAnsi="Arial Narrow"/>
              </w:rPr>
            </w:pPr>
            <w:r w:rsidRPr="003A44F8">
              <w:rPr>
                <w:rFonts w:ascii="Arial Narrow" w:hAnsi="Arial Narrow"/>
              </w:rPr>
              <w:t xml:space="preserve">In patients 18 years of age and under with </w:t>
            </w:r>
            <w:r w:rsidRPr="003A44F8">
              <w:rPr>
                <w:rFonts w:ascii="Arial Narrow" w:hAnsi="Arial Narrow"/>
                <w:u w:val="single"/>
              </w:rPr>
              <w:t>Type 3b SMA</w:t>
            </w:r>
            <w:r w:rsidRPr="003A44F8">
              <w:rPr>
                <w:rFonts w:ascii="Arial Narrow" w:hAnsi="Arial Narrow"/>
              </w:rPr>
              <w:t>, risdiplam is superior to standard of care in terms of efficacy; risdiplam is inferior in terms of safety, with minimal treatment-related adverse events that are clinically manageable.</w:t>
            </w:r>
          </w:p>
          <w:p w14:paraId="4A6A45CA" w14:textId="77777777" w:rsidR="00933D60" w:rsidRPr="003A44F8" w:rsidRDefault="00933D60" w:rsidP="002561F6">
            <w:pPr>
              <w:pStyle w:val="TableText1"/>
              <w:keepNext/>
              <w:keepLines/>
              <w:spacing w:before="0" w:after="0"/>
              <w:rPr>
                <w:rFonts w:ascii="Arial Narrow" w:hAnsi="Arial Narrow"/>
                <w:b/>
              </w:rPr>
            </w:pPr>
          </w:p>
        </w:tc>
        <w:tc>
          <w:tcPr>
            <w:tcW w:w="1210" w:type="pct"/>
            <w:vAlign w:val="center"/>
          </w:tcPr>
          <w:p w14:paraId="6A044427" w14:textId="77777777" w:rsidR="00C63FA8" w:rsidRPr="003A44F8" w:rsidRDefault="00C63FA8" w:rsidP="002561F6">
            <w:pPr>
              <w:pStyle w:val="TableText1"/>
              <w:keepNext/>
              <w:keepLines/>
              <w:spacing w:before="0" w:after="0"/>
              <w:rPr>
                <w:rFonts w:ascii="Arial Narrow" w:hAnsi="Arial Narrow"/>
                <w:b/>
              </w:rPr>
            </w:pPr>
            <w:r w:rsidRPr="003A44F8">
              <w:rPr>
                <w:rFonts w:ascii="Arial Narrow" w:hAnsi="Arial Narrow"/>
              </w:rPr>
              <w:t xml:space="preserve">In patients over 18 years of age with </w:t>
            </w:r>
            <w:r w:rsidRPr="003A44F8">
              <w:rPr>
                <w:rFonts w:ascii="Arial Narrow" w:hAnsi="Arial Narrow"/>
                <w:u w:val="single"/>
              </w:rPr>
              <w:t>SMA Type 1, 2 or 3</w:t>
            </w:r>
            <w:r w:rsidRPr="003A44F8">
              <w:rPr>
                <w:rFonts w:ascii="Arial Narrow" w:hAnsi="Arial Narrow"/>
              </w:rPr>
              <w:t>, risdiplam is superior to standard of care in terms of efficacy; risdiplam is inferior in terms of safety, with minimal treatment-related adverse events that are clinically manageable.</w:t>
            </w:r>
          </w:p>
        </w:tc>
      </w:tr>
    </w:tbl>
    <w:p w14:paraId="5769858B" w14:textId="77777777" w:rsidR="00957FCE" w:rsidRDefault="00957FCE" w:rsidP="002561F6">
      <w:pPr>
        <w:pStyle w:val="TableFooter"/>
        <w:keepNext/>
        <w:keepLines/>
      </w:pPr>
      <w:r w:rsidRPr="008935D9">
        <w:t xml:space="preserve">BSID-III=Bayleys Scales of Infant and Toddler Development Third Edition; CHOP-INTEND=Children's Hospital of Philadelphia Infant Test of </w:t>
      </w:r>
      <w:r>
        <w:t>Neuromuscular Disorders; HFMSE=Ha</w:t>
      </w:r>
      <w:r w:rsidRPr="008935D9">
        <w:t>mmersmith functional motor scale expanded; HINE-2=Hammersmith Infant Neuromuscular Examination; MFM32=motor function measure 32; RULM=revised upper limb module, SMAIS=spinal muscular atrophy independent scale</w:t>
      </w:r>
    </w:p>
    <w:p w14:paraId="06350AA7" w14:textId="77777777" w:rsidR="00957FCE" w:rsidRPr="00EB393E" w:rsidRDefault="00957FCE" w:rsidP="002561F6">
      <w:pPr>
        <w:pStyle w:val="TableNotes-shorter"/>
        <w:keepNext/>
        <w:keepLines/>
        <w:ind w:left="0" w:firstLine="0"/>
        <w:jc w:val="both"/>
        <w:rPr>
          <w:rFonts w:ascii="Arial Narrow" w:hAnsi="Arial Narrow"/>
        </w:rPr>
      </w:pPr>
      <w:r w:rsidRPr="00EB393E">
        <w:rPr>
          <w:rFonts w:ascii="Arial Narrow" w:hAnsi="Arial Narrow"/>
        </w:rPr>
        <w:t>Note: While Population 3 does includ</w:t>
      </w:r>
      <w:r>
        <w:rPr>
          <w:rFonts w:ascii="Arial Narrow" w:hAnsi="Arial Narrow"/>
        </w:rPr>
        <w:t xml:space="preserve">e Type 1 SMA adult patients, the submission </w:t>
      </w:r>
      <w:r w:rsidRPr="00EB393E">
        <w:rPr>
          <w:rFonts w:ascii="Arial Narrow" w:hAnsi="Arial Narrow"/>
        </w:rPr>
        <w:t xml:space="preserve">expected </w:t>
      </w:r>
      <w:r>
        <w:rPr>
          <w:rFonts w:ascii="Arial Narrow" w:hAnsi="Arial Narrow"/>
        </w:rPr>
        <w:t xml:space="preserve">that this would comprise of </w:t>
      </w:r>
      <w:r w:rsidRPr="00EB393E">
        <w:rPr>
          <w:rFonts w:ascii="Arial Narrow" w:hAnsi="Arial Narrow"/>
        </w:rPr>
        <w:t xml:space="preserve">a very small number of patients, with only approximately 5 known Type 1 SMA adult patients in Australia. Therefore, </w:t>
      </w:r>
      <w:r>
        <w:rPr>
          <w:rFonts w:ascii="Arial Narrow" w:hAnsi="Arial Narrow"/>
        </w:rPr>
        <w:t xml:space="preserve">the submission considered </w:t>
      </w:r>
      <w:r w:rsidRPr="00EB393E">
        <w:rPr>
          <w:rFonts w:ascii="Arial Narrow" w:hAnsi="Arial Narrow"/>
        </w:rPr>
        <w:t>Population 3</w:t>
      </w:r>
      <w:r>
        <w:rPr>
          <w:rFonts w:ascii="Arial Narrow" w:hAnsi="Arial Narrow"/>
        </w:rPr>
        <w:t xml:space="preserve"> to be a</w:t>
      </w:r>
      <w:r w:rsidRPr="00EB393E">
        <w:rPr>
          <w:rFonts w:ascii="Arial Narrow" w:hAnsi="Arial Narrow"/>
        </w:rPr>
        <w:t xml:space="preserve"> predominately ‘Type 2 and 3’ adult SMA population.  </w:t>
      </w:r>
    </w:p>
    <w:p w14:paraId="3BE66463" w14:textId="77777777" w:rsidR="00957FCE" w:rsidRDefault="00957FCE" w:rsidP="002561F6">
      <w:pPr>
        <w:pStyle w:val="TableFooter"/>
        <w:keepNext/>
        <w:keepLines/>
      </w:pPr>
      <w:r>
        <w:t xml:space="preserve">Source: Table 1.1, p4 </w:t>
      </w:r>
      <w:r w:rsidRPr="00D13A3E">
        <w:t xml:space="preserve">of the </w:t>
      </w:r>
      <w:r>
        <w:t>submission.</w:t>
      </w:r>
    </w:p>
    <w:p w14:paraId="10A5FAE4" w14:textId="77777777" w:rsidR="00752A82" w:rsidRPr="00840284" w:rsidRDefault="00752A82" w:rsidP="00752A82">
      <w:pPr>
        <w:pStyle w:val="2-SectionHeading"/>
      </w:pPr>
      <w:bookmarkStart w:id="4" w:name="_Toc59404587"/>
      <w:bookmarkStart w:id="5" w:name="_Toc61959929"/>
      <w:r w:rsidRPr="00840284">
        <w:t>Background</w:t>
      </w:r>
      <w:bookmarkEnd w:id="4"/>
      <w:bookmarkEnd w:id="5"/>
    </w:p>
    <w:p w14:paraId="4A96B6E6" w14:textId="77777777" w:rsidR="00752A82" w:rsidRPr="009F5351" w:rsidRDefault="00752A82" w:rsidP="00752A82">
      <w:pPr>
        <w:pStyle w:val="4-SubsectionHeading"/>
        <w:rPr>
          <w:lang w:eastAsia="en-AU"/>
        </w:rPr>
      </w:pPr>
      <w:r w:rsidRPr="009F5351">
        <w:rPr>
          <w:lang w:eastAsia="en-AU"/>
        </w:rPr>
        <w:t>Registration status</w:t>
      </w:r>
    </w:p>
    <w:p w14:paraId="12F366A1" w14:textId="77777777" w:rsidR="00057505" w:rsidRDefault="00752A82" w:rsidP="00752A82">
      <w:pPr>
        <w:pStyle w:val="ListParagraph"/>
        <w:widowControl/>
        <w:numPr>
          <w:ilvl w:val="1"/>
          <w:numId w:val="2"/>
        </w:numPr>
      </w:pPr>
      <w:r w:rsidRPr="00307AAC">
        <w:t>The submission was made under TGA/PBAC Parallel Process</w:t>
      </w:r>
      <w:r w:rsidR="008546CE">
        <w:t xml:space="preserve">, with </w:t>
      </w:r>
      <w:r w:rsidRPr="00307AAC">
        <w:t xml:space="preserve">TGA approval anticipated by April 2021. </w:t>
      </w:r>
      <w:r w:rsidR="003D6E2F" w:rsidRPr="00307AAC">
        <w:t>The</w:t>
      </w:r>
      <w:r w:rsidR="002244B2" w:rsidRPr="00307AAC">
        <w:t xml:space="preserve"> </w:t>
      </w:r>
      <w:r w:rsidR="003D6E2F" w:rsidRPr="00307AAC">
        <w:t>d</w:t>
      </w:r>
      <w:r w:rsidR="00013B63" w:rsidRPr="00307AAC">
        <w:t>elegate’s overview was</w:t>
      </w:r>
      <w:r w:rsidR="003D6E2F" w:rsidRPr="00307AAC">
        <w:t xml:space="preserve"> </w:t>
      </w:r>
      <w:r w:rsidR="00307AAC" w:rsidRPr="00307AAC">
        <w:t xml:space="preserve">available 3 March 2021. </w:t>
      </w:r>
      <w:r w:rsidR="00057505">
        <w:t>The delegate sought ACM advice regarding:</w:t>
      </w:r>
    </w:p>
    <w:p w14:paraId="1EB4F67F" w14:textId="77777777" w:rsidR="00057505" w:rsidRDefault="00057505" w:rsidP="00057505">
      <w:pPr>
        <w:pStyle w:val="Bulletpoints"/>
      </w:pPr>
      <w:r>
        <w:t>the process for diagnosing 5q SMA in Australia;</w:t>
      </w:r>
    </w:p>
    <w:p w14:paraId="1F612EF8" w14:textId="77777777" w:rsidR="00057505" w:rsidRDefault="00057505" w:rsidP="00057505">
      <w:pPr>
        <w:pStyle w:val="Bulletpoints"/>
      </w:pPr>
      <w:r>
        <w:t>the proposed indication, specifically inclusion of patients &lt;2 months of age, patients with Type 0 and Type IV SMA and pre-symptomatic patients;</w:t>
      </w:r>
    </w:p>
    <w:p w14:paraId="6E53A8D9" w14:textId="77777777" w:rsidR="00057505" w:rsidRDefault="00057505" w:rsidP="00057505">
      <w:pPr>
        <w:pStyle w:val="Bulletpoints"/>
      </w:pPr>
      <w:r>
        <w:t>limiting prescribing to medical specialists with experience in the diagnosis and management of SMA; and</w:t>
      </w:r>
    </w:p>
    <w:p w14:paraId="1A8174FC" w14:textId="77777777" w:rsidR="00752A82" w:rsidRPr="00307AAC" w:rsidRDefault="008546CE" w:rsidP="008546CE">
      <w:pPr>
        <w:pStyle w:val="Bulletpoints"/>
        <w:spacing w:after="120"/>
        <w:ind w:left="714" w:hanging="357"/>
      </w:pPr>
      <w:r>
        <w:t>toxicity concerns.</w:t>
      </w:r>
      <w:r w:rsidR="00013B63" w:rsidRPr="00307AAC">
        <w:t xml:space="preserve"> </w:t>
      </w:r>
    </w:p>
    <w:p w14:paraId="7371AD9A" w14:textId="77777777" w:rsidR="00864009" w:rsidRPr="007B3DA4" w:rsidRDefault="00864009" w:rsidP="00752A82">
      <w:pPr>
        <w:pStyle w:val="ListParagraph"/>
        <w:widowControl/>
        <w:numPr>
          <w:ilvl w:val="1"/>
          <w:numId w:val="2"/>
        </w:numPr>
      </w:pPr>
      <w:r w:rsidRPr="007B3DA4">
        <w:t>The proposed TGA indication is:</w:t>
      </w:r>
    </w:p>
    <w:p w14:paraId="6B1DE6C7" w14:textId="77777777" w:rsidR="00F63F58" w:rsidRDefault="00864009" w:rsidP="00A670CE">
      <w:pPr>
        <w:pStyle w:val="ListParagraph"/>
        <w:widowControl/>
      </w:pPr>
      <w:r w:rsidRPr="007B3DA4">
        <w:t>“… for the treatment of 5q spinal muscular atrophy (SMA)”.</w:t>
      </w:r>
    </w:p>
    <w:p w14:paraId="752B479E" w14:textId="77777777" w:rsidR="00F63F58" w:rsidRDefault="00F63F58">
      <w:pPr>
        <w:widowControl/>
        <w:jc w:val="left"/>
      </w:pPr>
      <w:r>
        <w:br w:type="page"/>
      </w:r>
    </w:p>
    <w:p w14:paraId="186764D3" w14:textId="77777777" w:rsidR="00C4351A" w:rsidRPr="00840284" w:rsidRDefault="00C4351A" w:rsidP="009F5351">
      <w:pPr>
        <w:pStyle w:val="2-SectionHeading"/>
      </w:pPr>
      <w:bookmarkStart w:id="6" w:name="_Toc59404586"/>
      <w:bookmarkStart w:id="7" w:name="_Toc61959928"/>
      <w:r w:rsidRPr="00840284">
        <w:lastRenderedPageBreak/>
        <w:t>Requested listing</w:t>
      </w:r>
      <w:bookmarkEnd w:id="6"/>
      <w:bookmarkEnd w:id="7"/>
    </w:p>
    <w:p w14:paraId="51939FD5" w14:textId="77777777" w:rsidR="00891AF3" w:rsidRPr="00882085" w:rsidRDefault="00891AF3" w:rsidP="00C4351A">
      <w:pPr>
        <w:pStyle w:val="ListParagraph"/>
        <w:numPr>
          <w:ilvl w:val="1"/>
          <w:numId w:val="2"/>
        </w:numPr>
      </w:pPr>
      <w:r w:rsidRPr="003A44F8">
        <w:t xml:space="preserve">A summary of the requested restrictions </w:t>
      </w:r>
      <w:r w:rsidR="00D37D8F">
        <w:t>is</w:t>
      </w:r>
      <w:r w:rsidRPr="003A44F8">
        <w:t xml:space="preserve"> provided in </w:t>
      </w:r>
      <w:r>
        <w:t>the table below</w:t>
      </w:r>
      <w:r w:rsidR="00163CA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9"/>
        <w:gridCol w:w="875"/>
        <w:gridCol w:w="712"/>
        <w:gridCol w:w="712"/>
        <w:gridCol w:w="2909"/>
        <w:gridCol w:w="970"/>
        <w:gridCol w:w="849"/>
      </w:tblGrid>
      <w:tr w:rsidR="00957FCE" w:rsidRPr="00CE3643" w14:paraId="7EE5F2DA" w14:textId="77777777" w:rsidTr="00E96E81">
        <w:trPr>
          <w:cantSplit/>
          <w:trHeight w:val="463"/>
        </w:trPr>
        <w:tc>
          <w:tcPr>
            <w:tcW w:w="1588" w:type="pct"/>
            <w:gridSpan w:val="2"/>
            <w:vAlign w:val="center"/>
          </w:tcPr>
          <w:p w14:paraId="27679C86" w14:textId="77777777" w:rsidR="00957FCE" w:rsidRPr="00CE3643" w:rsidRDefault="00957FCE" w:rsidP="006D0C3A">
            <w:pPr>
              <w:keepNext/>
              <w:keepLines/>
              <w:jc w:val="left"/>
              <w:rPr>
                <w:rFonts w:ascii="Arial Narrow" w:hAnsi="Arial Narrow"/>
                <w:b/>
                <w:sz w:val="20"/>
              </w:rPr>
            </w:pPr>
            <w:r w:rsidRPr="00CE3643">
              <w:rPr>
                <w:rFonts w:ascii="Arial Narrow" w:hAnsi="Arial Narrow"/>
                <w:b/>
                <w:sz w:val="20"/>
              </w:rPr>
              <w:t>Name, Restriction,</w:t>
            </w:r>
          </w:p>
          <w:p w14:paraId="4CEC9AF8" w14:textId="77777777" w:rsidR="00957FCE" w:rsidRPr="00CE3643" w:rsidRDefault="00957FCE" w:rsidP="006D0C3A">
            <w:pPr>
              <w:keepNext/>
              <w:keepLines/>
              <w:jc w:val="left"/>
              <w:rPr>
                <w:rFonts w:ascii="Arial Narrow" w:hAnsi="Arial Narrow"/>
                <w:b/>
                <w:sz w:val="20"/>
              </w:rPr>
            </w:pPr>
            <w:r w:rsidRPr="00CE3643">
              <w:rPr>
                <w:rFonts w:ascii="Arial Narrow" w:hAnsi="Arial Narrow"/>
                <w:b/>
                <w:sz w:val="20"/>
              </w:rPr>
              <w:t>Manner of administration and form</w:t>
            </w:r>
          </w:p>
        </w:tc>
        <w:tc>
          <w:tcPr>
            <w:tcW w:w="395" w:type="pct"/>
            <w:vAlign w:val="center"/>
          </w:tcPr>
          <w:p w14:paraId="2C01F137" w14:textId="77777777" w:rsidR="00957FCE" w:rsidRPr="00CE3643" w:rsidRDefault="00957FCE" w:rsidP="006D0C3A">
            <w:pPr>
              <w:keepNext/>
              <w:keepLines/>
              <w:jc w:val="center"/>
              <w:rPr>
                <w:rFonts w:ascii="Arial Narrow" w:hAnsi="Arial Narrow"/>
                <w:b/>
                <w:sz w:val="20"/>
              </w:rPr>
            </w:pPr>
            <w:r w:rsidRPr="00CE3643">
              <w:rPr>
                <w:rFonts w:ascii="Arial Narrow" w:hAnsi="Arial Narrow"/>
                <w:b/>
                <w:sz w:val="20"/>
              </w:rPr>
              <w:t>Max.</w:t>
            </w:r>
          </w:p>
          <w:p w14:paraId="618F8BA4" w14:textId="77777777" w:rsidR="00957FCE" w:rsidRPr="00CE3643" w:rsidRDefault="00957FCE" w:rsidP="006D0C3A">
            <w:pPr>
              <w:keepNext/>
              <w:keepLines/>
              <w:jc w:val="center"/>
              <w:rPr>
                <w:rFonts w:ascii="Arial Narrow" w:hAnsi="Arial Narrow"/>
                <w:b/>
                <w:sz w:val="20"/>
              </w:rPr>
            </w:pPr>
            <w:r w:rsidRPr="00CE3643">
              <w:rPr>
                <w:rFonts w:ascii="Arial Narrow" w:hAnsi="Arial Narrow"/>
                <w:b/>
                <w:sz w:val="20"/>
              </w:rPr>
              <w:t xml:space="preserve">Qty </w:t>
            </w:r>
          </w:p>
        </w:tc>
        <w:tc>
          <w:tcPr>
            <w:tcW w:w="395" w:type="pct"/>
            <w:vAlign w:val="center"/>
          </w:tcPr>
          <w:p w14:paraId="5AED096A" w14:textId="77777777" w:rsidR="00957FCE" w:rsidRPr="00CE3643" w:rsidRDefault="00957FCE" w:rsidP="006D0C3A">
            <w:pPr>
              <w:keepNext/>
              <w:keepLines/>
              <w:jc w:val="center"/>
              <w:rPr>
                <w:rFonts w:ascii="Arial Narrow" w:hAnsi="Arial Narrow"/>
                <w:b/>
                <w:sz w:val="20"/>
              </w:rPr>
            </w:pPr>
            <w:r w:rsidRPr="00CE3643">
              <w:rPr>
                <w:rFonts w:ascii="Arial Narrow" w:hAnsi="Arial Narrow" w:cs="Times New Roman"/>
                <w:b/>
                <w:sz w:val="20"/>
              </w:rPr>
              <w:t>№</w:t>
            </w:r>
            <w:r w:rsidRPr="00CE3643">
              <w:rPr>
                <w:rFonts w:ascii="Arial Narrow" w:hAnsi="Arial Narrow"/>
                <w:b/>
                <w:sz w:val="20"/>
              </w:rPr>
              <w:t>.of</w:t>
            </w:r>
          </w:p>
          <w:p w14:paraId="528F047E" w14:textId="77777777" w:rsidR="00957FCE" w:rsidRPr="00CE3643" w:rsidRDefault="00957FCE" w:rsidP="006D0C3A">
            <w:pPr>
              <w:keepNext/>
              <w:keepLines/>
              <w:jc w:val="center"/>
              <w:rPr>
                <w:rFonts w:ascii="Arial Narrow" w:hAnsi="Arial Narrow"/>
                <w:b/>
                <w:sz w:val="20"/>
              </w:rPr>
            </w:pPr>
            <w:r w:rsidRPr="00CE3643">
              <w:rPr>
                <w:rFonts w:ascii="Arial Narrow" w:hAnsi="Arial Narrow"/>
                <w:b/>
                <w:sz w:val="20"/>
              </w:rPr>
              <w:t>Rpts</w:t>
            </w:r>
          </w:p>
        </w:tc>
        <w:tc>
          <w:tcPr>
            <w:tcW w:w="1613" w:type="pct"/>
            <w:vAlign w:val="center"/>
          </w:tcPr>
          <w:p w14:paraId="53AC3F92" w14:textId="77777777" w:rsidR="00957FCE" w:rsidRPr="00CE3643" w:rsidRDefault="00957FCE" w:rsidP="006D0C3A">
            <w:pPr>
              <w:keepNext/>
              <w:keepLines/>
              <w:jc w:val="center"/>
              <w:rPr>
                <w:rFonts w:ascii="Arial Narrow" w:hAnsi="Arial Narrow"/>
                <w:b/>
                <w:sz w:val="20"/>
              </w:rPr>
            </w:pPr>
            <w:r w:rsidRPr="00CE3643">
              <w:rPr>
                <w:rFonts w:ascii="Arial Narrow" w:hAnsi="Arial Narrow"/>
                <w:b/>
                <w:sz w:val="20"/>
              </w:rPr>
              <w:t xml:space="preserve">Dispensed Price for Max. Qty* </w:t>
            </w:r>
          </w:p>
        </w:tc>
        <w:tc>
          <w:tcPr>
            <w:tcW w:w="1009" w:type="pct"/>
            <w:gridSpan w:val="2"/>
            <w:vAlign w:val="center"/>
          </w:tcPr>
          <w:p w14:paraId="120FB02A" w14:textId="77777777" w:rsidR="00957FCE" w:rsidRPr="00CE3643" w:rsidRDefault="00957FCE" w:rsidP="006D0C3A">
            <w:pPr>
              <w:keepNext/>
              <w:keepLines/>
              <w:jc w:val="center"/>
              <w:rPr>
                <w:rFonts w:ascii="Arial Narrow" w:hAnsi="Arial Narrow"/>
                <w:b/>
                <w:sz w:val="20"/>
                <w:lang w:val="fr-FR"/>
              </w:rPr>
            </w:pPr>
            <w:r w:rsidRPr="00CE3643">
              <w:rPr>
                <w:rFonts w:ascii="Arial Narrow" w:hAnsi="Arial Narrow"/>
                <w:b/>
                <w:sz w:val="20"/>
              </w:rPr>
              <w:t>Proprietary Name and Manufacturer</w:t>
            </w:r>
          </w:p>
        </w:tc>
      </w:tr>
      <w:tr w:rsidR="00C63FA8" w:rsidRPr="00CE3643" w14:paraId="35028A8C" w14:textId="77777777" w:rsidTr="00E96E81">
        <w:tblPrEx>
          <w:tblCellMar>
            <w:left w:w="108" w:type="dxa"/>
            <w:right w:w="108" w:type="dxa"/>
          </w:tblCellMar>
          <w:tblLook w:val="04A0" w:firstRow="1" w:lastRow="0" w:firstColumn="1" w:lastColumn="0" w:noHBand="0" w:noVBand="1"/>
        </w:tblPrEx>
        <w:tc>
          <w:tcPr>
            <w:tcW w:w="5000" w:type="pct"/>
            <w:gridSpan w:val="7"/>
          </w:tcPr>
          <w:p w14:paraId="56A28CDB" w14:textId="77777777" w:rsidR="00C63FA8" w:rsidRPr="00CE3643" w:rsidRDefault="00C63FA8" w:rsidP="006D0C3A">
            <w:pPr>
              <w:pStyle w:val="Tabletext"/>
              <w:keepNext/>
              <w:keepLines/>
            </w:pPr>
            <w:r w:rsidRPr="00CE3643">
              <w:t>Populations 1 and 2</w:t>
            </w:r>
          </w:p>
        </w:tc>
      </w:tr>
      <w:tr w:rsidR="00957FCE" w:rsidRPr="00CE3643" w14:paraId="4BD3C844" w14:textId="77777777" w:rsidTr="00E96E81">
        <w:trPr>
          <w:cantSplit/>
          <w:trHeight w:val="567"/>
        </w:trPr>
        <w:tc>
          <w:tcPr>
            <w:tcW w:w="1588" w:type="pct"/>
            <w:gridSpan w:val="2"/>
          </w:tcPr>
          <w:p w14:paraId="3D89E04C" w14:textId="77777777" w:rsidR="00957FCE" w:rsidRPr="00CE3643" w:rsidRDefault="00957FCE" w:rsidP="006D0C3A">
            <w:pPr>
              <w:pStyle w:val="Tabletext"/>
              <w:keepNext/>
              <w:keepLines/>
            </w:pPr>
            <w:r w:rsidRPr="00CE3643">
              <w:rPr>
                <w:smallCaps/>
              </w:rPr>
              <w:t>RISDIPLAM</w:t>
            </w:r>
          </w:p>
          <w:p w14:paraId="6D6E895D" w14:textId="77777777" w:rsidR="00957FCE" w:rsidRPr="00CE3643" w:rsidRDefault="00957FCE" w:rsidP="006D0C3A">
            <w:pPr>
              <w:keepNext/>
              <w:keepLines/>
              <w:jc w:val="left"/>
              <w:rPr>
                <w:rFonts w:ascii="Arial Narrow" w:hAnsi="Arial Narrow"/>
                <w:sz w:val="20"/>
                <w:szCs w:val="20"/>
              </w:rPr>
            </w:pPr>
            <w:r w:rsidRPr="00CE3643">
              <w:rPr>
                <w:rFonts w:ascii="Arial Narrow" w:hAnsi="Arial Narrow"/>
                <w:sz w:val="20"/>
                <w:szCs w:val="20"/>
              </w:rPr>
              <w:t>Powder for oral solution 60mg</w:t>
            </w:r>
          </w:p>
        </w:tc>
        <w:tc>
          <w:tcPr>
            <w:tcW w:w="395" w:type="pct"/>
          </w:tcPr>
          <w:p w14:paraId="4498B91C" w14:textId="77777777" w:rsidR="00957FCE" w:rsidRPr="00CE3643" w:rsidRDefault="00957FCE" w:rsidP="006D0C3A">
            <w:pPr>
              <w:keepNext/>
              <w:keepLines/>
              <w:jc w:val="center"/>
              <w:rPr>
                <w:rFonts w:ascii="Arial Narrow" w:hAnsi="Arial Narrow"/>
                <w:sz w:val="20"/>
              </w:rPr>
            </w:pPr>
            <w:r w:rsidRPr="00CE3643">
              <w:rPr>
                <w:rFonts w:ascii="Arial Narrow" w:hAnsi="Arial Narrow"/>
                <w:sz w:val="20"/>
              </w:rPr>
              <w:t>1</w:t>
            </w:r>
          </w:p>
        </w:tc>
        <w:tc>
          <w:tcPr>
            <w:tcW w:w="395" w:type="pct"/>
          </w:tcPr>
          <w:p w14:paraId="3202389F" w14:textId="77777777" w:rsidR="00957FCE" w:rsidRPr="00CE3643" w:rsidRDefault="00957FCE" w:rsidP="006D0C3A">
            <w:pPr>
              <w:keepNext/>
              <w:keepLines/>
              <w:jc w:val="center"/>
              <w:rPr>
                <w:rFonts w:ascii="Arial Narrow" w:hAnsi="Arial Narrow"/>
                <w:sz w:val="20"/>
              </w:rPr>
            </w:pPr>
            <w:r w:rsidRPr="00CE3643">
              <w:rPr>
                <w:rFonts w:ascii="Arial Narrow" w:hAnsi="Arial Narrow"/>
                <w:sz w:val="20"/>
              </w:rPr>
              <w:t>5</w:t>
            </w:r>
          </w:p>
        </w:tc>
        <w:tc>
          <w:tcPr>
            <w:tcW w:w="1613" w:type="pct"/>
          </w:tcPr>
          <w:p w14:paraId="1A42F040" w14:textId="77777777" w:rsidR="00957FCE" w:rsidRPr="00CE3643" w:rsidRDefault="00957FCE" w:rsidP="006D0C3A">
            <w:pPr>
              <w:pStyle w:val="Tabletext"/>
              <w:keepNext/>
              <w:keepLines/>
              <w:rPr>
                <w:szCs w:val="20"/>
              </w:rPr>
            </w:pPr>
            <w:r w:rsidRPr="00CE3643">
              <w:rPr>
                <w:szCs w:val="20"/>
              </w:rPr>
              <w:t>$13,058.01 private published price</w:t>
            </w:r>
          </w:p>
          <w:p w14:paraId="15077B7A" w14:textId="77777777" w:rsidR="00957FCE" w:rsidRPr="00CE3643" w:rsidRDefault="00957FCE" w:rsidP="006D0C3A">
            <w:pPr>
              <w:pStyle w:val="Tabletext"/>
              <w:keepNext/>
              <w:keepLines/>
              <w:rPr>
                <w:szCs w:val="20"/>
              </w:rPr>
            </w:pPr>
            <w:r w:rsidRPr="00CE3643">
              <w:rPr>
                <w:szCs w:val="20"/>
              </w:rPr>
              <w:t>$</w:t>
            </w:r>
            <w:r w:rsidR="003A37B7">
              <w:rPr>
                <w:noProof/>
                <w:color w:val="000000"/>
                <w:szCs w:val="20"/>
                <w:highlight w:val="black"/>
              </w:rPr>
              <w:t>''''''''''''''''''''''</w:t>
            </w:r>
            <w:r w:rsidRPr="00CE3643">
              <w:rPr>
                <w:szCs w:val="20"/>
              </w:rPr>
              <w:t xml:space="preserve"> private effective price</w:t>
            </w:r>
          </w:p>
          <w:p w14:paraId="5B18C1F3" w14:textId="77777777" w:rsidR="00957FCE" w:rsidRPr="00CE3643" w:rsidRDefault="00957FCE" w:rsidP="006D0C3A">
            <w:pPr>
              <w:pStyle w:val="Tabletext"/>
              <w:keepNext/>
              <w:keepLines/>
              <w:rPr>
                <w:szCs w:val="20"/>
              </w:rPr>
            </w:pPr>
            <w:r w:rsidRPr="00CE3643">
              <w:rPr>
                <w:szCs w:val="20"/>
              </w:rPr>
              <w:t>$13,010.27 public published price</w:t>
            </w:r>
          </w:p>
          <w:p w14:paraId="5FD55DD1" w14:textId="77777777" w:rsidR="00957FCE" w:rsidRPr="00CE3643" w:rsidRDefault="00957FCE" w:rsidP="006D0C3A">
            <w:pPr>
              <w:keepNext/>
              <w:keepLines/>
              <w:jc w:val="left"/>
              <w:rPr>
                <w:rFonts w:ascii="Arial Narrow" w:hAnsi="Arial Narrow"/>
                <w:sz w:val="20"/>
              </w:rPr>
            </w:pPr>
            <w:r w:rsidRPr="00CE3643">
              <w:rPr>
                <w:rFonts w:ascii="Arial Narrow" w:hAnsi="Arial Narrow"/>
                <w:sz w:val="20"/>
                <w:szCs w:val="20"/>
              </w:rPr>
              <w:t>$</w:t>
            </w:r>
            <w:r w:rsidR="003A37B7">
              <w:rPr>
                <w:rFonts w:ascii="Arial Narrow" w:hAnsi="Arial Narrow"/>
                <w:noProof/>
                <w:color w:val="000000"/>
                <w:sz w:val="20"/>
                <w:szCs w:val="20"/>
                <w:highlight w:val="black"/>
              </w:rPr>
              <w:t>''''''''''''''''''''''''</w:t>
            </w:r>
            <w:r w:rsidRPr="00CE3643">
              <w:rPr>
                <w:rFonts w:ascii="Arial Narrow" w:hAnsi="Arial Narrow"/>
                <w:sz w:val="20"/>
                <w:szCs w:val="20"/>
              </w:rPr>
              <w:t xml:space="preserve"> public effective price</w:t>
            </w:r>
          </w:p>
        </w:tc>
        <w:tc>
          <w:tcPr>
            <w:tcW w:w="538" w:type="pct"/>
            <w:vAlign w:val="center"/>
          </w:tcPr>
          <w:p w14:paraId="177D1343" w14:textId="77777777" w:rsidR="00957FCE" w:rsidRPr="00CE3643" w:rsidRDefault="00957FCE" w:rsidP="006D0C3A">
            <w:pPr>
              <w:keepNext/>
              <w:keepLines/>
              <w:jc w:val="center"/>
              <w:rPr>
                <w:rFonts w:ascii="Arial Narrow" w:hAnsi="Arial Narrow"/>
                <w:sz w:val="20"/>
              </w:rPr>
            </w:pPr>
            <w:r w:rsidRPr="00CE3643">
              <w:rPr>
                <w:rFonts w:ascii="Arial Narrow" w:hAnsi="Arial Narrow"/>
                <w:sz w:val="20"/>
              </w:rPr>
              <w:t>EVRYSDI</w:t>
            </w:r>
            <w:r w:rsidRPr="00CE3643">
              <w:rPr>
                <w:rFonts w:ascii="Arial Narrow" w:hAnsi="Arial Narrow"/>
                <w:sz w:val="20"/>
                <w:vertAlign w:val="superscript"/>
              </w:rPr>
              <w:t>®</w:t>
            </w:r>
          </w:p>
        </w:tc>
        <w:tc>
          <w:tcPr>
            <w:tcW w:w="471" w:type="pct"/>
            <w:vAlign w:val="center"/>
          </w:tcPr>
          <w:p w14:paraId="3458C03E" w14:textId="77777777" w:rsidR="00957FCE" w:rsidRPr="00CE3643" w:rsidRDefault="00957FCE" w:rsidP="006D0C3A">
            <w:pPr>
              <w:keepNext/>
              <w:keepLines/>
              <w:jc w:val="center"/>
              <w:rPr>
                <w:rFonts w:ascii="Arial Narrow" w:hAnsi="Arial Narrow"/>
                <w:sz w:val="20"/>
              </w:rPr>
            </w:pPr>
            <w:r w:rsidRPr="00CE3643">
              <w:rPr>
                <w:rFonts w:ascii="Arial Narrow" w:hAnsi="Arial Narrow"/>
                <w:sz w:val="20"/>
              </w:rPr>
              <w:t>Roche</w:t>
            </w:r>
          </w:p>
        </w:tc>
      </w:tr>
      <w:tr w:rsidR="00C63FA8" w:rsidRPr="00CE3643" w14:paraId="780965E4" w14:textId="77777777" w:rsidTr="00E96E81">
        <w:tblPrEx>
          <w:tblCellMar>
            <w:left w:w="108" w:type="dxa"/>
            <w:right w:w="108" w:type="dxa"/>
          </w:tblCellMar>
          <w:tblLook w:val="04A0" w:firstRow="1" w:lastRow="0" w:firstColumn="1" w:lastColumn="0" w:noHBand="0" w:noVBand="1"/>
        </w:tblPrEx>
        <w:tc>
          <w:tcPr>
            <w:tcW w:w="5000" w:type="pct"/>
            <w:gridSpan w:val="7"/>
          </w:tcPr>
          <w:p w14:paraId="16B6A5F5" w14:textId="77777777" w:rsidR="00C63FA8" w:rsidRPr="00CE3643" w:rsidRDefault="00C63FA8" w:rsidP="006D0C3A">
            <w:pPr>
              <w:pStyle w:val="Tabletext"/>
              <w:keepNext/>
              <w:keepLines/>
            </w:pPr>
            <w:r w:rsidRPr="00CE3643">
              <w:t>Population 3</w:t>
            </w:r>
          </w:p>
        </w:tc>
      </w:tr>
      <w:tr w:rsidR="00957FCE" w:rsidRPr="00CE3643" w14:paraId="1DABF0DC" w14:textId="77777777" w:rsidTr="00E96E81">
        <w:trPr>
          <w:cantSplit/>
          <w:trHeight w:val="567"/>
        </w:trPr>
        <w:tc>
          <w:tcPr>
            <w:tcW w:w="1588" w:type="pct"/>
            <w:gridSpan w:val="2"/>
          </w:tcPr>
          <w:p w14:paraId="1B96DD62" w14:textId="77777777" w:rsidR="00957FCE" w:rsidRPr="00CE3643" w:rsidRDefault="00957FCE" w:rsidP="006D0C3A">
            <w:pPr>
              <w:pStyle w:val="Tabletext"/>
              <w:keepNext/>
              <w:keepLines/>
            </w:pPr>
            <w:r w:rsidRPr="00CE3643">
              <w:rPr>
                <w:smallCaps/>
              </w:rPr>
              <w:t>RISDIPLAM</w:t>
            </w:r>
          </w:p>
          <w:p w14:paraId="05B7AE54" w14:textId="77777777" w:rsidR="00957FCE" w:rsidRPr="00CE3643" w:rsidRDefault="00957FCE" w:rsidP="006D0C3A">
            <w:pPr>
              <w:keepNext/>
              <w:keepLines/>
              <w:jc w:val="left"/>
              <w:rPr>
                <w:rFonts w:ascii="Arial Narrow" w:hAnsi="Arial Narrow"/>
                <w:sz w:val="20"/>
                <w:szCs w:val="20"/>
              </w:rPr>
            </w:pPr>
            <w:r w:rsidRPr="00CE3643">
              <w:rPr>
                <w:rFonts w:ascii="Arial Narrow" w:hAnsi="Arial Narrow"/>
                <w:sz w:val="20"/>
                <w:szCs w:val="20"/>
              </w:rPr>
              <w:t>Powder for oral solution 60mg</w:t>
            </w:r>
          </w:p>
        </w:tc>
        <w:tc>
          <w:tcPr>
            <w:tcW w:w="395" w:type="pct"/>
          </w:tcPr>
          <w:p w14:paraId="72A7890E" w14:textId="77777777" w:rsidR="00957FCE" w:rsidRPr="00CE3643" w:rsidRDefault="00957FCE" w:rsidP="006D0C3A">
            <w:pPr>
              <w:keepNext/>
              <w:keepLines/>
              <w:jc w:val="center"/>
              <w:rPr>
                <w:rFonts w:ascii="Arial Narrow" w:hAnsi="Arial Narrow"/>
                <w:sz w:val="20"/>
              </w:rPr>
            </w:pPr>
            <w:r w:rsidRPr="00CE3643">
              <w:rPr>
                <w:rFonts w:ascii="Arial Narrow" w:hAnsi="Arial Narrow"/>
                <w:sz w:val="20"/>
              </w:rPr>
              <w:t>3</w:t>
            </w:r>
          </w:p>
        </w:tc>
        <w:tc>
          <w:tcPr>
            <w:tcW w:w="395" w:type="pct"/>
          </w:tcPr>
          <w:p w14:paraId="2041D54D" w14:textId="77777777" w:rsidR="00957FCE" w:rsidRPr="00CE3643" w:rsidRDefault="00957FCE" w:rsidP="006D0C3A">
            <w:pPr>
              <w:keepNext/>
              <w:keepLines/>
              <w:jc w:val="center"/>
              <w:rPr>
                <w:rFonts w:ascii="Arial Narrow" w:hAnsi="Arial Narrow"/>
                <w:sz w:val="20"/>
              </w:rPr>
            </w:pPr>
            <w:r w:rsidRPr="00CE3643">
              <w:rPr>
                <w:rFonts w:ascii="Arial Narrow" w:hAnsi="Arial Narrow"/>
                <w:sz w:val="20"/>
              </w:rPr>
              <w:t>5</w:t>
            </w:r>
          </w:p>
        </w:tc>
        <w:tc>
          <w:tcPr>
            <w:tcW w:w="1613" w:type="pct"/>
          </w:tcPr>
          <w:p w14:paraId="18A09E27" w14:textId="77777777" w:rsidR="00957FCE" w:rsidRPr="00CE3643" w:rsidRDefault="00957FCE" w:rsidP="006D0C3A">
            <w:pPr>
              <w:pStyle w:val="Tabletext"/>
              <w:keepNext/>
              <w:keepLines/>
              <w:rPr>
                <w:szCs w:val="20"/>
              </w:rPr>
            </w:pPr>
            <w:r w:rsidRPr="00CE3643">
              <w:rPr>
                <w:szCs w:val="20"/>
              </w:rPr>
              <w:t>$39,078.54 private published price</w:t>
            </w:r>
          </w:p>
          <w:p w14:paraId="64DFF3F7" w14:textId="77777777" w:rsidR="00957FCE" w:rsidRPr="00CE3643" w:rsidRDefault="00957FCE" w:rsidP="006D0C3A">
            <w:pPr>
              <w:pStyle w:val="Tabletext"/>
              <w:keepNext/>
              <w:keepLines/>
              <w:rPr>
                <w:szCs w:val="20"/>
              </w:rPr>
            </w:pPr>
            <w:r w:rsidRPr="00CE3643">
              <w:rPr>
                <w:szCs w:val="20"/>
              </w:rPr>
              <w:t>$</w:t>
            </w:r>
            <w:r w:rsidR="003A37B7">
              <w:rPr>
                <w:noProof/>
                <w:color w:val="000000"/>
                <w:szCs w:val="20"/>
                <w:highlight w:val="black"/>
              </w:rPr>
              <w:t>'''''''''''''''''''''</w:t>
            </w:r>
            <w:r w:rsidRPr="00CE3643">
              <w:rPr>
                <w:szCs w:val="20"/>
              </w:rPr>
              <w:t xml:space="preserve"> private effective price</w:t>
            </w:r>
          </w:p>
          <w:p w14:paraId="7E9F349A" w14:textId="77777777" w:rsidR="00957FCE" w:rsidRPr="00CE3643" w:rsidRDefault="00957FCE" w:rsidP="006D0C3A">
            <w:pPr>
              <w:pStyle w:val="Tabletext"/>
              <w:keepNext/>
              <w:keepLines/>
              <w:rPr>
                <w:szCs w:val="20"/>
              </w:rPr>
            </w:pPr>
            <w:r w:rsidRPr="00CE3643">
              <w:rPr>
                <w:szCs w:val="20"/>
              </w:rPr>
              <w:t>$39,030.80 public published price</w:t>
            </w:r>
          </w:p>
          <w:p w14:paraId="3CB1EB09" w14:textId="77777777" w:rsidR="00957FCE" w:rsidRPr="00CE3643" w:rsidRDefault="00957FCE" w:rsidP="006D0C3A">
            <w:pPr>
              <w:keepNext/>
              <w:keepLines/>
              <w:jc w:val="left"/>
              <w:rPr>
                <w:rFonts w:ascii="Arial Narrow" w:hAnsi="Arial Narrow"/>
                <w:sz w:val="20"/>
              </w:rPr>
            </w:pPr>
            <w:r w:rsidRPr="00CE3643">
              <w:rPr>
                <w:rFonts w:ascii="Arial Narrow" w:hAnsi="Arial Narrow" w:cs="Times New Roman"/>
                <w:snapToGrid/>
                <w:sz w:val="20"/>
                <w:szCs w:val="20"/>
              </w:rPr>
              <w:t>$</w:t>
            </w:r>
            <w:r w:rsidR="003A37B7">
              <w:rPr>
                <w:rFonts w:ascii="Arial Narrow" w:hAnsi="Arial Narrow" w:cs="Times New Roman"/>
                <w:noProof/>
                <w:snapToGrid/>
                <w:color w:val="000000"/>
                <w:sz w:val="20"/>
                <w:szCs w:val="20"/>
                <w:highlight w:val="black"/>
              </w:rPr>
              <w:t>''''''''''''''''''''''''</w:t>
            </w:r>
            <w:r w:rsidRPr="00CE3643">
              <w:rPr>
                <w:rFonts w:ascii="Arial Narrow" w:hAnsi="Arial Narrow" w:cs="Times New Roman"/>
                <w:snapToGrid/>
                <w:sz w:val="20"/>
                <w:szCs w:val="20"/>
              </w:rPr>
              <w:t xml:space="preserve"> public effective price</w:t>
            </w:r>
          </w:p>
        </w:tc>
        <w:tc>
          <w:tcPr>
            <w:tcW w:w="538" w:type="pct"/>
            <w:vAlign w:val="center"/>
          </w:tcPr>
          <w:p w14:paraId="1092921D" w14:textId="77777777" w:rsidR="00957FCE" w:rsidRPr="00CE3643" w:rsidRDefault="00957FCE" w:rsidP="006D0C3A">
            <w:pPr>
              <w:keepNext/>
              <w:keepLines/>
              <w:jc w:val="center"/>
              <w:rPr>
                <w:rFonts w:ascii="Arial Narrow" w:hAnsi="Arial Narrow"/>
                <w:sz w:val="20"/>
              </w:rPr>
            </w:pPr>
            <w:r w:rsidRPr="00CE3643">
              <w:rPr>
                <w:rFonts w:ascii="Arial Narrow" w:hAnsi="Arial Narrow"/>
                <w:sz w:val="20"/>
              </w:rPr>
              <w:t>EVRYSDI</w:t>
            </w:r>
            <w:r w:rsidRPr="00CE3643">
              <w:rPr>
                <w:rFonts w:ascii="Arial Narrow" w:hAnsi="Arial Narrow"/>
                <w:sz w:val="20"/>
                <w:vertAlign w:val="superscript"/>
              </w:rPr>
              <w:t>®</w:t>
            </w:r>
          </w:p>
        </w:tc>
        <w:tc>
          <w:tcPr>
            <w:tcW w:w="471" w:type="pct"/>
            <w:vAlign w:val="center"/>
          </w:tcPr>
          <w:p w14:paraId="61FC0DD8" w14:textId="77777777" w:rsidR="00957FCE" w:rsidRPr="00CE3643" w:rsidRDefault="00957FCE" w:rsidP="006D0C3A">
            <w:pPr>
              <w:keepNext/>
              <w:keepLines/>
              <w:jc w:val="center"/>
              <w:rPr>
                <w:rFonts w:ascii="Arial Narrow" w:hAnsi="Arial Narrow"/>
                <w:sz w:val="20"/>
              </w:rPr>
            </w:pPr>
            <w:r w:rsidRPr="00CE3643">
              <w:rPr>
                <w:rFonts w:ascii="Arial Narrow" w:hAnsi="Arial Narrow"/>
                <w:sz w:val="20"/>
              </w:rPr>
              <w:t>Roche</w:t>
            </w:r>
          </w:p>
        </w:tc>
      </w:tr>
      <w:tr w:rsidR="000F6041" w:rsidRPr="00CE3643" w14:paraId="4361C8ED" w14:textId="77777777" w:rsidTr="00E96E81">
        <w:tblPrEx>
          <w:tblLook w:val="04A0" w:firstRow="1" w:lastRow="0" w:firstColumn="1" w:lastColumn="0" w:noHBand="0" w:noVBand="1"/>
        </w:tblPrEx>
        <w:trPr>
          <w:trHeight w:val="20"/>
        </w:trPr>
        <w:tc>
          <w:tcPr>
            <w:tcW w:w="1103" w:type="pct"/>
            <w:hideMark/>
          </w:tcPr>
          <w:p w14:paraId="6843F625" w14:textId="77777777" w:rsidR="000F6041" w:rsidRPr="00CE3643" w:rsidRDefault="000F6041" w:rsidP="006D0C3A">
            <w:pPr>
              <w:pStyle w:val="Tabletext"/>
              <w:keepNext/>
              <w:keepLines/>
              <w:rPr>
                <w:lang w:eastAsia="en-AU"/>
              </w:rPr>
            </w:pPr>
            <w:r w:rsidRPr="00CE3643">
              <w:rPr>
                <w:b/>
              </w:rPr>
              <w:t>Condition:</w:t>
            </w:r>
          </w:p>
        </w:tc>
        <w:tc>
          <w:tcPr>
            <w:tcW w:w="3897" w:type="pct"/>
            <w:gridSpan w:val="6"/>
          </w:tcPr>
          <w:p w14:paraId="1246DB8F" w14:textId="77777777" w:rsidR="000F6041" w:rsidRPr="00CE3643" w:rsidRDefault="000F6041" w:rsidP="006D0C3A">
            <w:pPr>
              <w:pStyle w:val="Tabletext"/>
              <w:keepNext/>
              <w:keepLines/>
              <w:rPr>
                <w:lang w:eastAsia="en-AU"/>
              </w:rPr>
            </w:pPr>
            <w:r w:rsidRPr="00CE3643">
              <w:t>Spinal muscular atrophy</w:t>
            </w:r>
          </w:p>
        </w:tc>
      </w:tr>
      <w:tr w:rsidR="000F6041" w:rsidRPr="00CE3643" w14:paraId="353C4809" w14:textId="77777777" w:rsidTr="00E96E81">
        <w:tblPrEx>
          <w:tblLook w:val="04A0" w:firstRow="1" w:lastRow="0" w:firstColumn="1" w:lastColumn="0" w:noHBand="0" w:noVBand="1"/>
        </w:tblPrEx>
        <w:trPr>
          <w:trHeight w:val="20"/>
        </w:trPr>
        <w:tc>
          <w:tcPr>
            <w:tcW w:w="1103" w:type="pct"/>
          </w:tcPr>
          <w:p w14:paraId="19660CFC" w14:textId="77777777" w:rsidR="000F6041" w:rsidRPr="00CE3643" w:rsidRDefault="000F6041" w:rsidP="006D0C3A">
            <w:pPr>
              <w:pStyle w:val="Tabletext"/>
              <w:keepNext/>
              <w:keepLines/>
              <w:rPr>
                <w:lang w:eastAsia="en-AU"/>
              </w:rPr>
            </w:pPr>
            <w:r w:rsidRPr="00CE3643">
              <w:rPr>
                <w:b/>
              </w:rPr>
              <w:t>PBS Indication:</w:t>
            </w:r>
          </w:p>
        </w:tc>
        <w:tc>
          <w:tcPr>
            <w:tcW w:w="3897" w:type="pct"/>
            <w:gridSpan w:val="6"/>
          </w:tcPr>
          <w:p w14:paraId="7B0CCDB3" w14:textId="77777777" w:rsidR="000F6041" w:rsidRPr="00CE3643" w:rsidRDefault="000F6041" w:rsidP="006D0C3A">
            <w:pPr>
              <w:pStyle w:val="Tabletext"/>
              <w:keepNext/>
              <w:keepLines/>
              <w:rPr>
                <w:lang w:eastAsia="en-AU"/>
              </w:rPr>
            </w:pPr>
            <w:r w:rsidRPr="00CE3643">
              <w:t>Treatment of spinal muscular atrophy</w:t>
            </w:r>
          </w:p>
        </w:tc>
      </w:tr>
      <w:tr w:rsidR="000F6041" w:rsidRPr="00CE3643" w14:paraId="6986103B" w14:textId="77777777" w:rsidTr="00E96E81">
        <w:tblPrEx>
          <w:tblLook w:val="04A0" w:firstRow="1" w:lastRow="0" w:firstColumn="1" w:lastColumn="0" w:noHBand="0" w:noVBand="1"/>
        </w:tblPrEx>
        <w:trPr>
          <w:trHeight w:val="20"/>
        </w:trPr>
        <w:tc>
          <w:tcPr>
            <w:tcW w:w="1103" w:type="pct"/>
            <w:hideMark/>
          </w:tcPr>
          <w:p w14:paraId="64A44C6C" w14:textId="77777777" w:rsidR="000F6041" w:rsidRPr="00CE3643" w:rsidRDefault="000F6041" w:rsidP="006D0C3A">
            <w:pPr>
              <w:pStyle w:val="Tabletext"/>
              <w:keepNext/>
              <w:keepLines/>
              <w:rPr>
                <w:b/>
              </w:rPr>
            </w:pPr>
            <w:r w:rsidRPr="00CE3643">
              <w:rPr>
                <w:b/>
              </w:rPr>
              <w:t>Restriction:</w:t>
            </w:r>
          </w:p>
          <w:p w14:paraId="0E14AC32" w14:textId="77777777" w:rsidR="000F6041" w:rsidRPr="00CE3643" w:rsidRDefault="000F6041" w:rsidP="006D0C3A">
            <w:pPr>
              <w:pStyle w:val="Tabletext"/>
              <w:keepNext/>
              <w:keepLines/>
              <w:rPr>
                <w:lang w:eastAsia="en-AU"/>
              </w:rPr>
            </w:pPr>
            <w:r w:rsidRPr="00CE3643">
              <w:t xml:space="preserve">Section 100 (Highly specialised drugs program) </w:t>
            </w:r>
          </w:p>
        </w:tc>
        <w:tc>
          <w:tcPr>
            <w:tcW w:w="3897" w:type="pct"/>
            <w:gridSpan w:val="6"/>
          </w:tcPr>
          <w:p w14:paraId="4A1EAF4A" w14:textId="77777777" w:rsidR="000F6041" w:rsidRPr="00CE3643" w:rsidRDefault="000F6041" w:rsidP="006D0C3A">
            <w:pPr>
              <w:pStyle w:val="Tabletext"/>
              <w:keepNext/>
              <w:keepLines/>
            </w:pPr>
            <w:r w:rsidRPr="00CE3643">
              <w:fldChar w:fldCharType="begin">
                <w:ffData>
                  <w:name w:val=""/>
                  <w:enabled/>
                  <w:calcOnExit w:val="0"/>
                  <w:checkBox>
                    <w:sizeAuto/>
                    <w:default w:val="1"/>
                  </w:checkBox>
                </w:ffData>
              </w:fldChar>
            </w:r>
            <w:r w:rsidRPr="00CE3643">
              <w:instrText xml:space="preserve"> FORMCHECKBOX </w:instrText>
            </w:r>
            <w:r w:rsidR="00A87B03">
              <w:fldChar w:fldCharType="separate"/>
            </w:r>
            <w:r w:rsidRPr="00CE3643">
              <w:fldChar w:fldCharType="end"/>
            </w:r>
            <w:r w:rsidRPr="00CE3643">
              <w:t>Authority Required - In Writing (for initial therapy)</w:t>
            </w:r>
          </w:p>
          <w:p w14:paraId="16377B68" w14:textId="77777777" w:rsidR="000F6041" w:rsidRPr="00CE3643" w:rsidRDefault="000F6041" w:rsidP="006D0C3A">
            <w:pPr>
              <w:pStyle w:val="Tabletext"/>
              <w:keepNext/>
              <w:keepLines/>
              <w:rPr>
                <w:lang w:eastAsia="en-AU"/>
              </w:rPr>
            </w:pPr>
            <w:r w:rsidRPr="00CE3643">
              <w:rPr>
                <w:rFonts w:cs="Calibri"/>
                <w:bCs/>
                <w:szCs w:val="20"/>
                <w:lang w:eastAsia="zh-CN"/>
              </w:rPr>
              <w:fldChar w:fldCharType="begin">
                <w:ffData>
                  <w:name w:val="Check3"/>
                  <w:enabled/>
                  <w:calcOnExit w:val="0"/>
                  <w:checkBox>
                    <w:sizeAuto/>
                    <w:default w:val="1"/>
                  </w:checkBox>
                </w:ffData>
              </w:fldChar>
            </w:r>
            <w:r w:rsidRPr="00CE3643">
              <w:rPr>
                <w:rFonts w:cs="Calibri"/>
                <w:bCs/>
                <w:szCs w:val="20"/>
                <w:lang w:eastAsia="zh-CN"/>
              </w:rPr>
              <w:instrText xml:space="preserve"> FORMCHECKBOX </w:instrText>
            </w:r>
            <w:r w:rsidR="00A87B03">
              <w:rPr>
                <w:rFonts w:cs="Calibri"/>
                <w:bCs/>
                <w:szCs w:val="20"/>
                <w:lang w:eastAsia="zh-CN"/>
              </w:rPr>
            </w:r>
            <w:r w:rsidR="00A87B03">
              <w:rPr>
                <w:rFonts w:cs="Calibri"/>
                <w:bCs/>
                <w:szCs w:val="20"/>
                <w:lang w:eastAsia="zh-CN"/>
              </w:rPr>
              <w:fldChar w:fldCharType="separate"/>
            </w:r>
            <w:r w:rsidRPr="00CE3643">
              <w:rPr>
                <w:rFonts w:cs="Calibri"/>
                <w:bCs/>
                <w:szCs w:val="20"/>
                <w:lang w:eastAsia="zh-CN"/>
              </w:rPr>
              <w:fldChar w:fldCharType="end"/>
            </w:r>
            <w:r w:rsidRPr="00CE3643">
              <w:rPr>
                <w:rFonts w:cs="Calibri"/>
                <w:bCs/>
                <w:szCs w:val="20"/>
                <w:lang w:eastAsia="zh-CN"/>
              </w:rPr>
              <w:t xml:space="preserve">Authority Required – Telephone </w:t>
            </w:r>
            <w:r w:rsidRPr="00CE3643">
              <w:rPr>
                <w:szCs w:val="20"/>
              </w:rPr>
              <w:t xml:space="preserve"> (for continuing therapy)</w:t>
            </w:r>
          </w:p>
        </w:tc>
      </w:tr>
      <w:tr w:rsidR="000F6041" w:rsidRPr="00CE3643" w14:paraId="4FE3C0A9" w14:textId="77777777" w:rsidTr="00E96E81">
        <w:tblPrEx>
          <w:tblLook w:val="04A0" w:firstRow="1" w:lastRow="0" w:firstColumn="1" w:lastColumn="0" w:noHBand="0" w:noVBand="1"/>
        </w:tblPrEx>
        <w:trPr>
          <w:trHeight w:val="20"/>
        </w:trPr>
        <w:tc>
          <w:tcPr>
            <w:tcW w:w="1103" w:type="pct"/>
            <w:hideMark/>
          </w:tcPr>
          <w:p w14:paraId="5729A443" w14:textId="77777777" w:rsidR="000F6041" w:rsidRPr="00CE3643" w:rsidRDefault="000F6041" w:rsidP="006D0C3A">
            <w:pPr>
              <w:pStyle w:val="Tabletext"/>
              <w:keepNext/>
              <w:keepLines/>
              <w:rPr>
                <w:b/>
              </w:rPr>
            </w:pPr>
            <w:r w:rsidRPr="00CE3643">
              <w:rPr>
                <w:b/>
              </w:rPr>
              <w:t>Treatment criteria:</w:t>
            </w:r>
          </w:p>
          <w:p w14:paraId="738F8FB4" w14:textId="77777777" w:rsidR="000F6041" w:rsidRPr="00CE3643" w:rsidRDefault="000F6041" w:rsidP="006D0C3A">
            <w:pPr>
              <w:pStyle w:val="Tabletext"/>
              <w:keepNext/>
              <w:keepLines/>
              <w:rPr>
                <w:lang w:eastAsia="en-AU"/>
              </w:rPr>
            </w:pPr>
          </w:p>
        </w:tc>
        <w:tc>
          <w:tcPr>
            <w:tcW w:w="3897" w:type="pct"/>
            <w:gridSpan w:val="6"/>
          </w:tcPr>
          <w:p w14:paraId="6588E5C6" w14:textId="77777777" w:rsidR="000F6041" w:rsidRPr="00CE3643" w:rsidRDefault="000F6041" w:rsidP="006D0C3A">
            <w:pPr>
              <w:pStyle w:val="Tabletext"/>
              <w:keepNext/>
              <w:keepLines/>
              <w:rPr>
                <w:lang w:eastAsia="en-AU"/>
              </w:rPr>
            </w:pPr>
            <w:r w:rsidRPr="00CE3643">
              <w:rPr>
                <w:rFonts w:eastAsiaTheme="minorEastAsia" w:cstheme="minorBidi"/>
              </w:rPr>
              <w:t>Must be treated by a specialist medical practitioner experienced in the diagnosis and management of SMA associated with a neuromuscular clinic</w:t>
            </w:r>
            <w:r w:rsidRPr="00CE3643">
              <w:t xml:space="preserve">, </w:t>
            </w:r>
            <w:r w:rsidRPr="00CE3643">
              <w:rPr>
                <w:rFonts w:eastAsiaTheme="minorEastAsia"/>
              </w:rPr>
              <w:t>or in consultation with a specialist medical practitioner experienced in the diagnosis and management of SMA associated with a neuromuscular clinic</w:t>
            </w:r>
            <w:r w:rsidRPr="00CE3643">
              <w:t>.</w:t>
            </w:r>
            <w:r w:rsidRPr="00CE3643">
              <w:rPr>
                <w:rFonts w:eastAsiaTheme="minorEastAsia" w:cstheme="minorBidi"/>
              </w:rPr>
              <w:t xml:space="preserve"> </w:t>
            </w:r>
          </w:p>
        </w:tc>
      </w:tr>
      <w:tr w:rsidR="000F6041" w:rsidRPr="00CE3643" w14:paraId="2874B9C7" w14:textId="77777777" w:rsidTr="00E96E81">
        <w:tblPrEx>
          <w:tblLook w:val="04A0" w:firstRow="1" w:lastRow="0" w:firstColumn="1" w:lastColumn="0" w:noHBand="0" w:noVBand="1"/>
        </w:tblPrEx>
        <w:trPr>
          <w:trHeight w:val="20"/>
        </w:trPr>
        <w:tc>
          <w:tcPr>
            <w:tcW w:w="1103" w:type="pct"/>
            <w:hideMark/>
          </w:tcPr>
          <w:p w14:paraId="6F62E42A" w14:textId="77777777" w:rsidR="000F6041" w:rsidRPr="00CE3643" w:rsidRDefault="000F6041" w:rsidP="006D0C3A">
            <w:pPr>
              <w:pStyle w:val="Tabletext"/>
              <w:keepNext/>
              <w:keepLines/>
              <w:rPr>
                <w:b/>
              </w:rPr>
            </w:pPr>
            <w:r w:rsidRPr="00CE3643">
              <w:rPr>
                <w:b/>
              </w:rPr>
              <w:t>For initial therapy</w:t>
            </w:r>
          </w:p>
          <w:p w14:paraId="3FD8181E" w14:textId="77777777" w:rsidR="000F6041" w:rsidRPr="00CE3643" w:rsidRDefault="000F6041" w:rsidP="006D0C3A">
            <w:pPr>
              <w:pStyle w:val="Tabletext"/>
              <w:keepNext/>
              <w:keepLines/>
              <w:rPr>
                <w:lang w:eastAsia="en-AU"/>
              </w:rPr>
            </w:pPr>
          </w:p>
        </w:tc>
        <w:tc>
          <w:tcPr>
            <w:tcW w:w="3897" w:type="pct"/>
            <w:gridSpan w:val="6"/>
          </w:tcPr>
          <w:p w14:paraId="60221049" w14:textId="77777777" w:rsidR="000F6041" w:rsidRPr="00CE3643" w:rsidRDefault="000F6041" w:rsidP="006D0C3A">
            <w:pPr>
              <w:keepNext/>
              <w:keepLines/>
              <w:rPr>
                <w:rFonts w:ascii="Arial Narrow" w:hAnsi="Arial Narrow" w:cstheme="minorHAnsi"/>
                <w:sz w:val="20"/>
                <w:szCs w:val="20"/>
              </w:rPr>
            </w:pPr>
            <w:r w:rsidRPr="00CE3643">
              <w:rPr>
                <w:rFonts w:ascii="Arial Narrow" w:hAnsi="Arial Narrow" w:cstheme="minorHAnsi"/>
                <w:iCs/>
                <w:color w:val="000000"/>
                <w:sz w:val="20"/>
                <w:szCs w:val="20"/>
              </w:rPr>
              <w:t xml:space="preserve">The condition must have 5q homozygous deletion, mutation of, or compound heterozygous mutation in the </w:t>
            </w:r>
            <w:r w:rsidRPr="00CE3643">
              <w:rPr>
                <w:rFonts w:ascii="Arial Narrow" w:hAnsi="Arial Narrow" w:cstheme="minorHAnsi"/>
                <w:color w:val="000000"/>
                <w:sz w:val="20"/>
                <w:szCs w:val="20"/>
              </w:rPr>
              <w:t xml:space="preserve">SMN1 </w:t>
            </w:r>
            <w:r w:rsidRPr="00CE3643">
              <w:rPr>
                <w:rFonts w:ascii="Arial Narrow" w:hAnsi="Arial Narrow" w:cstheme="minorHAnsi"/>
                <w:iCs/>
                <w:color w:val="000000"/>
                <w:sz w:val="20"/>
                <w:szCs w:val="20"/>
              </w:rPr>
              <w:t>gene of type I, II or III, AND</w:t>
            </w:r>
          </w:p>
          <w:p w14:paraId="15D7B51C" w14:textId="77777777" w:rsidR="000F6041" w:rsidRPr="00CE3643" w:rsidRDefault="000F6041" w:rsidP="006D0C3A">
            <w:pPr>
              <w:keepNext/>
              <w:keepLines/>
              <w:rPr>
                <w:rFonts w:ascii="Arial Narrow" w:hAnsi="Arial Narrow" w:cstheme="minorHAnsi"/>
                <w:sz w:val="20"/>
                <w:szCs w:val="20"/>
              </w:rPr>
            </w:pPr>
            <w:r w:rsidRPr="00CE3643">
              <w:rPr>
                <w:rFonts w:ascii="Arial Narrow" w:hAnsi="Arial Narrow" w:cstheme="minorHAnsi"/>
                <w:iCs/>
                <w:color w:val="000000"/>
                <w:sz w:val="20"/>
                <w:szCs w:val="20"/>
              </w:rPr>
              <w:t>Patient must have experienced at least two of the defined signs and symptoms of SMA type I, II or III, AND</w:t>
            </w:r>
          </w:p>
          <w:p w14:paraId="0F4BBEED" w14:textId="77777777" w:rsidR="000F6041" w:rsidRPr="00CE3643" w:rsidRDefault="000F6041" w:rsidP="006D0C3A">
            <w:pPr>
              <w:keepNext/>
              <w:keepLines/>
              <w:rPr>
                <w:rFonts w:ascii="Arial Narrow" w:hAnsi="Arial Narrow" w:cstheme="minorHAnsi"/>
                <w:sz w:val="20"/>
                <w:szCs w:val="20"/>
              </w:rPr>
            </w:pPr>
            <w:r w:rsidRPr="00CE3643">
              <w:rPr>
                <w:rFonts w:ascii="Arial Narrow" w:hAnsi="Arial Narrow" w:cstheme="minorHAnsi"/>
                <w:iCs/>
                <w:color w:val="000000"/>
                <w:sz w:val="20"/>
                <w:szCs w:val="20"/>
              </w:rPr>
              <w:t>The treatment must be given concomitantly with best supportive care for this condition,</w:t>
            </w:r>
            <w:r w:rsidRPr="00CE3643">
              <w:rPr>
                <w:rFonts w:ascii="Arial Narrow" w:hAnsi="Arial Narrow" w:cstheme="minorHAnsi"/>
                <w:color w:val="000000"/>
                <w:sz w:val="20"/>
                <w:szCs w:val="20"/>
              </w:rPr>
              <w:t xml:space="preserve"> </w:t>
            </w:r>
            <w:r w:rsidRPr="00CE3643">
              <w:rPr>
                <w:rFonts w:ascii="Arial Narrow" w:hAnsi="Arial Narrow" w:cstheme="minorHAnsi"/>
                <w:iCs/>
                <w:color w:val="000000"/>
                <w:sz w:val="20"/>
                <w:szCs w:val="20"/>
              </w:rPr>
              <w:t>AND</w:t>
            </w:r>
          </w:p>
          <w:p w14:paraId="67E85613" w14:textId="77777777" w:rsidR="000F6041" w:rsidRPr="00CE3643" w:rsidRDefault="000F6041" w:rsidP="006D0C3A">
            <w:pPr>
              <w:pStyle w:val="TableText1"/>
              <w:keepNext/>
              <w:keepLines/>
              <w:rPr>
                <w:rFonts w:ascii="Arial Narrow" w:hAnsi="Arial Narrow" w:cstheme="minorHAnsi"/>
                <w:iCs/>
                <w:color w:val="000000"/>
              </w:rPr>
            </w:pPr>
            <w:r w:rsidRPr="00CE3643">
              <w:rPr>
                <w:rFonts w:ascii="Arial Narrow" w:hAnsi="Arial Narrow" w:cstheme="minorHAnsi"/>
                <w:iCs/>
                <w:color w:val="000000"/>
              </w:rPr>
              <w:t>The treatment must not be in combination with other disease modifying treatments for this condition, AND</w:t>
            </w:r>
          </w:p>
          <w:p w14:paraId="573AF7C9" w14:textId="77777777" w:rsidR="000F6041" w:rsidRPr="00CE3643" w:rsidRDefault="000F6041" w:rsidP="006D0C3A">
            <w:pPr>
              <w:pStyle w:val="Tabletext"/>
              <w:keepNext/>
              <w:keepLines/>
              <w:rPr>
                <w:rFonts w:cstheme="minorHAnsi"/>
                <w:iCs/>
              </w:rPr>
            </w:pPr>
            <w:r w:rsidRPr="00CE3643">
              <w:rPr>
                <w:rFonts w:cstheme="minorHAnsi"/>
                <w:iCs/>
              </w:rPr>
              <w:t>The treatment must not be initiated within 120 days of previous treatment with nusinersen, AND</w:t>
            </w:r>
          </w:p>
          <w:p w14:paraId="0C40AE8B" w14:textId="77777777" w:rsidR="000F6041" w:rsidRPr="00CE3643" w:rsidRDefault="000F6041" w:rsidP="006D0C3A">
            <w:pPr>
              <w:pStyle w:val="Tabletext"/>
              <w:keepNext/>
              <w:keepLines/>
              <w:rPr>
                <w:lang w:eastAsia="en-AU"/>
              </w:rPr>
            </w:pPr>
            <w:r w:rsidRPr="00CE3643">
              <w:rPr>
                <w:rFonts w:cstheme="minorHAnsi"/>
                <w:iCs/>
              </w:rPr>
              <w:t>Patients must be 18 years of age or under (population 1 and 2) or must be over 18 years of age</w:t>
            </w:r>
            <w:r w:rsidR="00C63FA8" w:rsidRPr="00CE3643">
              <w:rPr>
                <w:rFonts w:cstheme="minorHAnsi"/>
                <w:iCs/>
              </w:rPr>
              <w:t xml:space="preserve"> </w:t>
            </w:r>
            <w:r w:rsidRPr="00CE3643">
              <w:rPr>
                <w:rFonts w:cstheme="minorHAnsi"/>
                <w:iCs/>
              </w:rPr>
              <w:t xml:space="preserve">(population 3) </w:t>
            </w:r>
          </w:p>
        </w:tc>
      </w:tr>
      <w:tr w:rsidR="000F6041" w:rsidRPr="00CE3643" w14:paraId="2435C624" w14:textId="77777777" w:rsidTr="00E96E81">
        <w:tblPrEx>
          <w:tblLook w:val="04A0" w:firstRow="1" w:lastRow="0" w:firstColumn="1" w:lastColumn="0" w:noHBand="0" w:noVBand="1"/>
        </w:tblPrEx>
        <w:trPr>
          <w:trHeight w:val="20"/>
        </w:trPr>
        <w:tc>
          <w:tcPr>
            <w:tcW w:w="1103" w:type="pct"/>
            <w:hideMark/>
          </w:tcPr>
          <w:p w14:paraId="2107D260" w14:textId="77777777" w:rsidR="000F6041" w:rsidRPr="00CE3643" w:rsidRDefault="000F6041" w:rsidP="006D0C3A">
            <w:pPr>
              <w:pStyle w:val="Tabletext"/>
              <w:keepNext/>
              <w:keepLines/>
              <w:rPr>
                <w:lang w:eastAsia="en-AU"/>
              </w:rPr>
            </w:pPr>
            <w:r w:rsidRPr="00CE3643">
              <w:rPr>
                <w:b/>
              </w:rPr>
              <w:t>For continuing therapy</w:t>
            </w:r>
          </w:p>
        </w:tc>
        <w:tc>
          <w:tcPr>
            <w:tcW w:w="3897" w:type="pct"/>
            <w:gridSpan w:val="6"/>
          </w:tcPr>
          <w:p w14:paraId="441E6080" w14:textId="77777777" w:rsidR="000F6041" w:rsidRPr="00CE3643" w:rsidRDefault="000F6041" w:rsidP="006D0C3A">
            <w:pPr>
              <w:keepNext/>
              <w:keepLines/>
              <w:rPr>
                <w:rFonts w:ascii="Arial Narrow" w:hAnsi="Arial Narrow" w:cstheme="minorHAnsi"/>
                <w:sz w:val="20"/>
                <w:szCs w:val="20"/>
              </w:rPr>
            </w:pPr>
            <w:r w:rsidRPr="00CE3643">
              <w:rPr>
                <w:rFonts w:ascii="Arial Narrow" w:hAnsi="Arial Narrow" w:cstheme="minorHAnsi"/>
                <w:iCs/>
                <w:color w:val="000000"/>
                <w:sz w:val="20"/>
                <w:szCs w:val="20"/>
              </w:rPr>
              <w:t>Patient must have previously received PBS-subsidised treatment with this drug for this condition, AND</w:t>
            </w:r>
          </w:p>
          <w:p w14:paraId="5C68EE1B" w14:textId="77777777" w:rsidR="000F6041" w:rsidRPr="00CE3643" w:rsidRDefault="000F6041" w:rsidP="006D0C3A">
            <w:pPr>
              <w:pStyle w:val="TableText1"/>
              <w:keepNext/>
              <w:keepLines/>
              <w:rPr>
                <w:rFonts w:ascii="Arial Narrow" w:hAnsi="Arial Narrow" w:cstheme="minorHAnsi"/>
              </w:rPr>
            </w:pPr>
            <w:r w:rsidRPr="00CE3643">
              <w:rPr>
                <w:rFonts w:ascii="Arial Narrow" w:hAnsi="Arial Narrow" w:cstheme="minorHAnsi"/>
                <w:iCs/>
                <w:color w:val="000000"/>
              </w:rPr>
              <w:t>The treatment must not be in combination with other disease modifying treatments for this condition, AND</w:t>
            </w:r>
          </w:p>
          <w:p w14:paraId="40837952" w14:textId="77777777" w:rsidR="000F6041" w:rsidRPr="00CE3643" w:rsidRDefault="000F6041" w:rsidP="006D0C3A">
            <w:pPr>
              <w:keepNext/>
              <w:keepLines/>
              <w:rPr>
                <w:rFonts w:ascii="Arial Narrow" w:hAnsi="Arial Narrow" w:cstheme="minorHAnsi"/>
                <w:sz w:val="20"/>
                <w:szCs w:val="20"/>
              </w:rPr>
            </w:pPr>
            <w:r w:rsidRPr="00CE3643">
              <w:rPr>
                <w:rFonts w:ascii="Arial Narrow" w:hAnsi="Arial Narrow" w:cstheme="minorHAnsi"/>
                <w:iCs/>
                <w:color w:val="000000"/>
                <w:sz w:val="20"/>
                <w:szCs w:val="20"/>
              </w:rPr>
              <w:t>The treatment must be ceased when invasive permanent assisted ventilation is required in the absence of a potentially reversible cause while being treated with this drug, AND</w:t>
            </w:r>
          </w:p>
          <w:p w14:paraId="0ED20DC4" w14:textId="77777777" w:rsidR="000F6041" w:rsidRPr="00CE3643" w:rsidRDefault="000F6041" w:rsidP="006D0C3A">
            <w:pPr>
              <w:keepNext/>
              <w:keepLines/>
              <w:rPr>
                <w:rFonts w:ascii="Arial Narrow" w:hAnsi="Arial Narrow" w:cstheme="minorHAnsi"/>
                <w:snapToGrid/>
                <w:sz w:val="20"/>
                <w:szCs w:val="20"/>
                <w:lang w:eastAsia="zh-CN"/>
              </w:rPr>
            </w:pPr>
            <w:r w:rsidRPr="00CE3643">
              <w:rPr>
                <w:rFonts w:ascii="Arial Narrow" w:hAnsi="Arial Narrow" w:cstheme="minorHAnsi"/>
                <w:iCs/>
                <w:color w:val="000000"/>
                <w:sz w:val="20"/>
                <w:szCs w:val="20"/>
              </w:rPr>
              <w:t>The treatment must be given concomitantly with best supportive care for the condition</w:t>
            </w:r>
            <w:r w:rsidRPr="00CE3643">
              <w:rPr>
                <w:rFonts w:ascii="Arial Narrow" w:hAnsi="Arial Narrow" w:cstheme="minorHAnsi"/>
                <w:snapToGrid/>
                <w:sz w:val="20"/>
                <w:szCs w:val="20"/>
                <w:lang w:eastAsia="zh-CN"/>
              </w:rPr>
              <w:t>; AND</w:t>
            </w:r>
          </w:p>
          <w:p w14:paraId="2B66DCEA" w14:textId="77777777" w:rsidR="000F6041" w:rsidRPr="00CE3643" w:rsidRDefault="000F6041" w:rsidP="006D0C3A">
            <w:pPr>
              <w:pStyle w:val="Tabletext"/>
              <w:keepNext/>
              <w:keepLines/>
              <w:rPr>
                <w:color w:val="000000"/>
                <w:szCs w:val="24"/>
                <w:lang w:eastAsia="en-AU"/>
              </w:rPr>
            </w:pPr>
            <w:r w:rsidRPr="00CE3643">
              <w:rPr>
                <w:rFonts w:cstheme="minorHAnsi"/>
                <w:szCs w:val="20"/>
                <w:lang w:eastAsia="zh-CN"/>
              </w:rPr>
              <w:t>In patients who initiated treatment when they were over 18 years of age (population 3), patient must have demonstrated maintenance or improvement of motor function</w:t>
            </w:r>
          </w:p>
        </w:tc>
      </w:tr>
    </w:tbl>
    <w:p w14:paraId="3DFF1158" w14:textId="77777777" w:rsidR="00957FCE" w:rsidRPr="00CE3643" w:rsidRDefault="00957FCE" w:rsidP="006D0C3A">
      <w:pPr>
        <w:pStyle w:val="TableFooter"/>
        <w:keepNext/>
        <w:keepLines/>
      </w:pPr>
      <w:r w:rsidRPr="00CE3643">
        <w:t>*Note the effective prices as based on price parity to nusinersen and detailed in the cost-minimisation analysis in Section 3B are presented</w:t>
      </w:r>
      <w:r w:rsidRPr="007B3DA4">
        <w:t xml:space="preserve"> </w:t>
      </w:r>
      <w:r w:rsidRPr="00CE3643">
        <w:t>in Table 5 in the CIC section of the Executive Summary.</w:t>
      </w:r>
    </w:p>
    <w:p w14:paraId="7D4934A2" w14:textId="77777777" w:rsidR="00957FCE" w:rsidRDefault="00957FCE" w:rsidP="006D0C3A">
      <w:pPr>
        <w:pStyle w:val="TableFooter"/>
        <w:keepNext/>
        <w:keepLines/>
      </w:pPr>
      <w:r>
        <w:t xml:space="preserve">Source: Table 1.8 and 1.9, p26 of </w:t>
      </w:r>
      <w:r w:rsidRPr="00D13A3E">
        <w:t xml:space="preserve">the </w:t>
      </w:r>
      <w:r>
        <w:t>submission.</w:t>
      </w:r>
    </w:p>
    <w:p w14:paraId="7C75189E" w14:textId="77777777" w:rsidR="00957FCE" w:rsidRPr="00882085" w:rsidRDefault="00957FCE" w:rsidP="00957FCE"/>
    <w:p w14:paraId="333E69A6" w14:textId="77777777" w:rsidR="00957FCE" w:rsidRPr="00CE3643" w:rsidRDefault="00957FCE" w:rsidP="004422FA">
      <w:pPr>
        <w:pStyle w:val="ListParagraph"/>
        <w:widowControl/>
        <w:numPr>
          <w:ilvl w:val="1"/>
          <w:numId w:val="2"/>
        </w:numPr>
      </w:pPr>
      <w:r w:rsidRPr="0016207C">
        <w:t>The submission requested a Special Pricing Arrangement</w:t>
      </w:r>
      <w:r w:rsidR="009A4850">
        <w:t xml:space="preserve"> (SPA)</w:t>
      </w:r>
      <w:r w:rsidRPr="0016207C">
        <w:t>, with the published price and effective price o</w:t>
      </w:r>
      <w:r w:rsidR="009A4850">
        <w:t>f</w:t>
      </w:r>
      <w:r w:rsidRPr="0016207C">
        <w:t xml:space="preserve"> risdiplam</w:t>
      </w:r>
      <w:r w:rsidR="00EE40C6">
        <w:t xml:space="preserve"> calculated on a cost-minimisation basis with nusinersen.</w:t>
      </w:r>
      <w:r w:rsidRPr="0016207C">
        <w:t xml:space="preserve"> </w:t>
      </w:r>
    </w:p>
    <w:p w14:paraId="7C67CFB5" w14:textId="77777777" w:rsidR="00D02FA1" w:rsidRDefault="00D02FA1" w:rsidP="004E2846">
      <w:pPr>
        <w:pStyle w:val="ListParagraph"/>
        <w:widowControl/>
        <w:numPr>
          <w:ilvl w:val="1"/>
          <w:numId w:val="2"/>
        </w:numPr>
      </w:pPr>
      <w:bookmarkStart w:id="8" w:name="_Ref61510488"/>
      <w:r>
        <w:lastRenderedPageBreak/>
        <w:t>T</w:t>
      </w:r>
      <w:r w:rsidR="00957FCE" w:rsidRPr="00CE3643">
        <w:t xml:space="preserve">he requested listing requires the condition to be ‘5q homozygous deletion, mutation of, compound heterozygous mutation in the </w:t>
      </w:r>
      <w:r w:rsidR="00957FCE" w:rsidRPr="00CE3643">
        <w:rPr>
          <w:iCs/>
        </w:rPr>
        <w:t>SMN1</w:t>
      </w:r>
      <w:r w:rsidR="00957FCE" w:rsidRPr="00CE3643">
        <w:t xml:space="preserve"> gene of type I, II or III’, </w:t>
      </w:r>
      <w:r>
        <w:t xml:space="preserve">however </w:t>
      </w:r>
      <w:r w:rsidR="00957FCE" w:rsidRPr="00CE3643">
        <w:t>it was unclear whether the results of these tests would be available for older patients initiating treatment. The cost of a test for deletion or mutation in the SMN1 gene is not funded by the MBS and patients will generally rely on public hospital systems to cover the costs of such testing.</w:t>
      </w:r>
      <w:r w:rsidR="00733C8E" w:rsidRPr="00CE3643">
        <w:t xml:space="preserve"> The cost of </w:t>
      </w:r>
      <w:r w:rsidR="00733C8E" w:rsidRPr="00CE3643">
        <w:rPr>
          <w:iCs/>
        </w:rPr>
        <w:t xml:space="preserve">SMN1 </w:t>
      </w:r>
      <w:r w:rsidR="00733C8E" w:rsidRPr="00CE3643">
        <w:t xml:space="preserve">testing was not included in the economic evaluation or financial estimates. </w:t>
      </w:r>
    </w:p>
    <w:p w14:paraId="35983AC1" w14:textId="77777777" w:rsidR="00957FCE" w:rsidRDefault="00D02FA1" w:rsidP="004E2846">
      <w:pPr>
        <w:pStyle w:val="ListParagraph"/>
        <w:widowControl/>
        <w:numPr>
          <w:ilvl w:val="1"/>
          <w:numId w:val="2"/>
        </w:numPr>
      </w:pPr>
      <w:r>
        <w:t xml:space="preserve">The PBAC noted that the restriction would need to be revised to reflect the population for whom PBS listing was recommended. </w:t>
      </w:r>
      <w:r w:rsidR="004E2846" w:rsidRPr="00CE3643">
        <w:t>There may be potential for use outside the requested restriction</w:t>
      </w:r>
      <w:r>
        <w:t xml:space="preserve"> in </w:t>
      </w:r>
      <w:r w:rsidR="004E2846" w:rsidRPr="00CE3643">
        <w:t xml:space="preserve">adult patients </w:t>
      </w:r>
      <w:r w:rsidR="00A64339">
        <w:t xml:space="preserve">and patients </w:t>
      </w:r>
      <w:r w:rsidR="004E2846" w:rsidRPr="00CE3643">
        <w:t xml:space="preserve">with Type </w:t>
      </w:r>
      <w:r w:rsidR="00A64339">
        <w:t xml:space="preserve">3b or Type </w:t>
      </w:r>
      <w:r w:rsidR="004E2846" w:rsidRPr="00CE3643">
        <w:t>4</w:t>
      </w:r>
      <w:r w:rsidR="00A64339">
        <w:t xml:space="preserve"> SMA. </w:t>
      </w:r>
      <w:r w:rsidR="004E2846" w:rsidRPr="00CE3643">
        <w:t xml:space="preserve">There </w:t>
      </w:r>
      <w:r w:rsidR="00A64339">
        <w:t>is</w:t>
      </w:r>
      <w:r w:rsidR="00A64339" w:rsidRPr="00CE3643">
        <w:t xml:space="preserve"> </w:t>
      </w:r>
      <w:r w:rsidR="004E2846" w:rsidRPr="00CE3643">
        <w:t>also the potential for use outside the restriction in pre-symptomatic patients identified with SMA through newborn screening programs.</w:t>
      </w:r>
      <w:bookmarkEnd w:id="8"/>
    </w:p>
    <w:p w14:paraId="2C12DC73" w14:textId="77777777" w:rsidR="00663A34" w:rsidRDefault="00786E39" w:rsidP="004E2846">
      <w:pPr>
        <w:pStyle w:val="ListParagraph"/>
        <w:widowControl/>
        <w:numPr>
          <w:ilvl w:val="1"/>
          <w:numId w:val="2"/>
        </w:numPr>
      </w:pPr>
      <w:r>
        <w:t>The PBAC</w:t>
      </w:r>
      <w:r w:rsidR="00663A34">
        <w:t xml:space="preserve"> noted that the proposed restriction does not allow concomitant use of risdiplam with other disease modifying treatments for SMA, but no restrictions on previous treatments were proposed. The PBAC considered that it would be appropriate for patients previously treated with nusinersen to receive risdiplam</w:t>
      </w:r>
      <w:r w:rsidR="005A0953">
        <w:t>. The PBAC foreshadowed that if additional disease modifying treatments for SMA are listed on the PBS further consideration may need to be given to restrictions regarding their use prior to risdiplam</w:t>
      </w:r>
      <w:r w:rsidR="00663A34">
        <w:t>.</w:t>
      </w:r>
      <w:r w:rsidR="005A0953">
        <w:t xml:space="preserve"> </w:t>
      </w:r>
    </w:p>
    <w:p w14:paraId="6A9FF58D" w14:textId="77777777" w:rsidR="00414B4D" w:rsidRPr="00CE3643" w:rsidRDefault="00414B4D" w:rsidP="00414B4D">
      <w:pPr>
        <w:widowControl/>
        <w:ind w:left="633"/>
      </w:pPr>
      <w:r w:rsidRPr="00C33D30">
        <w:rPr>
          <w:rFonts w:asciiTheme="minorHAnsi" w:hAnsiTheme="minorHAnsi"/>
          <w:i/>
        </w:rPr>
        <w:t>For more detail on PBAC’s view, see section 7 PBAC outcome.</w:t>
      </w:r>
    </w:p>
    <w:p w14:paraId="159C10E5" w14:textId="77777777" w:rsidR="00D06485" w:rsidRPr="00840284" w:rsidRDefault="00D06485" w:rsidP="009F5351">
      <w:pPr>
        <w:pStyle w:val="2-SectionHeading"/>
      </w:pPr>
      <w:bookmarkStart w:id="9" w:name="_Toc59404588"/>
      <w:bookmarkStart w:id="10" w:name="_Toc61959930"/>
      <w:r w:rsidRPr="00840284">
        <w:t>Population and disease</w:t>
      </w:r>
      <w:bookmarkEnd w:id="9"/>
      <w:bookmarkEnd w:id="10"/>
    </w:p>
    <w:p w14:paraId="1F40DF89" w14:textId="77777777" w:rsidR="00957FCE" w:rsidRPr="00CE3643" w:rsidRDefault="00957FCE" w:rsidP="0037240C">
      <w:pPr>
        <w:pStyle w:val="3-BodyText"/>
      </w:pPr>
      <w:r w:rsidRPr="00C04253">
        <w:t xml:space="preserve">SMA is a rare autosomal recessive progressive neuromuscular disease caused by mutations or </w:t>
      </w:r>
      <w:r w:rsidRPr="00CE3643">
        <w:t>deletions in the Survival-of-Motor-Neuron 1 (SMN1</w:t>
      </w:r>
      <w:r w:rsidRPr="00CE3643">
        <w:rPr>
          <w:iCs/>
        </w:rPr>
        <w:t>)</w:t>
      </w:r>
      <w:r w:rsidRPr="00CE3643">
        <w:t xml:space="preserve"> gene on chromosome 5q. Alterations to this gene result in deficiency of SMN protein, which in turn results in loss of motor function, muscle weakness and complications such as respiratory issues, contractures and scoliosis. Patients with SMA typically develop weak muscles and may have trouble walking and breathing. SMA is classified into types (0, 1, 2, 3 and 4) and subtypes (a, b, and sometimes by subgroup c) based on age of onset and maximal motor function achieved. </w:t>
      </w:r>
    </w:p>
    <w:p w14:paraId="16CC430B" w14:textId="77777777" w:rsidR="00957FCE" w:rsidRPr="00CE3643" w:rsidRDefault="00957FCE" w:rsidP="0037240C">
      <w:pPr>
        <w:pStyle w:val="3-BodyText"/>
      </w:pPr>
      <w:r w:rsidRPr="00C04253">
        <w:t xml:space="preserve">There is a clinical spectrum of disease with earlier age of onset being associated with lower </w:t>
      </w:r>
      <w:r w:rsidRPr="00CE3643">
        <w:t xml:space="preserve">numbers of SMN2 gene copies and increased severity of symptoms. </w:t>
      </w:r>
      <w:r w:rsidR="009825B3" w:rsidRPr="009825B3">
        <w:t>Table 2</w:t>
      </w:r>
      <w:r w:rsidRPr="00CE3643">
        <w:t xml:space="preserve"> outlines the relationship between SMA type and SMN2 copy number as well as the life expectancy, typical symptoms and expected motor function for each SMA type.</w:t>
      </w:r>
    </w:p>
    <w:p w14:paraId="3534C048" w14:textId="77777777" w:rsidR="00957FCE" w:rsidRPr="00CE3643" w:rsidRDefault="005B44C9" w:rsidP="005B44C9">
      <w:pPr>
        <w:keepNext/>
        <w:keepLines/>
        <w:rPr>
          <w:rFonts w:ascii="Arial Narrow" w:hAnsi="Arial Narrow"/>
          <w:b/>
          <w:sz w:val="20"/>
          <w:szCs w:val="20"/>
        </w:rPr>
      </w:pPr>
      <w:bookmarkStart w:id="11" w:name="_Ref61511119"/>
      <w:r w:rsidRPr="00CE3643">
        <w:rPr>
          <w:rFonts w:ascii="Arial Narrow" w:hAnsi="Arial Narrow"/>
          <w:b/>
          <w:sz w:val="20"/>
          <w:szCs w:val="20"/>
        </w:rPr>
        <w:lastRenderedPageBreak/>
        <w:t xml:space="preserve">Table </w:t>
      </w:r>
      <w:r w:rsidR="009825B3">
        <w:rPr>
          <w:rFonts w:ascii="Arial Narrow" w:hAnsi="Arial Narrow"/>
          <w:b/>
          <w:noProof/>
          <w:sz w:val="20"/>
          <w:szCs w:val="20"/>
        </w:rPr>
        <w:t>2</w:t>
      </w:r>
      <w:bookmarkEnd w:id="11"/>
      <w:r w:rsidR="00957FCE" w:rsidRPr="00CE3643">
        <w:rPr>
          <w:rFonts w:ascii="Arial Narrow" w:hAnsi="Arial Narrow"/>
          <w:b/>
          <w:sz w:val="20"/>
          <w:szCs w:val="20"/>
        </w:rPr>
        <w:t>: SMA clinical classification according to onset, achieved milestones, evolution and the SMN2 genotype</w:t>
      </w:r>
    </w:p>
    <w:tbl>
      <w:tblPr>
        <w:tblStyle w:val="HTAtableplain1"/>
        <w:tblW w:w="5000" w:type="pct"/>
        <w:tblLook w:val="04A0" w:firstRow="1" w:lastRow="0" w:firstColumn="1" w:lastColumn="0" w:noHBand="0" w:noVBand="1"/>
        <w:tblCaption w:val="Table 2: SMA clinical classification according to onset, achieved milestones, evolution and the SMN2 genotype"/>
      </w:tblPr>
      <w:tblGrid>
        <w:gridCol w:w="634"/>
        <w:gridCol w:w="1112"/>
        <w:gridCol w:w="747"/>
        <w:gridCol w:w="676"/>
        <w:gridCol w:w="866"/>
        <w:gridCol w:w="1650"/>
        <w:gridCol w:w="1250"/>
        <w:gridCol w:w="972"/>
        <w:gridCol w:w="1109"/>
      </w:tblGrid>
      <w:tr w:rsidR="00957FCE" w:rsidRPr="00CE3643" w14:paraId="440483DD" w14:textId="77777777" w:rsidTr="00EC127F">
        <w:trPr>
          <w:tblHeader/>
        </w:trPr>
        <w:tc>
          <w:tcPr>
            <w:tcW w:w="352" w:type="pct"/>
            <w:shd w:val="clear" w:color="auto" w:fill="auto"/>
            <w:vAlign w:val="center"/>
          </w:tcPr>
          <w:p w14:paraId="43C16857" w14:textId="77777777" w:rsidR="00957FCE" w:rsidRPr="00CE3643" w:rsidRDefault="00957FCE" w:rsidP="005648D0">
            <w:pPr>
              <w:keepNext/>
              <w:keepLines/>
              <w:widowControl/>
              <w:jc w:val="left"/>
              <w:rPr>
                <w:rFonts w:ascii="Arial Narrow" w:hAnsi="Arial Narrow" w:cs="Calibri"/>
                <w:b/>
                <w:bCs/>
                <w:sz w:val="20"/>
                <w:szCs w:val="20"/>
                <w:lang w:eastAsia="zh-CN"/>
              </w:rPr>
            </w:pPr>
            <w:r w:rsidRPr="00CE3643">
              <w:rPr>
                <w:rFonts w:ascii="Arial Narrow" w:hAnsi="Arial Narrow" w:cs="Calibri"/>
                <w:b/>
                <w:bCs/>
                <w:sz w:val="20"/>
                <w:szCs w:val="20"/>
                <w:lang w:eastAsia="zh-CN"/>
              </w:rPr>
              <w:t>SMA Type</w:t>
            </w:r>
          </w:p>
        </w:tc>
        <w:tc>
          <w:tcPr>
            <w:tcW w:w="617" w:type="pct"/>
            <w:shd w:val="clear" w:color="auto" w:fill="auto"/>
            <w:vAlign w:val="center"/>
          </w:tcPr>
          <w:p w14:paraId="6DCCB7CE" w14:textId="77777777" w:rsidR="00957FCE" w:rsidRPr="00CE3643" w:rsidRDefault="00957FCE" w:rsidP="005648D0">
            <w:pPr>
              <w:keepNext/>
              <w:keepLines/>
              <w:widowControl/>
              <w:jc w:val="center"/>
              <w:rPr>
                <w:rFonts w:ascii="Arial Narrow" w:hAnsi="Arial Narrow" w:cs="Calibri"/>
                <w:b/>
                <w:bCs/>
                <w:sz w:val="20"/>
                <w:szCs w:val="20"/>
                <w:lang w:eastAsia="zh-CN"/>
              </w:rPr>
            </w:pPr>
            <w:r w:rsidRPr="00CE3643">
              <w:rPr>
                <w:rFonts w:ascii="Arial Narrow" w:hAnsi="Arial Narrow" w:cs="Calibri"/>
                <w:b/>
                <w:bCs/>
                <w:sz w:val="20"/>
                <w:szCs w:val="20"/>
                <w:lang w:eastAsia="zh-CN"/>
              </w:rPr>
              <w:t>Age at symptom onset</w:t>
            </w:r>
          </w:p>
        </w:tc>
        <w:tc>
          <w:tcPr>
            <w:tcW w:w="414" w:type="pct"/>
            <w:shd w:val="clear" w:color="auto" w:fill="auto"/>
            <w:vAlign w:val="center"/>
          </w:tcPr>
          <w:p w14:paraId="61B450BF" w14:textId="77777777" w:rsidR="00957FCE" w:rsidRPr="00CE3643" w:rsidRDefault="00957FCE" w:rsidP="005648D0">
            <w:pPr>
              <w:keepNext/>
              <w:keepLines/>
              <w:widowControl/>
              <w:jc w:val="center"/>
              <w:rPr>
                <w:rFonts w:ascii="Arial Narrow" w:hAnsi="Arial Narrow" w:cs="Calibri"/>
                <w:b/>
                <w:bCs/>
                <w:sz w:val="20"/>
                <w:szCs w:val="20"/>
                <w:lang w:eastAsia="zh-CN"/>
              </w:rPr>
            </w:pPr>
            <w:r w:rsidRPr="00CE3643">
              <w:rPr>
                <w:rFonts w:ascii="Arial Narrow" w:hAnsi="Arial Narrow" w:cs="Calibri"/>
                <w:b/>
                <w:bCs/>
                <w:sz w:val="20"/>
                <w:szCs w:val="20"/>
                <w:lang w:eastAsia="zh-CN"/>
              </w:rPr>
              <w:t>Able to sit</w:t>
            </w:r>
          </w:p>
        </w:tc>
        <w:tc>
          <w:tcPr>
            <w:tcW w:w="375" w:type="pct"/>
            <w:shd w:val="clear" w:color="auto" w:fill="auto"/>
            <w:vAlign w:val="center"/>
          </w:tcPr>
          <w:p w14:paraId="5D8A936A" w14:textId="77777777" w:rsidR="00957FCE" w:rsidRPr="00CE3643" w:rsidRDefault="00957FCE" w:rsidP="005648D0">
            <w:pPr>
              <w:keepNext/>
              <w:keepLines/>
              <w:widowControl/>
              <w:jc w:val="center"/>
              <w:rPr>
                <w:rFonts w:ascii="Arial Narrow" w:hAnsi="Arial Narrow" w:cs="Calibri"/>
                <w:b/>
                <w:bCs/>
                <w:sz w:val="20"/>
                <w:szCs w:val="20"/>
                <w:lang w:eastAsia="zh-CN"/>
              </w:rPr>
            </w:pPr>
            <w:r w:rsidRPr="00CE3643">
              <w:rPr>
                <w:rFonts w:ascii="Arial Narrow" w:hAnsi="Arial Narrow" w:cs="Calibri"/>
                <w:b/>
                <w:bCs/>
                <w:sz w:val="20"/>
                <w:szCs w:val="20"/>
                <w:lang w:eastAsia="zh-CN"/>
              </w:rPr>
              <w:t>Able to stand</w:t>
            </w:r>
          </w:p>
        </w:tc>
        <w:tc>
          <w:tcPr>
            <w:tcW w:w="480" w:type="pct"/>
            <w:shd w:val="clear" w:color="auto" w:fill="auto"/>
            <w:vAlign w:val="center"/>
          </w:tcPr>
          <w:p w14:paraId="28463628" w14:textId="77777777" w:rsidR="00957FCE" w:rsidRPr="00CE3643" w:rsidRDefault="00957FCE" w:rsidP="005648D0">
            <w:pPr>
              <w:keepNext/>
              <w:keepLines/>
              <w:widowControl/>
              <w:jc w:val="center"/>
              <w:rPr>
                <w:rFonts w:ascii="Arial Narrow" w:hAnsi="Arial Narrow" w:cs="Calibri"/>
                <w:b/>
                <w:bCs/>
                <w:sz w:val="20"/>
                <w:szCs w:val="20"/>
                <w:lang w:eastAsia="zh-CN"/>
              </w:rPr>
            </w:pPr>
            <w:r w:rsidRPr="00CE3643">
              <w:rPr>
                <w:rFonts w:ascii="Arial Narrow" w:hAnsi="Arial Narrow" w:cs="Calibri"/>
                <w:b/>
                <w:bCs/>
                <w:sz w:val="20"/>
                <w:szCs w:val="20"/>
                <w:lang w:eastAsia="zh-CN"/>
              </w:rPr>
              <w:t>Able to walk</w:t>
            </w:r>
          </w:p>
        </w:tc>
        <w:tc>
          <w:tcPr>
            <w:tcW w:w="915" w:type="pct"/>
            <w:shd w:val="clear" w:color="auto" w:fill="auto"/>
            <w:vAlign w:val="center"/>
          </w:tcPr>
          <w:p w14:paraId="28985E8B" w14:textId="77777777" w:rsidR="00957FCE" w:rsidRPr="00CE3643" w:rsidRDefault="00957FCE" w:rsidP="005648D0">
            <w:pPr>
              <w:keepNext/>
              <w:keepLines/>
              <w:widowControl/>
              <w:jc w:val="center"/>
              <w:rPr>
                <w:rFonts w:ascii="Arial Narrow" w:hAnsi="Arial Narrow" w:cs="Calibri"/>
                <w:b/>
                <w:bCs/>
                <w:sz w:val="20"/>
                <w:szCs w:val="20"/>
                <w:lang w:eastAsia="zh-CN"/>
              </w:rPr>
            </w:pPr>
            <w:r w:rsidRPr="00CE3643">
              <w:rPr>
                <w:rFonts w:ascii="Arial Narrow" w:hAnsi="Arial Narrow" w:cs="Calibri"/>
                <w:b/>
                <w:bCs/>
                <w:sz w:val="20"/>
                <w:szCs w:val="20"/>
                <w:lang w:eastAsia="zh-CN"/>
              </w:rPr>
              <w:t>Typical symptoms</w:t>
            </w:r>
          </w:p>
        </w:tc>
        <w:tc>
          <w:tcPr>
            <w:tcW w:w="693" w:type="pct"/>
            <w:shd w:val="clear" w:color="auto" w:fill="auto"/>
            <w:vAlign w:val="center"/>
          </w:tcPr>
          <w:p w14:paraId="786FD54E" w14:textId="77777777" w:rsidR="00957FCE" w:rsidRPr="00CE3643" w:rsidRDefault="00957FCE" w:rsidP="005648D0">
            <w:pPr>
              <w:keepNext/>
              <w:keepLines/>
              <w:widowControl/>
              <w:jc w:val="center"/>
              <w:rPr>
                <w:rFonts w:ascii="Arial Narrow" w:hAnsi="Arial Narrow" w:cs="Calibri"/>
                <w:b/>
                <w:bCs/>
                <w:sz w:val="20"/>
                <w:szCs w:val="20"/>
                <w:lang w:eastAsia="zh-CN"/>
              </w:rPr>
            </w:pPr>
            <w:r w:rsidRPr="00CE3643">
              <w:rPr>
                <w:rFonts w:ascii="Arial Narrow" w:hAnsi="Arial Narrow" w:cs="Calibri"/>
                <w:b/>
                <w:bCs/>
                <w:sz w:val="20"/>
                <w:szCs w:val="20"/>
                <w:lang w:eastAsia="zh-CN"/>
              </w:rPr>
              <w:t>Life expectancy</w:t>
            </w:r>
          </w:p>
        </w:tc>
        <w:tc>
          <w:tcPr>
            <w:tcW w:w="539" w:type="pct"/>
            <w:shd w:val="clear" w:color="auto" w:fill="auto"/>
            <w:vAlign w:val="center"/>
          </w:tcPr>
          <w:p w14:paraId="7557173B" w14:textId="77777777" w:rsidR="00957FCE" w:rsidRPr="00CE3643" w:rsidRDefault="00957FCE" w:rsidP="005648D0">
            <w:pPr>
              <w:keepNext/>
              <w:keepLines/>
              <w:widowControl/>
              <w:jc w:val="center"/>
              <w:rPr>
                <w:rFonts w:ascii="Arial Narrow" w:hAnsi="Arial Narrow" w:cs="Calibri"/>
                <w:b/>
                <w:bCs/>
                <w:sz w:val="20"/>
                <w:szCs w:val="20"/>
                <w:lang w:eastAsia="zh-CN"/>
              </w:rPr>
            </w:pPr>
            <w:r w:rsidRPr="00CE3643">
              <w:rPr>
                <w:rFonts w:ascii="Arial Narrow" w:hAnsi="Arial Narrow" w:cs="Calibri"/>
                <w:b/>
                <w:bCs/>
                <w:sz w:val="20"/>
                <w:szCs w:val="20"/>
                <w:lang w:eastAsia="zh-CN"/>
              </w:rPr>
              <w:t>Typical SMN2 copy number^</w:t>
            </w:r>
          </w:p>
        </w:tc>
        <w:tc>
          <w:tcPr>
            <w:tcW w:w="616" w:type="pct"/>
            <w:shd w:val="clear" w:color="auto" w:fill="auto"/>
            <w:vAlign w:val="center"/>
          </w:tcPr>
          <w:p w14:paraId="2923230D" w14:textId="77777777" w:rsidR="00957FCE" w:rsidRPr="00CE3643" w:rsidRDefault="00957FCE" w:rsidP="005648D0">
            <w:pPr>
              <w:keepNext/>
              <w:keepLines/>
              <w:widowControl/>
              <w:jc w:val="center"/>
              <w:rPr>
                <w:rFonts w:ascii="Arial Narrow" w:hAnsi="Arial Narrow" w:cs="Calibri"/>
                <w:b/>
                <w:bCs/>
                <w:sz w:val="20"/>
                <w:szCs w:val="20"/>
                <w:lang w:eastAsia="zh-CN"/>
              </w:rPr>
            </w:pPr>
            <w:r w:rsidRPr="00CE3643">
              <w:rPr>
                <w:rFonts w:ascii="Arial Narrow" w:hAnsi="Arial Narrow" w:cs="Calibri"/>
                <w:b/>
                <w:bCs/>
                <w:sz w:val="20"/>
                <w:szCs w:val="20"/>
                <w:lang w:eastAsia="zh-CN"/>
              </w:rPr>
              <w:t>Population included in proposed PBS listing</w:t>
            </w:r>
          </w:p>
        </w:tc>
      </w:tr>
      <w:tr w:rsidR="00957FCE" w:rsidRPr="00CE3643" w14:paraId="00BC01DA" w14:textId="77777777" w:rsidTr="00E96E81">
        <w:tc>
          <w:tcPr>
            <w:tcW w:w="352" w:type="pct"/>
            <w:shd w:val="clear" w:color="auto" w:fill="auto"/>
            <w:vAlign w:val="center"/>
          </w:tcPr>
          <w:p w14:paraId="7C437C77" w14:textId="77777777" w:rsidR="00957FCE" w:rsidRPr="00CE3643" w:rsidRDefault="00957FCE" w:rsidP="005648D0">
            <w:pPr>
              <w:keepNext/>
              <w:keepLines/>
              <w:widowControl/>
              <w:jc w:val="left"/>
              <w:rPr>
                <w:rFonts w:ascii="Arial Narrow" w:hAnsi="Arial Narrow" w:cs="Calibri"/>
                <w:bCs/>
                <w:sz w:val="20"/>
                <w:szCs w:val="20"/>
                <w:lang w:eastAsia="zh-CN"/>
              </w:rPr>
            </w:pPr>
            <w:r w:rsidRPr="00CE3643">
              <w:rPr>
                <w:rFonts w:ascii="Arial Narrow" w:hAnsi="Arial Narrow" w:cs="Calibri"/>
                <w:bCs/>
                <w:sz w:val="20"/>
                <w:szCs w:val="20"/>
                <w:lang w:eastAsia="zh-CN"/>
              </w:rPr>
              <w:t>0</w:t>
            </w:r>
          </w:p>
        </w:tc>
        <w:tc>
          <w:tcPr>
            <w:tcW w:w="617" w:type="pct"/>
            <w:shd w:val="clear" w:color="auto" w:fill="auto"/>
            <w:vAlign w:val="center"/>
          </w:tcPr>
          <w:p w14:paraId="440AD080"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Prenatal</w:t>
            </w:r>
          </w:p>
        </w:tc>
        <w:tc>
          <w:tcPr>
            <w:tcW w:w="414" w:type="pct"/>
            <w:shd w:val="clear" w:color="auto" w:fill="auto"/>
            <w:vAlign w:val="center"/>
          </w:tcPr>
          <w:p w14:paraId="6DED8E4C"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X</w:t>
            </w:r>
          </w:p>
        </w:tc>
        <w:tc>
          <w:tcPr>
            <w:tcW w:w="375" w:type="pct"/>
            <w:shd w:val="clear" w:color="auto" w:fill="auto"/>
            <w:vAlign w:val="center"/>
          </w:tcPr>
          <w:p w14:paraId="4D78E49B"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X</w:t>
            </w:r>
          </w:p>
        </w:tc>
        <w:tc>
          <w:tcPr>
            <w:tcW w:w="480" w:type="pct"/>
            <w:shd w:val="clear" w:color="auto" w:fill="auto"/>
            <w:vAlign w:val="center"/>
          </w:tcPr>
          <w:p w14:paraId="31E6F6D6"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X</w:t>
            </w:r>
          </w:p>
        </w:tc>
        <w:tc>
          <w:tcPr>
            <w:tcW w:w="915" w:type="pct"/>
            <w:shd w:val="clear" w:color="auto" w:fill="auto"/>
            <w:vAlign w:val="center"/>
          </w:tcPr>
          <w:p w14:paraId="04983222"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Severe hypotonia*</w:t>
            </w:r>
          </w:p>
        </w:tc>
        <w:tc>
          <w:tcPr>
            <w:tcW w:w="693" w:type="pct"/>
            <w:shd w:val="clear" w:color="auto" w:fill="auto"/>
            <w:vAlign w:val="center"/>
          </w:tcPr>
          <w:p w14:paraId="5DC7F347"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Death in weeks</w:t>
            </w:r>
          </w:p>
        </w:tc>
        <w:tc>
          <w:tcPr>
            <w:tcW w:w="539" w:type="pct"/>
            <w:shd w:val="clear" w:color="auto" w:fill="auto"/>
            <w:vAlign w:val="center"/>
          </w:tcPr>
          <w:p w14:paraId="5ACCDC15"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1</w:t>
            </w:r>
          </w:p>
        </w:tc>
        <w:tc>
          <w:tcPr>
            <w:tcW w:w="616" w:type="pct"/>
            <w:shd w:val="clear" w:color="auto" w:fill="auto"/>
            <w:vAlign w:val="center"/>
          </w:tcPr>
          <w:p w14:paraId="0024040C"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X</w:t>
            </w:r>
          </w:p>
        </w:tc>
      </w:tr>
      <w:tr w:rsidR="00957FCE" w:rsidRPr="00CE3643" w14:paraId="4C1096BE" w14:textId="77777777" w:rsidTr="00E96E81">
        <w:tc>
          <w:tcPr>
            <w:tcW w:w="352" w:type="pct"/>
            <w:shd w:val="clear" w:color="auto" w:fill="auto"/>
            <w:vAlign w:val="center"/>
          </w:tcPr>
          <w:p w14:paraId="479FB23B" w14:textId="77777777" w:rsidR="00957FCE" w:rsidRPr="00CE3643" w:rsidRDefault="00957FCE" w:rsidP="005648D0">
            <w:pPr>
              <w:keepNext/>
              <w:keepLines/>
              <w:widowControl/>
              <w:jc w:val="left"/>
              <w:rPr>
                <w:rFonts w:ascii="Arial Narrow" w:hAnsi="Arial Narrow" w:cs="Calibri"/>
                <w:bCs/>
                <w:sz w:val="20"/>
                <w:szCs w:val="20"/>
                <w:lang w:eastAsia="zh-CN"/>
              </w:rPr>
            </w:pPr>
            <w:r w:rsidRPr="00CE3643">
              <w:rPr>
                <w:rFonts w:ascii="Arial Narrow" w:hAnsi="Arial Narrow" w:cs="Calibri"/>
                <w:bCs/>
                <w:sz w:val="20"/>
                <w:szCs w:val="20"/>
                <w:lang w:eastAsia="zh-CN"/>
              </w:rPr>
              <w:t>1</w:t>
            </w:r>
          </w:p>
        </w:tc>
        <w:tc>
          <w:tcPr>
            <w:tcW w:w="617" w:type="pct"/>
            <w:shd w:val="clear" w:color="auto" w:fill="auto"/>
            <w:vAlign w:val="center"/>
          </w:tcPr>
          <w:p w14:paraId="548565D3"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&lt; 6 months</w:t>
            </w:r>
          </w:p>
        </w:tc>
        <w:tc>
          <w:tcPr>
            <w:tcW w:w="414" w:type="pct"/>
            <w:shd w:val="clear" w:color="auto" w:fill="auto"/>
            <w:vAlign w:val="center"/>
          </w:tcPr>
          <w:p w14:paraId="1CA02D64"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X</w:t>
            </w:r>
          </w:p>
        </w:tc>
        <w:tc>
          <w:tcPr>
            <w:tcW w:w="375" w:type="pct"/>
            <w:shd w:val="clear" w:color="auto" w:fill="auto"/>
            <w:vAlign w:val="center"/>
          </w:tcPr>
          <w:p w14:paraId="47FA11B8"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X</w:t>
            </w:r>
          </w:p>
        </w:tc>
        <w:tc>
          <w:tcPr>
            <w:tcW w:w="480" w:type="pct"/>
            <w:shd w:val="clear" w:color="auto" w:fill="auto"/>
            <w:vAlign w:val="center"/>
          </w:tcPr>
          <w:p w14:paraId="5F86A91E"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X</w:t>
            </w:r>
          </w:p>
        </w:tc>
        <w:tc>
          <w:tcPr>
            <w:tcW w:w="915" w:type="pct"/>
            <w:shd w:val="clear" w:color="auto" w:fill="auto"/>
            <w:vAlign w:val="center"/>
          </w:tcPr>
          <w:p w14:paraId="4C12C59B"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Respiratory failure</w:t>
            </w:r>
          </w:p>
        </w:tc>
        <w:tc>
          <w:tcPr>
            <w:tcW w:w="693" w:type="pct"/>
            <w:shd w:val="clear" w:color="auto" w:fill="auto"/>
            <w:vAlign w:val="center"/>
          </w:tcPr>
          <w:p w14:paraId="07339FC2"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Death by 2 years</w:t>
            </w:r>
          </w:p>
        </w:tc>
        <w:tc>
          <w:tcPr>
            <w:tcW w:w="539" w:type="pct"/>
            <w:shd w:val="clear" w:color="auto" w:fill="auto"/>
            <w:vAlign w:val="center"/>
          </w:tcPr>
          <w:p w14:paraId="62847DC9"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2</w:t>
            </w:r>
          </w:p>
        </w:tc>
        <w:tc>
          <w:tcPr>
            <w:tcW w:w="616" w:type="pct"/>
            <w:shd w:val="clear" w:color="auto" w:fill="auto"/>
            <w:vAlign w:val="center"/>
          </w:tcPr>
          <w:p w14:paraId="0FDA7D96"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sym w:font="Wingdings" w:char="F0FC"/>
            </w:r>
          </w:p>
        </w:tc>
      </w:tr>
      <w:tr w:rsidR="00957FCE" w:rsidRPr="00CE3643" w14:paraId="3F7953B1" w14:textId="77777777" w:rsidTr="00E96E81">
        <w:tc>
          <w:tcPr>
            <w:tcW w:w="352" w:type="pct"/>
            <w:shd w:val="clear" w:color="auto" w:fill="auto"/>
            <w:vAlign w:val="center"/>
          </w:tcPr>
          <w:p w14:paraId="3373DA28" w14:textId="77777777" w:rsidR="00957FCE" w:rsidRPr="00CE3643" w:rsidRDefault="00957FCE" w:rsidP="005648D0">
            <w:pPr>
              <w:keepNext/>
              <w:keepLines/>
              <w:widowControl/>
              <w:jc w:val="left"/>
              <w:rPr>
                <w:rFonts w:ascii="Arial Narrow" w:hAnsi="Arial Narrow" w:cs="Calibri"/>
                <w:bCs/>
                <w:sz w:val="20"/>
                <w:szCs w:val="20"/>
                <w:lang w:eastAsia="zh-CN"/>
              </w:rPr>
            </w:pPr>
            <w:r w:rsidRPr="00CE3643">
              <w:rPr>
                <w:rFonts w:ascii="Arial Narrow" w:hAnsi="Arial Narrow" w:cs="Calibri"/>
                <w:bCs/>
                <w:sz w:val="20"/>
                <w:szCs w:val="20"/>
                <w:lang w:eastAsia="zh-CN"/>
              </w:rPr>
              <w:t>2</w:t>
            </w:r>
          </w:p>
        </w:tc>
        <w:tc>
          <w:tcPr>
            <w:tcW w:w="617" w:type="pct"/>
            <w:shd w:val="clear" w:color="auto" w:fill="auto"/>
            <w:vAlign w:val="center"/>
          </w:tcPr>
          <w:p w14:paraId="7E84EFEB"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6-18 months</w:t>
            </w:r>
          </w:p>
        </w:tc>
        <w:tc>
          <w:tcPr>
            <w:tcW w:w="414" w:type="pct"/>
            <w:shd w:val="clear" w:color="auto" w:fill="auto"/>
            <w:vAlign w:val="center"/>
          </w:tcPr>
          <w:p w14:paraId="4CF4FDD6" w14:textId="77777777" w:rsidR="00957FCE" w:rsidRPr="00CE3643" w:rsidRDefault="00957FCE" w:rsidP="005648D0">
            <w:pPr>
              <w:keepNext/>
              <w:keepLines/>
              <w:widowControl/>
              <w:jc w:val="center"/>
              <w:rPr>
                <w:rFonts w:ascii="Arial Narrow" w:hAnsi="Arial Narrow" w:cstheme="minorBidi"/>
                <w:sz w:val="20"/>
                <w:szCs w:val="20"/>
                <w:lang w:eastAsia="zh-CN"/>
              </w:rPr>
            </w:pPr>
            <w:r w:rsidRPr="00CE3643">
              <w:rPr>
                <w:rFonts w:ascii="Arial Narrow" w:hAnsi="Arial Narrow" w:cs="Calibri"/>
                <w:bCs/>
                <w:sz w:val="20"/>
                <w:szCs w:val="20"/>
                <w:lang w:eastAsia="zh-CN"/>
              </w:rPr>
              <w:sym w:font="Wingdings" w:char="F0FC"/>
            </w:r>
          </w:p>
        </w:tc>
        <w:tc>
          <w:tcPr>
            <w:tcW w:w="375" w:type="pct"/>
            <w:shd w:val="clear" w:color="auto" w:fill="auto"/>
            <w:vAlign w:val="center"/>
          </w:tcPr>
          <w:p w14:paraId="6DBAD122"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X</w:t>
            </w:r>
          </w:p>
        </w:tc>
        <w:tc>
          <w:tcPr>
            <w:tcW w:w="480" w:type="pct"/>
            <w:shd w:val="clear" w:color="auto" w:fill="auto"/>
            <w:vAlign w:val="center"/>
          </w:tcPr>
          <w:p w14:paraId="32F5EFC0"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X</w:t>
            </w:r>
          </w:p>
        </w:tc>
        <w:tc>
          <w:tcPr>
            <w:tcW w:w="915" w:type="pct"/>
            <w:shd w:val="clear" w:color="auto" w:fill="auto"/>
            <w:vAlign w:val="center"/>
          </w:tcPr>
          <w:p w14:paraId="1FFB6FE5"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Respiratory complications, wheelchair bound</w:t>
            </w:r>
          </w:p>
        </w:tc>
        <w:tc>
          <w:tcPr>
            <w:tcW w:w="693" w:type="pct"/>
            <w:shd w:val="clear" w:color="auto" w:fill="auto"/>
            <w:vAlign w:val="center"/>
          </w:tcPr>
          <w:p w14:paraId="0C006130"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10—40 years</w:t>
            </w:r>
          </w:p>
        </w:tc>
        <w:tc>
          <w:tcPr>
            <w:tcW w:w="539" w:type="pct"/>
            <w:shd w:val="clear" w:color="auto" w:fill="auto"/>
            <w:vAlign w:val="center"/>
          </w:tcPr>
          <w:p w14:paraId="059D1C5F"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3</w:t>
            </w:r>
          </w:p>
        </w:tc>
        <w:tc>
          <w:tcPr>
            <w:tcW w:w="616" w:type="pct"/>
            <w:shd w:val="clear" w:color="auto" w:fill="auto"/>
            <w:vAlign w:val="center"/>
          </w:tcPr>
          <w:p w14:paraId="7756293F"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sym w:font="Wingdings" w:char="F0FC"/>
            </w:r>
          </w:p>
        </w:tc>
      </w:tr>
      <w:tr w:rsidR="00957FCE" w:rsidRPr="00CE3643" w14:paraId="5E381B8C" w14:textId="77777777" w:rsidTr="00E96E81">
        <w:tc>
          <w:tcPr>
            <w:tcW w:w="352" w:type="pct"/>
            <w:shd w:val="clear" w:color="auto" w:fill="auto"/>
            <w:vAlign w:val="center"/>
          </w:tcPr>
          <w:p w14:paraId="2C8C863E" w14:textId="77777777" w:rsidR="00957FCE" w:rsidRPr="00CE3643" w:rsidRDefault="00957FCE" w:rsidP="005648D0">
            <w:pPr>
              <w:keepNext/>
              <w:keepLines/>
              <w:widowControl/>
              <w:jc w:val="left"/>
              <w:rPr>
                <w:rFonts w:ascii="Arial Narrow" w:hAnsi="Arial Narrow" w:cs="Calibri"/>
                <w:bCs/>
                <w:sz w:val="20"/>
                <w:szCs w:val="20"/>
                <w:lang w:eastAsia="zh-CN"/>
              </w:rPr>
            </w:pPr>
            <w:r w:rsidRPr="00CE3643">
              <w:rPr>
                <w:rFonts w:ascii="Arial Narrow" w:hAnsi="Arial Narrow" w:cs="Calibri"/>
                <w:bCs/>
                <w:sz w:val="20"/>
                <w:szCs w:val="20"/>
                <w:lang w:eastAsia="zh-CN"/>
              </w:rPr>
              <w:t>3a</w:t>
            </w:r>
          </w:p>
        </w:tc>
        <w:tc>
          <w:tcPr>
            <w:tcW w:w="617" w:type="pct"/>
            <w:shd w:val="clear" w:color="auto" w:fill="auto"/>
            <w:vAlign w:val="center"/>
          </w:tcPr>
          <w:p w14:paraId="2606C34E"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18 months – 3 years</w:t>
            </w:r>
          </w:p>
        </w:tc>
        <w:tc>
          <w:tcPr>
            <w:tcW w:w="414" w:type="pct"/>
            <w:shd w:val="clear" w:color="auto" w:fill="auto"/>
            <w:vAlign w:val="center"/>
          </w:tcPr>
          <w:p w14:paraId="6C7F4573" w14:textId="77777777" w:rsidR="00957FCE" w:rsidRPr="00CE3643" w:rsidRDefault="00957FCE" w:rsidP="005648D0">
            <w:pPr>
              <w:keepNext/>
              <w:keepLines/>
              <w:widowControl/>
              <w:jc w:val="center"/>
              <w:rPr>
                <w:rFonts w:ascii="Arial Narrow" w:hAnsi="Arial Narrow" w:cstheme="minorBidi"/>
                <w:sz w:val="20"/>
                <w:szCs w:val="20"/>
                <w:lang w:eastAsia="zh-CN"/>
              </w:rPr>
            </w:pPr>
            <w:r w:rsidRPr="00CE3643">
              <w:rPr>
                <w:rFonts w:ascii="Arial Narrow" w:hAnsi="Arial Narrow" w:cs="Calibri"/>
                <w:bCs/>
                <w:sz w:val="20"/>
                <w:szCs w:val="20"/>
                <w:lang w:eastAsia="zh-CN"/>
              </w:rPr>
              <w:sym w:font="Wingdings" w:char="F0FC"/>
            </w:r>
          </w:p>
        </w:tc>
        <w:tc>
          <w:tcPr>
            <w:tcW w:w="375" w:type="pct"/>
            <w:shd w:val="clear" w:color="auto" w:fill="auto"/>
            <w:vAlign w:val="center"/>
          </w:tcPr>
          <w:p w14:paraId="69983CDE" w14:textId="77777777" w:rsidR="00957FCE" w:rsidRPr="00CE3643" w:rsidRDefault="00957FCE" w:rsidP="005648D0">
            <w:pPr>
              <w:keepNext/>
              <w:keepLines/>
              <w:widowControl/>
              <w:jc w:val="center"/>
              <w:rPr>
                <w:rFonts w:ascii="Arial Narrow" w:hAnsi="Arial Narrow" w:cstheme="minorBidi"/>
                <w:sz w:val="20"/>
                <w:szCs w:val="20"/>
                <w:lang w:eastAsia="zh-CN"/>
              </w:rPr>
            </w:pPr>
            <w:r w:rsidRPr="00CE3643">
              <w:rPr>
                <w:rFonts w:ascii="Arial Narrow" w:hAnsi="Arial Narrow" w:cs="Calibri"/>
                <w:bCs/>
                <w:sz w:val="20"/>
                <w:szCs w:val="20"/>
                <w:lang w:eastAsia="zh-CN"/>
              </w:rPr>
              <w:sym w:font="Wingdings" w:char="F0FC"/>
            </w:r>
          </w:p>
        </w:tc>
        <w:tc>
          <w:tcPr>
            <w:tcW w:w="480" w:type="pct"/>
            <w:shd w:val="clear" w:color="auto" w:fill="auto"/>
            <w:vAlign w:val="center"/>
          </w:tcPr>
          <w:p w14:paraId="106406AA"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Assisted</w:t>
            </w:r>
          </w:p>
        </w:tc>
        <w:tc>
          <w:tcPr>
            <w:tcW w:w="915" w:type="pct"/>
            <w:shd w:val="clear" w:color="auto" w:fill="auto"/>
            <w:vAlign w:val="center"/>
          </w:tcPr>
          <w:p w14:paraId="68605E74"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Early loss of ambulation</w:t>
            </w:r>
          </w:p>
        </w:tc>
        <w:tc>
          <w:tcPr>
            <w:tcW w:w="693" w:type="pct"/>
            <w:vMerge w:val="restart"/>
            <w:shd w:val="clear" w:color="auto" w:fill="auto"/>
            <w:vAlign w:val="center"/>
          </w:tcPr>
          <w:p w14:paraId="541478E8"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Normal</w:t>
            </w:r>
          </w:p>
        </w:tc>
        <w:tc>
          <w:tcPr>
            <w:tcW w:w="539" w:type="pct"/>
            <w:vMerge w:val="restart"/>
            <w:shd w:val="clear" w:color="auto" w:fill="auto"/>
            <w:vAlign w:val="center"/>
          </w:tcPr>
          <w:p w14:paraId="306F4448"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3-4</w:t>
            </w:r>
          </w:p>
        </w:tc>
        <w:tc>
          <w:tcPr>
            <w:tcW w:w="616" w:type="pct"/>
            <w:shd w:val="clear" w:color="auto" w:fill="auto"/>
            <w:vAlign w:val="center"/>
          </w:tcPr>
          <w:p w14:paraId="379B5C7E"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sym w:font="Wingdings" w:char="F0FC"/>
            </w:r>
          </w:p>
        </w:tc>
      </w:tr>
      <w:tr w:rsidR="00957FCE" w:rsidRPr="00CE3643" w14:paraId="7F9FF46C" w14:textId="77777777" w:rsidTr="00E96E81">
        <w:tc>
          <w:tcPr>
            <w:tcW w:w="352" w:type="pct"/>
            <w:shd w:val="clear" w:color="auto" w:fill="auto"/>
            <w:vAlign w:val="center"/>
          </w:tcPr>
          <w:p w14:paraId="2985B888" w14:textId="77777777" w:rsidR="00957FCE" w:rsidRPr="00CE3643" w:rsidRDefault="00957FCE" w:rsidP="005648D0">
            <w:pPr>
              <w:keepNext/>
              <w:keepLines/>
              <w:widowControl/>
              <w:jc w:val="left"/>
              <w:rPr>
                <w:rFonts w:ascii="Arial Narrow" w:hAnsi="Arial Narrow" w:cs="Calibri"/>
                <w:bCs/>
                <w:sz w:val="20"/>
                <w:szCs w:val="20"/>
                <w:lang w:eastAsia="zh-CN"/>
              </w:rPr>
            </w:pPr>
            <w:r w:rsidRPr="00CE3643">
              <w:rPr>
                <w:rFonts w:ascii="Arial Narrow" w:hAnsi="Arial Narrow" w:cs="Calibri"/>
                <w:bCs/>
                <w:sz w:val="20"/>
                <w:szCs w:val="20"/>
                <w:lang w:eastAsia="zh-CN"/>
              </w:rPr>
              <w:t>3b*</w:t>
            </w:r>
          </w:p>
        </w:tc>
        <w:tc>
          <w:tcPr>
            <w:tcW w:w="617" w:type="pct"/>
            <w:shd w:val="clear" w:color="auto" w:fill="auto"/>
            <w:vAlign w:val="center"/>
          </w:tcPr>
          <w:p w14:paraId="0A04F7C0"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&gt;3 years</w:t>
            </w:r>
          </w:p>
        </w:tc>
        <w:tc>
          <w:tcPr>
            <w:tcW w:w="414" w:type="pct"/>
            <w:shd w:val="clear" w:color="auto" w:fill="auto"/>
            <w:vAlign w:val="center"/>
          </w:tcPr>
          <w:p w14:paraId="7BA13905" w14:textId="77777777" w:rsidR="00957FCE" w:rsidRPr="00CE3643" w:rsidRDefault="00957FCE" w:rsidP="005648D0">
            <w:pPr>
              <w:keepNext/>
              <w:keepLines/>
              <w:widowControl/>
              <w:jc w:val="center"/>
              <w:rPr>
                <w:rFonts w:ascii="Arial Narrow" w:hAnsi="Arial Narrow" w:cstheme="minorBidi"/>
                <w:sz w:val="20"/>
                <w:szCs w:val="20"/>
                <w:lang w:eastAsia="zh-CN"/>
              </w:rPr>
            </w:pPr>
            <w:r w:rsidRPr="00CE3643">
              <w:rPr>
                <w:rFonts w:ascii="Arial Narrow" w:hAnsi="Arial Narrow" w:cs="Calibri"/>
                <w:bCs/>
                <w:sz w:val="20"/>
                <w:szCs w:val="20"/>
                <w:lang w:eastAsia="zh-CN"/>
              </w:rPr>
              <w:sym w:font="Wingdings" w:char="F0FC"/>
            </w:r>
          </w:p>
        </w:tc>
        <w:tc>
          <w:tcPr>
            <w:tcW w:w="375" w:type="pct"/>
            <w:shd w:val="clear" w:color="auto" w:fill="auto"/>
            <w:vAlign w:val="center"/>
          </w:tcPr>
          <w:p w14:paraId="73155E76" w14:textId="77777777" w:rsidR="00957FCE" w:rsidRPr="00CE3643" w:rsidRDefault="00957FCE" w:rsidP="005648D0">
            <w:pPr>
              <w:keepNext/>
              <w:keepLines/>
              <w:widowControl/>
              <w:jc w:val="center"/>
              <w:rPr>
                <w:rFonts w:ascii="Arial Narrow" w:hAnsi="Arial Narrow" w:cstheme="minorBidi"/>
                <w:sz w:val="20"/>
                <w:szCs w:val="20"/>
                <w:lang w:eastAsia="zh-CN"/>
              </w:rPr>
            </w:pPr>
            <w:r w:rsidRPr="00CE3643">
              <w:rPr>
                <w:rFonts w:ascii="Arial Narrow" w:hAnsi="Arial Narrow" w:cs="Calibri"/>
                <w:bCs/>
                <w:sz w:val="20"/>
                <w:szCs w:val="20"/>
                <w:lang w:eastAsia="zh-CN"/>
              </w:rPr>
              <w:sym w:font="Wingdings" w:char="F0FC"/>
            </w:r>
          </w:p>
        </w:tc>
        <w:tc>
          <w:tcPr>
            <w:tcW w:w="480" w:type="pct"/>
            <w:shd w:val="clear" w:color="auto" w:fill="auto"/>
            <w:vAlign w:val="center"/>
          </w:tcPr>
          <w:p w14:paraId="15D5D991"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Assisted</w:t>
            </w:r>
          </w:p>
        </w:tc>
        <w:tc>
          <w:tcPr>
            <w:tcW w:w="915" w:type="pct"/>
            <w:shd w:val="clear" w:color="auto" w:fill="auto"/>
            <w:vAlign w:val="center"/>
          </w:tcPr>
          <w:p w14:paraId="48085D87"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Later loss of ambulation</w:t>
            </w:r>
          </w:p>
        </w:tc>
        <w:tc>
          <w:tcPr>
            <w:tcW w:w="693" w:type="pct"/>
            <w:vMerge/>
            <w:shd w:val="clear" w:color="auto" w:fill="auto"/>
            <w:vAlign w:val="center"/>
          </w:tcPr>
          <w:p w14:paraId="03F8D352" w14:textId="77777777" w:rsidR="00957FCE" w:rsidRPr="00CE3643" w:rsidRDefault="00957FCE" w:rsidP="005648D0">
            <w:pPr>
              <w:keepNext/>
              <w:keepLines/>
              <w:widowControl/>
              <w:jc w:val="center"/>
              <w:rPr>
                <w:rFonts w:ascii="Arial Narrow" w:hAnsi="Arial Narrow" w:cs="Calibri"/>
                <w:bCs/>
                <w:sz w:val="20"/>
                <w:szCs w:val="20"/>
                <w:lang w:eastAsia="zh-CN"/>
              </w:rPr>
            </w:pPr>
          </w:p>
        </w:tc>
        <w:tc>
          <w:tcPr>
            <w:tcW w:w="539" w:type="pct"/>
            <w:vMerge/>
            <w:shd w:val="clear" w:color="auto" w:fill="auto"/>
            <w:vAlign w:val="center"/>
          </w:tcPr>
          <w:p w14:paraId="7BCFAB01" w14:textId="77777777" w:rsidR="00957FCE" w:rsidRPr="00CE3643" w:rsidRDefault="00957FCE" w:rsidP="005648D0">
            <w:pPr>
              <w:keepNext/>
              <w:keepLines/>
              <w:widowControl/>
              <w:jc w:val="center"/>
              <w:rPr>
                <w:rFonts w:ascii="Arial Narrow" w:hAnsi="Arial Narrow" w:cs="Calibri"/>
                <w:bCs/>
                <w:sz w:val="20"/>
                <w:szCs w:val="20"/>
                <w:lang w:eastAsia="zh-CN"/>
              </w:rPr>
            </w:pPr>
          </w:p>
        </w:tc>
        <w:tc>
          <w:tcPr>
            <w:tcW w:w="616" w:type="pct"/>
            <w:shd w:val="clear" w:color="auto" w:fill="auto"/>
            <w:vAlign w:val="center"/>
          </w:tcPr>
          <w:p w14:paraId="68E04ABC"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sym w:font="Wingdings" w:char="F0FC"/>
            </w:r>
          </w:p>
        </w:tc>
      </w:tr>
      <w:tr w:rsidR="00957FCE" w:rsidRPr="00CE3643" w14:paraId="02893E73" w14:textId="77777777" w:rsidTr="00E96E81">
        <w:tc>
          <w:tcPr>
            <w:tcW w:w="352" w:type="pct"/>
            <w:shd w:val="clear" w:color="auto" w:fill="auto"/>
            <w:vAlign w:val="center"/>
          </w:tcPr>
          <w:p w14:paraId="3670C32E" w14:textId="77777777" w:rsidR="00957FCE" w:rsidRPr="00CE3643" w:rsidRDefault="00957FCE" w:rsidP="005648D0">
            <w:pPr>
              <w:keepNext/>
              <w:keepLines/>
              <w:widowControl/>
              <w:jc w:val="left"/>
              <w:rPr>
                <w:rFonts w:ascii="Arial Narrow" w:hAnsi="Arial Narrow" w:cs="Calibri"/>
                <w:bCs/>
                <w:sz w:val="20"/>
                <w:szCs w:val="20"/>
                <w:lang w:eastAsia="zh-CN"/>
              </w:rPr>
            </w:pPr>
            <w:r w:rsidRPr="00CE3643">
              <w:rPr>
                <w:rFonts w:ascii="Arial Narrow" w:hAnsi="Arial Narrow" w:cs="Calibri"/>
                <w:bCs/>
                <w:sz w:val="20"/>
                <w:szCs w:val="20"/>
                <w:lang w:eastAsia="zh-CN"/>
              </w:rPr>
              <w:t>4</w:t>
            </w:r>
          </w:p>
        </w:tc>
        <w:tc>
          <w:tcPr>
            <w:tcW w:w="617" w:type="pct"/>
            <w:shd w:val="clear" w:color="auto" w:fill="auto"/>
            <w:vAlign w:val="center"/>
          </w:tcPr>
          <w:p w14:paraId="1EFC7D93"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&gt;18 years</w:t>
            </w:r>
          </w:p>
        </w:tc>
        <w:tc>
          <w:tcPr>
            <w:tcW w:w="414" w:type="pct"/>
            <w:shd w:val="clear" w:color="auto" w:fill="auto"/>
            <w:vAlign w:val="center"/>
          </w:tcPr>
          <w:p w14:paraId="576A3D47" w14:textId="77777777" w:rsidR="00957FCE" w:rsidRPr="00CE3643" w:rsidRDefault="00957FCE" w:rsidP="005648D0">
            <w:pPr>
              <w:keepNext/>
              <w:keepLines/>
              <w:widowControl/>
              <w:jc w:val="center"/>
              <w:rPr>
                <w:rFonts w:ascii="Arial Narrow" w:hAnsi="Arial Narrow" w:cstheme="minorBidi"/>
                <w:sz w:val="20"/>
                <w:szCs w:val="20"/>
                <w:lang w:eastAsia="zh-CN"/>
              </w:rPr>
            </w:pPr>
            <w:r w:rsidRPr="00CE3643">
              <w:rPr>
                <w:rFonts w:ascii="Arial Narrow" w:hAnsi="Arial Narrow" w:cs="Calibri"/>
                <w:bCs/>
                <w:sz w:val="20"/>
                <w:szCs w:val="20"/>
                <w:lang w:eastAsia="zh-CN"/>
              </w:rPr>
              <w:sym w:font="Wingdings" w:char="F0FC"/>
            </w:r>
          </w:p>
        </w:tc>
        <w:tc>
          <w:tcPr>
            <w:tcW w:w="375" w:type="pct"/>
            <w:shd w:val="clear" w:color="auto" w:fill="auto"/>
            <w:vAlign w:val="center"/>
          </w:tcPr>
          <w:p w14:paraId="21BDB492" w14:textId="77777777" w:rsidR="00957FCE" w:rsidRPr="00CE3643" w:rsidRDefault="00957FCE" w:rsidP="005648D0">
            <w:pPr>
              <w:keepNext/>
              <w:keepLines/>
              <w:widowControl/>
              <w:jc w:val="center"/>
              <w:rPr>
                <w:rFonts w:ascii="Arial Narrow" w:hAnsi="Arial Narrow" w:cstheme="minorBidi"/>
                <w:sz w:val="20"/>
                <w:szCs w:val="20"/>
                <w:lang w:eastAsia="zh-CN"/>
              </w:rPr>
            </w:pPr>
            <w:r w:rsidRPr="00CE3643">
              <w:rPr>
                <w:rFonts w:ascii="Arial Narrow" w:hAnsi="Arial Narrow" w:cs="Calibri"/>
                <w:bCs/>
                <w:sz w:val="20"/>
                <w:szCs w:val="20"/>
                <w:lang w:eastAsia="zh-CN"/>
              </w:rPr>
              <w:sym w:font="Wingdings" w:char="F0FC"/>
            </w:r>
          </w:p>
        </w:tc>
        <w:tc>
          <w:tcPr>
            <w:tcW w:w="480" w:type="pct"/>
            <w:shd w:val="clear" w:color="auto" w:fill="auto"/>
            <w:vAlign w:val="center"/>
          </w:tcPr>
          <w:p w14:paraId="05C50E79" w14:textId="77777777" w:rsidR="00957FCE" w:rsidRPr="00CE3643" w:rsidRDefault="00957FCE" w:rsidP="005648D0">
            <w:pPr>
              <w:keepNext/>
              <w:keepLines/>
              <w:widowControl/>
              <w:jc w:val="center"/>
              <w:rPr>
                <w:rFonts w:ascii="Arial Narrow" w:hAnsi="Arial Narrow" w:cs="Calibri"/>
                <w:b/>
                <w:bCs/>
                <w:sz w:val="20"/>
                <w:szCs w:val="20"/>
                <w:lang w:eastAsia="zh-CN"/>
              </w:rPr>
            </w:pPr>
            <w:r w:rsidRPr="00CE3643">
              <w:rPr>
                <w:rFonts w:ascii="Arial Narrow" w:hAnsi="Arial Narrow" w:cs="Calibri"/>
                <w:bCs/>
                <w:sz w:val="20"/>
                <w:szCs w:val="20"/>
                <w:lang w:eastAsia="zh-CN"/>
              </w:rPr>
              <w:sym w:font="Wingdings" w:char="F0FC"/>
            </w:r>
          </w:p>
        </w:tc>
        <w:tc>
          <w:tcPr>
            <w:tcW w:w="915" w:type="pct"/>
            <w:shd w:val="clear" w:color="auto" w:fill="auto"/>
            <w:vAlign w:val="center"/>
          </w:tcPr>
          <w:p w14:paraId="73C8EBBB"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Slow, progressive muscle weakness. Ambulant until later in life.</w:t>
            </w:r>
          </w:p>
        </w:tc>
        <w:tc>
          <w:tcPr>
            <w:tcW w:w="693" w:type="pct"/>
            <w:shd w:val="clear" w:color="auto" w:fill="auto"/>
            <w:vAlign w:val="center"/>
          </w:tcPr>
          <w:p w14:paraId="7E08527A"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Normal</w:t>
            </w:r>
          </w:p>
        </w:tc>
        <w:tc>
          <w:tcPr>
            <w:tcW w:w="539" w:type="pct"/>
            <w:shd w:val="clear" w:color="auto" w:fill="auto"/>
            <w:vAlign w:val="center"/>
          </w:tcPr>
          <w:p w14:paraId="205101BE"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4, 5, 6</w:t>
            </w:r>
          </w:p>
        </w:tc>
        <w:tc>
          <w:tcPr>
            <w:tcW w:w="616" w:type="pct"/>
            <w:shd w:val="clear" w:color="auto" w:fill="auto"/>
            <w:vAlign w:val="center"/>
          </w:tcPr>
          <w:p w14:paraId="5EBC8D65" w14:textId="77777777" w:rsidR="00957FCE" w:rsidRPr="00CE3643" w:rsidRDefault="00957FCE" w:rsidP="005648D0">
            <w:pPr>
              <w:keepNext/>
              <w:keepLines/>
              <w:widowControl/>
              <w:jc w:val="center"/>
              <w:rPr>
                <w:rFonts w:ascii="Arial Narrow" w:hAnsi="Arial Narrow" w:cs="Calibri"/>
                <w:bCs/>
                <w:sz w:val="20"/>
                <w:szCs w:val="20"/>
                <w:lang w:eastAsia="zh-CN"/>
              </w:rPr>
            </w:pPr>
            <w:r w:rsidRPr="00CE3643">
              <w:rPr>
                <w:rFonts w:ascii="Arial Narrow" w:hAnsi="Arial Narrow" w:cs="Calibri"/>
                <w:bCs/>
                <w:sz w:val="20"/>
                <w:szCs w:val="20"/>
                <w:lang w:eastAsia="zh-CN"/>
              </w:rPr>
              <w:t>X</w:t>
            </w:r>
          </w:p>
        </w:tc>
      </w:tr>
    </w:tbl>
    <w:p w14:paraId="662D84B0" w14:textId="77777777" w:rsidR="00957FCE" w:rsidRPr="00CE3643" w:rsidRDefault="00957FCE" w:rsidP="00885F7F">
      <w:pPr>
        <w:pStyle w:val="TableFooter"/>
        <w:keepNext/>
        <w:keepLines/>
      </w:pPr>
      <w:r w:rsidRPr="00CE3643">
        <w:t>*Recent publications also distinguish between Type 3b and 3c SMA, with Type 3c SMA being defined as when symptoms develop after 12 years but before 19 years of age.</w:t>
      </w:r>
    </w:p>
    <w:p w14:paraId="7B4835A5" w14:textId="77777777" w:rsidR="00957FCE" w:rsidRPr="00CE3643" w:rsidRDefault="00957FCE" w:rsidP="00885F7F">
      <w:pPr>
        <w:pStyle w:val="TableFooter"/>
        <w:keepNext/>
        <w:keepLines/>
      </w:pPr>
      <w:r w:rsidRPr="00CE3643">
        <w:t>Source: Table 1.2, p6 of the submission.</w:t>
      </w:r>
    </w:p>
    <w:p w14:paraId="1C3EE664" w14:textId="77777777" w:rsidR="00957FCE" w:rsidRPr="00CE3643" w:rsidRDefault="00957FCE" w:rsidP="00957FCE">
      <w:pPr>
        <w:widowControl/>
      </w:pPr>
    </w:p>
    <w:p w14:paraId="34195016" w14:textId="77777777" w:rsidR="00957FCE" w:rsidRDefault="00957FCE" w:rsidP="004422FA">
      <w:pPr>
        <w:pStyle w:val="ListParagraph"/>
        <w:widowControl/>
        <w:numPr>
          <w:ilvl w:val="1"/>
          <w:numId w:val="2"/>
        </w:numPr>
      </w:pPr>
      <w:r w:rsidRPr="00CE3643">
        <w:t xml:space="preserve">Risdiplam is an orally administered treatment that corrects the splicing of SMN2 to shift the balance from exon 7 exclusion to exon 7 inclusion into the mRNA transcript, leading to a sustained increase in the expression of functional SMN protein from the </w:t>
      </w:r>
      <w:r w:rsidRPr="00CE3643">
        <w:rPr>
          <w:iCs/>
        </w:rPr>
        <w:t>SMN2</w:t>
      </w:r>
      <w:r w:rsidRPr="00CE3643">
        <w:t xml:space="preserve"> gene. It has a similar mechanism of action to nusinersen, however risdiplam crosses the blood</w:t>
      </w:r>
      <w:r w:rsidR="00E65E6A" w:rsidRPr="00CE3643">
        <w:rPr>
          <w:rFonts w:cs="Calibri"/>
        </w:rPr>
        <w:t>-</w:t>
      </w:r>
      <w:r w:rsidRPr="00CE3643">
        <w:t xml:space="preserve">brain barrier, and thereby results in an increase in SMN protein in both the </w:t>
      </w:r>
      <w:r w:rsidR="00E65E6A" w:rsidRPr="00CE3643">
        <w:t>central nervous system (</w:t>
      </w:r>
      <w:r w:rsidRPr="00CE3643">
        <w:t>CNS</w:t>
      </w:r>
      <w:r w:rsidR="00E65E6A" w:rsidRPr="00CE3643">
        <w:t>)</w:t>
      </w:r>
      <w:r w:rsidRPr="00CE3643">
        <w:t xml:space="preserve"> and the periphery, whereas nusinersen results in an increase in SMN protein in the CNS only.</w:t>
      </w:r>
    </w:p>
    <w:p w14:paraId="4A2239F4" w14:textId="77777777" w:rsidR="00D06485" w:rsidRPr="00840284" w:rsidRDefault="00D06485" w:rsidP="009F5351">
      <w:pPr>
        <w:pStyle w:val="2-SectionHeading"/>
      </w:pPr>
      <w:bookmarkStart w:id="12" w:name="_Toc59404589"/>
      <w:bookmarkStart w:id="13" w:name="_Toc61959931"/>
      <w:r w:rsidRPr="00840284">
        <w:t>Comparator</w:t>
      </w:r>
      <w:bookmarkEnd w:id="12"/>
      <w:bookmarkEnd w:id="13"/>
    </w:p>
    <w:p w14:paraId="1E1616F1" w14:textId="77777777" w:rsidR="00957FCE" w:rsidRPr="00CE3643" w:rsidRDefault="009130E6" w:rsidP="004422FA">
      <w:pPr>
        <w:pStyle w:val="ListParagraph"/>
        <w:widowControl/>
        <w:numPr>
          <w:ilvl w:val="1"/>
          <w:numId w:val="2"/>
        </w:numPr>
      </w:pPr>
      <w:r w:rsidRPr="00732859">
        <w:t xml:space="preserve">For population 1: </w:t>
      </w:r>
      <w:r w:rsidR="00957FCE" w:rsidRPr="00732859">
        <w:t xml:space="preserve">The </w:t>
      </w:r>
      <w:r w:rsidR="00957FCE" w:rsidRPr="00CE3643">
        <w:t>submission appropriately nominated nusinersen delivered via intrathecal injections as the comparator</w:t>
      </w:r>
      <w:r w:rsidR="00957FCE" w:rsidRPr="00CE3643">
        <w:rPr>
          <w:rFonts w:cs="Calibri"/>
          <w:iCs/>
          <w:snapToGrid/>
          <w:szCs w:val="24"/>
          <w:lang w:val="en-US" w:eastAsia="en-AU"/>
        </w:rPr>
        <w:t xml:space="preserve">. </w:t>
      </w:r>
      <w:r w:rsidR="00957FCE" w:rsidRPr="00CE3643">
        <w:t xml:space="preserve">Nusinersen is the only publicly funded disease modifying treatment for SMA in Australia and is currently PBS listed for symptomatic SMA Types 1, 2, and 3a in patients </w:t>
      </w:r>
      <w:r w:rsidR="00DE1163" w:rsidRPr="007B3DA4">
        <w:t xml:space="preserve">up to and including 18 years of age, </w:t>
      </w:r>
      <w:r w:rsidR="000876B7" w:rsidRPr="007B3DA4">
        <w:t>with onset of symptoms prior</w:t>
      </w:r>
      <w:r w:rsidR="00957FCE" w:rsidRPr="007B3DA4">
        <w:t xml:space="preserve"> </w:t>
      </w:r>
      <w:r w:rsidR="000876B7" w:rsidRPr="007B3DA4">
        <w:t xml:space="preserve">to </w:t>
      </w:r>
      <w:r w:rsidR="00957FCE" w:rsidRPr="00CE3643">
        <w:t>3 years of age. For any patients ineligible</w:t>
      </w:r>
      <w:r w:rsidR="00E65E6A" w:rsidRPr="00CE3643">
        <w:t>,</w:t>
      </w:r>
      <w:r w:rsidR="00957FCE" w:rsidRPr="00CE3643">
        <w:t xml:space="preserve"> or considered unsuitable for nusinersen, BSC</w:t>
      </w:r>
      <w:r w:rsidR="00E65E6A" w:rsidRPr="00CE3643">
        <w:t>,</w:t>
      </w:r>
      <w:r w:rsidR="00957FCE" w:rsidRPr="00CE3643">
        <w:t xml:space="preserve"> consisting of therapies directed at providing nutrition and respiratory assistance as needed, and treating or preventing complications of muscle weakness, is the only other option. </w:t>
      </w:r>
    </w:p>
    <w:p w14:paraId="507AD219" w14:textId="77777777" w:rsidR="00957FCE" w:rsidRPr="00CE3643" w:rsidRDefault="009130E6" w:rsidP="004422FA">
      <w:pPr>
        <w:pStyle w:val="ListParagraph"/>
        <w:widowControl/>
        <w:numPr>
          <w:ilvl w:val="1"/>
          <w:numId w:val="2"/>
        </w:numPr>
      </w:pPr>
      <w:r w:rsidRPr="00CE3643">
        <w:rPr>
          <w:rFonts w:cs="Calibri"/>
          <w:iCs/>
          <w:snapToGrid/>
          <w:szCs w:val="24"/>
          <w:lang w:val="en-US" w:eastAsia="en-AU"/>
        </w:rPr>
        <w:t xml:space="preserve">For populations 2 and 3: </w:t>
      </w:r>
      <w:r w:rsidR="00957FCE" w:rsidRPr="00CE3643">
        <w:rPr>
          <w:rFonts w:cs="Calibri"/>
          <w:iCs/>
          <w:snapToGrid/>
          <w:szCs w:val="24"/>
          <w:lang w:val="en-US" w:eastAsia="en-AU"/>
        </w:rPr>
        <w:t>The submission appropriately nominated BSC as the comparator.</w:t>
      </w:r>
    </w:p>
    <w:p w14:paraId="12DAEBEA" w14:textId="77777777" w:rsidR="00060386" w:rsidRDefault="00957FCE" w:rsidP="00E65E6A">
      <w:pPr>
        <w:pStyle w:val="ListParagraph"/>
        <w:widowControl/>
        <w:numPr>
          <w:ilvl w:val="1"/>
          <w:numId w:val="2"/>
        </w:numPr>
        <w:spacing w:after="0"/>
      </w:pPr>
      <w:r>
        <w:rPr>
          <w:rFonts w:cs="Calibri"/>
          <w:iCs/>
          <w:snapToGrid/>
          <w:szCs w:val="24"/>
          <w:lang w:val="en-US" w:eastAsia="en-AU"/>
        </w:rPr>
        <w:t xml:space="preserve">The submission also </w:t>
      </w:r>
      <w:r w:rsidRPr="00E44CC4">
        <w:t xml:space="preserve">noted that </w:t>
      </w:r>
      <w:r w:rsidR="00060386">
        <w:t xml:space="preserve">there were two </w:t>
      </w:r>
      <w:r w:rsidRPr="00E44CC4">
        <w:t>near market comparator</w:t>
      </w:r>
      <w:r w:rsidR="00060386">
        <w:t>s:</w:t>
      </w:r>
      <w:r w:rsidRPr="00E44CC4">
        <w:t xml:space="preserve"> </w:t>
      </w:r>
    </w:p>
    <w:p w14:paraId="739939E2" w14:textId="77777777" w:rsidR="00060386" w:rsidRDefault="00957FCE" w:rsidP="006C5CF2">
      <w:pPr>
        <w:pStyle w:val="ListParagraph"/>
        <w:widowControl/>
        <w:numPr>
          <w:ilvl w:val="0"/>
          <w:numId w:val="8"/>
        </w:numPr>
        <w:spacing w:after="0"/>
        <w:ind w:left="1134" w:hanging="283"/>
      </w:pPr>
      <w:r w:rsidRPr="00E44CC4">
        <w:lastRenderedPageBreak/>
        <w:t>onasemnogene abe</w:t>
      </w:r>
      <w:r w:rsidR="00D84035">
        <w:t>p</w:t>
      </w:r>
      <w:r w:rsidRPr="00E44CC4">
        <w:t xml:space="preserve">arvovec was </w:t>
      </w:r>
      <w:r w:rsidR="006A0DAF">
        <w:t>considered</w:t>
      </w:r>
      <w:r w:rsidR="006A0DAF" w:rsidRPr="00E44CC4">
        <w:t xml:space="preserve"> </w:t>
      </w:r>
      <w:r w:rsidRPr="00E44CC4">
        <w:t>at the November 2020 PBAC meeting for the treatment of paediatric patients aged less than 2 years with Type 1 SMA</w:t>
      </w:r>
      <w:r w:rsidR="00060386">
        <w:t xml:space="preserve"> (subset of population 1); and </w:t>
      </w:r>
    </w:p>
    <w:p w14:paraId="584E970D" w14:textId="77777777" w:rsidR="00957FCE" w:rsidRPr="00E44CC4" w:rsidRDefault="00060386" w:rsidP="006C5CF2">
      <w:pPr>
        <w:pStyle w:val="ListParagraph"/>
        <w:widowControl/>
        <w:numPr>
          <w:ilvl w:val="0"/>
          <w:numId w:val="8"/>
        </w:numPr>
        <w:ind w:left="1134" w:hanging="283"/>
      </w:pPr>
      <w:r>
        <w:t>nusinersen was considered for adult patients</w:t>
      </w:r>
      <w:r w:rsidR="006A0DAF">
        <w:t xml:space="preserve"> (</w:t>
      </w:r>
      <w:r w:rsidR="006A0DAF">
        <w:rPr>
          <w:rFonts w:cs="Calibri"/>
        </w:rPr>
        <w:t>&gt;</w:t>
      </w:r>
      <w:r w:rsidR="006A0DAF">
        <w:t>18 years of age)</w:t>
      </w:r>
      <w:r>
        <w:t xml:space="preserve"> with SMA (population 3), also at the November 2020 PBAC meeting</w:t>
      </w:r>
      <w:r w:rsidR="00957FCE" w:rsidRPr="00E44CC4">
        <w:rPr>
          <w:rFonts w:cs="Calibri"/>
          <w:iCs/>
          <w:snapToGrid/>
          <w:szCs w:val="24"/>
          <w:lang w:val="en-US" w:eastAsia="en-AU"/>
        </w:rPr>
        <w:t>.</w:t>
      </w:r>
    </w:p>
    <w:p w14:paraId="5A05A29D" w14:textId="77777777" w:rsidR="00957FCE" w:rsidRDefault="00957FCE" w:rsidP="004422FA">
      <w:pPr>
        <w:pStyle w:val="ListParagraph"/>
        <w:widowControl/>
        <w:numPr>
          <w:ilvl w:val="1"/>
          <w:numId w:val="2"/>
        </w:numPr>
      </w:pPr>
      <w:r w:rsidRPr="00732859">
        <w:t xml:space="preserve">The proposed clinical management algorithm for risdiplam </w:t>
      </w:r>
      <w:r w:rsidRPr="00CE3643">
        <w:rPr>
          <w:rFonts w:cs="Calibri"/>
          <w:iCs/>
          <w:snapToGrid/>
          <w:szCs w:val="24"/>
          <w:lang w:val="en-US" w:eastAsia="en-AU"/>
        </w:rPr>
        <w:t xml:space="preserve">appropriately considered that nusinersen and risdiplam could be used sequentially for patients in </w:t>
      </w:r>
      <w:r w:rsidR="007C4FB4" w:rsidRPr="00CE3643">
        <w:rPr>
          <w:rFonts w:cs="Calibri"/>
          <w:iCs/>
          <w:snapToGrid/>
          <w:szCs w:val="24"/>
          <w:lang w:val="en-US" w:eastAsia="en-AU"/>
        </w:rPr>
        <w:t>p</w:t>
      </w:r>
      <w:r w:rsidRPr="00CE3643">
        <w:rPr>
          <w:rFonts w:cs="Calibri"/>
          <w:iCs/>
          <w:snapToGrid/>
          <w:szCs w:val="24"/>
          <w:lang w:val="en-US" w:eastAsia="en-AU"/>
        </w:rPr>
        <w:t>opulation</w:t>
      </w:r>
      <w:r>
        <w:rPr>
          <w:rFonts w:cs="Calibri"/>
          <w:iCs/>
          <w:snapToGrid/>
          <w:szCs w:val="24"/>
          <w:lang w:val="en-US" w:eastAsia="en-AU"/>
        </w:rPr>
        <w:t xml:space="preserve"> 1, but not in combination. However, the proposed clinical management algorithm assumed that </w:t>
      </w:r>
      <w:r w:rsidRPr="00E44CC4">
        <w:t xml:space="preserve">all patients currently receiving BSC alone would initiate treatment with risdiplam. </w:t>
      </w:r>
    </w:p>
    <w:p w14:paraId="253C5986" w14:textId="77777777" w:rsidR="00414B4D" w:rsidRPr="0038661C" w:rsidRDefault="00414B4D" w:rsidP="00414B4D">
      <w:pPr>
        <w:pStyle w:val="ListParagraph"/>
        <w:widowControl/>
      </w:pPr>
      <w:r w:rsidRPr="00C33D30">
        <w:rPr>
          <w:rFonts w:asciiTheme="minorHAnsi" w:hAnsiTheme="minorHAnsi"/>
          <w:i/>
        </w:rPr>
        <w:t>For more detail on PBAC’s view, see section 7 PBAC outcome.</w:t>
      </w:r>
    </w:p>
    <w:p w14:paraId="17432028" w14:textId="77777777" w:rsidR="00732859" w:rsidRPr="00840284" w:rsidRDefault="00732859" w:rsidP="009F5351">
      <w:pPr>
        <w:pStyle w:val="2-SectionHeading"/>
      </w:pPr>
      <w:bookmarkStart w:id="14" w:name="_Toc59404590"/>
      <w:bookmarkStart w:id="15" w:name="_Toc61959932"/>
      <w:r w:rsidRPr="00840284">
        <w:t>Consideration of the evidence</w:t>
      </w:r>
      <w:bookmarkEnd w:id="14"/>
      <w:bookmarkEnd w:id="15"/>
    </w:p>
    <w:p w14:paraId="05355409" w14:textId="77777777" w:rsidR="002A51E0" w:rsidRPr="00836F75" w:rsidRDefault="002A51E0" w:rsidP="002A51E0">
      <w:pPr>
        <w:pStyle w:val="4-SubsectionHeading"/>
        <w:rPr>
          <w:snapToGrid w:val="0"/>
        </w:rPr>
      </w:pPr>
      <w:bookmarkStart w:id="16" w:name="_Toc61959933"/>
      <w:r w:rsidRPr="00836F75">
        <w:rPr>
          <w:snapToGrid w:val="0"/>
        </w:rPr>
        <w:t>Sponsor hearing</w:t>
      </w:r>
    </w:p>
    <w:p w14:paraId="69E584E8" w14:textId="77777777" w:rsidR="002D7F27" w:rsidRDefault="002A51E0" w:rsidP="0086738A">
      <w:pPr>
        <w:pStyle w:val="3Bodytext"/>
        <w:numPr>
          <w:ilvl w:val="1"/>
          <w:numId w:val="2"/>
        </w:numPr>
        <w:jc w:val="both"/>
        <w:rPr>
          <w:snapToGrid w:val="0"/>
        </w:rPr>
      </w:pPr>
      <w:r w:rsidRPr="00836F75">
        <w:rPr>
          <w:snapToGrid w:val="0"/>
        </w:rPr>
        <w:t xml:space="preserve">The sponsor requested a hearing for this item. </w:t>
      </w:r>
      <w:r w:rsidR="002D3B9E">
        <w:rPr>
          <w:snapToGrid w:val="0"/>
        </w:rPr>
        <w:t xml:space="preserve">The clinician noted that patients are interested in the efficacy of risdiplam but also consider that the route of administration is an important factor in clinical practice in terms of reducing the burden of treatment associated with intrathecal administration (headaches, </w:t>
      </w:r>
      <w:r w:rsidR="0086738A">
        <w:rPr>
          <w:snapToGrid w:val="0"/>
        </w:rPr>
        <w:t xml:space="preserve">complications from recurrent </w:t>
      </w:r>
      <w:r w:rsidR="002D3B9E">
        <w:rPr>
          <w:snapToGrid w:val="0"/>
        </w:rPr>
        <w:t xml:space="preserve">general anaesthetics, radiation from CT scans). </w:t>
      </w:r>
      <w:r w:rsidR="0086738A">
        <w:rPr>
          <w:snapToGrid w:val="0"/>
        </w:rPr>
        <w:t xml:space="preserve">In addition, the clinician noted that for patients who do not live near the hospitals that can administer nusinersen, the requirement to travel for treatment also imposed a heavy burden, which was exacerbated by the 2019/2020 summer bushfires and Covid-19 pandemic restrictions. The clinician noted that in practice, patients who had switched from nusinersen to risdiplam had done so on the basis of a preference for the route of administration. </w:t>
      </w:r>
    </w:p>
    <w:p w14:paraId="2528957E" w14:textId="77777777" w:rsidR="007B6F00" w:rsidRDefault="002D3B9E" w:rsidP="0086738A">
      <w:pPr>
        <w:pStyle w:val="3Bodytext"/>
        <w:numPr>
          <w:ilvl w:val="1"/>
          <w:numId w:val="2"/>
        </w:numPr>
        <w:jc w:val="both"/>
        <w:rPr>
          <w:snapToGrid w:val="0"/>
        </w:rPr>
      </w:pPr>
      <w:r>
        <w:rPr>
          <w:snapToGrid w:val="0"/>
        </w:rPr>
        <w:t xml:space="preserve">The clinician considered </w:t>
      </w:r>
      <w:r w:rsidR="0086738A">
        <w:rPr>
          <w:snapToGrid w:val="0"/>
        </w:rPr>
        <w:t>that the ability to feed orally (</w:t>
      </w:r>
      <w:r w:rsidR="007B6F00">
        <w:rPr>
          <w:snapToGrid w:val="0"/>
        </w:rPr>
        <w:t xml:space="preserve">associated with </w:t>
      </w:r>
      <w:r w:rsidR="0086738A">
        <w:rPr>
          <w:snapToGrid w:val="0"/>
        </w:rPr>
        <w:t xml:space="preserve">bulbar function) was an important outcome to patients </w:t>
      </w:r>
      <w:r w:rsidR="007B6F00">
        <w:rPr>
          <w:snapToGrid w:val="0"/>
        </w:rPr>
        <w:t>and</w:t>
      </w:r>
      <w:r>
        <w:rPr>
          <w:snapToGrid w:val="0"/>
        </w:rPr>
        <w:t xml:space="preserve"> comorbidities </w:t>
      </w:r>
      <w:r w:rsidR="007B6F00">
        <w:rPr>
          <w:snapToGrid w:val="0"/>
        </w:rPr>
        <w:t xml:space="preserve">associated with bulbar dysfunction </w:t>
      </w:r>
      <w:r>
        <w:rPr>
          <w:snapToGrid w:val="0"/>
        </w:rPr>
        <w:t xml:space="preserve">have the greatest impact on </w:t>
      </w:r>
      <w:r w:rsidR="007B6F00">
        <w:rPr>
          <w:snapToGrid w:val="0"/>
        </w:rPr>
        <w:t xml:space="preserve">hospitalisations and </w:t>
      </w:r>
      <w:r>
        <w:rPr>
          <w:snapToGrid w:val="0"/>
        </w:rPr>
        <w:t>quality of life for younger patients and their carers</w:t>
      </w:r>
      <w:r w:rsidR="007B6F00">
        <w:rPr>
          <w:snapToGrid w:val="0"/>
        </w:rPr>
        <w:t xml:space="preserve">. </w:t>
      </w:r>
      <w:r w:rsidR="002D7F27">
        <w:rPr>
          <w:snapToGrid w:val="0"/>
        </w:rPr>
        <w:t>The clinician speculated that risdiplam may have additional benefits in bulbar function due to the systemic administration resulting in effect on cranial nerves.</w:t>
      </w:r>
    </w:p>
    <w:p w14:paraId="20FBDB1E" w14:textId="77777777" w:rsidR="003D3720" w:rsidRDefault="0005315E" w:rsidP="0086738A">
      <w:pPr>
        <w:pStyle w:val="3Bodytext"/>
        <w:numPr>
          <w:ilvl w:val="1"/>
          <w:numId w:val="2"/>
        </w:numPr>
        <w:jc w:val="both"/>
        <w:rPr>
          <w:snapToGrid w:val="0"/>
        </w:rPr>
      </w:pPr>
      <w:r>
        <w:rPr>
          <w:snapToGrid w:val="0"/>
        </w:rPr>
        <w:t xml:space="preserve">The clinician </w:t>
      </w:r>
      <w:r w:rsidR="002D3B9E">
        <w:rPr>
          <w:snapToGrid w:val="0"/>
        </w:rPr>
        <w:t xml:space="preserve">noted that there was insufficient evidence to support concomitant use of nusinersen and risdiplam but </w:t>
      </w:r>
      <w:r>
        <w:rPr>
          <w:snapToGrid w:val="0"/>
        </w:rPr>
        <w:t xml:space="preserve">considered that </w:t>
      </w:r>
      <w:r w:rsidR="002D3B9E">
        <w:rPr>
          <w:snapToGrid w:val="0"/>
        </w:rPr>
        <w:t>it would be appropriate for</w:t>
      </w:r>
      <w:r>
        <w:rPr>
          <w:snapToGrid w:val="0"/>
        </w:rPr>
        <w:t xml:space="preserve"> patients to switch from intrathecal injections to oral therapy if that is what they choose. </w:t>
      </w:r>
    </w:p>
    <w:p w14:paraId="7911C74A" w14:textId="77777777" w:rsidR="002A51E0" w:rsidRPr="00836F75" w:rsidRDefault="002A51E0" w:rsidP="002A51E0">
      <w:pPr>
        <w:pStyle w:val="4-SubsectionHeading"/>
        <w:rPr>
          <w:snapToGrid w:val="0"/>
        </w:rPr>
      </w:pPr>
      <w:r w:rsidRPr="00836F75">
        <w:rPr>
          <w:snapToGrid w:val="0"/>
        </w:rPr>
        <w:t>Consumer comments</w:t>
      </w:r>
    </w:p>
    <w:p w14:paraId="3A176755" w14:textId="77777777" w:rsidR="00466AEC" w:rsidRDefault="002A51E0" w:rsidP="002D7F27">
      <w:pPr>
        <w:pStyle w:val="3Bodytext"/>
        <w:numPr>
          <w:ilvl w:val="1"/>
          <w:numId w:val="2"/>
        </w:numPr>
        <w:jc w:val="both"/>
        <w:rPr>
          <w:snapToGrid w:val="0"/>
        </w:rPr>
      </w:pPr>
      <w:r w:rsidRPr="00282C3F">
        <w:rPr>
          <w:snapToGrid w:val="0"/>
        </w:rPr>
        <w:t>The PBAC noted and welcomed the input from individuals (</w:t>
      </w:r>
      <w:r w:rsidR="004363B2" w:rsidRPr="00282C3F">
        <w:rPr>
          <w:snapToGrid w:val="0"/>
        </w:rPr>
        <w:t>219</w:t>
      </w:r>
      <w:r w:rsidRPr="00282C3F">
        <w:rPr>
          <w:snapToGrid w:val="0"/>
        </w:rPr>
        <w:t>), health care professionals (1</w:t>
      </w:r>
      <w:r w:rsidR="004363B2" w:rsidRPr="00282C3F">
        <w:rPr>
          <w:snapToGrid w:val="0"/>
        </w:rPr>
        <w:t>0</w:t>
      </w:r>
      <w:r w:rsidRPr="00282C3F">
        <w:rPr>
          <w:snapToGrid w:val="0"/>
        </w:rPr>
        <w:t>) and organisations (</w:t>
      </w:r>
      <w:r w:rsidR="004363B2" w:rsidRPr="00282C3F">
        <w:rPr>
          <w:snapToGrid w:val="0"/>
        </w:rPr>
        <w:t>4</w:t>
      </w:r>
      <w:r w:rsidRPr="00282C3F">
        <w:rPr>
          <w:snapToGrid w:val="0"/>
        </w:rPr>
        <w:t>) via the Consumer Comment</w:t>
      </w:r>
      <w:r w:rsidR="004363B2" w:rsidRPr="00282C3F">
        <w:rPr>
          <w:snapToGrid w:val="0"/>
        </w:rPr>
        <w:t xml:space="preserve">s facility on the PBS website. </w:t>
      </w:r>
      <w:r w:rsidR="00FA75AB">
        <w:rPr>
          <w:snapToGrid w:val="0"/>
        </w:rPr>
        <w:t xml:space="preserve">The comments </w:t>
      </w:r>
      <w:r w:rsidR="00466AEC">
        <w:rPr>
          <w:snapToGrid w:val="0"/>
        </w:rPr>
        <w:t xml:space="preserve">from individuals </w:t>
      </w:r>
      <w:r w:rsidR="00FA75AB">
        <w:rPr>
          <w:snapToGrid w:val="0"/>
        </w:rPr>
        <w:t xml:space="preserve">described the devastating impact of SMA on adult patients in terms of muscle pain and stiffness, inability to continue to work </w:t>
      </w:r>
      <w:r w:rsidR="00FA75AB">
        <w:rPr>
          <w:snapToGrid w:val="0"/>
        </w:rPr>
        <w:lastRenderedPageBreak/>
        <w:t>and care for dependents</w:t>
      </w:r>
      <w:r w:rsidR="00466AEC">
        <w:rPr>
          <w:snapToGrid w:val="0"/>
        </w:rPr>
        <w:t xml:space="preserve"> and themselves</w:t>
      </w:r>
      <w:r w:rsidR="00FA75AB">
        <w:rPr>
          <w:snapToGrid w:val="0"/>
        </w:rPr>
        <w:t>,</w:t>
      </w:r>
      <w:r w:rsidR="00466AEC">
        <w:rPr>
          <w:snapToGrid w:val="0"/>
        </w:rPr>
        <w:t xml:space="preserve"> and</w:t>
      </w:r>
      <w:r w:rsidR="00FA75AB">
        <w:rPr>
          <w:snapToGrid w:val="0"/>
        </w:rPr>
        <w:t xml:space="preserve"> </w:t>
      </w:r>
      <w:r w:rsidR="00466AEC">
        <w:rPr>
          <w:snapToGrid w:val="0"/>
        </w:rPr>
        <w:t xml:space="preserve">inability to walk, eat, communicate and interact with the outside world. </w:t>
      </w:r>
    </w:p>
    <w:p w14:paraId="2EE3EEB0" w14:textId="77777777" w:rsidR="002A51E0" w:rsidRDefault="002A51E0" w:rsidP="002D7F27">
      <w:pPr>
        <w:pStyle w:val="3Bodytext"/>
        <w:numPr>
          <w:ilvl w:val="1"/>
          <w:numId w:val="2"/>
        </w:numPr>
        <w:jc w:val="both"/>
        <w:rPr>
          <w:snapToGrid w:val="0"/>
        </w:rPr>
      </w:pPr>
      <w:r w:rsidRPr="00282C3F">
        <w:rPr>
          <w:snapToGrid w:val="0"/>
        </w:rPr>
        <w:t xml:space="preserve">The comments </w:t>
      </w:r>
      <w:r w:rsidR="00466AEC">
        <w:rPr>
          <w:snapToGrid w:val="0"/>
        </w:rPr>
        <w:t xml:space="preserve">from individuals </w:t>
      </w:r>
      <w:r w:rsidRPr="00282C3F">
        <w:rPr>
          <w:snapToGrid w:val="0"/>
        </w:rPr>
        <w:t>described a range of benefits of treatment with</w:t>
      </w:r>
      <w:r w:rsidR="004363B2" w:rsidRPr="00282C3F">
        <w:rPr>
          <w:snapToGrid w:val="0"/>
        </w:rPr>
        <w:t xml:space="preserve"> risdiplam</w:t>
      </w:r>
      <w:r w:rsidRPr="00282C3F">
        <w:rPr>
          <w:snapToGrid w:val="0"/>
        </w:rPr>
        <w:t xml:space="preserve"> including</w:t>
      </w:r>
      <w:r w:rsidR="00282C3F">
        <w:rPr>
          <w:snapToGrid w:val="0"/>
        </w:rPr>
        <w:t xml:space="preserve"> being a less invasive treatment option compared to nusinersen, and reducing the frequency of visits to specialist hospitals. </w:t>
      </w:r>
      <w:r w:rsidR="00FA75AB">
        <w:rPr>
          <w:snapToGrid w:val="0"/>
        </w:rPr>
        <w:t xml:space="preserve">Individual comments from adults who have used risdiplam noted improvements in symptoms or lack of deterioration. </w:t>
      </w:r>
      <w:r w:rsidR="00964A60">
        <w:rPr>
          <w:snapToGrid w:val="0"/>
        </w:rPr>
        <w:t>Adult p</w:t>
      </w:r>
      <w:r w:rsidR="00466AEC">
        <w:rPr>
          <w:snapToGrid w:val="0"/>
        </w:rPr>
        <w:t>atients who reported they would like to access risdiplam stated that they believed that risdiplam may slow progression of their disease or improve symptoms of SMA. The PBAC noted that a number of patient comments were received from patients aged 50 years and older, who were not able to access any treatment for SMA on the PBS.</w:t>
      </w:r>
    </w:p>
    <w:p w14:paraId="7948A25C" w14:textId="77777777" w:rsidR="003D3720" w:rsidRPr="00282C3F" w:rsidRDefault="003D3720" w:rsidP="002D7F27">
      <w:pPr>
        <w:pStyle w:val="3Bodytext"/>
        <w:numPr>
          <w:ilvl w:val="1"/>
          <w:numId w:val="2"/>
        </w:numPr>
        <w:jc w:val="both"/>
        <w:rPr>
          <w:snapToGrid w:val="0"/>
        </w:rPr>
      </w:pPr>
      <w:r>
        <w:rPr>
          <w:snapToGrid w:val="0"/>
        </w:rPr>
        <w:t xml:space="preserve">The comments </w:t>
      </w:r>
      <w:r w:rsidR="00007B42">
        <w:rPr>
          <w:snapToGrid w:val="0"/>
        </w:rPr>
        <w:t>received by all organisations also</w:t>
      </w:r>
      <w:r>
        <w:rPr>
          <w:snapToGrid w:val="0"/>
        </w:rPr>
        <w:t xml:space="preserve"> highlighted the potential for risdiplam to effectively slow down the progression of muscle degeneration in adults with SMA.</w:t>
      </w:r>
      <w:r w:rsidR="00007B42">
        <w:rPr>
          <w:snapToGrid w:val="0"/>
        </w:rPr>
        <w:t xml:space="preserve"> The</w:t>
      </w:r>
      <w:r w:rsidR="001E1F94">
        <w:rPr>
          <w:snapToGrid w:val="0"/>
        </w:rPr>
        <w:t xml:space="preserve"> organisational</w:t>
      </w:r>
      <w:r w:rsidR="00007B42">
        <w:rPr>
          <w:snapToGrid w:val="0"/>
        </w:rPr>
        <w:t xml:space="preserve"> comments noted that it is important to adults with SMA to maintain function because as their condition continues to deteriorate, they will progressively lose their independence. </w:t>
      </w:r>
    </w:p>
    <w:p w14:paraId="7289AE1D" w14:textId="77777777" w:rsidR="003D3720" w:rsidRDefault="003D3720" w:rsidP="002D7F27">
      <w:pPr>
        <w:pStyle w:val="3Bodytext"/>
        <w:numPr>
          <w:ilvl w:val="1"/>
          <w:numId w:val="2"/>
        </w:numPr>
        <w:jc w:val="both"/>
        <w:rPr>
          <w:snapToGrid w:val="0"/>
        </w:rPr>
      </w:pPr>
      <w:r>
        <w:rPr>
          <w:snapToGrid w:val="0"/>
        </w:rPr>
        <w:t>The PBAC noted the advice received from SMA Australia</w:t>
      </w:r>
      <w:r w:rsidR="00007B42">
        <w:rPr>
          <w:snapToGrid w:val="0"/>
        </w:rPr>
        <w:t xml:space="preserve"> and Muscular Dystrophy Association of NSW supported</w:t>
      </w:r>
      <w:r>
        <w:rPr>
          <w:snapToGrid w:val="0"/>
        </w:rPr>
        <w:t xml:space="preserve"> the need for treatments for adults with SMA where there are no treatments presently</w:t>
      </w:r>
      <w:r w:rsidR="00EC7B28">
        <w:rPr>
          <w:snapToGrid w:val="0"/>
        </w:rPr>
        <w:t xml:space="preserve"> available on the PBS</w:t>
      </w:r>
      <w:r>
        <w:rPr>
          <w:snapToGrid w:val="0"/>
        </w:rPr>
        <w:t xml:space="preserve">. </w:t>
      </w:r>
    </w:p>
    <w:p w14:paraId="26E970C5" w14:textId="77777777" w:rsidR="00F63F58" w:rsidRDefault="002A51E0" w:rsidP="002D7F27">
      <w:pPr>
        <w:pStyle w:val="3Bodytext"/>
        <w:numPr>
          <w:ilvl w:val="1"/>
          <w:numId w:val="2"/>
        </w:numPr>
        <w:jc w:val="both"/>
        <w:rPr>
          <w:snapToGrid w:val="0"/>
        </w:rPr>
      </w:pPr>
      <w:r w:rsidRPr="00836F75">
        <w:rPr>
          <w:snapToGrid w:val="0"/>
        </w:rPr>
        <w:t xml:space="preserve">The PBAC </w:t>
      </w:r>
      <w:r w:rsidR="003D3720">
        <w:rPr>
          <w:snapToGrid w:val="0"/>
        </w:rPr>
        <w:t xml:space="preserve">also </w:t>
      </w:r>
      <w:r w:rsidR="006E521A">
        <w:rPr>
          <w:snapToGrid w:val="0"/>
        </w:rPr>
        <w:t>noted the advice received from the National Paediatric Medicines Forum (NPMF)</w:t>
      </w:r>
      <w:r w:rsidRPr="00836F75">
        <w:rPr>
          <w:snapToGrid w:val="0"/>
        </w:rPr>
        <w:t xml:space="preserve"> </w:t>
      </w:r>
      <w:r w:rsidR="006E521A">
        <w:rPr>
          <w:snapToGrid w:val="0"/>
        </w:rPr>
        <w:t xml:space="preserve">advocating for accessibility to risdiplam for paediatric patients </w:t>
      </w:r>
      <w:r w:rsidR="00EC7B28">
        <w:rPr>
          <w:snapToGrid w:val="0"/>
        </w:rPr>
        <w:t>to allow</w:t>
      </w:r>
      <w:r w:rsidR="006E521A">
        <w:rPr>
          <w:snapToGrid w:val="0"/>
        </w:rPr>
        <w:t xml:space="preserve"> discontinu</w:t>
      </w:r>
      <w:r w:rsidR="00EC7B28">
        <w:rPr>
          <w:snapToGrid w:val="0"/>
        </w:rPr>
        <w:t>ation of</w:t>
      </w:r>
      <w:r w:rsidR="006E521A">
        <w:rPr>
          <w:snapToGrid w:val="0"/>
        </w:rPr>
        <w:t xml:space="preserve"> </w:t>
      </w:r>
      <w:r w:rsidR="00FA75AB">
        <w:rPr>
          <w:snapToGrid w:val="0"/>
        </w:rPr>
        <w:t xml:space="preserve">intrathecal administration </w:t>
      </w:r>
      <w:r w:rsidR="006E521A">
        <w:rPr>
          <w:snapToGrid w:val="0"/>
        </w:rPr>
        <w:t xml:space="preserve">with nusinersen. The NPMF considered </w:t>
      </w:r>
      <w:r w:rsidR="00282C3F">
        <w:rPr>
          <w:snapToGrid w:val="0"/>
        </w:rPr>
        <w:t xml:space="preserve">the benefits </w:t>
      </w:r>
      <w:r w:rsidR="00EC7B28">
        <w:rPr>
          <w:snapToGrid w:val="0"/>
        </w:rPr>
        <w:t xml:space="preserve">of oral administration of risdiplam </w:t>
      </w:r>
      <w:r w:rsidR="00282C3F">
        <w:rPr>
          <w:snapToGrid w:val="0"/>
        </w:rPr>
        <w:t>would</w:t>
      </w:r>
      <w:r w:rsidR="006E521A">
        <w:rPr>
          <w:snapToGrid w:val="0"/>
        </w:rPr>
        <w:t xml:space="preserve"> </w:t>
      </w:r>
      <w:r w:rsidR="00282C3F">
        <w:rPr>
          <w:snapToGrid w:val="0"/>
        </w:rPr>
        <w:t xml:space="preserve">include </w:t>
      </w:r>
      <w:r w:rsidR="006E521A">
        <w:rPr>
          <w:snapToGrid w:val="0"/>
        </w:rPr>
        <w:t>reduc</w:t>
      </w:r>
      <w:r w:rsidR="00282C3F">
        <w:rPr>
          <w:snapToGrid w:val="0"/>
        </w:rPr>
        <w:t>ing</w:t>
      </w:r>
      <w:r w:rsidR="006E521A">
        <w:rPr>
          <w:snapToGrid w:val="0"/>
        </w:rPr>
        <w:t xml:space="preserve"> radiation exposure through the CT scans requir</w:t>
      </w:r>
      <w:r w:rsidR="00282C3F">
        <w:rPr>
          <w:snapToGrid w:val="0"/>
        </w:rPr>
        <w:t xml:space="preserve">ed for each injection, </w:t>
      </w:r>
      <w:r w:rsidR="00EC7B28">
        <w:rPr>
          <w:snapToGrid w:val="0"/>
        </w:rPr>
        <w:t>and</w:t>
      </w:r>
      <w:r w:rsidR="006E521A">
        <w:rPr>
          <w:snapToGrid w:val="0"/>
        </w:rPr>
        <w:t xml:space="preserve"> reduced hospital visits</w:t>
      </w:r>
      <w:r w:rsidR="00282C3F">
        <w:rPr>
          <w:snapToGrid w:val="0"/>
        </w:rPr>
        <w:t xml:space="preserve"> and painful intrathecal injections. The Muscular Dystrophy WA (MDWA) organisation also advocated for risdiplam as being a less invasive option compared to nusinersen as well as noting that parents/carers of young patients would be less likely to need to take time off work to travel to the specialist hospitals. </w:t>
      </w:r>
    </w:p>
    <w:p w14:paraId="6497EE23" w14:textId="77777777" w:rsidR="00F63F58" w:rsidRDefault="00F63F58">
      <w:pPr>
        <w:widowControl/>
        <w:jc w:val="left"/>
        <w:rPr>
          <w:rFonts w:asciiTheme="minorHAnsi" w:eastAsiaTheme="minorHAnsi" w:hAnsiTheme="minorHAnsi" w:cstheme="minorBidi"/>
        </w:rPr>
      </w:pPr>
      <w:r>
        <w:br w:type="page"/>
      </w:r>
    </w:p>
    <w:p w14:paraId="339793E0" w14:textId="77777777" w:rsidR="006E521A" w:rsidRDefault="006E521A" w:rsidP="00F63F58">
      <w:pPr>
        <w:pStyle w:val="3Bodytext"/>
        <w:ind w:left="0" w:firstLine="0"/>
        <w:jc w:val="both"/>
        <w:rPr>
          <w:snapToGrid w:val="0"/>
        </w:rPr>
      </w:pPr>
    </w:p>
    <w:p w14:paraId="5910C613" w14:textId="77777777" w:rsidR="00B60939" w:rsidRPr="003A44F8" w:rsidRDefault="00B60939" w:rsidP="0037240C">
      <w:pPr>
        <w:pStyle w:val="4-SubsectionHeading"/>
      </w:pPr>
      <w:r w:rsidRPr="003A44F8">
        <w:t>Clinical trials</w:t>
      </w:r>
      <w:bookmarkEnd w:id="16"/>
    </w:p>
    <w:p w14:paraId="738BAE9A" w14:textId="77777777" w:rsidR="008D29FA" w:rsidRPr="008D29FA" w:rsidRDefault="009825B3" w:rsidP="004422FA">
      <w:pPr>
        <w:pStyle w:val="ListParagraph"/>
        <w:widowControl/>
        <w:numPr>
          <w:ilvl w:val="1"/>
          <w:numId w:val="2"/>
        </w:numPr>
      </w:pPr>
      <w:r w:rsidRPr="009825B3">
        <w:rPr>
          <w:rFonts w:cs="Calibri"/>
          <w:snapToGrid/>
          <w:szCs w:val="24"/>
          <w:lang w:eastAsia="en-AU"/>
        </w:rPr>
        <w:t>Table 3</w:t>
      </w:r>
      <w:r w:rsidR="009F49E1">
        <w:rPr>
          <w:rFonts w:cs="Calibri"/>
          <w:snapToGrid/>
          <w:szCs w:val="24"/>
          <w:lang w:eastAsia="en-AU"/>
        </w:rPr>
        <w:t xml:space="preserve"> </w:t>
      </w:r>
      <w:r w:rsidR="008D29FA">
        <w:rPr>
          <w:rFonts w:cs="Calibri"/>
          <w:snapToGrid/>
          <w:szCs w:val="24"/>
          <w:lang w:eastAsia="en-AU"/>
        </w:rPr>
        <w:t xml:space="preserve">summarises the clinical evidence </w:t>
      </w:r>
      <w:r w:rsidR="00060386">
        <w:rPr>
          <w:rFonts w:cs="Calibri"/>
          <w:snapToGrid/>
          <w:szCs w:val="24"/>
          <w:lang w:eastAsia="en-AU"/>
        </w:rPr>
        <w:t xml:space="preserve">presented </w:t>
      </w:r>
      <w:r w:rsidR="00D10FFA">
        <w:rPr>
          <w:rFonts w:cs="Calibri"/>
          <w:snapToGrid/>
          <w:szCs w:val="24"/>
          <w:lang w:eastAsia="en-AU"/>
        </w:rPr>
        <w:t xml:space="preserve">and how </w:t>
      </w:r>
      <w:r w:rsidR="00060386">
        <w:rPr>
          <w:rFonts w:cs="Calibri"/>
          <w:snapToGrid/>
          <w:szCs w:val="24"/>
          <w:lang w:eastAsia="en-AU"/>
        </w:rPr>
        <w:t>the</w:t>
      </w:r>
      <w:r w:rsidR="00D13229">
        <w:rPr>
          <w:rFonts w:cs="Calibri"/>
          <w:snapToGrid/>
          <w:szCs w:val="24"/>
          <w:lang w:eastAsia="en-AU"/>
        </w:rPr>
        <w:t xml:space="preserve"> trials</w:t>
      </w:r>
      <w:r w:rsidR="00060386">
        <w:rPr>
          <w:rFonts w:cs="Calibri"/>
          <w:snapToGrid/>
          <w:szCs w:val="24"/>
          <w:lang w:eastAsia="en-AU"/>
        </w:rPr>
        <w:t xml:space="preserve"> were</w:t>
      </w:r>
      <w:r w:rsidR="00D10FFA">
        <w:rPr>
          <w:rFonts w:cs="Calibri"/>
          <w:snapToGrid/>
          <w:szCs w:val="24"/>
          <w:lang w:eastAsia="en-AU"/>
        </w:rPr>
        <w:t xml:space="preserve"> used</w:t>
      </w:r>
      <w:r w:rsidR="008D29FA">
        <w:rPr>
          <w:rFonts w:cs="Calibri"/>
          <w:snapToGrid/>
          <w:szCs w:val="24"/>
          <w:lang w:eastAsia="en-AU"/>
        </w:rPr>
        <w:t xml:space="preserve"> </w:t>
      </w:r>
      <w:r w:rsidR="00060386">
        <w:rPr>
          <w:rFonts w:cs="Calibri"/>
          <w:snapToGrid/>
          <w:szCs w:val="24"/>
          <w:lang w:eastAsia="en-AU"/>
        </w:rPr>
        <w:t>to support the clinical claim</w:t>
      </w:r>
      <w:r w:rsidR="00D13229">
        <w:rPr>
          <w:rFonts w:cs="Calibri"/>
          <w:snapToGrid/>
          <w:szCs w:val="24"/>
          <w:lang w:eastAsia="en-AU"/>
        </w:rPr>
        <w:t>s</w:t>
      </w:r>
      <w:r w:rsidR="00060386">
        <w:rPr>
          <w:rFonts w:cs="Calibri"/>
          <w:snapToGrid/>
          <w:szCs w:val="24"/>
          <w:lang w:eastAsia="en-AU"/>
        </w:rPr>
        <w:t xml:space="preserve"> </w:t>
      </w:r>
      <w:r w:rsidR="008D29FA">
        <w:rPr>
          <w:rFonts w:cs="Calibri"/>
          <w:snapToGrid/>
          <w:szCs w:val="24"/>
          <w:lang w:eastAsia="en-AU"/>
        </w:rPr>
        <w:t xml:space="preserve">in the submission. </w:t>
      </w:r>
    </w:p>
    <w:p w14:paraId="50B632C5" w14:textId="77777777" w:rsidR="008D29FA" w:rsidRDefault="008D29FA" w:rsidP="008D29FA">
      <w:pPr>
        <w:widowControl/>
      </w:pPr>
    </w:p>
    <w:p w14:paraId="78C68DE6" w14:textId="77777777" w:rsidR="00CA4999" w:rsidRPr="00AA2328" w:rsidRDefault="005B44C9" w:rsidP="005B44C9">
      <w:pPr>
        <w:keepNext/>
        <w:keepLines/>
        <w:rPr>
          <w:rFonts w:ascii="Arial Narrow" w:hAnsi="Arial Narrow"/>
          <w:b/>
          <w:sz w:val="20"/>
          <w:szCs w:val="20"/>
        </w:rPr>
      </w:pPr>
      <w:bookmarkStart w:id="17" w:name="_Ref61511160"/>
      <w:r w:rsidRPr="005B44C9">
        <w:rPr>
          <w:rFonts w:ascii="Arial Narrow" w:hAnsi="Arial Narrow"/>
          <w:b/>
          <w:sz w:val="20"/>
          <w:szCs w:val="20"/>
        </w:rPr>
        <w:t xml:space="preserve">Table </w:t>
      </w:r>
      <w:r w:rsidR="009825B3">
        <w:rPr>
          <w:rFonts w:ascii="Arial Narrow" w:hAnsi="Arial Narrow"/>
          <w:b/>
          <w:noProof/>
          <w:sz w:val="20"/>
          <w:szCs w:val="20"/>
        </w:rPr>
        <w:t>3</w:t>
      </w:r>
      <w:bookmarkEnd w:id="17"/>
      <w:r w:rsidR="00E65E6A">
        <w:rPr>
          <w:rFonts w:ascii="Arial Narrow" w:hAnsi="Arial Narrow"/>
          <w:b/>
          <w:sz w:val="20"/>
          <w:szCs w:val="20"/>
        </w:rPr>
        <w:t>:</w:t>
      </w:r>
      <w:r w:rsidR="00CA4999" w:rsidRPr="00AA2328">
        <w:rPr>
          <w:rFonts w:ascii="Arial Narrow" w:hAnsi="Arial Narrow"/>
          <w:b/>
          <w:sz w:val="20"/>
          <w:szCs w:val="20"/>
        </w:rPr>
        <w:t xml:space="preserve"> Summary of clinical evidence provided in the submission</w:t>
      </w:r>
    </w:p>
    <w:tbl>
      <w:tblPr>
        <w:tblStyle w:val="TableGrid"/>
        <w:tblW w:w="5000" w:type="pct"/>
        <w:tblLook w:val="04A0" w:firstRow="1" w:lastRow="0" w:firstColumn="1" w:lastColumn="0" w:noHBand="0" w:noVBand="1"/>
        <w:tblCaption w:val="Table 3: Summary of clinical evidence provided in the submission"/>
      </w:tblPr>
      <w:tblGrid>
        <w:gridCol w:w="1441"/>
        <w:gridCol w:w="1001"/>
        <w:gridCol w:w="1145"/>
        <w:gridCol w:w="2553"/>
        <w:gridCol w:w="2876"/>
      </w:tblGrid>
      <w:tr w:rsidR="00CA4999" w:rsidRPr="00CE3643" w14:paraId="734DFB9B" w14:textId="77777777" w:rsidTr="00EC127F">
        <w:trPr>
          <w:tblHeader/>
        </w:trPr>
        <w:tc>
          <w:tcPr>
            <w:tcW w:w="799" w:type="pct"/>
            <w:tcBorders>
              <w:bottom w:val="single" w:sz="4" w:space="0" w:color="auto"/>
            </w:tcBorders>
            <w:vAlign w:val="center"/>
          </w:tcPr>
          <w:p w14:paraId="743EA4B1" w14:textId="77777777" w:rsidR="00CA4999" w:rsidRPr="00CE3643" w:rsidRDefault="00CA4999" w:rsidP="00CA4999">
            <w:pPr>
              <w:keepNext/>
              <w:keepLines/>
              <w:jc w:val="center"/>
              <w:rPr>
                <w:rFonts w:ascii="Arial Narrow" w:hAnsi="Arial Narrow"/>
                <w:b/>
                <w:sz w:val="20"/>
                <w:szCs w:val="20"/>
              </w:rPr>
            </w:pPr>
            <w:r w:rsidRPr="00CE3643">
              <w:rPr>
                <w:rFonts w:ascii="Arial Narrow" w:hAnsi="Arial Narrow"/>
                <w:b/>
                <w:sz w:val="20"/>
                <w:szCs w:val="20"/>
              </w:rPr>
              <w:t>Proposed population</w:t>
            </w:r>
          </w:p>
        </w:tc>
        <w:tc>
          <w:tcPr>
            <w:tcW w:w="555" w:type="pct"/>
            <w:tcBorders>
              <w:bottom w:val="single" w:sz="4" w:space="0" w:color="auto"/>
            </w:tcBorders>
            <w:vAlign w:val="center"/>
          </w:tcPr>
          <w:p w14:paraId="2241091F" w14:textId="77777777" w:rsidR="00CA4999" w:rsidRPr="00CE3643" w:rsidRDefault="00CA4999" w:rsidP="00CA4999">
            <w:pPr>
              <w:keepNext/>
              <w:keepLines/>
              <w:jc w:val="center"/>
              <w:rPr>
                <w:rFonts w:ascii="Arial Narrow" w:hAnsi="Arial Narrow"/>
                <w:b/>
                <w:sz w:val="20"/>
                <w:szCs w:val="20"/>
              </w:rPr>
            </w:pPr>
            <w:r w:rsidRPr="00CE3643">
              <w:rPr>
                <w:rFonts w:ascii="Arial Narrow" w:hAnsi="Arial Narrow"/>
                <w:b/>
                <w:sz w:val="20"/>
                <w:szCs w:val="20"/>
              </w:rPr>
              <w:t>Risdiplam</w:t>
            </w:r>
          </w:p>
        </w:tc>
        <w:tc>
          <w:tcPr>
            <w:tcW w:w="635" w:type="pct"/>
            <w:tcBorders>
              <w:bottom w:val="single" w:sz="4" w:space="0" w:color="auto"/>
            </w:tcBorders>
            <w:vAlign w:val="center"/>
          </w:tcPr>
          <w:p w14:paraId="3407B69D" w14:textId="77777777" w:rsidR="00CA4999" w:rsidRPr="00CE3643" w:rsidRDefault="00CA4999" w:rsidP="00CA4999">
            <w:pPr>
              <w:keepNext/>
              <w:keepLines/>
              <w:jc w:val="center"/>
              <w:rPr>
                <w:rFonts w:ascii="Arial Narrow" w:hAnsi="Arial Narrow"/>
                <w:b/>
                <w:sz w:val="20"/>
                <w:szCs w:val="20"/>
              </w:rPr>
            </w:pPr>
            <w:r w:rsidRPr="00CE3643">
              <w:rPr>
                <w:rFonts w:ascii="Arial Narrow" w:hAnsi="Arial Narrow"/>
                <w:b/>
                <w:sz w:val="20"/>
                <w:szCs w:val="20"/>
              </w:rPr>
              <w:t>Nusinersen</w:t>
            </w:r>
          </w:p>
        </w:tc>
        <w:tc>
          <w:tcPr>
            <w:tcW w:w="1416" w:type="pct"/>
            <w:tcBorders>
              <w:bottom w:val="single" w:sz="4" w:space="0" w:color="auto"/>
            </w:tcBorders>
            <w:vAlign w:val="center"/>
          </w:tcPr>
          <w:p w14:paraId="26F58266" w14:textId="77777777" w:rsidR="00CA4999" w:rsidRPr="00CE3643" w:rsidRDefault="00CA4999" w:rsidP="00CA4999">
            <w:pPr>
              <w:keepNext/>
              <w:keepLines/>
              <w:jc w:val="center"/>
              <w:rPr>
                <w:rFonts w:ascii="Arial Narrow" w:hAnsi="Arial Narrow"/>
                <w:b/>
                <w:sz w:val="20"/>
                <w:szCs w:val="20"/>
              </w:rPr>
            </w:pPr>
            <w:r w:rsidRPr="00CE3643">
              <w:rPr>
                <w:rFonts w:ascii="Arial Narrow" w:hAnsi="Arial Narrow"/>
                <w:b/>
                <w:sz w:val="20"/>
                <w:szCs w:val="20"/>
              </w:rPr>
              <w:t>Clinical evidence provided</w:t>
            </w:r>
          </w:p>
        </w:tc>
        <w:tc>
          <w:tcPr>
            <w:tcW w:w="1595" w:type="pct"/>
            <w:tcBorders>
              <w:bottom w:val="single" w:sz="4" w:space="0" w:color="auto"/>
            </w:tcBorders>
            <w:vAlign w:val="center"/>
          </w:tcPr>
          <w:p w14:paraId="339842F8" w14:textId="77777777" w:rsidR="00CA4999" w:rsidRPr="00CE3643" w:rsidRDefault="00CA4999" w:rsidP="00CA4999">
            <w:pPr>
              <w:keepNext/>
              <w:keepLines/>
              <w:jc w:val="center"/>
              <w:rPr>
                <w:rFonts w:ascii="Arial Narrow" w:hAnsi="Arial Narrow"/>
                <w:b/>
                <w:sz w:val="20"/>
                <w:szCs w:val="20"/>
              </w:rPr>
            </w:pPr>
            <w:r w:rsidRPr="00CE3643">
              <w:rPr>
                <w:rFonts w:ascii="Arial Narrow" w:hAnsi="Arial Narrow"/>
                <w:b/>
                <w:sz w:val="20"/>
                <w:szCs w:val="20"/>
              </w:rPr>
              <w:t>Comment</w:t>
            </w:r>
          </w:p>
        </w:tc>
      </w:tr>
      <w:tr w:rsidR="001823C0" w:rsidRPr="00CE3643" w14:paraId="38548DFE" w14:textId="77777777" w:rsidTr="00E96E81">
        <w:tc>
          <w:tcPr>
            <w:tcW w:w="5000" w:type="pct"/>
            <w:gridSpan w:val="5"/>
            <w:tcBorders>
              <w:bottom w:val="single" w:sz="4" w:space="0" w:color="auto"/>
            </w:tcBorders>
            <w:vAlign w:val="center"/>
          </w:tcPr>
          <w:p w14:paraId="11BA6F82" w14:textId="77777777" w:rsidR="001823C0" w:rsidRPr="00CE3643" w:rsidRDefault="001823C0" w:rsidP="001823C0">
            <w:pPr>
              <w:keepNext/>
              <w:keepLines/>
              <w:jc w:val="left"/>
              <w:rPr>
                <w:rFonts w:ascii="Arial Narrow" w:hAnsi="Arial Narrow"/>
                <w:b/>
                <w:sz w:val="20"/>
                <w:szCs w:val="20"/>
              </w:rPr>
            </w:pPr>
            <w:r w:rsidRPr="00CE3643">
              <w:rPr>
                <w:rFonts w:ascii="Arial Narrow" w:hAnsi="Arial Narrow"/>
                <w:b/>
                <w:sz w:val="20"/>
                <w:szCs w:val="20"/>
              </w:rPr>
              <w:t>Population 1</w:t>
            </w:r>
          </w:p>
        </w:tc>
      </w:tr>
      <w:tr w:rsidR="00CA4999" w:rsidRPr="00CE3643" w14:paraId="50F0248F" w14:textId="77777777" w:rsidTr="00E96E81">
        <w:tc>
          <w:tcPr>
            <w:tcW w:w="799" w:type="pct"/>
            <w:tcBorders>
              <w:bottom w:val="nil"/>
            </w:tcBorders>
            <w:vAlign w:val="center"/>
          </w:tcPr>
          <w:p w14:paraId="1ED812DB" w14:textId="77777777" w:rsidR="00CA4999" w:rsidRPr="00CE3643" w:rsidRDefault="00CA4999" w:rsidP="00CA4999">
            <w:pPr>
              <w:keepNext/>
              <w:keepLines/>
              <w:jc w:val="center"/>
              <w:rPr>
                <w:rFonts w:ascii="Arial Narrow" w:hAnsi="Arial Narrow"/>
                <w:sz w:val="20"/>
                <w:szCs w:val="20"/>
              </w:rPr>
            </w:pPr>
            <w:r w:rsidRPr="00CE3643">
              <w:rPr>
                <w:rFonts w:ascii="Arial Narrow" w:hAnsi="Arial Narrow" w:cs="Calibri"/>
                <w:sz w:val="20"/>
                <w:szCs w:val="20"/>
              </w:rPr>
              <w:t>≤</w:t>
            </w:r>
            <w:r w:rsidRPr="00CE3643">
              <w:rPr>
                <w:rFonts w:ascii="Arial Narrow" w:hAnsi="Arial Narrow"/>
                <w:sz w:val="20"/>
                <w:szCs w:val="20"/>
              </w:rPr>
              <w:t>18 years of age, SMA Type 1</w:t>
            </w:r>
          </w:p>
        </w:tc>
        <w:tc>
          <w:tcPr>
            <w:tcW w:w="555" w:type="pct"/>
            <w:tcBorders>
              <w:bottom w:val="nil"/>
            </w:tcBorders>
            <w:vAlign w:val="center"/>
          </w:tcPr>
          <w:p w14:paraId="62581D45" w14:textId="77777777" w:rsidR="00CA4999" w:rsidRPr="00CE3643" w:rsidRDefault="00CA4999" w:rsidP="00CA4999">
            <w:pPr>
              <w:keepNext/>
              <w:keepLines/>
              <w:jc w:val="center"/>
              <w:rPr>
                <w:rFonts w:ascii="Arial Narrow" w:hAnsi="Arial Narrow"/>
                <w:sz w:val="20"/>
                <w:szCs w:val="20"/>
              </w:rPr>
            </w:pPr>
            <w:r w:rsidRPr="00CE3643">
              <w:rPr>
                <w:rFonts w:ascii="Arial Narrow" w:hAnsi="Arial Narrow"/>
                <w:sz w:val="20"/>
                <w:szCs w:val="20"/>
              </w:rPr>
              <w:t>FIREFISH Part 1 and Part 2</w:t>
            </w:r>
          </w:p>
        </w:tc>
        <w:tc>
          <w:tcPr>
            <w:tcW w:w="635" w:type="pct"/>
            <w:tcBorders>
              <w:bottom w:val="nil"/>
            </w:tcBorders>
            <w:vAlign w:val="center"/>
          </w:tcPr>
          <w:p w14:paraId="6967C55E" w14:textId="77777777" w:rsidR="00CA4999" w:rsidRPr="00CE3643" w:rsidRDefault="00CA4999" w:rsidP="00CA4999">
            <w:pPr>
              <w:keepNext/>
              <w:keepLines/>
              <w:jc w:val="center"/>
              <w:rPr>
                <w:rFonts w:ascii="Arial Narrow" w:hAnsi="Arial Narrow"/>
                <w:sz w:val="20"/>
                <w:szCs w:val="20"/>
              </w:rPr>
            </w:pPr>
            <w:r w:rsidRPr="00CE3643">
              <w:rPr>
                <w:rFonts w:ascii="Arial Narrow" w:hAnsi="Arial Narrow"/>
                <w:sz w:val="20"/>
                <w:szCs w:val="20"/>
              </w:rPr>
              <w:t>ENDEAR</w:t>
            </w:r>
          </w:p>
        </w:tc>
        <w:tc>
          <w:tcPr>
            <w:tcW w:w="1416" w:type="pct"/>
            <w:tcBorders>
              <w:bottom w:val="nil"/>
            </w:tcBorders>
            <w:vAlign w:val="center"/>
          </w:tcPr>
          <w:p w14:paraId="4D0B972A" w14:textId="77777777" w:rsidR="00CA4999" w:rsidRDefault="00CA4999" w:rsidP="00CA4999">
            <w:pPr>
              <w:keepNext/>
              <w:keepLines/>
              <w:jc w:val="center"/>
              <w:rPr>
                <w:rFonts w:ascii="Arial Narrow" w:hAnsi="Arial Narrow"/>
                <w:sz w:val="20"/>
                <w:szCs w:val="20"/>
              </w:rPr>
            </w:pPr>
            <w:r w:rsidRPr="00CE3643">
              <w:rPr>
                <w:rFonts w:ascii="Arial Narrow" w:hAnsi="Arial Narrow"/>
                <w:sz w:val="20"/>
                <w:szCs w:val="20"/>
              </w:rPr>
              <w:t>MAIC for OS and EFS with FIREFISH (high dose cohort 1 pooled with cohort 2 ITT – single arm study) and ENDEAR (placebo controlled RCT), unanchored.</w:t>
            </w:r>
          </w:p>
          <w:p w14:paraId="50B3154D" w14:textId="77777777" w:rsidR="00DE1163" w:rsidRPr="00CE3643" w:rsidRDefault="00DE1163" w:rsidP="00CA4999">
            <w:pPr>
              <w:keepNext/>
              <w:keepLines/>
              <w:jc w:val="center"/>
              <w:rPr>
                <w:rFonts w:ascii="Arial Narrow" w:hAnsi="Arial Narrow"/>
                <w:sz w:val="20"/>
                <w:szCs w:val="20"/>
              </w:rPr>
            </w:pPr>
          </w:p>
        </w:tc>
        <w:tc>
          <w:tcPr>
            <w:tcW w:w="1595" w:type="pct"/>
            <w:tcBorders>
              <w:bottom w:val="nil"/>
            </w:tcBorders>
          </w:tcPr>
          <w:p w14:paraId="01450C29" w14:textId="77777777" w:rsidR="00CA4999" w:rsidRPr="00CE3643" w:rsidRDefault="00CA4999" w:rsidP="00DE1163">
            <w:pPr>
              <w:keepNext/>
              <w:keepLines/>
              <w:jc w:val="center"/>
              <w:rPr>
                <w:rFonts w:ascii="Arial Narrow" w:hAnsi="Arial Narrow"/>
                <w:sz w:val="20"/>
                <w:szCs w:val="20"/>
              </w:rPr>
            </w:pPr>
            <w:r w:rsidRPr="00CE3643">
              <w:rPr>
                <w:rFonts w:ascii="Arial Narrow" w:hAnsi="Arial Narrow"/>
                <w:sz w:val="20"/>
                <w:szCs w:val="20"/>
              </w:rPr>
              <w:t>Naïve indirect comparison provided as sensitivity analysis.</w:t>
            </w:r>
          </w:p>
        </w:tc>
      </w:tr>
      <w:tr w:rsidR="00CA4999" w:rsidRPr="00CE3643" w14:paraId="23BB068E" w14:textId="77777777" w:rsidTr="00E96E81">
        <w:tc>
          <w:tcPr>
            <w:tcW w:w="799" w:type="pct"/>
            <w:tcBorders>
              <w:top w:val="nil"/>
            </w:tcBorders>
          </w:tcPr>
          <w:p w14:paraId="27B76D79" w14:textId="77777777" w:rsidR="00CA4999" w:rsidRPr="00CE3643" w:rsidRDefault="00CA4999" w:rsidP="00DE1163">
            <w:pPr>
              <w:keepNext/>
              <w:keepLines/>
              <w:jc w:val="center"/>
              <w:rPr>
                <w:rFonts w:ascii="Arial Narrow" w:hAnsi="Arial Narrow"/>
                <w:sz w:val="20"/>
                <w:szCs w:val="20"/>
              </w:rPr>
            </w:pPr>
            <w:r w:rsidRPr="00CE3643">
              <w:rPr>
                <w:rFonts w:ascii="Arial Narrow" w:hAnsi="Arial Narrow" w:cs="Calibri"/>
                <w:sz w:val="20"/>
                <w:szCs w:val="20"/>
              </w:rPr>
              <w:t>≤</w:t>
            </w:r>
            <w:r w:rsidRPr="00CE3643">
              <w:rPr>
                <w:rFonts w:ascii="Arial Narrow" w:hAnsi="Arial Narrow"/>
                <w:sz w:val="20"/>
                <w:szCs w:val="20"/>
              </w:rPr>
              <w:t>18 years of age, SMA Types 2 and 3a</w:t>
            </w:r>
          </w:p>
        </w:tc>
        <w:tc>
          <w:tcPr>
            <w:tcW w:w="555" w:type="pct"/>
            <w:tcBorders>
              <w:top w:val="nil"/>
            </w:tcBorders>
          </w:tcPr>
          <w:p w14:paraId="42EF92FF" w14:textId="77777777" w:rsidR="00CA4999" w:rsidRPr="00CE3643" w:rsidRDefault="00CA4999" w:rsidP="00DE1163">
            <w:pPr>
              <w:keepNext/>
              <w:keepLines/>
              <w:jc w:val="center"/>
              <w:rPr>
                <w:rFonts w:ascii="Arial Narrow" w:hAnsi="Arial Narrow"/>
                <w:sz w:val="20"/>
                <w:szCs w:val="20"/>
              </w:rPr>
            </w:pPr>
            <w:r w:rsidRPr="00CE3643">
              <w:rPr>
                <w:rFonts w:ascii="Arial Narrow" w:hAnsi="Arial Narrow"/>
                <w:sz w:val="20"/>
                <w:szCs w:val="20"/>
              </w:rPr>
              <w:t>SUNFISH Part 2</w:t>
            </w:r>
          </w:p>
        </w:tc>
        <w:tc>
          <w:tcPr>
            <w:tcW w:w="635" w:type="pct"/>
            <w:tcBorders>
              <w:top w:val="nil"/>
            </w:tcBorders>
          </w:tcPr>
          <w:p w14:paraId="7BE72AE2" w14:textId="77777777" w:rsidR="00CA4999" w:rsidRPr="00CE3643" w:rsidRDefault="00CA4999" w:rsidP="00DE1163">
            <w:pPr>
              <w:keepNext/>
              <w:keepLines/>
              <w:jc w:val="center"/>
              <w:rPr>
                <w:rFonts w:ascii="Arial Narrow" w:hAnsi="Arial Narrow"/>
                <w:sz w:val="20"/>
                <w:szCs w:val="20"/>
              </w:rPr>
            </w:pPr>
            <w:r w:rsidRPr="00CE3643">
              <w:rPr>
                <w:rFonts w:ascii="Arial Narrow" w:hAnsi="Arial Narrow"/>
                <w:sz w:val="20"/>
                <w:szCs w:val="20"/>
              </w:rPr>
              <w:t>CHERISH</w:t>
            </w:r>
          </w:p>
        </w:tc>
        <w:tc>
          <w:tcPr>
            <w:tcW w:w="1416" w:type="pct"/>
            <w:tcBorders>
              <w:top w:val="nil"/>
            </w:tcBorders>
          </w:tcPr>
          <w:p w14:paraId="6E650FAB" w14:textId="77777777" w:rsidR="00CA4999" w:rsidRPr="00CE3643" w:rsidRDefault="00CA4999" w:rsidP="00DE1163">
            <w:pPr>
              <w:keepNext/>
              <w:keepLines/>
              <w:jc w:val="center"/>
              <w:rPr>
                <w:rFonts w:ascii="Arial Narrow" w:hAnsi="Arial Narrow"/>
                <w:sz w:val="20"/>
                <w:szCs w:val="20"/>
              </w:rPr>
            </w:pPr>
            <w:r w:rsidRPr="00CE3643">
              <w:rPr>
                <w:rFonts w:ascii="Arial Narrow" w:hAnsi="Arial Narrow"/>
                <w:sz w:val="20"/>
                <w:szCs w:val="20"/>
              </w:rPr>
              <w:t>MAIC for RULM with SUNFISH Part 2 (RCT) subset* and CHERISH (RCT) ITT, anchored</w:t>
            </w:r>
          </w:p>
        </w:tc>
        <w:tc>
          <w:tcPr>
            <w:tcW w:w="1595" w:type="pct"/>
            <w:tcBorders>
              <w:top w:val="nil"/>
            </w:tcBorders>
          </w:tcPr>
          <w:p w14:paraId="3616FECB" w14:textId="77777777" w:rsidR="00CA4999" w:rsidRPr="00CE3643" w:rsidRDefault="00CA4999" w:rsidP="00DE1163">
            <w:pPr>
              <w:keepNext/>
              <w:keepLines/>
              <w:jc w:val="center"/>
              <w:rPr>
                <w:rFonts w:ascii="Arial Narrow" w:hAnsi="Arial Narrow"/>
                <w:sz w:val="20"/>
                <w:szCs w:val="20"/>
              </w:rPr>
            </w:pPr>
            <w:r w:rsidRPr="00CE3643">
              <w:rPr>
                <w:rFonts w:ascii="Arial Narrow" w:hAnsi="Arial Narrow"/>
                <w:sz w:val="20"/>
                <w:szCs w:val="20"/>
              </w:rPr>
              <w:t>Not restricting patients to subgroup of patients ≤18 years in SUNFISH Part 2 may not be appropriate.</w:t>
            </w:r>
          </w:p>
          <w:p w14:paraId="2B398C56" w14:textId="77777777" w:rsidR="00CA4999" w:rsidRPr="00CE3643" w:rsidRDefault="00CA4999" w:rsidP="00DE1163">
            <w:pPr>
              <w:keepNext/>
              <w:keepLines/>
              <w:jc w:val="center"/>
              <w:rPr>
                <w:rFonts w:ascii="Arial Narrow" w:hAnsi="Arial Narrow"/>
                <w:sz w:val="20"/>
                <w:szCs w:val="20"/>
              </w:rPr>
            </w:pPr>
          </w:p>
          <w:p w14:paraId="59C989DF" w14:textId="77777777" w:rsidR="00CA4999" w:rsidRPr="00CE3643" w:rsidRDefault="00CA4999" w:rsidP="00DE1163">
            <w:pPr>
              <w:keepNext/>
              <w:keepLines/>
              <w:jc w:val="center"/>
              <w:rPr>
                <w:rFonts w:ascii="Arial Narrow" w:hAnsi="Arial Narrow"/>
                <w:sz w:val="20"/>
                <w:szCs w:val="20"/>
              </w:rPr>
            </w:pPr>
            <w:r w:rsidRPr="00CE3643">
              <w:rPr>
                <w:rFonts w:ascii="Arial Narrow" w:hAnsi="Arial Narrow"/>
                <w:sz w:val="20"/>
                <w:szCs w:val="20"/>
              </w:rPr>
              <w:t xml:space="preserve">Bucher indirect comparison and </w:t>
            </w:r>
            <w:r w:rsidR="009F61B4" w:rsidRPr="00CE3643">
              <w:rPr>
                <w:rFonts w:ascii="Arial Narrow" w:hAnsi="Arial Narrow"/>
                <w:sz w:val="20"/>
                <w:szCs w:val="20"/>
              </w:rPr>
              <w:t>Bayesian</w:t>
            </w:r>
            <w:r w:rsidRPr="00CE3643">
              <w:rPr>
                <w:rFonts w:ascii="Arial Narrow" w:hAnsi="Arial Narrow"/>
                <w:sz w:val="20"/>
                <w:szCs w:val="20"/>
              </w:rPr>
              <w:t xml:space="preserve"> NMA also provided as sensitivity analysis</w:t>
            </w:r>
          </w:p>
        </w:tc>
      </w:tr>
      <w:tr w:rsidR="001823C0" w:rsidRPr="00CE3643" w14:paraId="218107DA" w14:textId="77777777" w:rsidTr="00E96E81">
        <w:tc>
          <w:tcPr>
            <w:tcW w:w="5000" w:type="pct"/>
            <w:gridSpan w:val="5"/>
            <w:tcBorders>
              <w:top w:val="nil"/>
            </w:tcBorders>
            <w:vAlign w:val="center"/>
          </w:tcPr>
          <w:p w14:paraId="58F7478E" w14:textId="77777777" w:rsidR="001823C0" w:rsidRPr="00CE3643" w:rsidRDefault="001823C0" w:rsidP="001823C0">
            <w:pPr>
              <w:keepNext/>
              <w:keepLines/>
              <w:jc w:val="left"/>
              <w:rPr>
                <w:rFonts w:ascii="Arial Narrow" w:hAnsi="Arial Narrow"/>
                <w:b/>
                <w:sz w:val="20"/>
                <w:szCs w:val="20"/>
              </w:rPr>
            </w:pPr>
            <w:r w:rsidRPr="00CE3643">
              <w:rPr>
                <w:rFonts w:ascii="Arial Narrow" w:hAnsi="Arial Narrow"/>
                <w:b/>
                <w:sz w:val="20"/>
                <w:szCs w:val="20"/>
              </w:rPr>
              <w:t>Population 2</w:t>
            </w:r>
          </w:p>
        </w:tc>
      </w:tr>
      <w:tr w:rsidR="00CA4999" w:rsidRPr="00CE3643" w14:paraId="5ED283D6" w14:textId="77777777" w:rsidTr="00E96E81">
        <w:tc>
          <w:tcPr>
            <w:tcW w:w="799" w:type="pct"/>
            <w:vAlign w:val="center"/>
          </w:tcPr>
          <w:p w14:paraId="6E16F3EF" w14:textId="77777777" w:rsidR="00CA4999" w:rsidRPr="00CE3643" w:rsidRDefault="00CA4999" w:rsidP="00CA4999">
            <w:pPr>
              <w:keepNext/>
              <w:keepLines/>
              <w:jc w:val="center"/>
              <w:rPr>
                <w:rFonts w:ascii="Arial Narrow" w:hAnsi="Arial Narrow"/>
                <w:sz w:val="20"/>
                <w:szCs w:val="20"/>
              </w:rPr>
            </w:pPr>
            <w:r w:rsidRPr="00CE3643">
              <w:rPr>
                <w:rFonts w:ascii="Arial Narrow" w:hAnsi="Arial Narrow" w:cs="Calibri"/>
                <w:sz w:val="20"/>
                <w:szCs w:val="20"/>
              </w:rPr>
              <w:t>≤</w:t>
            </w:r>
            <w:r w:rsidRPr="00CE3643">
              <w:rPr>
                <w:rFonts w:ascii="Arial Narrow" w:hAnsi="Arial Narrow"/>
                <w:sz w:val="20"/>
                <w:szCs w:val="20"/>
              </w:rPr>
              <w:t>18 years of age, SMA Type 3b</w:t>
            </w:r>
          </w:p>
        </w:tc>
        <w:tc>
          <w:tcPr>
            <w:tcW w:w="555" w:type="pct"/>
            <w:vAlign w:val="center"/>
          </w:tcPr>
          <w:p w14:paraId="01990B71" w14:textId="77777777" w:rsidR="00CA4999" w:rsidRPr="00CE3643" w:rsidRDefault="00CA4999" w:rsidP="00CA4999">
            <w:pPr>
              <w:keepNext/>
              <w:keepLines/>
              <w:jc w:val="center"/>
              <w:rPr>
                <w:rFonts w:ascii="Arial Narrow" w:hAnsi="Arial Narrow"/>
                <w:sz w:val="20"/>
                <w:szCs w:val="20"/>
              </w:rPr>
            </w:pPr>
            <w:r w:rsidRPr="00CE3643">
              <w:rPr>
                <w:rFonts w:ascii="Arial Narrow" w:hAnsi="Arial Narrow"/>
                <w:sz w:val="20"/>
                <w:szCs w:val="20"/>
              </w:rPr>
              <w:t>SUNFISH Part 2</w:t>
            </w:r>
          </w:p>
        </w:tc>
        <w:tc>
          <w:tcPr>
            <w:tcW w:w="635" w:type="pct"/>
            <w:vAlign w:val="center"/>
          </w:tcPr>
          <w:p w14:paraId="6758AC04" w14:textId="77777777" w:rsidR="00CA4999" w:rsidRPr="00CE3643" w:rsidRDefault="00CA4999" w:rsidP="00CA4999">
            <w:pPr>
              <w:keepNext/>
              <w:keepLines/>
              <w:jc w:val="center"/>
              <w:rPr>
                <w:rFonts w:ascii="Arial Narrow" w:hAnsi="Arial Narrow"/>
                <w:sz w:val="20"/>
                <w:szCs w:val="20"/>
              </w:rPr>
            </w:pPr>
            <w:r w:rsidRPr="00CE3643">
              <w:rPr>
                <w:rFonts w:ascii="Arial Narrow" w:hAnsi="Arial Narrow"/>
                <w:sz w:val="20"/>
                <w:szCs w:val="20"/>
              </w:rPr>
              <w:t>N/A; BSC only</w:t>
            </w:r>
          </w:p>
        </w:tc>
        <w:tc>
          <w:tcPr>
            <w:tcW w:w="1416" w:type="pct"/>
            <w:vAlign w:val="center"/>
          </w:tcPr>
          <w:p w14:paraId="4FCBF79C" w14:textId="77777777" w:rsidR="00CA4999" w:rsidRPr="00CE3643" w:rsidRDefault="00CA4999" w:rsidP="00CA4999">
            <w:pPr>
              <w:keepNext/>
              <w:keepLines/>
              <w:jc w:val="center"/>
              <w:rPr>
                <w:rFonts w:ascii="Arial Narrow" w:hAnsi="Arial Narrow"/>
                <w:sz w:val="20"/>
                <w:szCs w:val="20"/>
              </w:rPr>
            </w:pPr>
            <w:r w:rsidRPr="00CE3643">
              <w:rPr>
                <w:rFonts w:ascii="Arial Narrow" w:hAnsi="Arial Narrow"/>
                <w:sz w:val="20"/>
                <w:szCs w:val="20"/>
              </w:rPr>
              <w:t>None provided</w:t>
            </w:r>
          </w:p>
        </w:tc>
        <w:tc>
          <w:tcPr>
            <w:tcW w:w="1595" w:type="pct"/>
            <w:vAlign w:val="center"/>
          </w:tcPr>
          <w:p w14:paraId="5EE6FF06" w14:textId="77777777" w:rsidR="00CA4999" w:rsidRPr="00CE3643" w:rsidRDefault="00CA4999" w:rsidP="00CA4999">
            <w:pPr>
              <w:keepNext/>
              <w:keepLines/>
              <w:jc w:val="center"/>
              <w:rPr>
                <w:rFonts w:ascii="Arial Narrow" w:hAnsi="Arial Narrow"/>
                <w:sz w:val="20"/>
                <w:szCs w:val="20"/>
              </w:rPr>
            </w:pPr>
            <w:r w:rsidRPr="00CE3643">
              <w:rPr>
                <w:rFonts w:ascii="Arial Narrow" w:hAnsi="Arial Narrow"/>
                <w:sz w:val="20"/>
                <w:szCs w:val="20"/>
              </w:rPr>
              <w:t>Only 6 patients in SUNFISH were assumed to have Type 3b SMA.  There was a paucity of data for this population.</w:t>
            </w:r>
          </w:p>
        </w:tc>
      </w:tr>
      <w:tr w:rsidR="001823C0" w:rsidRPr="00CE3643" w14:paraId="425328E9" w14:textId="77777777" w:rsidTr="00E96E81">
        <w:tc>
          <w:tcPr>
            <w:tcW w:w="5000" w:type="pct"/>
            <w:gridSpan w:val="5"/>
            <w:tcBorders>
              <w:top w:val="nil"/>
            </w:tcBorders>
            <w:vAlign w:val="center"/>
          </w:tcPr>
          <w:p w14:paraId="4D188FD8" w14:textId="77777777" w:rsidR="001823C0" w:rsidRPr="00CE3643" w:rsidRDefault="001823C0" w:rsidP="00370D8B">
            <w:pPr>
              <w:keepNext/>
              <w:keepLines/>
              <w:jc w:val="left"/>
              <w:rPr>
                <w:rFonts w:ascii="Arial Narrow" w:hAnsi="Arial Narrow"/>
                <w:b/>
                <w:sz w:val="20"/>
                <w:szCs w:val="20"/>
              </w:rPr>
            </w:pPr>
            <w:r w:rsidRPr="00CE3643">
              <w:rPr>
                <w:rFonts w:ascii="Arial Narrow" w:hAnsi="Arial Narrow"/>
                <w:b/>
                <w:sz w:val="20"/>
                <w:szCs w:val="20"/>
              </w:rPr>
              <w:t>Population 3</w:t>
            </w:r>
          </w:p>
        </w:tc>
      </w:tr>
      <w:tr w:rsidR="00CA4999" w:rsidRPr="00CE3643" w14:paraId="4A956E04" w14:textId="77777777" w:rsidTr="00E96E81">
        <w:tc>
          <w:tcPr>
            <w:tcW w:w="799" w:type="pct"/>
            <w:vAlign w:val="center"/>
          </w:tcPr>
          <w:p w14:paraId="0B554B83" w14:textId="77777777" w:rsidR="00CA4999" w:rsidRPr="00CE3643" w:rsidRDefault="00CA4999" w:rsidP="00CA4999">
            <w:pPr>
              <w:keepNext/>
              <w:keepLines/>
              <w:jc w:val="center"/>
              <w:rPr>
                <w:rFonts w:ascii="Arial Narrow" w:hAnsi="Arial Narrow"/>
                <w:sz w:val="20"/>
                <w:szCs w:val="20"/>
              </w:rPr>
            </w:pPr>
            <w:r w:rsidRPr="00CE3643">
              <w:rPr>
                <w:rFonts w:ascii="Arial Narrow" w:hAnsi="Arial Narrow"/>
                <w:sz w:val="20"/>
                <w:szCs w:val="20"/>
              </w:rPr>
              <w:t>&gt;18 years of age, SMA Types 1, 2 or 3</w:t>
            </w:r>
          </w:p>
        </w:tc>
        <w:tc>
          <w:tcPr>
            <w:tcW w:w="555" w:type="pct"/>
            <w:vAlign w:val="center"/>
          </w:tcPr>
          <w:p w14:paraId="623EA466" w14:textId="77777777" w:rsidR="00CA4999" w:rsidRPr="00CE3643" w:rsidRDefault="00CA4999" w:rsidP="00CA4999">
            <w:pPr>
              <w:keepNext/>
              <w:keepLines/>
              <w:jc w:val="center"/>
              <w:rPr>
                <w:rFonts w:ascii="Arial Narrow" w:hAnsi="Arial Narrow"/>
                <w:sz w:val="20"/>
                <w:szCs w:val="20"/>
              </w:rPr>
            </w:pPr>
            <w:r w:rsidRPr="00CE3643">
              <w:rPr>
                <w:rFonts w:ascii="Arial Narrow" w:hAnsi="Arial Narrow"/>
                <w:sz w:val="20"/>
                <w:szCs w:val="20"/>
              </w:rPr>
              <w:t>SUNFISH Part 2</w:t>
            </w:r>
          </w:p>
        </w:tc>
        <w:tc>
          <w:tcPr>
            <w:tcW w:w="635" w:type="pct"/>
            <w:vAlign w:val="center"/>
          </w:tcPr>
          <w:p w14:paraId="1835C5A8" w14:textId="77777777" w:rsidR="00CA4999" w:rsidRPr="00CE3643" w:rsidRDefault="00CA4999" w:rsidP="00CA4999">
            <w:pPr>
              <w:keepNext/>
              <w:keepLines/>
              <w:jc w:val="center"/>
              <w:rPr>
                <w:rFonts w:ascii="Arial Narrow" w:hAnsi="Arial Narrow"/>
                <w:sz w:val="20"/>
                <w:szCs w:val="20"/>
              </w:rPr>
            </w:pPr>
            <w:r w:rsidRPr="00CE3643">
              <w:rPr>
                <w:rFonts w:ascii="Arial Narrow" w:hAnsi="Arial Narrow"/>
                <w:sz w:val="20"/>
                <w:szCs w:val="20"/>
              </w:rPr>
              <w:t>N/A; BSC only</w:t>
            </w:r>
          </w:p>
        </w:tc>
        <w:tc>
          <w:tcPr>
            <w:tcW w:w="1416" w:type="pct"/>
            <w:vAlign w:val="center"/>
          </w:tcPr>
          <w:p w14:paraId="61EC8762" w14:textId="77777777" w:rsidR="00CA4999" w:rsidRPr="00CE3643" w:rsidRDefault="00CA4999" w:rsidP="00CA4999">
            <w:pPr>
              <w:keepNext/>
              <w:keepLines/>
              <w:jc w:val="center"/>
              <w:rPr>
                <w:rFonts w:ascii="Arial Narrow" w:hAnsi="Arial Narrow"/>
                <w:sz w:val="20"/>
                <w:szCs w:val="20"/>
              </w:rPr>
            </w:pPr>
            <w:r w:rsidRPr="00CE3643">
              <w:rPr>
                <w:rFonts w:ascii="Arial Narrow" w:hAnsi="Arial Narrow"/>
                <w:sz w:val="20"/>
                <w:szCs w:val="20"/>
              </w:rPr>
              <w:t>Direct RCT evidence for RULM and stabilisation of motor function from subgroup of patients aged 18-25 years enrolled in SUNFISH</w:t>
            </w:r>
          </w:p>
        </w:tc>
        <w:tc>
          <w:tcPr>
            <w:tcW w:w="1595" w:type="pct"/>
            <w:vAlign w:val="center"/>
          </w:tcPr>
          <w:p w14:paraId="4A12B423" w14:textId="77777777" w:rsidR="00CA4999" w:rsidRPr="00CE3643" w:rsidRDefault="00CA4999" w:rsidP="00872DB5">
            <w:pPr>
              <w:keepNext/>
              <w:keepLines/>
              <w:jc w:val="center"/>
              <w:rPr>
                <w:rFonts w:ascii="Arial Narrow" w:hAnsi="Arial Narrow"/>
                <w:sz w:val="20"/>
                <w:szCs w:val="20"/>
              </w:rPr>
            </w:pPr>
            <w:r w:rsidRPr="00CE3643">
              <w:rPr>
                <w:rFonts w:ascii="Arial Narrow" w:hAnsi="Arial Narrow"/>
                <w:sz w:val="20"/>
                <w:szCs w:val="20"/>
              </w:rPr>
              <w:t>Patients aged 18 are not part of population 3 and therefore may not be representative of the proposed population.</w:t>
            </w:r>
            <w:r w:rsidR="00FF07DC">
              <w:rPr>
                <w:rFonts w:ascii="Arial Narrow" w:hAnsi="Arial Narrow"/>
                <w:sz w:val="20"/>
                <w:szCs w:val="20"/>
              </w:rPr>
              <w:t>^</w:t>
            </w:r>
            <w:r w:rsidRPr="00CE3643">
              <w:rPr>
                <w:rFonts w:ascii="Arial Narrow" w:hAnsi="Arial Narrow"/>
                <w:sz w:val="20"/>
                <w:szCs w:val="20"/>
              </w:rPr>
              <w:t xml:space="preserve"> Additionally, patients who are older than 25 years of age may also be treated under the proposed </w:t>
            </w:r>
            <w:r w:rsidR="00A670CE" w:rsidRPr="00CE3643">
              <w:rPr>
                <w:rFonts w:ascii="Arial Narrow" w:hAnsi="Arial Narrow"/>
                <w:sz w:val="20"/>
                <w:szCs w:val="20"/>
              </w:rPr>
              <w:t>restriction.</w:t>
            </w:r>
            <w:r w:rsidR="00A670CE">
              <w:rPr>
                <w:rFonts w:ascii="Arial Narrow" w:hAnsi="Arial Narrow"/>
                <w:sz w:val="20"/>
                <w:szCs w:val="20"/>
              </w:rPr>
              <w:t xml:space="preserve"> </w:t>
            </w:r>
            <w:r w:rsidR="00A670CE" w:rsidRPr="00CE3643">
              <w:rPr>
                <w:rFonts w:ascii="Arial Narrow" w:hAnsi="Arial Narrow"/>
                <w:sz w:val="20"/>
                <w:szCs w:val="20"/>
              </w:rPr>
              <w:t>There</w:t>
            </w:r>
            <w:r w:rsidRPr="00CE3643">
              <w:rPr>
                <w:rFonts w:ascii="Arial Narrow" w:hAnsi="Arial Narrow"/>
                <w:sz w:val="20"/>
                <w:szCs w:val="20"/>
              </w:rPr>
              <w:t xml:space="preserve"> were no patients with SMA Type 1 or Type 3 (ambulant) enrolled in SUNFISH Part 2, though it is unlikely that SMA Type 1</w:t>
            </w:r>
            <w:r w:rsidR="002F13B2" w:rsidRPr="00CE3643">
              <w:rPr>
                <w:rFonts w:ascii="Arial Narrow" w:hAnsi="Arial Narrow"/>
                <w:sz w:val="20"/>
                <w:szCs w:val="20"/>
              </w:rPr>
              <w:t xml:space="preserve"> patients without access to a disease modifying treatment will</w:t>
            </w:r>
            <w:r w:rsidRPr="00CE3643">
              <w:rPr>
                <w:rFonts w:ascii="Arial Narrow" w:hAnsi="Arial Narrow"/>
                <w:sz w:val="20"/>
                <w:szCs w:val="20"/>
              </w:rPr>
              <w:t xml:space="preserve"> survive till 18 years of age.</w:t>
            </w:r>
          </w:p>
        </w:tc>
      </w:tr>
    </w:tbl>
    <w:p w14:paraId="61AA7E58" w14:textId="77777777" w:rsidR="00CA4999" w:rsidRDefault="00CA4999" w:rsidP="00CA4999">
      <w:pPr>
        <w:keepNext/>
        <w:keepLines/>
        <w:rPr>
          <w:rFonts w:ascii="Arial Narrow" w:hAnsi="Arial Narrow"/>
          <w:sz w:val="18"/>
          <w:szCs w:val="18"/>
        </w:rPr>
      </w:pPr>
      <w:r>
        <w:rPr>
          <w:rFonts w:ascii="Arial Narrow" w:hAnsi="Arial Narrow"/>
          <w:sz w:val="18"/>
          <w:szCs w:val="18"/>
        </w:rPr>
        <w:t>*subset includes only patients with age at screening ≤9, HFMSE baseline score ≥ 10 and no severe scoliosis</w:t>
      </w:r>
    </w:p>
    <w:p w14:paraId="64BDEF93" w14:textId="77777777" w:rsidR="00CA4999" w:rsidRPr="00AD2870" w:rsidRDefault="00CA4999" w:rsidP="00CA4999">
      <w:pPr>
        <w:keepNext/>
        <w:keepLines/>
        <w:rPr>
          <w:rFonts w:ascii="Arial Narrow" w:hAnsi="Arial Narrow"/>
          <w:sz w:val="18"/>
          <w:szCs w:val="18"/>
        </w:rPr>
      </w:pPr>
      <w:r w:rsidRPr="00AD2870">
        <w:rPr>
          <w:rFonts w:ascii="Arial Narrow" w:hAnsi="Arial Narrow"/>
          <w:sz w:val="18"/>
          <w:szCs w:val="18"/>
        </w:rPr>
        <w:t>SMA = spinal muscular atrophy, MAIC = matching adjusted indirect comparison, OS= overall survival, EFS = event free survival, ITT = intention to treat, RULM = revised upper limb module, BSC = best supportive care, RCT = randomised controlled trial</w:t>
      </w:r>
      <w:r>
        <w:rPr>
          <w:rFonts w:ascii="Arial Narrow" w:hAnsi="Arial Narrow"/>
          <w:sz w:val="18"/>
          <w:szCs w:val="18"/>
        </w:rPr>
        <w:t>, NA = not applicable</w:t>
      </w:r>
      <w:r w:rsidRPr="00AD2870">
        <w:rPr>
          <w:rFonts w:ascii="Arial Narrow" w:hAnsi="Arial Narrow"/>
          <w:sz w:val="18"/>
          <w:szCs w:val="18"/>
        </w:rPr>
        <w:t xml:space="preserve"> </w:t>
      </w:r>
    </w:p>
    <w:p w14:paraId="659CD309" w14:textId="77777777" w:rsidR="00FF07DC" w:rsidRPr="007B3DA4" w:rsidRDefault="00FF07DC" w:rsidP="00CA4999">
      <w:pPr>
        <w:keepNext/>
        <w:keepLines/>
        <w:rPr>
          <w:rFonts w:ascii="Arial Narrow" w:hAnsi="Arial Narrow"/>
          <w:sz w:val="18"/>
          <w:szCs w:val="18"/>
        </w:rPr>
      </w:pPr>
      <w:r>
        <w:rPr>
          <w:rFonts w:ascii="Arial Narrow" w:hAnsi="Arial Narrow"/>
          <w:sz w:val="18"/>
          <w:szCs w:val="18"/>
        </w:rPr>
        <w:t xml:space="preserve">^ </w:t>
      </w:r>
      <w:r w:rsidRPr="007B3DA4">
        <w:rPr>
          <w:rFonts w:ascii="Arial Narrow" w:hAnsi="Arial Narrow"/>
          <w:sz w:val="18"/>
          <w:szCs w:val="18"/>
        </w:rPr>
        <w:t xml:space="preserve">The PSCR added that only 4 patients in the 18-25 age group were aged 18 years at the time of enrolment and all were in the risdiplam arm. The Sponsor did not consider it appropriate to examine a subgroup of a subgroup given the small number of patients (n=22). </w:t>
      </w:r>
    </w:p>
    <w:p w14:paraId="4C58EB0B" w14:textId="77777777" w:rsidR="00F63F58" w:rsidRDefault="00CA4999" w:rsidP="00CA4999">
      <w:pPr>
        <w:keepNext/>
        <w:keepLines/>
        <w:rPr>
          <w:rFonts w:ascii="Arial Narrow" w:hAnsi="Arial Narrow"/>
          <w:sz w:val="18"/>
          <w:szCs w:val="18"/>
        </w:rPr>
      </w:pPr>
      <w:r w:rsidRPr="00AD2870">
        <w:rPr>
          <w:rFonts w:ascii="Arial Narrow" w:hAnsi="Arial Narrow"/>
          <w:sz w:val="18"/>
          <w:szCs w:val="18"/>
        </w:rPr>
        <w:t>Source: constructed during evaluation.</w:t>
      </w:r>
    </w:p>
    <w:p w14:paraId="0A3DD89F" w14:textId="77777777" w:rsidR="00F63F58" w:rsidRDefault="00F63F58">
      <w:pPr>
        <w:widowControl/>
        <w:jc w:val="left"/>
        <w:rPr>
          <w:rFonts w:ascii="Arial Narrow" w:hAnsi="Arial Narrow"/>
          <w:sz w:val="18"/>
          <w:szCs w:val="18"/>
        </w:rPr>
      </w:pPr>
      <w:r>
        <w:rPr>
          <w:rFonts w:ascii="Arial Narrow" w:hAnsi="Arial Narrow"/>
          <w:sz w:val="18"/>
          <w:szCs w:val="18"/>
        </w:rPr>
        <w:br w:type="page"/>
      </w:r>
    </w:p>
    <w:p w14:paraId="01ABF427" w14:textId="77777777" w:rsidR="007260A2" w:rsidRDefault="007260A2" w:rsidP="004422FA">
      <w:pPr>
        <w:pStyle w:val="ListParagraph"/>
        <w:widowControl/>
        <w:numPr>
          <w:ilvl w:val="1"/>
          <w:numId w:val="2"/>
        </w:numPr>
      </w:pPr>
      <w:r>
        <w:lastRenderedPageBreak/>
        <w:t xml:space="preserve">The submission also considered the following studies provide supportive evidence: </w:t>
      </w:r>
      <w:r w:rsidR="00710BB8">
        <w:t xml:space="preserve"> </w:t>
      </w:r>
      <w:r w:rsidR="00F07106">
        <w:t xml:space="preserve">For risdiplam – </w:t>
      </w:r>
      <w:r w:rsidR="00710BB8">
        <w:t>JEWELFISH</w:t>
      </w:r>
      <w:r w:rsidR="00DE1FBE">
        <w:t xml:space="preserve"> (single arm safety study in </w:t>
      </w:r>
      <w:r w:rsidR="00607DF9">
        <w:t xml:space="preserve">173 </w:t>
      </w:r>
      <w:r w:rsidR="00DE1FBE">
        <w:t>patients aged 2-60 years previously treated with other disease modifying treatments)</w:t>
      </w:r>
      <w:r w:rsidR="00F07106">
        <w:t>, and SUNFISH Part 1</w:t>
      </w:r>
      <w:r w:rsidR="00DE1FBE">
        <w:t xml:space="preserve"> in 51 patients aged 2-15 years</w:t>
      </w:r>
      <w:r w:rsidR="00710BB8">
        <w:t xml:space="preserve"> (supportive safety evidence</w:t>
      </w:r>
      <w:r w:rsidR="00F07106">
        <w:t xml:space="preserve"> from pooled safety data</w:t>
      </w:r>
      <w:r w:rsidR="00710BB8">
        <w:t xml:space="preserve">), </w:t>
      </w:r>
      <w:r w:rsidR="00F07106">
        <w:t>and for nusinersen – SHINE (an ongoing, open-label, non-comparative trial to evaluate the long-term safety, tolerability and efficacy in patients who participated in previous trials of nusinersen</w:t>
      </w:r>
      <w:r w:rsidR="00DE1FBE">
        <w:t>)</w:t>
      </w:r>
      <w:r w:rsidR="00F07106">
        <w:t xml:space="preserve">. </w:t>
      </w:r>
    </w:p>
    <w:p w14:paraId="3CC22BF9" w14:textId="77777777" w:rsidR="00572C7E" w:rsidRPr="00CE3643" w:rsidRDefault="008A2183" w:rsidP="004422FA">
      <w:pPr>
        <w:pStyle w:val="ListParagraph"/>
        <w:widowControl/>
        <w:numPr>
          <w:ilvl w:val="1"/>
          <w:numId w:val="2"/>
        </w:numPr>
      </w:pPr>
      <w:r w:rsidRPr="00CE3643">
        <w:t xml:space="preserve">The PBAC previously considered the results of CHERISH in the November 2017 consideration of nusinersen for infantile onset (Type 1) and childhood-onset (Type 2 and 3) SMA, ENDEAR in the November 2017 consideration of nusinersen for infantile onset (Type 1) and childhood-onset (Type 2 and 3) SMA, and </w:t>
      </w:r>
      <w:r w:rsidR="00572C7E" w:rsidRPr="00CE3643">
        <w:t>SHINE for the consideration of nusinersen in November 2017, July 2019 and July 2020</w:t>
      </w:r>
      <w:r w:rsidRPr="00CE3643">
        <w:t>.</w:t>
      </w:r>
    </w:p>
    <w:p w14:paraId="001DC4F5" w14:textId="77777777" w:rsidR="00862502" w:rsidRPr="003A44F8" w:rsidRDefault="00A73134" w:rsidP="004422FA">
      <w:pPr>
        <w:pStyle w:val="ListParagraph"/>
        <w:widowControl/>
        <w:numPr>
          <w:ilvl w:val="1"/>
          <w:numId w:val="2"/>
        </w:numPr>
      </w:pPr>
      <w:r w:rsidRPr="003A44F8">
        <w:rPr>
          <w:rFonts w:cs="Calibri"/>
          <w:snapToGrid/>
          <w:szCs w:val="24"/>
          <w:lang w:eastAsia="en-AU"/>
        </w:rPr>
        <w:t>Details of the trials</w:t>
      </w:r>
      <w:r w:rsidR="004D0F14">
        <w:rPr>
          <w:rFonts w:cs="Calibri"/>
          <w:snapToGrid/>
          <w:szCs w:val="24"/>
          <w:lang w:eastAsia="en-AU"/>
        </w:rPr>
        <w:t xml:space="preserve"> and studies</w:t>
      </w:r>
      <w:r w:rsidRPr="003A44F8">
        <w:rPr>
          <w:rFonts w:cs="Calibri"/>
          <w:snapToGrid/>
          <w:szCs w:val="24"/>
          <w:lang w:eastAsia="en-AU"/>
        </w:rPr>
        <w:t xml:space="preserve"> presented in the submission are provided in </w:t>
      </w:r>
      <w:r w:rsidR="009825B3" w:rsidRPr="009825B3">
        <w:rPr>
          <w:rFonts w:cs="Calibri"/>
          <w:snapToGrid/>
          <w:szCs w:val="24"/>
          <w:lang w:eastAsia="en-AU"/>
        </w:rPr>
        <w:t>Table 4</w:t>
      </w:r>
      <w:r w:rsidRPr="003A44F8">
        <w:rPr>
          <w:rFonts w:cs="Calibri"/>
          <w:snapToGrid/>
          <w:szCs w:val="24"/>
          <w:lang w:eastAsia="en-AU"/>
        </w:rPr>
        <w:t xml:space="preserve">.  </w:t>
      </w:r>
    </w:p>
    <w:p w14:paraId="111998CA" w14:textId="77777777" w:rsidR="008E0D3C" w:rsidRPr="003A44F8" w:rsidRDefault="005B44C9" w:rsidP="005B44C9">
      <w:pPr>
        <w:rPr>
          <w:rStyle w:val="CommentReference"/>
        </w:rPr>
      </w:pPr>
      <w:bookmarkStart w:id="18" w:name="_Ref61511256"/>
      <w:r w:rsidRPr="005B44C9">
        <w:rPr>
          <w:rStyle w:val="CommentReference"/>
        </w:rPr>
        <w:t xml:space="preserve">Table </w:t>
      </w:r>
      <w:r w:rsidR="009825B3">
        <w:rPr>
          <w:rStyle w:val="CommentReference"/>
          <w:noProof/>
        </w:rPr>
        <w:t>4</w:t>
      </w:r>
      <w:bookmarkEnd w:id="18"/>
      <w:r w:rsidR="00E65E6A">
        <w:rPr>
          <w:rStyle w:val="CommentReference"/>
        </w:rPr>
        <w:t>:</w:t>
      </w:r>
      <w:r w:rsidR="008E0D3C" w:rsidRPr="003A44F8">
        <w:rPr>
          <w:rStyle w:val="CommentReference"/>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4960"/>
        <w:gridCol w:w="2787"/>
      </w:tblGrid>
      <w:tr w:rsidR="00B10336" w:rsidRPr="00CE3643" w14:paraId="1B60C694" w14:textId="77777777" w:rsidTr="00E96E81">
        <w:trPr>
          <w:tblHeader/>
        </w:trPr>
        <w:tc>
          <w:tcPr>
            <w:tcW w:w="705" w:type="pct"/>
            <w:tcBorders>
              <w:left w:val="single" w:sz="2" w:space="0" w:color="auto"/>
            </w:tcBorders>
            <w:vAlign w:val="center"/>
          </w:tcPr>
          <w:p w14:paraId="1E073030" w14:textId="77777777" w:rsidR="00B10336" w:rsidRPr="00CE3643" w:rsidRDefault="00B10336" w:rsidP="00B20764">
            <w:pPr>
              <w:pStyle w:val="Tabletext"/>
              <w:rPr>
                <w:b/>
              </w:rPr>
            </w:pPr>
            <w:r w:rsidRPr="00CE3643">
              <w:rPr>
                <w:b/>
              </w:rPr>
              <w:t>Trial ID</w:t>
            </w:r>
          </w:p>
        </w:tc>
        <w:tc>
          <w:tcPr>
            <w:tcW w:w="2750" w:type="pct"/>
            <w:vAlign w:val="center"/>
          </w:tcPr>
          <w:p w14:paraId="14D06921" w14:textId="77777777" w:rsidR="00B10336" w:rsidRPr="00CE3643" w:rsidRDefault="00B10336" w:rsidP="00B20764">
            <w:pPr>
              <w:pStyle w:val="Tabletext"/>
              <w:jc w:val="center"/>
              <w:rPr>
                <w:b/>
              </w:rPr>
            </w:pPr>
            <w:r w:rsidRPr="00CE3643">
              <w:rPr>
                <w:b/>
              </w:rPr>
              <w:t>Protocol title/ Publication title</w:t>
            </w:r>
          </w:p>
        </w:tc>
        <w:tc>
          <w:tcPr>
            <w:tcW w:w="1545" w:type="pct"/>
            <w:vAlign w:val="center"/>
          </w:tcPr>
          <w:p w14:paraId="1A5DCBD1" w14:textId="77777777" w:rsidR="00B10336" w:rsidRPr="00CE3643" w:rsidRDefault="00B10336" w:rsidP="00B20764">
            <w:pPr>
              <w:pStyle w:val="Tabletext"/>
              <w:jc w:val="center"/>
              <w:rPr>
                <w:b/>
              </w:rPr>
            </w:pPr>
            <w:r w:rsidRPr="00CE3643">
              <w:rPr>
                <w:b/>
              </w:rPr>
              <w:t>Publication citation</w:t>
            </w:r>
          </w:p>
        </w:tc>
      </w:tr>
      <w:tr w:rsidR="00B10336" w:rsidRPr="00CE3643" w14:paraId="4FA1CB93" w14:textId="77777777" w:rsidTr="00E96E81">
        <w:tc>
          <w:tcPr>
            <w:tcW w:w="5000" w:type="pct"/>
            <w:gridSpan w:val="3"/>
            <w:tcBorders>
              <w:left w:val="single" w:sz="2" w:space="0" w:color="auto"/>
              <w:bottom w:val="nil"/>
            </w:tcBorders>
            <w:vAlign w:val="center"/>
          </w:tcPr>
          <w:p w14:paraId="6AAED156" w14:textId="77777777" w:rsidR="00B10336" w:rsidRPr="00CE3643" w:rsidRDefault="00B10336" w:rsidP="00B20764">
            <w:pPr>
              <w:pStyle w:val="Tabletext"/>
              <w:rPr>
                <w:b/>
                <w:szCs w:val="20"/>
              </w:rPr>
            </w:pPr>
            <w:r w:rsidRPr="00CE3643">
              <w:rPr>
                <w:b/>
                <w:szCs w:val="20"/>
              </w:rPr>
              <w:t>Randomised controlled trials</w:t>
            </w:r>
          </w:p>
        </w:tc>
      </w:tr>
      <w:tr w:rsidR="00B10336" w:rsidRPr="00CE3643" w14:paraId="06B6AACA" w14:textId="77777777" w:rsidTr="00E96E81">
        <w:tc>
          <w:tcPr>
            <w:tcW w:w="705" w:type="pct"/>
            <w:tcBorders>
              <w:left w:val="single" w:sz="2" w:space="0" w:color="auto"/>
              <w:bottom w:val="nil"/>
            </w:tcBorders>
            <w:vAlign w:val="center"/>
          </w:tcPr>
          <w:p w14:paraId="0D0B9F7F" w14:textId="77777777" w:rsidR="00B10336" w:rsidRPr="00CE3643" w:rsidRDefault="00B10336" w:rsidP="00B20764">
            <w:pPr>
              <w:pStyle w:val="Tabletext"/>
              <w:rPr>
                <w:szCs w:val="20"/>
              </w:rPr>
            </w:pPr>
            <w:r w:rsidRPr="00CE3643">
              <w:rPr>
                <w:szCs w:val="20"/>
              </w:rPr>
              <w:t>SUNFISH Part 2</w:t>
            </w:r>
          </w:p>
        </w:tc>
        <w:tc>
          <w:tcPr>
            <w:tcW w:w="2750" w:type="pct"/>
            <w:tcBorders>
              <w:bottom w:val="nil"/>
            </w:tcBorders>
            <w:vAlign w:val="center"/>
          </w:tcPr>
          <w:p w14:paraId="11F27D7E" w14:textId="77777777" w:rsidR="00B10336" w:rsidRPr="00CE3643" w:rsidRDefault="00B10336" w:rsidP="00B20764">
            <w:pPr>
              <w:pStyle w:val="Tabletext"/>
              <w:rPr>
                <w:szCs w:val="20"/>
              </w:rPr>
            </w:pPr>
            <w:r w:rsidRPr="00CE3643">
              <w:rPr>
                <w:szCs w:val="20"/>
              </w:rPr>
              <w:t xml:space="preserve">Primary Clinical Study Report – Study BP39055, SUNFISH. A two-part seamless, multicentre randomized, placebo-controlled, double blind study to investigate the safety, tolerability, pharmacokinetics, pharmacodynamics and efficacy of RO7034067 in Type 2 and 3 spinal muscular atrophy patients. </w:t>
            </w:r>
          </w:p>
        </w:tc>
        <w:tc>
          <w:tcPr>
            <w:tcW w:w="1545" w:type="pct"/>
            <w:tcBorders>
              <w:bottom w:val="nil"/>
            </w:tcBorders>
            <w:vAlign w:val="center"/>
          </w:tcPr>
          <w:p w14:paraId="1EC500A6" w14:textId="77777777" w:rsidR="00B10336" w:rsidRPr="00CE3643" w:rsidRDefault="00B10336" w:rsidP="00B20764">
            <w:pPr>
              <w:pStyle w:val="Tabletext"/>
              <w:rPr>
                <w:szCs w:val="20"/>
              </w:rPr>
            </w:pPr>
            <w:r w:rsidRPr="00CE3643">
              <w:rPr>
                <w:szCs w:val="20"/>
              </w:rPr>
              <w:t>Report No. 1099250, February 2020</w:t>
            </w:r>
          </w:p>
        </w:tc>
      </w:tr>
      <w:tr w:rsidR="00B10336" w:rsidRPr="00CE3643" w14:paraId="20BAB343" w14:textId="77777777" w:rsidTr="00E96E81">
        <w:tc>
          <w:tcPr>
            <w:tcW w:w="705" w:type="pct"/>
            <w:tcBorders>
              <w:top w:val="nil"/>
              <w:left w:val="single" w:sz="2" w:space="0" w:color="auto"/>
              <w:bottom w:val="nil"/>
            </w:tcBorders>
            <w:vAlign w:val="center"/>
          </w:tcPr>
          <w:p w14:paraId="28C2A9A0" w14:textId="77777777" w:rsidR="00B10336" w:rsidRPr="00CE3643" w:rsidRDefault="00B10336" w:rsidP="00B20764">
            <w:pPr>
              <w:pStyle w:val="Tabletext"/>
              <w:rPr>
                <w:szCs w:val="20"/>
              </w:rPr>
            </w:pPr>
          </w:p>
        </w:tc>
        <w:tc>
          <w:tcPr>
            <w:tcW w:w="2750" w:type="pct"/>
            <w:tcBorders>
              <w:top w:val="nil"/>
              <w:bottom w:val="nil"/>
            </w:tcBorders>
            <w:vAlign w:val="center"/>
          </w:tcPr>
          <w:p w14:paraId="4EF23957" w14:textId="77777777" w:rsidR="00B10336" w:rsidRPr="00CE3643" w:rsidRDefault="00B10336" w:rsidP="00B20764">
            <w:pPr>
              <w:pStyle w:val="Tabletext"/>
              <w:rPr>
                <w:szCs w:val="20"/>
                <w:lang w:eastAsia="en-AU"/>
              </w:rPr>
            </w:pPr>
            <w:r w:rsidRPr="00CE3643">
              <w:rPr>
                <w:szCs w:val="20"/>
              </w:rPr>
              <w:t>Campbell C, Mercuri E, Baranello G et al. SUNFISH Part 1 results and Part 2 trial design in patients with type 2/3 spinal muscular atrophy (SMA) receiving risdiplam (RG7916).</w:t>
            </w:r>
          </w:p>
        </w:tc>
        <w:tc>
          <w:tcPr>
            <w:tcW w:w="1545" w:type="pct"/>
            <w:tcBorders>
              <w:top w:val="nil"/>
              <w:bottom w:val="nil"/>
            </w:tcBorders>
            <w:vAlign w:val="center"/>
          </w:tcPr>
          <w:p w14:paraId="3D8E8CC2" w14:textId="77777777" w:rsidR="00B10336" w:rsidRPr="00CE3643" w:rsidRDefault="00B10336" w:rsidP="00B20764">
            <w:pPr>
              <w:pStyle w:val="Tabletext"/>
              <w:rPr>
                <w:szCs w:val="20"/>
                <w:lang w:eastAsia="en-AU"/>
              </w:rPr>
            </w:pPr>
            <w:r w:rsidRPr="00CE3643">
              <w:rPr>
                <w:szCs w:val="20"/>
              </w:rPr>
              <w:t>Canadian Journal of Neurological Sciences 2019; 46: S31.</w:t>
            </w:r>
          </w:p>
        </w:tc>
      </w:tr>
      <w:tr w:rsidR="00B10336" w:rsidRPr="00CE3643" w14:paraId="037E0938" w14:textId="77777777" w:rsidTr="00E96E81">
        <w:tc>
          <w:tcPr>
            <w:tcW w:w="705" w:type="pct"/>
            <w:tcBorders>
              <w:left w:val="single" w:sz="2" w:space="0" w:color="auto"/>
              <w:bottom w:val="nil"/>
            </w:tcBorders>
            <w:vAlign w:val="center"/>
          </w:tcPr>
          <w:p w14:paraId="357BE170" w14:textId="77777777" w:rsidR="00B10336" w:rsidRPr="00CE3643" w:rsidRDefault="00B10336" w:rsidP="00B20764">
            <w:pPr>
              <w:pStyle w:val="Tabletext"/>
              <w:rPr>
                <w:szCs w:val="20"/>
              </w:rPr>
            </w:pPr>
            <w:r w:rsidRPr="00CE3643">
              <w:rPr>
                <w:szCs w:val="20"/>
              </w:rPr>
              <w:t>ENDEAR</w:t>
            </w:r>
          </w:p>
        </w:tc>
        <w:tc>
          <w:tcPr>
            <w:tcW w:w="2750" w:type="pct"/>
            <w:tcBorders>
              <w:bottom w:val="nil"/>
            </w:tcBorders>
            <w:vAlign w:val="center"/>
          </w:tcPr>
          <w:p w14:paraId="6C846631" w14:textId="77777777" w:rsidR="00B10336" w:rsidRPr="00CE3643" w:rsidRDefault="00B10336" w:rsidP="00B20764">
            <w:pPr>
              <w:pStyle w:val="Tabletext"/>
              <w:rPr>
                <w:szCs w:val="20"/>
              </w:rPr>
            </w:pPr>
            <w:r w:rsidRPr="00CE3643">
              <w:rPr>
                <w:szCs w:val="20"/>
              </w:rPr>
              <w:t xml:space="preserve">Finkel R, Mercuri E, Darras B et al. Nusinersen versus Sham Control in Infantile-Onset Spinal Muscular Atrophy. </w:t>
            </w:r>
          </w:p>
        </w:tc>
        <w:tc>
          <w:tcPr>
            <w:tcW w:w="1545" w:type="pct"/>
            <w:tcBorders>
              <w:bottom w:val="nil"/>
            </w:tcBorders>
            <w:vAlign w:val="center"/>
          </w:tcPr>
          <w:p w14:paraId="2E516435" w14:textId="77777777" w:rsidR="00B10336" w:rsidRPr="00CE3643" w:rsidRDefault="00B10336" w:rsidP="00B20764">
            <w:pPr>
              <w:pStyle w:val="Tabletext"/>
              <w:rPr>
                <w:szCs w:val="20"/>
              </w:rPr>
            </w:pPr>
            <w:r w:rsidRPr="00CE3643">
              <w:rPr>
                <w:szCs w:val="20"/>
              </w:rPr>
              <w:t>NEJM 2018; 377: 1723-1732.</w:t>
            </w:r>
          </w:p>
        </w:tc>
      </w:tr>
      <w:tr w:rsidR="00B10336" w:rsidRPr="00CE3643" w14:paraId="5858B18B" w14:textId="77777777" w:rsidTr="00E96E81">
        <w:tc>
          <w:tcPr>
            <w:tcW w:w="705" w:type="pct"/>
            <w:tcBorders>
              <w:left w:val="single" w:sz="2" w:space="0" w:color="auto"/>
              <w:bottom w:val="single" w:sz="4" w:space="0" w:color="auto"/>
            </w:tcBorders>
            <w:vAlign w:val="center"/>
          </w:tcPr>
          <w:p w14:paraId="15345328" w14:textId="77777777" w:rsidR="00B10336" w:rsidRPr="00CE3643" w:rsidRDefault="00B10336" w:rsidP="00B20764">
            <w:pPr>
              <w:pStyle w:val="Tabletext"/>
              <w:contextualSpacing/>
              <w:rPr>
                <w:szCs w:val="20"/>
              </w:rPr>
            </w:pPr>
            <w:r w:rsidRPr="00CE3643">
              <w:rPr>
                <w:szCs w:val="20"/>
              </w:rPr>
              <w:t>CHERISH</w:t>
            </w:r>
          </w:p>
        </w:tc>
        <w:tc>
          <w:tcPr>
            <w:tcW w:w="2750" w:type="pct"/>
            <w:tcBorders>
              <w:bottom w:val="single" w:sz="4" w:space="0" w:color="auto"/>
            </w:tcBorders>
            <w:vAlign w:val="center"/>
          </w:tcPr>
          <w:p w14:paraId="1366E6A6" w14:textId="77777777" w:rsidR="00B10336" w:rsidRPr="00CE3643" w:rsidRDefault="00B10336" w:rsidP="00B20764">
            <w:pPr>
              <w:pStyle w:val="Tabletext"/>
              <w:contextualSpacing/>
              <w:rPr>
                <w:szCs w:val="20"/>
              </w:rPr>
            </w:pPr>
            <w:r w:rsidRPr="00CE3643">
              <w:rPr>
                <w:szCs w:val="20"/>
              </w:rPr>
              <w:t xml:space="preserve">Mercuri E, Darras B, Chiriboga C et al. Nusinersen versus Sham Control in Later-Onset Spinal Muscular Atrophy. </w:t>
            </w:r>
          </w:p>
        </w:tc>
        <w:tc>
          <w:tcPr>
            <w:tcW w:w="1545" w:type="pct"/>
            <w:tcBorders>
              <w:bottom w:val="single" w:sz="4" w:space="0" w:color="auto"/>
            </w:tcBorders>
            <w:vAlign w:val="center"/>
          </w:tcPr>
          <w:p w14:paraId="6DAB1BDC" w14:textId="77777777" w:rsidR="00B10336" w:rsidRPr="00CE3643" w:rsidRDefault="00B10336" w:rsidP="00B20764">
            <w:pPr>
              <w:pStyle w:val="Tabletext"/>
              <w:contextualSpacing/>
              <w:rPr>
                <w:szCs w:val="20"/>
              </w:rPr>
            </w:pPr>
            <w:r w:rsidRPr="00CE3643">
              <w:rPr>
                <w:szCs w:val="20"/>
              </w:rPr>
              <w:t>NEJM 2018; 378: 625-635</w:t>
            </w:r>
          </w:p>
        </w:tc>
      </w:tr>
      <w:tr w:rsidR="00B10336" w:rsidRPr="00CE3643" w14:paraId="6037445B" w14:textId="77777777" w:rsidTr="00E96E81">
        <w:tc>
          <w:tcPr>
            <w:tcW w:w="5000" w:type="pct"/>
            <w:gridSpan w:val="3"/>
            <w:tcBorders>
              <w:top w:val="single" w:sz="4" w:space="0" w:color="auto"/>
              <w:left w:val="single" w:sz="2" w:space="0" w:color="auto"/>
              <w:bottom w:val="single" w:sz="4" w:space="0" w:color="auto"/>
            </w:tcBorders>
            <w:vAlign w:val="center"/>
          </w:tcPr>
          <w:p w14:paraId="5DA00D9E" w14:textId="77777777" w:rsidR="00B10336" w:rsidRPr="00CE3643" w:rsidRDefault="00B10336" w:rsidP="00B20764">
            <w:pPr>
              <w:pStyle w:val="Tabletext"/>
              <w:rPr>
                <w:b/>
                <w:szCs w:val="20"/>
              </w:rPr>
            </w:pPr>
            <w:r w:rsidRPr="00CE3643">
              <w:rPr>
                <w:b/>
                <w:szCs w:val="20"/>
              </w:rPr>
              <w:t>Primary non-randomised trials</w:t>
            </w:r>
          </w:p>
        </w:tc>
      </w:tr>
      <w:tr w:rsidR="00B10336" w:rsidRPr="00CE3643" w14:paraId="32F690DF" w14:textId="77777777" w:rsidTr="00E96E81">
        <w:tc>
          <w:tcPr>
            <w:tcW w:w="705" w:type="pct"/>
            <w:tcBorders>
              <w:top w:val="nil"/>
              <w:left w:val="single" w:sz="2" w:space="0" w:color="auto"/>
              <w:bottom w:val="nil"/>
            </w:tcBorders>
            <w:vAlign w:val="center"/>
          </w:tcPr>
          <w:p w14:paraId="43464EB8" w14:textId="77777777" w:rsidR="00B10336" w:rsidRPr="00CE3643" w:rsidRDefault="00B10336" w:rsidP="00B20764">
            <w:pPr>
              <w:pStyle w:val="Tabletext"/>
              <w:rPr>
                <w:szCs w:val="20"/>
              </w:rPr>
            </w:pPr>
            <w:r w:rsidRPr="00CE3643">
              <w:rPr>
                <w:szCs w:val="20"/>
              </w:rPr>
              <w:t>FIREFISH Parts 1 and 2</w:t>
            </w:r>
          </w:p>
        </w:tc>
        <w:tc>
          <w:tcPr>
            <w:tcW w:w="2750" w:type="pct"/>
            <w:tcBorders>
              <w:top w:val="single" w:sz="4" w:space="0" w:color="auto"/>
              <w:bottom w:val="nil"/>
            </w:tcBorders>
          </w:tcPr>
          <w:p w14:paraId="7B46C5C0" w14:textId="77777777" w:rsidR="00B10336" w:rsidRPr="00CE3643" w:rsidRDefault="00B10336" w:rsidP="00B20764">
            <w:pPr>
              <w:pStyle w:val="Tabletext"/>
              <w:rPr>
                <w:szCs w:val="20"/>
                <w:lang w:eastAsia="en-AU"/>
              </w:rPr>
            </w:pPr>
            <w:r w:rsidRPr="00CE3643">
              <w:t xml:space="preserve">FIREFISH Part 2: Primary Clinical Study Report – Study BP39055, FIREFISH. A two-part seamless, open-label, multicentre study to investigate the safety, tolerability, pharmacokinetics, pharmacodynamics and efficacy of risdiplam in infants with Type 1 spinal muscular atrophy. </w:t>
            </w:r>
          </w:p>
        </w:tc>
        <w:tc>
          <w:tcPr>
            <w:tcW w:w="1545" w:type="pct"/>
            <w:tcBorders>
              <w:top w:val="nil"/>
              <w:bottom w:val="nil"/>
            </w:tcBorders>
            <w:vAlign w:val="center"/>
          </w:tcPr>
          <w:p w14:paraId="651D5FF1" w14:textId="77777777" w:rsidR="00B10336" w:rsidRPr="00CE3643" w:rsidRDefault="00B10336" w:rsidP="00B20764">
            <w:pPr>
              <w:pStyle w:val="Tabletext"/>
              <w:rPr>
                <w:szCs w:val="20"/>
                <w:lang w:eastAsia="en-AU"/>
              </w:rPr>
            </w:pPr>
            <w:r w:rsidRPr="00CE3643">
              <w:t>Report No. 1100385. April 2020.</w:t>
            </w:r>
          </w:p>
        </w:tc>
      </w:tr>
      <w:tr w:rsidR="00B10336" w:rsidRPr="00CE3643" w14:paraId="09C8D90A" w14:textId="77777777" w:rsidTr="00E96E81">
        <w:tc>
          <w:tcPr>
            <w:tcW w:w="705" w:type="pct"/>
            <w:tcBorders>
              <w:top w:val="nil"/>
              <w:left w:val="single" w:sz="2" w:space="0" w:color="auto"/>
              <w:bottom w:val="nil"/>
            </w:tcBorders>
            <w:vAlign w:val="center"/>
          </w:tcPr>
          <w:p w14:paraId="38207934" w14:textId="77777777" w:rsidR="00B10336" w:rsidRPr="00CE3643" w:rsidRDefault="00B10336" w:rsidP="00B20764">
            <w:pPr>
              <w:pStyle w:val="Tabletext"/>
              <w:rPr>
                <w:szCs w:val="20"/>
              </w:rPr>
            </w:pPr>
          </w:p>
        </w:tc>
        <w:tc>
          <w:tcPr>
            <w:tcW w:w="2750" w:type="pct"/>
            <w:tcBorders>
              <w:top w:val="nil"/>
              <w:bottom w:val="nil"/>
            </w:tcBorders>
          </w:tcPr>
          <w:p w14:paraId="50D69096" w14:textId="77777777" w:rsidR="00B10336" w:rsidRPr="00CE3643" w:rsidRDefault="00B10336" w:rsidP="00B20764">
            <w:pPr>
              <w:pStyle w:val="Tabletext"/>
            </w:pPr>
            <w:r w:rsidRPr="00CE3643">
              <w:t xml:space="preserve">Servais L, Baranello G, Masson R et al. FIREFISH Part 2: Efficacy and Safety of Risdiplam (RG7916) in Infants with Type 1 Spinal Muscular Atrophy (SMA) (1302). </w:t>
            </w:r>
          </w:p>
        </w:tc>
        <w:tc>
          <w:tcPr>
            <w:tcW w:w="1545" w:type="pct"/>
            <w:tcBorders>
              <w:top w:val="nil"/>
              <w:bottom w:val="nil"/>
            </w:tcBorders>
            <w:vAlign w:val="center"/>
          </w:tcPr>
          <w:p w14:paraId="5275BC62" w14:textId="77777777" w:rsidR="00B10336" w:rsidRPr="00CE3643" w:rsidRDefault="00B10336" w:rsidP="00B20764">
            <w:pPr>
              <w:pStyle w:val="Tabletext"/>
            </w:pPr>
            <w:r w:rsidRPr="00CE3643">
              <w:t>Neurology 2020b; 94(15 Supplement):1302.</w:t>
            </w:r>
          </w:p>
        </w:tc>
      </w:tr>
      <w:tr w:rsidR="00B10336" w:rsidRPr="00CE3643" w14:paraId="6B9B6A59" w14:textId="77777777" w:rsidTr="00E96E81">
        <w:tc>
          <w:tcPr>
            <w:tcW w:w="5000" w:type="pct"/>
            <w:gridSpan w:val="3"/>
            <w:tcBorders>
              <w:top w:val="single" w:sz="4" w:space="0" w:color="auto"/>
              <w:left w:val="single" w:sz="2" w:space="0" w:color="auto"/>
              <w:bottom w:val="single" w:sz="4" w:space="0" w:color="auto"/>
            </w:tcBorders>
            <w:vAlign w:val="center"/>
          </w:tcPr>
          <w:p w14:paraId="793B1B83" w14:textId="77777777" w:rsidR="00B10336" w:rsidRPr="00CE3643" w:rsidRDefault="00B10336" w:rsidP="00B20764">
            <w:pPr>
              <w:pStyle w:val="Tabletext"/>
              <w:rPr>
                <w:b/>
                <w:szCs w:val="20"/>
              </w:rPr>
            </w:pPr>
            <w:r w:rsidRPr="00CE3643">
              <w:rPr>
                <w:b/>
                <w:szCs w:val="20"/>
              </w:rPr>
              <w:t>Supportive non-randomised trials and studies</w:t>
            </w:r>
          </w:p>
        </w:tc>
      </w:tr>
      <w:tr w:rsidR="00B10336" w:rsidRPr="00CE3643" w14:paraId="430771CA" w14:textId="77777777" w:rsidTr="00E96E81">
        <w:tc>
          <w:tcPr>
            <w:tcW w:w="705" w:type="pct"/>
            <w:tcBorders>
              <w:top w:val="nil"/>
              <w:left w:val="single" w:sz="2" w:space="0" w:color="auto"/>
              <w:bottom w:val="nil"/>
            </w:tcBorders>
            <w:vAlign w:val="center"/>
          </w:tcPr>
          <w:p w14:paraId="444BB89D" w14:textId="77777777" w:rsidR="00B10336" w:rsidRPr="00CE3643" w:rsidRDefault="00B10336" w:rsidP="00B20764">
            <w:pPr>
              <w:pStyle w:val="Tabletext"/>
              <w:rPr>
                <w:szCs w:val="20"/>
              </w:rPr>
            </w:pPr>
            <w:r w:rsidRPr="00CE3643">
              <w:rPr>
                <w:szCs w:val="20"/>
              </w:rPr>
              <w:t>SUNFISH Part 1</w:t>
            </w:r>
          </w:p>
        </w:tc>
        <w:tc>
          <w:tcPr>
            <w:tcW w:w="2750" w:type="pct"/>
            <w:tcBorders>
              <w:top w:val="nil"/>
              <w:bottom w:val="nil"/>
            </w:tcBorders>
            <w:vAlign w:val="center"/>
          </w:tcPr>
          <w:p w14:paraId="27F6489C" w14:textId="77777777" w:rsidR="00B10336" w:rsidRPr="00CE3643" w:rsidRDefault="00B10336" w:rsidP="00B20764">
            <w:pPr>
              <w:pStyle w:val="Tabletext"/>
              <w:rPr>
                <w:szCs w:val="20"/>
              </w:rPr>
            </w:pPr>
            <w:r w:rsidRPr="00CE3643">
              <w:t xml:space="preserve">Updated Clinical Study Report - Study BP39055, SUNFISH. A two-part seamless, multicentre randomized, placebo-controlled, double blind study to investigate the safety, tolerability, pharmacokinetics, pharmacodynamics and efficacy of RO7034067 in Type 2 and 3 spinal muscular atrophy patients. </w:t>
            </w:r>
          </w:p>
        </w:tc>
        <w:tc>
          <w:tcPr>
            <w:tcW w:w="1545" w:type="pct"/>
            <w:tcBorders>
              <w:top w:val="nil"/>
              <w:bottom w:val="nil"/>
            </w:tcBorders>
            <w:vAlign w:val="center"/>
          </w:tcPr>
          <w:p w14:paraId="2E4C5FE4" w14:textId="77777777" w:rsidR="00B10336" w:rsidRPr="00CE3643" w:rsidRDefault="00B10336" w:rsidP="00B20764">
            <w:pPr>
              <w:pStyle w:val="Tabletext"/>
              <w:rPr>
                <w:szCs w:val="20"/>
              </w:rPr>
            </w:pPr>
            <w:r w:rsidRPr="00CE3643">
              <w:t>Report No. 1101749. June 2020.</w:t>
            </w:r>
          </w:p>
        </w:tc>
      </w:tr>
      <w:tr w:rsidR="00B10336" w:rsidRPr="00CE3643" w14:paraId="247A368F" w14:textId="77777777" w:rsidTr="00E96E81">
        <w:tc>
          <w:tcPr>
            <w:tcW w:w="705" w:type="pct"/>
            <w:tcBorders>
              <w:top w:val="nil"/>
              <w:left w:val="single" w:sz="2" w:space="0" w:color="auto"/>
              <w:bottom w:val="single" w:sz="4" w:space="0" w:color="auto"/>
            </w:tcBorders>
            <w:vAlign w:val="center"/>
          </w:tcPr>
          <w:p w14:paraId="0FA5228F" w14:textId="77777777" w:rsidR="00B10336" w:rsidRPr="00CE3643" w:rsidRDefault="00B10336" w:rsidP="00B20764">
            <w:pPr>
              <w:pStyle w:val="Tabletext"/>
              <w:rPr>
                <w:szCs w:val="20"/>
              </w:rPr>
            </w:pPr>
          </w:p>
        </w:tc>
        <w:tc>
          <w:tcPr>
            <w:tcW w:w="2750" w:type="pct"/>
            <w:tcBorders>
              <w:top w:val="nil"/>
              <w:bottom w:val="single" w:sz="4" w:space="0" w:color="auto"/>
            </w:tcBorders>
          </w:tcPr>
          <w:p w14:paraId="4D2B8910" w14:textId="77777777" w:rsidR="00B10336" w:rsidRPr="00CE3643" w:rsidRDefault="00B10336" w:rsidP="00B20764">
            <w:pPr>
              <w:pStyle w:val="Tabletext"/>
              <w:rPr>
                <w:rStyle w:val="CommentReference"/>
                <w:b w:val="0"/>
                <w:snapToGrid w:val="0"/>
              </w:rPr>
            </w:pPr>
            <w:r w:rsidRPr="00CE3643">
              <w:t>*Mercuri E, Baranello G, Kirschner J et al. SUNFISH part 1: 18-month safety and exploratory outcomes of risdiplam (RG7916) treatment in patients with type 2 or 3 spinal muscular atrophy (SMA).</w:t>
            </w:r>
          </w:p>
        </w:tc>
        <w:tc>
          <w:tcPr>
            <w:tcW w:w="1545" w:type="pct"/>
            <w:tcBorders>
              <w:top w:val="nil"/>
              <w:bottom w:val="single" w:sz="4" w:space="0" w:color="auto"/>
            </w:tcBorders>
            <w:vAlign w:val="center"/>
          </w:tcPr>
          <w:p w14:paraId="1A35FEBC" w14:textId="77777777" w:rsidR="00B10336" w:rsidRPr="00CE3643" w:rsidRDefault="00B10336" w:rsidP="00B20764">
            <w:pPr>
              <w:pStyle w:val="Tabletext"/>
              <w:rPr>
                <w:szCs w:val="20"/>
              </w:rPr>
            </w:pPr>
            <w:r w:rsidRPr="00CE3643">
              <w:t>Developmental Medicine and Child Neurology 2020;62: 56.</w:t>
            </w:r>
          </w:p>
        </w:tc>
      </w:tr>
      <w:tr w:rsidR="00B10336" w:rsidRPr="00CE3643" w14:paraId="05BF21E0" w14:textId="77777777" w:rsidTr="00E96E81">
        <w:tc>
          <w:tcPr>
            <w:tcW w:w="705" w:type="pct"/>
            <w:tcBorders>
              <w:top w:val="single" w:sz="4" w:space="0" w:color="auto"/>
              <w:left w:val="single" w:sz="2" w:space="0" w:color="auto"/>
              <w:bottom w:val="nil"/>
            </w:tcBorders>
            <w:vAlign w:val="center"/>
          </w:tcPr>
          <w:p w14:paraId="7F8BD1A1" w14:textId="77777777" w:rsidR="00B10336" w:rsidRPr="00CE3643" w:rsidRDefault="00B10336" w:rsidP="00B20764">
            <w:pPr>
              <w:pStyle w:val="Tabletext"/>
              <w:rPr>
                <w:szCs w:val="20"/>
              </w:rPr>
            </w:pPr>
            <w:r w:rsidRPr="00CE3643">
              <w:rPr>
                <w:szCs w:val="20"/>
              </w:rPr>
              <w:t>JEWELFISH</w:t>
            </w:r>
          </w:p>
        </w:tc>
        <w:tc>
          <w:tcPr>
            <w:tcW w:w="2750" w:type="pct"/>
            <w:tcBorders>
              <w:top w:val="single" w:sz="4" w:space="0" w:color="auto"/>
              <w:bottom w:val="nil"/>
            </w:tcBorders>
            <w:vAlign w:val="center"/>
          </w:tcPr>
          <w:p w14:paraId="31F60AD8" w14:textId="77777777" w:rsidR="00B10336" w:rsidRPr="00CE3643" w:rsidRDefault="00B10336" w:rsidP="00B20764">
            <w:pPr>
              <w:pStyle w:val="Tabletext"/>
              <w:rPr>
                <w:szCs w:val="20"/>
              </w:rPr>
            </w:pPr>
            <w:r w:rsidRPr="00CE3643">
              <w:t xml:space="preserve">Interim Clinical Study Report – Study BP39055, FIREFISH. An open-label study to investigate the safety, tolerability, and </w:t>
            </w:r>
            <w:r w:rsidRPr="00CE3643">
              <w:lastRenderedPageBreak/>
              <w:t xml:space="preserve">pharmacokinetics/pharmacodynamics of RO7034067 in adult and paediatric patients with spinal muscular atrophy. </w:t>
            </w:r>
          </w:p>
        </w:tc>
        <w:tc>
          <w:tcPr>
            <w:tcW w:w="1545" w:type="pct"/>
            <w:tcBorders>
              <w:top w:val="single" w:sz="4" w:space="0" w:color="auto"/>
              <w:bottom w:val="nil"/>
            </w:tcBorders>
            <w:vAlign w:val="center"/>
          </w:tcPr>
          <w:p w14:paraId="470AD5F6" w14:textId="77777777" w:rsidR="00B10336" w:rsidRPr="00CE3643" w:rsidRDefault="00B10336" w:rsidP="00B20764">
            <w:pPr>
              <w:pStyle w:val="Tabletext"/>
              <w:rPr>
                <w:szCs w:val="20"/>
              </w:rPr>
            </w:pPr>
            <w:r w:rsidRPr="00CE3643">
              <w:lastRenderedPageBreak/>
              <w:t>Report No. 1100549. June 2020.</w:t>
            </w:r>
          </w:p>
        </w:tc>
      </w:tr>
      <w:tr w:rsidR="00B10336" w:rsidRPr="00CE3643" w14:paraId="2440EB92" w14:textId="77777777" w:rsidTr="00E96E81">
        <w:tc>
          <w:tcPr>
            <w:tcW w:w="705" w:type="pct"/>
            <w:tcBorders>
              <w:top w:val="nil"/>
              <w:left w:val="single" w:sz="2" w:space="0" w:color="auto"/>
              <w:bottom w:val="single" w:sz="4" w:space="0" w:color="auto"/>
            </w:tcBorders>
            <w:vAlign w:val="center"/>
          </w:tcPr>
          <w:p w14:paraId="10834A3F" w14:textId="77777777" w:rsidR="00B10336" w:rsidRPr="00CE3643" w:rsidRDefault="00B10336" w:rsidP="00B20764">
            <w:pPr>
              <w:pStyle w:val="Tabletext"/>
              <w:rPr>
                <w:szCs w:val="20"/>
              </w:rPr>
            </w:pPr>
          </w:p>
        </w:tc>
        <w:tc>
          <w:tcPr>
            <w:tcW w:w="2750" w:type="pct"/>
            <w:tcBorders>
              <w:top w:val="nil"/>
              <w:bottom w:val="single" w:sz="4" w:space="0" w:color="auto"/>
            </w:tcBorders>
          </w:tcPr>
          <w:p w14:paraId="17C40B63" w14:textId="77777777" w:rsidR="00B10336" w:rsidRPr="00CE3643" w:rsidRDefault="00B10336" w:rsidP="00B20764">
            <w:pPr>
              <w:pStyle w:val="Tabletext"/>
            </w:pPr>
            <w:r w:rsidRPr="00CE3643">
              <w:t xml:space="preserve">Chiriboga C, Mercuri E, Fischer D et al. JEWELFISH: Risdiplam (RG7916) increases survival of motor neuron (SMN) protein in patients with spinal muscular atrophy (SMA) that have previously received therapies targeting SMN2 splicing. </w:t>
            </w:r>
          </w:p>
        </w:tc>
        <w:tc>
          <w:tcPr>
            <w:tcW w:w="1545" w:type="pct"/>
            <w:tcBorders>
              <w:top w:val="nil"/>
              <w:bottom w:val="single" w:sz="4" w:space="0" w:color="auto"/>
            </w:tcBorders>
            <w:vAlign w:val="center"/>
          </w:tcPr>
          <w:p w14:paraId="56F586CB" w14:textId="77777777" w:rsidR="00B10336" w:rsidRPr="00CE3643" w:rsidRDefault="00B10336" w:rsidP="00B20764">
            <w:pPr>
              <w:pStyle w:val="Tabletext"/>
            </w:pPr>
            <w:r w:rsidRPr="00CE3643">
              <w:t>Developmental Medicine and Child Neurology 2019 ;61: 41-42.</w:t>
            </w:r>
          </w:p>
        </w:tc>
      </w:tr>
      <w:tr w:rsidR="00B10336" w:rsidRPr="00CE3643" w14:paraId="63E281AD" w14:textId="77777777" w:rsidTr="00E96E81">
        <w:tc>
          <w:tcPr>
            <w:tcW w:w="705" w:type="pct"/>
            <w:tcBorders>
              <w:top w:val="single" w:sz="4" w:space="0" w:color="auto"/>
              <w:left w:val="single" w:sz="2" w:space="0" w:color="auto"/>
              <w:bottom w:val="single" w:sz="2" w:space="0" w:color="auto"/>
            </w:tcBorders>
            <w:vAlign w:val="center"/>
          </w:tcPr>
          <w:p w14:paraId="699A0100" w14:textId="77777777" w:rsidR="00B10336" w:rsidRPr="00CE3643" w:rsidRDefault="00B10336" w:rsidP="00B20764">
            <w:pPr>
              <w:pStyle w:val="Tabletext"/>
              <w:rPr>
                <w:szCs w:val="20"/>
              </w:rPr>
            </w:pPr>
            <w:r w:rsidRPr="00CE3643">
              <w:rPr>
                <w:szCs w:val="20"/>
              </w:rPr>
              <w:t>Summary of clinical safety (Risdiplam)</w:t>
            </w:r>
          </w:p>
        </w:tc>
        <w:tc>
          <w:tcPr>
            <w:tcW w:w="2750" w:type="pct"/>
            <w:tcBorders>
              <w:top w:val="single" w:sz="4" w:space="0" w:color="auto"/>
              <w:bottom w:val="single" w:sz="2" w:space="0" w:color="auto"/>
            </w:tcBorders>
            <w:vAlign w:val="center"/>
          </w:tcPr>
          <w:p w14:paraId="54254958" w14:textId="77777777" w:rsidR="00B10336" w:rsidRPr="00CE3643" w:rsidRDefault="00B10336" w:rsidP="00B20764">
            <w:pPr>
              <w:pStyle w:val="Tabletext"/>
              <w:rPr>
                <w:szCs w:val="20"/>
              </w:rPr>
            </w:pPr>
            <w:r w:rsidRPr="00CE3643">
              <w:t xml:space="preserve">Mercuri E , Bertini E, Chiriboga CA , et al. Pooled safety data from the risdiplam (RG7916) clinical trial development program. </w:t>
            </w:r>
          </w:p>
        </w:tc>
        <w:tc>
          <w:tcPr>
            <w:tcW w:w="1545" w:type="pct"/>
            <w:tcBorders>
              <w:top w:val="single" w:sz="4" w:space="0" w:color="auto"/>
              <w:bottom w:val="single" w:sz="2" w:space="0" w:color="auto"/>
            </w:tcBorders>
            <w:vAlign w:val="center"/>
          </w:tcPr>
          <w:p w14:paraId="357BA7D6" w14:textId="77777777" w:rsidR="00B10336" w:rsidRPr="00CE3643" w:rsidRDefault="00B10336" w:rsidP="00B20764">
            <w:pPr>
              <w:pStyle w:val="Tabletext"/>
              <w:rPr>
                <w:szCs w:val="20"/>
              </w:rPr>
            </w:pPr>
            <w:r w:rsidRPr="00CE3643">
              <w:t>SMA Europe - 2nd International Scientific Congress on Spinal Muscular Atrophy SMA-EU. 2020.</w:t>
            </w:r>
          </w:p>
        </w:tc>
      </w:tr>
      <w:tr w:rsidR="00B10336" w:rsidRPr="00CE3643" w14:paraId="32BC7965" w14:textId="77777777" w:rsidTr="00E96E81">
        <w:tc>
          <w:tcPr>
            <w:tcW w:w="705" w:type="pct"/>
            <w:tcBorders>
              <w:top w:val="single" w:sz="2" w:space="0" w:color="auto"/>
              <w:left w:val="single" w:sz="2" w:space="0" w:color="auto"/>
              <w:bottom w:val="nil"/>
            </w:tcBorders>
            <w:vAlign w:val="center"/>
          </w:tcPr>
          <w:p w14:paraId="0395A7E3" w14:textId="77777777" w:rsidR="00B10336" w:rsidRPr="00CE3643" w:rsidRDefault="00B10336" w:rsidP="00B20764">
            <w:pPr>
              <w:pStyle w:val="Tabletext"/>
              <w:rPr>
                <w:szCs w:val="20"/>
              </w:rPr>
            </w:pPr>
            <w:r w:rsidRPr="00CE3643">
              <w:rPr>
                <w:szCs w:val="20"/>
              </w:rPr>
              <w:t>SHINE CS2/12</w:t>
            </w:r>
          </w:p>
        </w:tc>
        <w:tc>
          <w:tcPr>
            <w:tcW w:w="2750" w:type="pct"/>
            <w:tcBorders>
              <w:top w:val="single" w:sz="2" w:space="0" w:color="auto"/>
              <w:bottom w:val="nil"/>
            </w:tcBorders>
          </w:tcPr>
          <w:p w14:paraId="1F56615F" w14:textId="77777777" w:rsidR="00B10336" w:rsidRPr="00CE3643" w:rsidRDefault="00B10336" w:rsidP="00B20764">
            <w:pPr>
              <w:pStyle w:val="Tabletext"/>
              <w:rPr>
                <w:szCs w:val="20"/>
              </w:rPr>
            </w:pPr>
            <w:r w:rsidRPr="00CE3643">
              <w:t xml:space="preserve">**Darras B, Chiriboga C, Iannaccone S et al. Nusinersen in later-onset spinal muscular atrophy: Long-term results from the phase 1/2 studies. </w:t>
            </w:r>
          </w:p>
        </w:tc>
        <w:tc>
          <w:tcPr>
            <w:tcW w:w="1545" w:type="pct"/>
            <w:tcBorders>
              <w:top w:val="single" w:sz="2" w:space="0" w:color="auto"/>
              <w:bottom w:val="nil"/>
            </w:tcBorders>
            <w:vAlign w:val="center"/>
          </w:tcPr>
          <w:p w14:paraId="4FE22BF0" w14:textId="77777777" w:rsidR="00B10336" w:rsidRPr="00CE3643" w:rsidRDefault="00B10336" w:rsidP="00B20764">
            <w:pPr>
              <w:pStyle w:val="Tabletext"/>
              <w:rPr>
                <w:szCs w:val="20"/>
              </w:rPr>
            </w:pPr>
            <w:r w:rsidRPr="00CE3643">
              <w:t>Neurology 2019; 92(21): e2492-e506.</w:t>
            </w:r>
          </w:p>
        </w:tc>
      </w:tr>
      <w:tr w:rsidR="00B10336" w:rsidRPr="00CE3643" w14:paraId="4627BE89" w14:textId="77777777" w:rsidTr="00E96E81">
        <w:tc>
          <w:tcPr>
            <w:tcW w:w="705" w:type="pct"/>
            <w:tcBorders>
              <w:top w:val="single" w:sz="4" w:space="0" w:color="auto"/>
              <w:left w:val="single" w:sz="2" w:space="0" w:color="auto"/>
              <w:bottom w:val="nil"/>
            </w:tcBorders>
            <w:vAlign w:val="center"/>
          </w:tcPr>
          <w:p w14:paraId="0389DE0E" w14:textId="77777777" w:rsidR="00B10336" w:rsidRPr="00CE3643" w:rsidRDefault="00B10336" w:rsidP="00B20764">
            <w:pPr>
              <w:pStyle w:val="Tabletext"/>
              <w:rPr>
                <w:szCs w:val="20"/>
              </w:rPr>
            </w:pPr>
            <w:r w:rsidRPr="00CE3643">
              <w:rPr>
                <w:szCs w:val="20"/>
              </w:rPr>
              <w:t>SHINE-ENDEAR</w:t>
            </w:r>
          </w:p>
        </w:tc>
        <w:tc>
          <w:tcPr>
            <w:tcW w:w="2750" w:type="pct"/>
            <w:tcBorders>
              <w:top w:val="single" w:sz="4" w:space="0" w:color="auto"/>
              <w:bottom w:val="nil"/>
            </w:tcBorders>
          </w:tcPr>
          <w:p w14:paraId="5B1861B4" w14:textId="77777777" w:rsidR="00B10336" w:rsidRPr="00CE3643" w:rsidRDefault="00B10336" w:rsidP="00B20764">
            <w:pPr>
              <w:pStyle w:val="Tabletext"/>
              <w:rPr>
                <w:szCs w:val="20"/>
              </w:rPr>
            </w:pPr>
            <w:r w:rsidRPr="00CE3643">
              <w:t>**Castro D F, Farrar M. Nusinersen in infantile-onset spinal muscular atrophy: results from longer-term treatment from the open-label SHINE extension study.</w:t>
            </w:r>
          </w:p>
        </w:tc>
        <w:tc>
          <w:tcPr>
            <w:tcW w:w="1545" w:type="pct"/>
            <w:tcBorders>
              <w:top w:val="single" w:sz="4" w:space="0" w:color="auto"/>
              <w:bottom w:val="nil"/>
            </w:tcBorders>
            <w:vAlign w:val="center"/>
          </w:tcPr>
          <w:p w14:paraId="51690D15" w14:textId="77777777" w:rsidR="00B10336" w:rsidRPr="00CE3643" w:rsidRDefault="00B10336" w:rsidP="00B20764">
            <w:pPr>
              <w:pStyle w:val="Tabletext"/>
              <w:rPr>
                <w:szCs w:val="20"/>
              </w:rPr>
            </w:pPr>
            <w:r w:rsidRPr="00CE3643">
              <w:t>American Academy of Neurology Annual Meeting 2020.</w:t>
            </w:r>
          </w:p>
        </w:tc>
      </w:tr>
      <w:tr w:rsidR="00B10336" w:rsidRPr="00CE3643" w14:paraId="05E4154D" w14:textId="77777777" w:rsidTr="00E96E81">
        <w:tc>
          <w:tcPr>
            <w:tcW w:w="705" w:type="pct"/>
            <w:tcBorders>
              <w:top w:val="single" w:sz="2" w:space="0" w:color="auto"/>
              <w:left w:val="single" w:sz="2" w:space="0" w:color="auto"/>
              <w:bottom w:val="nil"/>
            </w:tcBorders>
            <w:vAlign w:val="center"/>
          </w:tcPr>
          <w:p w14:paraId="7DC57AC9" w14:textId="77777777" w:rsidR="00B10336" w:rsidRPr="00CE3643" w:rsidRDefault="00B10336" w:rsidP="00B20764">
            <w:pPr>
              <w:pStyle w:val="Tabletext"/>
              <w:rPr>
                <w:szCs w:val="20"/>
              </w:rPr>
            </w:pPr>
            <w:r w:rsidRPr="00CE3643">
              <w:rPr>
                <w:szCs w:val="20"/>
              </w:rPr>
              <w:t>SHINE-CHERISH</w:t>
            </w:r>
          </w:p>
        </w:tc>
        <w:tc>
          <w:tcPr>
            <w:tcW w:w="2750" w:type="pct"/>
            <w:tcBorders>
              <w:top w:val="single" w:sz="2" w:space="0" w:color="auto"/>
              <w:bottom w:val="nil"/>
            </w:tcBorders>
          </w:tcPr>
          <w:p w14:paraId="1C047C3D" w14:textId="77777777" w:rsidR="00B10336" w:rsidRPr="00CE3643" w:rsidRDefault="00B10336" w:rsidP="00B20764">
            <w:pPr>
              <w:pStyle w:val="Tabletext"/>
              <w:rPr>
                <w:szCs w:val="20"/>
              </w:rPr>
            </w:pPr>
            <w:r w:rsidRPr="00CE3643">
              <w:t xml:space="preserve">**Chiriboga C. Longer-term treatment with nusinersen: results in later-onet spinal muscular atropy from the SHINE study. </w:t>
            </w:r>
          </w:p>
        </w:tc>
        <w:tc>
          <w:tcPr>
            <w:tcW w:w="1545" w:type="pct"/>
            <w:tcBorders>
              <w:top w:val="single" w:sz="2" w:space="0" w:color="auto"/>
              <w:bottom w:val="nil"/>
            </w:tcBorders>
            <w:vAlign w:val="center"/>
          </w:tcPr>
          <w:p w14:paraId="731EF684" w14:textId="77777777" w:rsidR="00B10336" w:rsidRPr="00CE3643" w:rsidRDefault="00B10336" w:rsidP="00B20764">
            <w:pPr>
              <w:pStyle w:val="Tabletext"/>
              <w:rPr>
                <w:szCs w:val="20"/>
              </w:rPr>
            </w:pPr>
            <w:r w:rsidRPr="00CE3643">
              <w:t>American Academy of Neurology Annual Meeting. 2020.</w:t>
            </w:r>
          </w:p>
        </w:tc>
      </w:tr>
      <w:tr w:rsidR="00B10336" w:rsidRPr="00CE3643" w14:paraId="072CE3BD" w14:textId="77777777" w:rsidTr="00E96E81">
        <w:tc>
          <w:tcPr>
            <w:tcW w:w="705" w:type="pct"/>
            <w:tcBorders>
              <w:top w:val="nil"/>
              <w:left w:val="single" w:sz="2" w:space="0" w:color="auto"/>
              <w:bottom w:val="single" w:sz="4" w:space="0" w:color="auto"/>
            </w:tcBorders>
            <w:vAlign w:val="center"/>
          </w:tcPr>
          <w:p w14:paraId="1A11DB74" w14:textId="77777777" w:rsidR="00B10336" w:rsidRPr="00CE3643" w:rsidRDefault="00B10336" w:rsidP="00B20764">
            <w:pPr>
              <w:pStyle w:val="Tabletext"/>
              <w:rPr>
                <w:szCs w:val="20"/>
              </w:rPr>
            </w:pPr>
          </w:p>
        </w:tc>
        <w:tc>
          <w:tcPr>
            <w:tcW w:w="2750" w:type="pct"/>
            <w:tcBorders>
              <w:top w:val="nil"/>
              <w:bottom w:val="single" w:sz="4" w:space="0" w:color="auto"/>
            </w:tcBorders>
          </w:tcPr>
          <w:p w14:paraId="3A1CB89F" w14:textId="77777777" w:rsidR="00B10336" w:rsidRPr="00CE3643" w:rsidRDefault="00B10336" w:rsidP="00B20764">
            <w:pPr>
              <w:pStyle w:val="Tabletext"/>
              <w:rPr>
                <w:szCs w:val="20"/>
              </w:rPr>
            </w:pPr>
            <w:r w:rsidRPr="00CE3643">
              <w:t xml:space="preserve">Mueller-Felber W, Darras B, Chiriboga C et al. Longer-term nusinersen treatment according to age at first dose: Results from the shine study in later-onset spinal muscular atrophy. </w:t>
            </w:r>
          </w:p>
        </w:tc>
        <w:tc>
          <w:tcPr>
            <w:tcW w:w="1545" w:type="pct"/>
            <w:tcBorders>
              <w:top w:val="nil"/>
              <w:bottom w:val="single" w:sz="4" w:space="0" w:color="auto"/>
            </w:tcBorders>
            <w:vAlign w:val="center"/>
          </w:tcPr>
          <w:p w14:paraId="7AE39089" w14:textId="77777777" w:rsidR="00B10336" w:rsidRPr="00CE3643" w:rsidRDefault="00B10336" w:rsidP="00B20764">
            <w:pPr>
              <w:pStyle w:val="Tabletext"/>
              <w:rPr>
                <w:szCs w:val="20"/>
              </w:rPr>
            </w:pPr>
            <w:r w:rsidRPr="00CE3643">
              <w:t>European Journal of Neurology 2020; 27:221.</w:t>
            </w:r>
          </w:p>
        </w:tc>
      </w:tr>
      <w:tr w:rsidR="00B10336" w:rsidRPr="00CE3643" w14:paraId="6B19E4EA" w14:textId="77777777" w:rsidTr="00E96E81">
        <w:tc>
          <w:tcPr>
            <w:tcW w:w="705" w:type="pct"/>
            <w:tcBorders>
              <w:top w:val="single" w:sz="4" w:space="0" w:color="auto"/>
              <w:left w:val="single" w:sz="2" w:space="0" w:color="auto"/>
              <w:bottom w:val="single" w:sz="4" w:space="0" w:color="auto"/>
            </w:tcBorders>
            <w:vAlign w:val="center"/>
          </w:tcPr>
          <w:p w14:paraId="602988D3" w14:textId="77777777" w:rsidR="00B10336" w:rsidRPr="00CE3643" w:rsidRDefault="00B10336" w:rsidP="00B20764">
            <w:pPr>
              <w:pStyle w:val="Tabletext"/>
              <w:rPr>
                <w:szCs w:val="20"/>
              </w:rPr>
            </w:pPr>
            <w:r w:rsidRPr="00CE3643">
              <w:rPr>
                <w:szCs w:val="20"/>
              </w:rPr>
              <w:t>Pooled safety analysis (nusinersen)</w:t>
            </w:r>
          </w:p>
        </w:tc>
        <w:tc>
          <w:tcPr>
            <w:tcW w:w="2750" w:type="pct"/>
            <w:tcBorders>
              <w:bottom w:val="single" w:sz="4" w:space="0" w:color="auto"/>
            </w:tcBorders>
          </w:tcPr>
          <w:p w14:paraId="3472E536" w14:textId="77777777" w:rsidR="00B10336" w:rsidRPr="00CE3643" w:rsidRDefault="00B10336" w:rsidP="00B20764">
            <w:pPr>
              <w:pStyle w:val="Tabletext"/>
              <w:rPr>
                <w:szCs w:val="20"/>
              </w:rPr>
            </w:pPr>
            <w:r w:rsidRPr="00CE3643">
              <w:t xml:space="preserve">**Darras BT, Farrar MA, Mercuri E et al. An Integrated Safety Analysis of Infants and Children with Symptomatic Spinal Muscular Atrophy (SMA) Treated with Nusinersen in Seven Clinical Trials. </w:t>
            </w:r>
          </w:p>
        </w:tc>
        <w:tc>
          <w:tcPr>
            <w:tcW w:w="1545" w:type="pct"/>
            <w:tcBorders>
              <w:top w:val="single" w:sz="4" w:space="0" w:color="auto"/>
              <w:bottom w:val="single" w:sz="4" w:space="0" w:color="auto"/>
            </w:tcBorders>
            <w:vAlign w:val="center"/>
          </w:tcPr>
          <w:p w14:paraId="36D02B4C" w14:textId="77777777" w:rsidR="00B10336" w:rsidRPr="00CE3643" w:rsidRDefault="00B10336" w:rsidP="00B20764">
            <w:pPr>
              <w:pStyle w:val="Tabletext"/>
              <w:rPr>
                <w:szCs w:val="20"/>
              </w:rPr>
            </w:pPr>
            <w:r w:rsidRPr="00CE3643">
              <w:t>CNS Drugs 2019d; 33(9): 919-32.</w:t>
            </w:r>
          </w:p>
        </w:tc>
      </w:tr>
    </w:tbl>
    <w:p w14:paraId="5B6FCAD6" w14:textId="77777777" w:rsidR="00D44E38" w:rsidRPr="003A44F8" w:rsidRDefault="00D44E38" w:rsidP="00D44E38">
      <w:pPr>
        <w:widowControl/>
        <w:tabs>
          <w:tab w:val="left" w:pos="709"/>
        </w:tabs>
        <w:jc w:val="left"/>
        <w:rPr>
          <w:rFonts w:ascii="Arial Narrow" w:eastAsiaTheme="minorEastAsia" w:hAnsi="Arial Narrow" w:cstheme="minorBidi"/>
          <w:snapToGrid/>
          <w:sz w:val="18"/>
          <w:szCs w:val="18"/>
        </w:rPr>
      </w:pPr>
      <w:r w:rsidRPr="003A44F8">
        <w:rPr>
          <w:rFonts w:ascii="Arial Narrow" w:eastAsiaTheme="minorEastAsia" w:hAnsi="Arial Narrow" w:cstheme="minorBidi"/>
          <w:snapToGrid/>
          <w:sz w:val="18"/>
          <w:szCs w:val="18"/>
        </w:rPr>
        <w:t xml:space="preserve">* SUNFISH Part 1 publications were identified in the risdiplam RCT search (Search 2), due to the 12 week RCT period at the start of the trial. It has been included in the master trials list as supportive evidence as the majority of the trial and longer-term follow up (after 12 weeks) is the non-randomised, single arm, open-label extension phase of the trial.  </w:t>
      </w:r>
    </w:p>
    <w:p w14:paraId="6AC547E2" w14:textId="77777777" w:rsidR="00D44E38" w:rsidRPr="003A44F8" w:rsidRDefault="00D44E38" w:rsidP="00D44E38">
      <w:pPr>
        <w:widowControl/>
        <w:tabs>
          <w:tab w:val="left" w:pos="709"/>
        </w:tabs>
        <w:ind w:left="709" w:hanging="709"/>
        <w:jc w:val="left"/>
        <w:rPr>
          <w:rFonts w:ascii="Arial Narrow" w:eastAsiaTheme="minorEastAsia" w:hAnsi="Arial Narrow" w:cstheme="minorBidi"/>
          <w:snapToGrid/>
          <w:sz w:val="18"/>
          <w:szCs w:val="18"/>
        </w:rPr>
      </w:pPr>
      <w:r w:rsidRPr="003A44F8">
        <w:rPr>
          <w:rFonts w:ascii="Arial Narrow" w:eastAsiaTheme="minorEastAsia" w:hAnsi="Arial Narrow" w:cstheme="minorBidi"/>
          <w:snapToGrid/>
          <w:sz w:val="18"/>
          <w:szCs w:val="18"/>
        </w:rPr>
        <w:t xml:space="preserve">**Primary publication used for the purpose of the submission. </w:t>
      </w:r>
    </w:p>
    <w:p w14:paraId="2D63A8A2" w14:textId="77777777" w:rsidR="00D44E38" w:rsidRPr="003A44F8" w:rsidRDefault="00D44E38" w:rsidP="00D44E38">
      <w:pPr>
        <w:pStyle w:val="TableFooter"/>
        <w:rPr>
          <w:sz w:val="20"/>
        </w:rPr>
      </w:pPr>
      <w:r w:rsidRPr="003A44F8">
        <w:t>Source: Table 2.7, pp55-61 of the submission.</w:t>
      </w:r>
    </w:p>
    <w:p w14:paraId="63490852" w14:textId="77777777" w:rsidR="00F63F58" w:rsidRDefault="00F63F58">
      <w:pPr>
        <w:widowControl/>
        <w:jc w:val="left"/>
      </w:pPr>
      <w:r>
        <w:br w:type="page"/>
      </w:r>
    </w:p>
    <w:p w14:paraId="03D117D8" w14:textId="77777777" w:rsidR="00862502" w:rsidRPr="003A44F8" w:rsidRDefault="00862502" w:rsidP="008F120A">
      <w:pPr>
        <w:widowControl/>
      </w:pPr>
    </w:p>
    <w:p w14:paraId="078C7C15" w14:textId="77777777" w:rsidR="007F1017" w:rsidRPr="003A44F8" w:rsidRDefault="008F120A" w:rsidP="004422FA">
      <w:pPr>
        <w:pStyle w:val="ListParagraph"/>
        <w:widowControl/>
        <w:numPr>
          <w:ilvl w:val="1"/>
          <w:numId w:val="2"/>
        </w:numPr>
      </w:pPr>
      <w:r w:rsidRPr="003A44F8">
        <w:t xml:space="preserve">The key features of the </w:t>
      </w:r>
      <w:r w:rsidR="000A38CF">
        <w:t>included evidence</w:t>
      </w:r>
      <w:r w:rsidRPr="003A44F8">
        <w:t xml:space="preserve"> </w:t>
      </w:r>
      <w:r w:rsidR="00E65E6A">
        <w:t>are</w:t>
      </w:r>
      <w:r w:rsidRPr="003A44F8">
        <w:t xml:space="preserve"> summarised in </w:t>
      </w:r>
      <w:r w:rsidR="009825B3" w:rsidRPr="009825B3">
        <w:t>Table 5</w:t>
      </w:r>
      <w:r w:rsidRPr="003A44F8">
        <w:t xml:space="preserve">.  </w:t>
      </w:r>
    </w:p>
    <w:p w14:paraId="3380F777" w14:textId="77777777" w:rsidR="007F1017" w:rsidRPr="003A44F8" w:rsidRDefault="005B44C9" w:rsidP="00AF76EA">
      <w:pPr>
        <w:keepNext/>
        <w:keepLines/>
        <w:rPr>
          <w:rStyle w:val="CommentReference"/>
        </w:rPr>
      </w:pPr>
      <w:bookmarkStart w:id="19" w:name="_Ref61511292"/>
      <w:r w:rsidRPr="005B44C9">
        <w:rPr>
          <w:rStyle w:val="CommentReference"/>
        </w:rPr>
        <w:t xml:space="preserve">Table </w:t>
      </w:r>
      <w:r w:rsidR="009825B3">
        <w:rPr>
          <w:rStyle w:val="CommentReference"/>
          <w:noProof/>
        </w:rPr>
        <w:t>5</w:t>
      </w:r>
      <w:bookmarkEnd w:id="19"/>
      <w:r w:rsidR="007F1017" w:rsidRPr="003A44F8">
        <w:rPr>
          <w:rStyle w:val="CommentReference"/>
        </w:rPr>
        <w:t xml:space="preserve">: Key features of the included evidence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31"/>
        <w:gridCol w:w="682"/>
        <w:gridCol w:w="1264"/>
        <w:gridCol w:w="1111"/>
        <w:gridCol w:w="1396"/>
        <w:gridCol w:w="1295"/>
        <w:gridCol w:w="1837"/>
      </w:tblGrid>
      <w:tr w:rsidR="00B41614" w:rsidRPr="003A44F8" w14:paraId="6724CBEC" w14:textId="77777777" w:rsidTr="00E96E81">
        <w:trPr>
          <w:tblHeader/>
        </w:trPr>
        <w:tc>
          <w:tcPr>
            <w:tcW w:w="794" w:type="pct"/>
            <w:shd w:val="clear" w:color="auto" w:fill="auto"/>
            <w:vAlign w:val="center"/>
          </w:tcPr>
          <w:p w14:paraId="75A24ECB" w14:textId="77777777" w:rsidR="007F1017" w:rsidRPr="003A44F8" w:rsidRDefault="007F1017" w:rsidP="00AF76EA">
            <w:pPr>
              <w:pStyle w:val="Tabletext"/>
              <w:keepNext/>
              <w:keepLines/>
              <w:rPr>
                <w:b/>
              </w:rPr>
            </w:pPr>
            <w:r w:rsidRPr="003A44F8">
              <w:rPr>
                <w:b/>
              </w:rPr>
              <w:t>Trial</w:t>
            </w:r>
          </w:p>
        </w:tc>
        <w:tc>
          <w:tcPr>
            <w:tcW w:w="378" w:type="pct"/>
            <w:shd w:val="clear" w:color="auto" w:fill="auto"/>
            <w:vAlign w:val="center"/>
          </w:tcPr>
          <w:p w14:paraId="6EB5B548" w14:textId="77777777" w:rsidR="007F1017" w:rsidRPr="003A44F8" w:rsidRDefault="007F1017" w:rsidP="00AF76EA">
            <w:pPr>
              <w:pStyle w:val="Tabletext"/>
              <w:keepNext/>
              <w:keepLines/>
              <w:jc w:val="center"/>
              <w:rPr>
                <w:b/>
              </w:rPr>
            </w:pPr>
            <w:r w:rsidRPr="003A44F8">
              <w:rPr>
                <w:b/>
              </w:rPr>
              <w:t>N</w:t>
            </w:r>
          </w:p>
        </w:tc>
        <w:tc>
          <w:tcPr>
            <w:tcW w:w="701" w:type="pct"/>
            <w:shd w:val="clear" w:color="auto" w:fill="auto"/>
            <w:vAlign w:val="center"/>
          </w:tcPr>
          <w:p w14:paraId="4BF88EF4" w14:textId="77777777" w:rsidR="007F1017" w:rsidRPr="003A44F8" w:rsidRDefault="007F1017" w:rsidP="00AF76EA">
            <w:pPr>
              <w:pStyle w:val="Tabletext"/>
              <w:keepNext/>
              <w:keepLines/>
              <w:jc w:val="center"/>
              <w:rPr>
                <w:b/>
              </w:rPr>
            </w:pPr>
            <w:r w:rsidRPr="003A44F8">
              <w:rPr>
                <w:b/>
              </w:rPr>
              <w:t>Design/ duration</w:t>
            </w:r>
          </w:p>
        </w:tc>
        <w:tc>
          <w:tcPr>
            <w:tcW w:w="616" w:type="pct"/>
            <w:shd w:val="clear" w:color="auto" w:fill="auto"/>
            <w:vAlign w:val="center"/>
          </w:tcPr>
          <w:p w14:paraId="199113F7" w14:textId="77777777" w:rsidR="007F1017" w:rsidRPr="003A44F8" w:rsidRDefault="007F1017" w:rsidP="00AF76EA">
            <w:pPr>
              <w:pStyle w:val="Tabletext"/>
              <w:keepNext/>
              <w:keepLines/>
              <w:jc w:val="center"/>
              <w:rPr>
                <w:b/>
              </w:rPr>
            </w:pPr>
            <w:r w:rsidRPr="003A44F8">
              <w:rPr>
                <w:b/>
              </w:rPr>
              <w:t>Risk of bias</w:t>
            </w:r>
          </w:p>
        </w:tc>
        <w:tc>
          <w:tcPr>
            <w:tcW w:w="774" w:type="pct"/>
            <w:shd w:val="clear" w:color="auto" w:fill="auto"/>
            <w:vAlign w:val="center"/>
          </w:tcPr>
          <w:p w14:paraId="6DB79EBA" w14:textId="77777777" w:rsidR="007F1017" w:rsidRPr="003A44F8" w:rsidRDefault="007F1017" w:rsidP="00AF76EA">
            <w:pPr>
              <w:pStyle w:val="Tabletext"/>
              <w:keepNext/>
              <w:keepLines/>
              <w:jc w:val="center"/>
              <w:rPr>
                <w:b/>
              </w:rPr>
            </w:pPr>
            <w:r w:rsidRPr="003A44F8">
              <w:rPr>
                <w:b/>
              </w:rPr>
              <w:t>Patient population</w:t>
            </w:r>
          </w:p>
        </w:tc>
        <w:tc>
          <w:tcPr>
            <w:tcW w:w="718" w:type="pct"/>
            <w:shd w:val="clear" w:color="auto" w:fill="auto"/>
            <w:vAlign w:val="center"/>
          </w:tcPr>
          <w:p w14:paraId="38514805" w14:textId="77777777" w:rsidR="007F1017" w:rsidRPr="003A44F8" w:rsidRDefault="007F1017" w:rsidP="00AF76EA">
            <w:pPr>
              <w:pStyle w:val="Tabletext"/>
              <w:keepNext/>
              <w:keepLines/>
              <w:jc w:val="center"/>
              <w:rPr>
                <w:b/>
              </w:rPr>
            </w:pPr>
            <w:r w:rsidRPr="003A44F8">
              <w:rPr>
                <w:b/>
              </w:rPr>
              <w:t>Outcomes</w:t>
            </w:r>
          </w:p>
        </w:tc>
        <w:tc>
          <w:tcPr>
            <w:tcW w:w="1019" w:type="pct"/>
            <w:shd w:val="clear" w:color="auto" w:fill="auto"/>
            <w:vAlign w:val="center"/>
          </w:tcPr>
          <w:p w14:paraId="2144CACD" w14:textId="77777777" w:rsidR="007F1017" w:rsidRPr="003A44F8" w:rsidRDefault="007F1017" w:rsidP="00AF76EA">
            <w:pPr>
              <w:pStyle w:val="Tabletext"/>
              <w:keepNext/>
              <w:keepLines/>
              <w:jc w:val="center"/>
              <w:rPr>
                <w:b/>
              </w:rPr>
            </w:pPr>
            <w:r w:rsidRPr="003A44F8">
              <w:rPr>
                <w:b/>
              </w:rPr>
              <w:t>Use in modelled evaluation</w:t>
            </w:r>
          </w:p>
        </w:tc>
      </w:tr>
      <w:tr w:rsidR="007F1017" w:rsidRPr="003A44F8" w14:paraId="43A67C9E" w14:textId="77777777" w:rsidTr="00E96E81">
        <w:tc>
          <w:tcPr>
            <w:tcW w:w="5000" w:type="pct"/>
            <w:gridSpan w:val="7"/>
            <w:shd w:val="clear" w:color="auto" w:fill="auto"/>
            <w:vAlign w:val="center"/>
          </w:tcPr>
          <w:p w14:paraId="09B01872" w14:textId="77777777" w:rsidR="007F1017" w:rsidRPr="003A44F8" w:rsidRDefault="009B0233" w:rsidP="00AF76EA">
            <w:pPr>
              <w:pStyle w:val="Tabletext"/>
              <w:keepNext/>
              <w:keepLines/>
              <w:rPr>
                <w:b/>
              </w:rPr>
            </w:pPr>
            <w:r>
              <w:rPr>
                <w:b/>
              </w:rPr>
              <w:t>R</w:t>
            </w:r>
            <w:r w:rsidR="00741EBB">
              <w:rPr>
                <w:b/>
              </w:rPr>
              <w:t>isdiplam</w:t>
            </w:r>
            <w:r w:rsidR="00E24EAC">
              <w:rPr>
                <w:b/>
              </w:rPr>
              <w:t xml:space="preserve"> single arm</w:t>
            </w:r>
          </w:p>
        </w:tc>
      </w:tr>
      <w:tr w:rsidR="00B41614" w:rsidRPr="003A44F8" w14:paraId="7F0430E8" w14:textId="77777777" w:rsidTr="00E96E81">
        <w:tc>
          <w:tcPr>
            <w:tcW w:w="794" w:type="pct"/>
            <w:shd w:val="clear" w:color="auto" w:fill="auto"/>
            <w:vAlign w:val="center"/>
          </w:tcPr>
          <w:p w14:paraId="6507A3DF" w14:textId="77777777" w:rsidR="007F1017" w:rsidRPr="003A44F8" w:rsidRDefault="00422FCD" w:rsidP="00AF76EA">
            <w:pPr>
              <w:pStyle w:val="Tabletext"/>
              <w:keepNext/>
              <w:keepLines/>
            </w:pPr>
            <w:r>
              <w:t>FIREFISH Part 1</w:t>
            </w:r>
          </w:p>
        </w:tc>
        <w:tc>
          <w:tcPr>
            <w:tcW w:w="378" w:type="pct"/>
            <w:shd w:val="clear" w:color="auto" w:fill="auto"/>
            <w:vAlign w:val="center"/>
          </w:tcPr>
          <w:p w14:paraId="7126801E" w14:textId="77777777" w:rsidR="007F1017" w:rsidRPr="003A44F8" w:rsidRDefault="00E24EAC" w:rsidP="00AF76EA">
            <w:pPr>
              <w:pStyle w:val="Tabletext"/>
              <w:keepNext/>
              <w:keepLines/>
              <w:jc w:val="center"/>
            </w:pPr>
            <w:r>
              <w:t>21</w:t>
            </w:r>
          </w:p>
        </w:tc>
        <w:tc>
          <w:tcPr>
            <w:tcW w:w="701" w:type="pct"/>
            <w:shd w:val="clear" w:color="auto" w:fill="auto"/>
            <w:vAlign w:val="center"/>
          </w:tcPr>
          <w:p w14:paraId="6D0E047E" w14:textId="77777777" w:rsidR="007F1017" w:rsidRPr="003A44F8" w:rsidRDefault="00E24EAC" w:rsidP="00AF76EA">
            <w:pPr>
              <w:pStyle w:val="Tabletext"/>
              <w:keepNext/>
              <w:keepLines/>
              <w:jc w:val="center"/>
            </w:pPr>
            <w:r>
              <w:t xml:space="preserve">OL, </w:t>
            </w:r>
            <w:r w:rsidR="009959A7">
              <w:t>12 mths</w:t>
            </w:r>
          </w:p>
        </w:tc>
        <w:tc>
          <w:tcPr>
            <w:tcW w:w="616" w:type="pct"/>
            <w:shd w:val="clear" w:color="auto" w:fill="auto"/>
            <w:vAlign w:val="center"/>
          </w:tcPr>
          <w:p w14:paraId="4DCF50E1" w14:textId="77777777" w:rsidR="007F1017" w:rsidRPr="00CE3643" w:rsidRDefault="00312C89" w:rsidP="00AF76EA">
            <w:pPr>
              <w:pStyle w:val="Tabletext"/>
              <w:keepNext/>
              <w:keepLines/>
              <w:jc w:val="center"/>
            </w:pPr>
            <w:r w:rsidRPr="00CE3643">
              <w:t>High</w:t>
            </w:r>
          </w:p>
        </w:tc>
        <w:tc>
          <w:tcPr>
            <w:tcW w:w="774" w:type="pct"/>
            <w:shd w:val="clear" w:color="auto" w:fill="auto"/>
            <w:vAlign w:val="center"/>
          </w:tcPr>
          <w:p w14:paraId="255EB25D" w14:textId="77777777" w:rsidR="007F1017" w:rsidRPr="003A44F8" w:rsidRDefault="00312C89" w:rsidP="00AF76EA">
            <w:pPr>
              <w:pStyle w:val="Tabletext"/>
              <w:keepNext/>
              <w:keepLines/>
              <w:jc w:val="center"/>
            </w:pPr>
            <w:r>
              <w:t>Type 1 SMA</w:t>
            </w:r>
          </w:p>
        </w:tc>
        <w:tc>
          <w:tcPr>
            <w:tcW w:w="718" w:type="pct"/>
            <w:shd w:val="clear" w:color="auto" w:fill="auto"/>
            <w:vAlign w:val="center"/>
          </w:tcPr>
          <w:p w14:paraId="3CED5F78" w14:textId="77777777" w:rsidR="007F1017" w:rsidRPr="003A44F8" w:rsidRDefault="007F1017" w:rsidP="00AF76EA">
            <w:pPr>
              <w:pStyle w:val="Tabletext"/>
              <w:keepNext/>
              <w:keepLines/>
              <w:jc w:val="center"/>
            </w:pPr>
            <w:r w:rsidRPr="003A44F8">
              <w:t>OS</w:t>
            </w:r>
            <w:r w:rsidR="00312C89">
              <w:t>, EFS</w:t>
            </w:r>
            <w:r w:rsidR="004204B2">
              <w:t>, BSID-III</w:t>
            </w:r>
            <w:r w:rsidR="0019675C">
              <w:t>, HINE-2, CHOP-INTEND</w:t>
            </w:r>
          </w:p>
        </w:tc>
        <w:tc>
          <w:tcPr>
            <w:tcW w:w="1019" w:type="pct"/>
            <w:shd w:val="clear" w:color="auto" w:fill="auto"/>
            <w:vAlign w:val="center"/>
          </w:tcPr>
          <w:p w14:paraId="79745595" w14:textId="77777777" w:rsidR="007F1017" w:rsidRPr="003A44F8" w:rsidRDefault="00FF3D87" w:rsidP="00AF76EA">
            <w:pPr>
              <w:pStyle w:val="Tabletext"/>
              <w:keepNext/>
              <w:keepLines/>
              <w:jc w:val="center"/>
            </w:pPr>
            <w:r>
              <w:t>Not used</w:t>
            </w:r>
          </w:p>
        </w:tc>
      </w:tr>
      <w:tr w:rsidR="00B41614" w:rsidRPr="003A44F8" w14:paraId="0FE8D0F8" w14:textId="77777777" w:rsidTr="00E96E81">
        <w:tc>
          <w:tcPr>
            <w:tcW w:w="794" w:type="pct"/>
            <w:shd w:val="clear" w:color="auto" w:fill="auto"/>
            <w:vAlign w:val="center"/>
          </w:tcPr>
          <w:p w14:paraId="5ED5372E" w14:textId="77777777" w:rsidR="007F1017" w:rsidRPr="003A44F8" w:rsidRDefault="00422FCD" w:rsidP="00AF76EA">
            <w:pPr>
              <w:pStyle w:val="Tabletext"/>
              <w:keepNext/>
              <w:keepLines/>
            </w:pPr>
            <w:r>
              <w:t>FIREFISH Part 2</w:t>
            </w:r>
          </w:p>
        </w:tc>
        <w:tc>
          <w:tcPr>
            <w:tcW w:w="378" w:type="pct"/>
            <w:shd w:val="clear" w:color="auto" w:fill="auto"/>
            <w:vAlign w:val="center"/>
          </w:tcPr>
          <w:p w14:paraId="34B2C624" w14:textId="77777777" w:rsidR="007F1017" w:rsidRPr="003A44F8" w:rsidRDefault="00E24EAC" w:rsidP="00AF76EA">
            <w:pPr>
              <w:pStyle w:val="Tabletext"/>
              <w:keepNext/>
              <w:keepLines/>
              <w:jc w:val="center"/>
            </w:pPr>
            <w:r>
              <w:t>41</w:t>
            </w:r>
          </w:p>
        </w:tc>
        <w:tc>
          <w:tcPr>
            <w:tcW w:w="701" w:type="pct"/>
            <w:shd w:val="clear" w:color="auto" w:fill="auto"/>
            <w:vAlign w:val="center"/>
          </w:tcPr>
          <w:p w14:paraId="4968122B" w14:textId="77777777" w:rsidR="009959A7" w:rsidRPr="003A44F8" w:rsidRDefault="00E24EAC" w:rsidP="00AF76EA">
            <w:pPr>
              <w:pStyle w:val="Tabletext"/>
              <w:keepNext/>
              <w:keepLines/>
              <w:jc w:val="center"/>
            </w:pPr>
            <w:r>
              <w:t xml:space="preserve">OL, </w:t>
            </w:r>
            <w:r w:rsidR="009959A7">
              <w:t>24 mths*</w:t>
            </w:r>
          </w:p>
        </w:tc>
        <w:tc>
          <w:tcPr>
            <w:tcW w:w="616" w:type="pct"/>
            <w:shd w:val="clear" w:color="auto" w:fill="auto"/>
            <w:vAlign w:val="center"/>
          </w:tcPr>
          <w:p w14:paraId="388DD337" w14:textId="77777777" w:rsidR="007F1017" w:rsidRPr="00CE3643" w:rsidRDefault="007F1017" w:rsidP="00AF76EA">
            <w:pPr>
              <w:pStyle w:val="Tabletext"/>
              <w:keepNext/>
              <w:keepLines/>
              <w:jc w:val="center"/>
            </w:pPr>
            <w:r w:rsidRPr="00CE3643">
              <w:t>High</w:t>
            </w:r>
          </w:p>
        </w:tc>
        <w:tc>
          <w:tcPr>
            <w:tcW w:w="774" w:type="pct"/>
            <w:shd w:val="clear" w:color="auto" w:fill="auto"/>
            <w:vAlign w:val="center"/>
          </w:tcPr>
          <w:p w14:paraId="33ECA56B" w14:textId="77777777" w:rsidR="007F1017" w:rsidRPr="003A44F8" w:rsidRDefault="00312C89" w:rsidP="00AF76EA">
            <w:pPr>
              <w:pStyle w:val="Tabletext"/>
              <w:keepNext/>
              <w:keepLines/>
              <w:jc w:val="center"/>
            </w:pPr>
            <w:r>
              <w:t>Type 1 SMA</w:t>
            </w:r>
          </w:p>
        </w:tc>
        <w:tc>
          <w:tcPr>
            <w:tcW w:w="718" w:type="pct"/>
            <w:shd w:val="clear" w:color="auto" w:fill="auto"/>
            <w:vAlign w:val="center"/>
          </w:tcPr>
          <w:p w14:paraId="1892DBCE" w14:textId="77777777" w:rsidR="007F1017" w:rsidRPr="003A44F8" w:rsidRDefault="00312C89" w:rsidP="00AF76EA">
            <w:pPr>
              <w:pStyle w:val="Tabletext"/>
              <w:keepNext/>
              <w:keepLines/>
              <w:jc w:val="center"/>
            </w:pPr>
            <w:r>
              <w:t>OS, EFS</w:t>
            </w:r>
            <w:r w:rsidR="004204B2">
              <w:t>, BSID-III</w:t>
            </w:r>
            <w:r w:rsidR="0019675C">
              <w:t>, HINE-2, CHOP-INTEND</w:t>
            </w:r>
          </w:p>
        </w:tc>
        <w:tc>
          <w:tcPr>
            <w:tcW w:w="1019" w:type="pct"/>
            <w:shd w:val="clear" w:color="auto" w:fill="auto"/>
            <w:vAlign w:val="center"/>
          </w:tcPr>
          <w:p w14:paraId="550730D2" w14:textId="77777777" w:rsidR="007F1017" w:rsidRPr="003A44F8" w:rsidRDefault="00FF3D87" w:rsidP="00AF76EA">
            <w:pPr>
              <w:pStyle w:val="Tabletext"/>
              <w:keepNext/>
              <w:keepLines/>
              <w:jc w:val="center"/>
            </w:pPr>
            <w:r>
              <w:t>Not used</w:t>
            </w:r>
          </w:p>
        </w:tc>
      </w:tr>
      <w:tr w:rsidR="00741EBB" w:rsidRPr="003A44F8" w14:paraId="70FC3C22" w14:textId="77777777" w:rsidTr="00E96E81">
        <w:tc>
          <w:tcPr>
            <w:tcW w:w="5000" w:type="pct"/>
            <w:gridSpan w:val="7"/>
            <w:shd w:val="clear" w:color="auto" w:fill="auto"/>
            <w:vAlign w:val="center"/>
          </w:tcPr>
          <w:p w14:paraId="71A5640D" w14:textId="77777777" w:rsidR="00741EBB" w:rsidRPr="00CE3643" w:rsidRDefault="00741EBB" w:rsidP="00AF76EA">
            <w:pPr>
              <w:pStyle w:val="Tabletext"/>
              <w:keepNext/>
              <w:keepLines/>
              <w:rPr>
                <w:b/>
              </w:rPr>
            </w:pPr>
            <w:r w:rsidRPr="00CE3643">
              <w:rPr>
                <w:b/>
              </w:rPr>
              <w:t>Risdiplam vs. placebo</w:t>
            </w:r>
          </w:p>
        </w:tc>
      </w:tr>
      <w:tr w:rsidR="00B41614" w:rsidRPr="003A44F8" w14:paraId="45D6619C" w14:textId="77777777" w:rsidTr="00E96E81">
        <w:tc>
          <w:tcPr>
            <w:tcW w:w="794" w:type="pct"/>
            <w:shd w:val="clear" w:color="auto" w:fill="auto"/>
            <w:vAlign w:val="center"/>
          </w:tcPr>
          <w:p w14:paraId="179BD678" w14:textId="77777777" w:rsidR="007F1017" w:rsidRPr="003A44F8" w:rsidRDefault="00422FCD" w:rsidP="00AF76EA">
            <w:pPr>
              <w:pStyle w:val="Tabletext"/>
              <w:keepNext/>
              <w:keepLines/>
            </w:pPr>
            <w:r>
              <w:t>SUNFISH Part 2</w:t>
            </w:r>
          </w:p>
        </w:tc>
        <w:tc>
          <w:tcPr>
            <w:tcW w:w="378" w:type="pct"/>
            <w:shd w:val="clear" w:color="auto" w:fill="auto"/>
            <w:vAlign w:val="center"/>
          </w:tcPr>
          <w:p w14:paraId="507F85A5" w14:textId="77777777" w:rsidR="007F1017" w:rsidRPr="003A44F8" w:rsidRDefault="00E24EAC" w:rsidP="00AF76EA">
            <w:pPr>
              <w:pStyle w:val="Tabletext"/>
              <w:keepNext/>
              <w:keepLines/>
              <w:jc w:val="center"/>
            </w:pPr>
            <w:r>
              <w:t>180</w:t>
            </w:r>
          </w:p>
        </w:tc>
        <w:tc>
          <w:tcPr>
            <w:tcW w:w="701" w:type="pct"/>
            <w:shd w:val="clear" w:color="auto" w:fill="auto"/>
            <w:vAlign w:val="center"/>
          </w:tcPr>
          <w:p w14:paraId="4736F2CB" w14:textId="77777777" w:rsidR="007F1017" w:rsidRPr="003A44F8" w:rsidRDefault="00E24EAC" w:rsidP="00AF76EA">
            <w:pPr>
              <w:pStyle w:val="Tabletext"/>
              <w:keepNext/>
              <w:keepLines/>
              <w:jc w:val="center"/>
            </w:pPr>
            <w:r>
              <w:t>R, DB</w:t>
            </w:r>
            <w:r w:rsidR="00B3451C">
              <w:t xml:space="preserve"> 12 mths</w:t>
            </w:r>
          </w:p>
        </w:tc>
        <w:tc>
          <w:tcPr>
            <w:tcW w:w="616" w:type="pct"/>
            <w:shd w:val="clear" w:color="auto" w:fill="auto"/>
            <w:vAlign w:val="center"/>
          </w:tcPr>
          <w:p w14:paraId="220D2625" w14:textId="77777777" w:rsidR="007F1017" w:rsidRPr="00CE3643" w:rsidRDefault="005521A7" w:rsidP="00AF76EA">
            <w:pPr>
              <w:pStyle w:val="Tabletext"/>
              <w:keepNext/>
              <w:keepLines/>
              <w:jc w:val="center"/>
            </w:pPr>
            <w:r w:rsidRPr="00CE3643">
              <w:t>Low</w:t>
            </w:r>
          </w:p>
        </w:tc>
        <w:tc>
          <w:tcPr>
            <w:tcW w:w="774" w:type="pct"/>
            <w:shd w:val="clear" w:color="auto" w:fill="auto"/>
            <w:vAlign w:val="center"/>
          </w:tcPr>
          <w:p w14:paraId="6D7D2F75" w14:textId="77777777" w:rsidR="007F1017" w:rsidRPr="003A44F8" w:rsidRDefault="00312C89" w:rsidP="00AF76EA">
            <w:pPr>
              <w:pStyle w:val="Tabletext"/>
              <w:keepNext/>
              <w:keepLines/>
              <w:jc w:val="center"/>
            </w:pPr>
            <w:r>
              <w:t>Type 2 and 3 SMA</w:t>
            </w:r>
            <w:r w:rsidR="00E24EAC">
              <w:t xml:space="preserve"> non-ambulant</w:t>
            </w:r>
          </w:p>
        </w:tc>
        <w:tc>
          <w:tcPr>
            <w:tcW w:w="718" w:type="pct"/>
            <w:shd w:val="clear" w:color="auto" w:fill="auto"/>
            <w:vAlign w:val="center"/>
          </w:tcPr>
          <w:p w14:paraId="7692896C" w14:textId="77777777" w:rsidR="007F1017" w:rsidRPr="003A44F8" w:rsidRDefault="00E24EAC" w:rsidP="00AF76EA">
            <w:pPr>
              <w:pStyle w:val="Tabletext"/>
              <w:keepNext/>
              <w:keepLines/>
              <w:jc w:val="center"/>
            </w:pPr>
            <w:r>
              <w:t>MFM32, RULM, HFMSE</w:t>
            </w:r>
            <w:r w:rsidR="0084207B">
              <w:t>, SMAIS</w:t>
            </w:r>
          </w:p>
        </w:tc>
        <w:tc>
          <w:tcPr>
            <w:tcW w:w="1019" w:type="pct"/>
            <w:shd w:val="clear" w:color="auto" w:fill="auto"/>
            <w:vAlign w:val="center"/>
          </w:tcPr>
          <w:p w14:paraId="6EAEE00E" w14:textId="77777777" w:rsidR="007F1017" w:rsidRPr="003A44F8" w:rsidRDefault="00FF3D87" w:rsidP="00AF76EA">
            <w:pPr>
              <w:pStyle w:val="Tabletext"/>
              <w:keepNext/>
              <w:keepLines/>
              <w:jc w:val="center"/>
            </w:pPr>
            <w:r>
              <w:t xml:space="preserve">Transitions </w:t>
            </w:r>
            <w:r w:rsidR="00E87B2A">
              <w:t xml:space="preserve">between health states </w:t>
            </w:r>
            <w:r>
              <w:t>based on</w:t>
            </w:r>
            <w:r w:rsidR="00E87B2A">
              <w:t xml:space="preserve"> MFM32 and HFMSE</w:t>
            </w:r>
          </w:p>
        </w:tc>
      </w:tr>
      <w:tr w:rsidR="007F1017" w:rsidRPr="003A44F8" w14:paraId="54139465" w14:textId="77777777" w:rsidTr="00E96E81">
        <w:tc>
          <w:tcPr>
            <w:tcW w:w="5000" w:type="pct"/>
            <w:gridSpan w:val="7"/>
            <w:shd w:val="clear" w:color="auto" w:fill="auto"/>
            <w:vAlign w:val="center"/>
          </w:tcPr>
          <w:p w14:paraId="4C6B867F" w14:textId="77777777" w:rsidR="007F1017" w:rsidRPr="00CE3643" w:rsidRDefault="009B0233" w:rsidP="00AF76EA">
            <w:pPr>
              <w:pStyle w:val="Tabletext"/>
              <w:keepNext/>
              <w:keepLines/>
              <w:rPr>
                <w:b/>
              </w:rPr>
            </w:pPr>
            <w:r w:rsidRPr="00CE3643">
              <w:rPr>
                <w:b/>
              </w:rPr>
              <w:t>Nusinersen</w:t>
            </w:r>
            <w:r w:rsidR="007F1017" w:rsidRPr="00CE3643">
              <w:rPr>
                <w:b/>
              </w:rPr>
              <w:t xml:space="preserve"> vs. </w:t>
            </w:r>
            <w:r w:rsidRPr="00CE3643">
              <w:rPr>
                <w:b/>
              </w:rPr>
              <w:t>placebo/sham-control</w:t>
            </w:r>
          </w:p>
        </w:tc>
      </w:tr>
      <w:tr w:rsidR="00B41614" w:rsidRPr="003A44F8" w14:paraId="35AA64F9" w14:textId="77777777" w:rsidTr="00E96E81">
        <w:tc>
          <w:tcPr>
            <w:tcW w:w="794" w:type="pct"/>
            <w:shd w:val="clear" w:color="auto" w:fill="auto"/>
            <w:vAlign w:val="center"/>
          </w:tcPr>
          <w:p w14:paraId="0E30D3DE" w14:textId="77777777" w:rsidR="007F1017" w:rsidRPr="003A44F8" w:rsidRDefault="00422FCD" w:rsidP="00AF76EA">
            <w:pPr>
              <w:pStyle w:val="Tabletext"/>
              <w:keepNext/>
              <w:keepLines/>
            </w:pPr>
            <w:r>
              <w:t>ENDEAR</w:t>
            </w:r>
          </w:p>
        </w:tc>
        <w:tc>
          <w:tcPr>
            <w:tcW w:w="378" w:type="pct"/>
            <w:shd w:val="clear" w:color="auto" w:fill="auto"/>
            <w:vAlign w:val="center"/>
          </w:tcPr>
          <w:p w14:paraId="023C91B7" w14:textId="77777777" w:rsidR="007F1017" w:rsidRPr="003A44F8" w:rsidRDefault="00E24EAC" w:rsidP="00AF76EA">
            <w:pPr>
              <w:pStyle w:val="Tabletext"/>
              <w:keepNext/>
              <w:keepLines/>
              <w:jc w:val="center"/>
            </w:pPr>
            <w:r>
              <w:t>121</w:t>
            </w:r>
          </w:p>
        </w:tc>
        <w:tc>
          <w:tcPr>
            <w:tcW w:w="701" w:type="pct"/>
            <w:shd w:val="clear" w:color="auto" w:fill="auto"/>
            <w:vAlign w:val="center"/>
          </w:tcPr>
          <w:p w14:paraId="68AED772" w14:textId="77777777" w:rsidR="007F1017" w:rsidRPr="003A44F8" w:rsidRDefault="00422FCD" w:rsidP="00AF76EA">
            <w:pPr>
              <w:pStyle w:val="Tabletext"/>
              <w:keepNext/>
              <w:keepLines/>
              <w:jc w:val="center"/>
            </w:pPr>
            <w:r>
              <w:t xml:space="preserve">R, DB </w:t>
            </w:r>
            <w:r w:rsidR="00B3451C">
              <w:t>13</w:t>
            </w:r>
            <w:r>
              <w:t xml:space="preserve"> mths</w:t>
            </w:r>
          </w:p>
        </w:tc>
        <w:tc>
          <w:tcPr>
            <w:tcW w:w="616" w:type="pct"/>
            <w:shd w:val="clear" w:color="auto" w:fill="auto"/>
            <w:vAlign w:val="center"/>
          </w:tcPr>
          <w:p w14:paraId="168C1293" w14:textId="77777777" w:rsidR="007F1017" w:rsidRPr="00CE3643" w:rsidRDefault="00422FCD" w:rsidP="00AF76EA">
            <w:pPr>
              <w:pStyle w:val="Tabletext"/>
              <w:keepNext/>
              <w:keepLines/>
              <w:jc w:val="center"/>
            </w:pPr>
            <w:r w:rsidRPr="00CE3643">
              <w:t>Low</w:t>
            </w:r>
          </w:p>
        </w:tc>
        <w:tc>
          <w:tcPr>
            <w:tcW w:w="774" w:type="pct"/>
            <w:shd w:val="clear" w:color="auto" w:fill="auto"/>
            <w:vAlign w:val="center"/>
          </w:tcPr>
          <w:p w14:paraId="16B159F0" w14:textId="77777777" w:rsidR="007F1017" w:rsidRPr="003A44F8" w:rsidRDefault="00422FCD" w:rsidP="00AF76EA">
            <w:pPr>
              <w:pStyle w:val="Tabletext"/>
              <w:keepNext/>
              <w:keepLines/>
              <w:jc w:val="center"/>
            </w:pPr>
            <w:r>
              <w:t>Type 1 SMA</w:t>
            </w:r>
          </w:p>
        </w:tc>
        <w:tc>
          <w:tcPr>
            <w:tcW w:w="718" w:type="pct"/>
            <w:shd w:val="clear" w:color="auto" w:fill="auto"/>
            <w:vAlign w:val="center"/>
          </w:tcPr>
          <w:p w14:paraId="2CD3F912" w14:textId="77777777" w:rsidR="007F1017" w:rsidRPr="003A44F8" w:rsidRDefault="00422FCD" w:rsidP="00AF76EA">
            <w:pPr>
              <w:pStyle w:val="Tabletext"/>
              <w:keepNext/>
              <w:keepLines/>
              <w:jc w:val="center"/>
            </w:pPr>
            <w:r>
              <w:t>OS, EFS</w:t>
            </w:r>
            <w:r w:rsidR="0019675C">
              <w:t>, HINE-2, CHOP-INTEND</w:t>
            </w:r>
          </w:p>
        </w:tc>
        <w:tc>
          <w:tcPr>
            <w:tcW w:w="1019" w:type="pct"/>
            <w:shd w:val="clear" w:color="auto" w:fill="auto"/>
            <w:vAlign w:val="center"/>
          </w:tcPr>
          <w:p w14:paraId="5B06F9CF" w14:textId="77777777" w:rsidR="007F1017" w:rsidRPr="003A44F8" w:rsidRDefault="00FF3D87" w:rsidP="00AF76EA">
            <w:pPr>
              <w:pStyle w:val="Tabletext"/>
              <w:keepNext/>
              <w:keepLines/>
              <w:jc w:val="center"/>
            </w:pPr>
            <w:r>
              <w:t>Not used</w:t>
            </w:r>
          </w:p>
        </w:tc>
      </w:tr>
      <w:tr w:rsidR="00B41614" w:rsidRPr="003A44F8" w14:paraId="61D09BC2" w14:textId="77777777" w:rsidTr="00E96E81">
        <w:tc>
          <w:tcPr>
            <w:tcW w:w="794" w:type="pct"/>
            <w:shd w:val="clear" w:color="auto" w:fill="auto"/>
            <w:vAlign w:val="center"/>
          </w:tcPr>
          <w:p w14:paraId="64F07813" w14:textId="77777777" w:rsidR="007F1017" w:rsidRPr="003A44F8" w:rsidRDefault="00422FCD" w:rsidP="00AF76EA">
            <w:pPr>
              <w:pStyle w:val="Tabletext"/>
              <w:keepNext/>
              <w:keepLines/>
            </w:pPr>
            <w:r>
              <w:t>CHERISH</w:t>
            </w:r>
          </w:p>
        </w:tc>
        <w:tc>
          <w:tcPr>
            <w:tcW w:w="378" w:type="pct"/>
            <w:shd w:val="clear" w:color="auto" w:fill="auto"/>
            <w:vAlign w:val="center"/>
          </w:tcPr>
          <w:p w14:paraId="783B6603" w14:textId="77777777" w:rsidR="007F1017" w:rsidRPr="003A44F8" w:rsidRDefault="00E24EAC" w:rsidP="00AF76EA">
            <w:pPr>
              <w:pStyle w:val="Tabletext"/>
              <w:keepNext/>
              <w:keepLines/>
              <w:jc w:val="center"/>
            </w:pPr>
            <w:r>
              <w:t>126</w:t>
            </w:r>
          </w:p>
        </w:tc>
        <w:tc>
          <w:tcPr>
            <w:tcW w:w="701" w:type="pct"/>
            <w:shd w:val="clear" w:color="auto" w:fill="auto"/>
            <w:vAlign w:val="center"/>
          </w:tcPr>
          <w:p w14:paraId="19C57DA0" w14:textId="77777777" w:rsidR="007F1017" w:rsidRPr="003A44F8" w:rsidRDefault="00422FCD" w:rsidP="00AF76EA">
            <w:pPr>
              <w:pStyle w:val="Tabletext"/>
              <w:keepNext/>
              <w:keepLines/>
              <w:jc w:val="center"/>
            </w:pPr>
            <w:r>
              <w:t>R, DB, 15 mths</w:t>
            </w:r>
          </w:p>
        </w:tc>
        <w:tc>
          <w:tcPr>
            <w:tcW w:w="616" w:type="pct"/>
            <w:shd w:val="clear" w:color="auto" w:fill="auto"/>
            <w:vAlign w:val="center"/>
          </w:tcPr>
          <w:p w14:paraId="48711268" w14:textId="77777777" w:rsidR="007F1017" w:rsidRPr="00CE3643" w:rsidRDefault="00422FCD" w:rsidP="00AF76EA">
            <w:pPr>
              <w:pStyle w:val="Tabletext"/>
              <w:keepNext/>
              <w:keepLines/>
              <w:jc w:val="center"/>
            </w:pPr>
            <w:r w:rsidRPr="00CE3643">
              <w:t>Low</w:t>
            </w:r>
          </w:p>
        </w:tc>
        <w:tc>
          <w:tcPr>
            <w:tcW w:w="774" w:type="pct"/>
            <w:shd w:val="clear" w:color="auto" w:fill="auto"/>
            <w:vAlign w:val="center"/>
          </w:tcPr>
          <w:p w14:paraId="34DBEADC" w14:textId="77777777" w:rsidR="007F1017" w:rsidRPr="003A44F8" w:rsidRDefault="00422FCD" w:rsidP="00AF76EA">
            <w:pPr>
              <w:pStyle w:val="Tabletext"/>
              <w:keepNext/>
              <w:keepLines/>
              <w:jc w:val="center"/>
            </w:pPr>
            <w:r>
              <w:t>Type 2 SMA</w:t>
            </w:r>
          </w:p>
        </w:tc>
        <w:tc>
          <w:tcPr>
            <w:tcW w:w="718" w:type="pct"/>
            <w:shd w:val="clear" w:color="auto" w:fill="auto"/>
            <w:vAlign w:val="center"/>
          </w:tcPr>
          <w:p w14:paraId="73CDD3E8" w14:textId="77777777" w:rsidR="007F1017" w:rsidRPr="003A44F8" w:rsidRDefault="00422FCD" w:rsidP="00AF76EA">
            <w:pPr>
              <w:pStyle w:val="Tabletext"/>
              <w:keepNext/>
              <w:keepLines/>
              <w:jc w:val="center"/>
            </w:pPr>
            <w:r>
              <w:t>RULM,</w:t>
            </w:r>
            <w:r w:rsidR="005521A7">
              <w:t>HFMSE</w:t>
            </w:r>
            <w:r w:rsidR="00AC4E19">
              <w:t>, motor milestones</w:t>
            </w:r>
          </w:p>
        </w:tc>
        <w:tc>
          <w:tcPr>
            <w:tcW w:w="1019" w:type="pct"/>
            <w:shd w:val="clear" w:color="auto" w:fill="auto"/>
            <w:vAlign w:val="center"/>
          </w:tcPr>
          <w:p w14:paraId="3A477141" w14:textId="77777777" w:rsidR="007F1017" w:rsidRPr="003A44F8" w:rsidRDefault="00422FCD" w:rsidP="00AF76EA">
            <w:pPr>
              <w:pStyle w:val="Tabletext"/>
              <w:keepNext/>
              <w:keepLines/>
              <w:jc w:val="center"/>
            </w:pPr>
            <w:r>
              <w:t>Not used</w:t>
            </w:r>
          </w:p>
        </w:tc>
      </w:tr>
    </w:tbl>
    <w:p w14:paraId="1AF456D1" w14:textId="77777777" w:rsidR="007F1017" w:rsidRDefault="007F1017" w:rsidP="00AF76EA">
      <w:pPr>
        <w:pStyle w:val="TableFooter"/>
        <w:keepNext/>
        <w:keepLines/>
      </w:pPr>
      <w:r w:rsidRPr="003A44F8">
        <w:t xml:space="preserve">DB=double blind; OL=open label; OS=overall survival; </w:t>
      </w:r>
      <w:r w:rsidR="00E075F2">
        <w:t>E</w:t>
      </w:r>
      <w:r w:rsidRPr="003A44F8">
        <w:t>FS=</w:t>
      </w:r>
      <w:r w:rsidR="00E075F2">
        <w:t>event</w:t>
      </w:r>
      <w:r w:rsidRPr="003A44F8">
        <w:t>-free survival; R=randomised</w:t>
      </w:r>
      <w:r w:rsidR="00E24EAC">
        <w:t xml:space="preserve">; MFM32 = motor function </w:t>
      </w:r>
      <w:r w:rsidR="004A57D8">
        <w:t>measures</w:t>
      </w:r>
      <w:r w:rsidR="005521A7">
        <w:t xml:space="preserve"> 32</w:t>
      </w:r>
      <w:r w:rsidR="00E24EAC">
        <w:t>; RULM = revised upper limb module; HFMSE = hammersmith functional motor scale expanded</w:t>
      </w:r>
      <w:r w:rsidR="004204B2">
        <w:t>; BSID-III = Bayley scales of infant and toddler development – third edition</w:t>
      </w:r>
      <w:r w:rsidR="0019675C">
        <w:t xml:space="preserve">; </w:t>
      </w:r>
      <w:r w:rsidR="0019675C" w:rsidRPr="003A44F8">
        <w:rPr>
          <w:szCs w:val="18"/>
        </w:rPr>
        <w:t>CHOP-INTEND=children's hospital of Philadelphia infant test of neuromuscular disorders; HINE-2=hammersmith infant neurological examination module 2</w:t>
      </w:r>
      <w:r w:rsidR="0084207B">
        <w:rPr>
          <w:szCs w:val="18"/>
        </w:rPr>
        <w:t>; SMAIS = SMA independence scale</w:t>
      </w:r>
    </w:p>
    <w:p w14:paraId="2AB354A3" w14:textId="77777777" w:rsidR="009959A7" w:rsidRPr="003A44F8" w:rsidRDefault="009959A7" w:rsidP="00AF76EA">
      <w:pPr>
        <w:pStyle w:val="TableFooter"/>
        <w:keepNext/>
        <w:keepLines/>
      </w:pPr>
      <w:r>
        <w:t>*Primary endpoint analysed a</w:t>
      </w:r>
      <w:r w:rsidR="00DA7AAC">
        <w:t>t</w:t>
      </w:r>
      <w:r>
        <w:t xml:space="preserve"> 12 months</w:t>
      </w:r>
    </w:p>
    <w:p w14:paraId="3CC2BA58" w14:textId="77777777" w:rsidR="00B60939" w:rsidRDefault="00045017" w:rsidP="00AF76EA">
      <w:pPr>
        <w:pStyle w:val="TableFooter"/>
        <w:keepNext/>
        <w:keepLines/>
      </w:pPr>
      <w:r w:rsidRPr="003A44F8">
        <w:t xml:space="preserve">Source: </w:t>
      </w:r>
      <w:r w:rsidR="008D29FA">
        <w:t>c</w:t>
      </w:r>
      <w:r w:rsidR="005521A7">
        <w:t>ompiled during the evaluation from Section 2 of the submission</w:t>
      </w:r>
      <w:r w:rsidRPr="003A44F8">
        <w:t>.</w:t>
      </w:r>
    </w:p>
    <w:p w14:paraId="1573A69A" w14:textId="77777777" w:rsidR="009B5C78" w:rsidRPr="009B5C78" w:rsidRDefault="009B5C78" w:rsidP="00E80B89">
      <w:pPr>
        <w:widowControl/>
        <w:jc w:val="left"/>
      </w:pPr>
    </w:p>
    <w:p w14:paraId="10CB1340" w14:textId="77777777" w:rsidR="00B84967" w:rsidRDefault="00B84967" w:rsidP="004422FA">
      <w:pPr>
        <w:pStyle w:val="ListParagraph"/>
        <w:widowControl/>
        <w:numPr>
          <w:ilvl w:val="1"/>
          <w:numId w:val="2"/>
        </w:numPr>
      </w:pPr>
      <w:bookmarkStart w:id="20" w:name="_Ref61516545"/>
      <w:r>
        <w:t xml:space="preserve">Sham procedure in ENDEAR </w:t>
      </w:r>
      <w:r w:rsidR="00B56E85">
        <w:t xml:space="preserve">(and CHERISH) </w:t>
      </w:r>
      <w:r>
        <w:t>consisted of a small needle prick on the lower back at the location where a lumbar puncture (LP) i</w:t>
      </w:r>
      <w:r w:rsidR="005318F2">
        <w:t>s normally ma</w:t>
      </w:r>
      <w:r w:rsidR="00732859">
        <w:t>d</w:t>
      </w:r>
      <w:r w:rsidR="005318F2">
        <w:t>e. The needle would</w:t>
      </w:r>
      <w:r>
        <w:t xml:space="preserve"> break the skin but no LP or needle insertion occur</w:t>
      </w:r>
      <w:r w:rsidR="00732859">
        <w:t>r</w:t>
      </w:r>
      <w:r w:rsidR="005318F2">
        <w:t>ed</w:t>
      </w:r>
      <w:r>
        <w:t xml:space="preserve">. The puncture </w:t>
      </w:r>
      <w:r w:rsidR="005318F2">
        <w:t xml:space="preserve">would </w:t>
      </w:r>
      <w:r>
        <w:t xml:space="preserve">be covered with the same bandage used to cover LP injections normally, thus creating the appearance of an LP injection. </w:t>
      </w:r>
      <w:r w:rsidR="00B56E85">
        <w:t>Sedation and anaesthesia were not used for either LP or sham procedure in ENDEAR, but i</w:t>
      </w:r>
      <w:r w:rsidR="00636A75">
        <w:t>n CH</w:t>
      </w:r>
      <w:r w:rsidR="00827F71">
        <w:t>ER</w:t>
      </w:r>
      <w:r w:rsidR="00636A75">
        <w:t xml:space="preserve">ISH, </w:t>
      </w:r>
      <w:r w:rsidR="00B56E85">
        <w:t>if anaesthesia or sedation wa</w:t>
      </w:r>
      <w:r w:rsidR="00636A75">
        <w:t>s to be used for LP proc</w:t>
      </w:r>
      <w:r w:rsidR="00B56E85">
        <w:t>edures, minimal sedation (i.e. l</w:t>
      </w:r>
      <w:r w:rsidR="00636A75">
        <w:t xml:space="preserve">ow dose of an anxiolytic) were used for the sham procedures. </w:t>
      </w:r>
      <w:bookmarkEnd w:id="20"/>
      <w:r w:rsidR="00B56E85" w:rsidRPr="007B3DA4">
        <w:t xml:space="preserve"> </w:t>
      </w:r>
    </w:p>
    <w:p w14:paraId="59AE45A8" w14:textId="77777777" w:rsidR="0019675C" w:rsidRDefault="0019675C" w:rsidP="004422FA">
      <w:pPr>
        <w:pStyle w:val="ListParagraph"/>
        <w:widowControl/>
        <w:numPr>
          <w:ilvl w:val="1"/>
          <w:numId w:val="2"/>
        </w:numPr>
      </w:pPr>
      <w:r>
        <w:t xml:space="preserve">For patients with SMA Type 1 in population 1, the clinical claim was based on an </w:t>
      </w:r>
      <w:r w:rsidR="00A00646">
        <w:t xml:space="preserve">indirect treatment comparison (ITC) </w:t>
      </w:r>
      <w:r>
        <w:t xml:space="preserve">of risdiplam to nusinersen based on the results of overall survival (OS) and event free survival (EFS) in the </w:t>
      </w:r>
      <w:r w:rsidR="00F23950">
        <w:t xml:space="preserve">single arm </w:t>
      </w:r>
      <w:r>
        <w:t xml:space="preserve">FIREFISH </w:t>
      </w:r>
      <w:r w:rsidR="00F23950">
        <w:t xml:space="preserve">study (risdiplam only) </w:t>
      </w:r>
      <w:r>
        <w:t xml:space="preserve">and </w:t>
      </w:r>
      <w:r w:rsidR="00F23950">
        <w:t xml:space="preserve">the </w:t>
      </w:r>
      <w:r>
        <w:t xml:space="preserve">ENDEAR </w:t>
      </w:r>
      <w:r w:rsidR="00F23950">
        <w:t xml:space="preserve">RCT (nusinersen compared to sham-control) </w:t>
      </w:r>
      <w:r>
        <w:t xml:space="preserve">trials. </w:t>
      </w:r>
      <w:r w:rsidR="00056CEA">
        <w:t xml:space="preserve">A matching adjusted indirect comparison (MAIC) was presented. </w:t>
      </w:r>
      <w:r>
        <w:t>The submission stated that the outcome of EFS had a consistent definition across the risdiplam, nusinersen and natural history studies; defined as death or requiring ≥16 hours/day of non-invasive ventilation support for at least 14 days in the absence of acute reversible illness.</w:t>
      </w:r>
    </w:p>
    <w:p w14:paraId="0DB31BD8" w14:textId="77777777" w:rsidR="00F23950" w:rsidRPr="00CE3643" w:rsidRDefault="0019675C" w:rsidP="004422FA">
      <w:pPr>
        <w:pStyle w:val="ListParagraph"/>
        <w:numPr>
          <w:ilvl w:val="1"/>
          <w:numId w:val="2"/>
        </w:numPr>
      </w:pPr>
      <w:r w:rsidRPr="0019675C">
        <w:lastRenderedPageBreak/>
        <w:t>The proportion of infants sitting without support for 5 seconds at Month 12, as assessed in the gross motor subscale of BSID-III (Bayley scales of infant and toddler development – third edition) was the primary endpoint in FIREFISH, however this outcome measure was</w:t>
      </w:r>
      <w:r w:rsidR="00E65E6A">
        <w:t xml:space="preserve"> </w:t>
      </w:r>
      <w:r w:rsidRPr="0019675C">
        <w:t>n</w:t>
      </w:r>
      <w:r w:rsidR="00E65E6A">
        <w:t>o</w:t>
      </w:r>
      <w:r w:rsidRPr="0019675C">
        <w:t>t used in the I</w:t>
      </w:r>
      <w:r w:rsidR="00F23950">
        <w:t>TC undertaken by the submission.</w:t>
      </w:r>
      <w:r w:rsidRPr="0019675C">
        <w:t xml:space="preserve"> </w:t>
      </w:r>
      <w:r w:rsidR="00F23950">
        <w:t>Instead t</w:t>
      </w:r>
      <w:r w:rsidR="00AC4E19">
        <w:t xml:space="preserve">he </w:t>
      </w:r>
      <w:r w:rsidR="00F23950">
        <w:t xml:space="preserve">clinical claim was </w:t>
      </w:r>
      <w:r w:rsidR="00F23950" w:rsidRPr="007B3DA4">
        <w:t xml:space="preserve">reasonably </w:t>
      </w:r>
      <w:r w:rsidR="00F23950">
        <w:t>presented base</w:t>
      </w:r>
      <w:r w:rsidR="00C83B62">
        <w:t>d</w:t>
      </w:r>
      <w:r w:rsidR="00F23950">
        <w:t xml:space="preserve"> </w:t>
      </w:r>
      <w:r w:rsidR="00AC4E19">
        <w:t xml:space="preserve">on OS and EFS as the most </w:t>
      </w:r>
      <w:r w:rsidR="00F23950">
        <w:t xml:space="preserve">patient </w:t>
      </w:r>
      <w:r w:rsidR="00AC4E19">
        <w:t>relevant measures</w:t>
      </w:r>
      <w:r w:rsidR="00AC4E19" w:rsidRPr="0019675C">
        <w:t>.</w:t>
      </w:r>
      <w:r w:rsidR="00733A32">
        <w:t xml:space="preserve"> The submission proposed that any change in </w:t>
      </w:r>
      <w:r w:rsidR="00CE648D">
        <w:t>OS or EFS</w:t>
      </w:r>
      <w:r w:rsidR="00733A32">
        <w:t xml:space="preserve"> favouring risdiplam should be considered </w:t>
      </w:r>
      <w:r w:rsidR="00CE648D">
        <w:t xml:space="preserve">clinically meaningful and </w:t>
      </w:r>
      <w:r w:rsidR="00733A32">
        <w:t xml:space="preserve">to indicate </w:t>
      </w:r>
      <w:r w:rsidR="00733A32" w:rsidRPr="00CE3643">
        <w:t xml:space="preserve">non-inferiority. </w:t>
      </w:r>
      <w:r w:rsidR="00CE648D" w:rsidRPr="00CE3643">
        <w:t xml:space="preserve">It was unclear if ‘any increase’ had to be statistically significant, and </w:t>
      </w:r>
      <w:r w:rsidR="00F23950" w:rsidRPr="00CE3643">
        <w:t xml:space="preserve">it may be unreasonable to not propose </w:t>
      </w:r>
      <w:r w:rsidR="00CE648D" w:rsidRPr="00CE3643">
        <w:t>a magnitude of difference</w:t>
      </w:r>
      <w:r w:rsidR="00EB6A6E" w:rsidRPr="00CE3643">
        <w:t xml:space="preserve"> for</w:t>
      </w:r>
      <w:r w:rsidR="00CE648D" w:rsidRPr="00CE3643">
        <w:t xml:space="preserve"> the proposed minimum clinically important difference (MCID).</w:t>
      </w:r>
      <w:r w:rsidR="000D282F" w:rsidRPr="00CE3643">
        <w:t xml:space="preserve"> </w:t>
      </w:r>
    </w:p>
    <w:p w14:paraId="2B3FF0D5" w14:textId="77777777" w:rsidR="0019675C" w:rsidRPr="00CE3643" w:rsidRDefault="00F23950" w:rsidP="00F23950">
      <w:pPr>
        <w:pStyle w:val="ListParagraph"/>
        <w:numPr>
          <w:ilvl w:val="1"/>
          <w:numId w:val="2"/>
        </w:numPr>
      </w:pPr>
      <w:r w:rsidRPr="00F23950">
        <w:t>The submission stated that an acceptable non-inferiority margin for OS and EFS</w:t>
      </w:r>
      <w:r>
        <w:t xml:space="preserve"> in SMA has not been published.</w:t>
      </w:r>
      <w:r w:rsidRPr="00F23950">
        <w:t xml:space="preserve"> </w:t>
      </w:r>
      <w:r>
        <w:t>Therefore</w:t>
      </w:r>
      <w:r w:rsidR="00E65E6A">
        <w:t>,</w:t>
      </w:r>
      <w:r>
        <w:t xml:space="preserve"> it was </w:t>
      </w:r>
      <w:r w:rsidR="000D282F" w:rsidRPr="000D282F">
        <w:t xml:space="preserve">proposed that non-inferiority </w:t>
      </w:r>
      <w:r w:rsidRPr="000D282F">
        <w:t xml:space="preserve">between risdiplam and nusinersen </w:t>
      </w:r>
      <w:r>
        <w:t xml:space="preserve">for OS </w:t>
      </w:r>
      <w:r w:rsidR="000D282F" w:rsidRPr="000D282F">
        <w:t xml:space="preserve">be </w:t>
      </w:r>
      <w:r>
        <w:t xml:space="preserve">concluded </w:t>
      </w:r>
      <w:r w:rsidR="000D282F" w:rsidRPr="000D282F">
        <w:t xml:space="preserve">if the point estimate of the </w:t>
      </w:r>
      <w:r>
        <w:t xml:space="preserve">hazard ratio in the </w:t>
      </w:r>
      <w:r w:rsidR="000D282F" w:rsidRPr="000D282F">
        <w:t xml:space="preserve">ITC </w:t>
      </w:r>
      <w:r>
        <w:t>reported any benefit</w:t>
      </w:r>
      <w:r w:rsidR="000D282F" w:rsidRPr="00CE3643">
        <w:t xml:space="preserve">. </w:t>
      </w:r>
      <w:r w:rsidR="00693ACC" w:rsidRPr="00CE3643">
        <w:t>A</w:t>
      </w:r>
      <w:r w:rsidR="000D282F" w:rsidRPr="00CE3643">
        <w:t xml:space="preserve">ny assessment of non-inferiority should also </w:t>
      </w:r>
      <w:r w:rsidR="00E65E6A" w:rsidRPr="00CE3643">
        <w:t>consider</w:t>
      </w:r>
      <w:r w:rsidR="000D282F" w:rsidRPr="00CE3643">
        <w:t xml:space="preserve"> the 95% confidence intervals obtained from the ITCs.</w:t>
      </w:r>
      <w:r w:rsidRPr="00CE3643">
        <w:t xml:space="preserve"> Additionally, the submission claimed that any improvement over the natural history for EFS was clinically meaningful. It was unclear how this would apply to a comparison between risdiplam and nusinersen. As such, it may be inferred that no non-inferiority margin for EFS was proposed.  </w:t>
      </w:r>
    </w:p>
    <w:p w14:paraId="4F06DA2B" w14:textId="77777777" w:rsidR="00F018AA" w:rsidRPr="00CE3643" w:rsidRDefault="00D94BBD" w:rsidP="004422FA">
      <w:pPr>
        <w:pStyle w:val="ListParagraph"/>
        <w:numPr>
          <w:ilvl w:val="1"/>
          <w:numId w:val="2"/>
        </w:numPr>
      </w:pPr>
      <w:r w:rsidRPr="00D94BBD">
        <w:t xml:space="preserve">For patients with SMA Type 2 and 3 in population 1, the clinical claim was based on an ITC of risdiplam to nusinersen based on the results of </w:t>
      </w:r>
      <w:r w:rsidR="00056CEA">
        <w:t xml:space="preserve">the </w:t>
      </w:r>
      <w:r w:rsidR="00F23950">
        <w:t>Revised Upper Limb Module (</w:t>
      </w:r>
      <w:r w:rsidRPr="00D94BBD">
        <w:t>RULM</w:t>
      </w:r>
      <w:r w:rsidR="00F23950">
        <w:t>)</w:t>
      </w:r>
      <w:r w:rsidR="00056CEA">
        <w:t xml:space="preserve"> endpoint. Results for both the mean </w:t>
      </w:r>
      <w:r w:rsidRPr="00D94BBD">
        <w:t xml:space="preserve">change from baseline </w:t>
      </w:r>
      <w:r w:rsidR="00056CEA">
        <w:t xml:space="preserve">RULM </w:t>
      </w:r>
      <w:r w:rsidRPr="00D94BBD">
        <w:t xml:space="preserve">at 12 months, and </w:t>
      </w:r>
      <w:r w:rsidR="00F23950">
        <w:t xml:space="preserve">proportion of patients with </w:t>
      </w:r>
      <w:r w:rsidRPr="00D94BBD">
        <w:t xml:space="preserve">change from baseline ≥2 points </w:t>
      </w:r>
      <w:r w:rsidR="00056CEA">
        <w:t>for RULM at 12 months</w:t>
      </w:r>
      <w:r w:rsidRPr="00D94BBD">
        <w:t xml:space="preserve"> in the SUNFISH</w:t>
      </w:r>
      <w:r w:rsidR="00F23950">
        <w:t xml:space="preserve"> (risdiplam versus placebo)</w:t>
      </w:r>
      <w:r w:rsidRPr="00D94BBD">
        <w:t xml:space="preserve"> and CHERISH </w:t>
      </w:r>
      <w:r w:rsidR="00F23950">
        <w:t xml:space="preserve">(nusinersen versus sham-control) </w:t>
      </w:r>
      <w:r w:rsidRPr="00D94BBD">
        <w:t>trials</w:t>
      </w:r>
      <w:r w:rsidR="00056CEA">
        <w:t xml:space="preserve"> were presented</w:t>
      </w:r>
      <w:r w:rsidRPr="00D94BBD">
        <w:t>.</w:t>
      </w:r>
      <w:r w:rsidR="00A52233">
        <w:t xml:space="preserve"> </w:t>
      </w:r>
      <w:r w:rsidR="00056CEA">
        <w:t xml:space="preserve">Both MAIC and Bucher ITCs were presented. </w:t>
      </w:r>
      <w:r w:rsidR="008C2FD9">
        <w:t xml:space="preserve">The submission proposed a non-inferiority margin of </w:t>
      </w:r>
      <w:r w:rsidR="00733A32">
        <w:t xml:space="preserve">at least a score of </w:t>
      </w:r>
      <w:r w:rsidR="00E65E6A">
        <w:t>zero</w:t>
      </w:r>
      <w:r w:rsidR="00733A32">
        <w:t xml:space="preserve"> change (lower margin) or 2 (upper margin), suggesting that this would be the MCID</w:t>
      </w:r>
      <w:r w:rsidR="00733A32" w:rsidRPr="00CE3643">
        <w:t xml:space="preserve">. </w:t>
      </w:r>
      <w:r w:rsidR="00693ACC" w:rsidRPr="00CE3643">
        <w:t>T</w:t>
      </w:r>
      <w:r w:rsidR="00733A32" w:rsidRPr="00CE3643">
        <w:t>he lower bound of the 95% confidence interval would be more appropriate for determining non-inferiority.</w:t>
      </w:r>
      <w:r w:rsidR="008C2FD9" w:rsidRPr="00CE3643">
        <w:t xml:space="preserve"> </w:t>
      </w:r>
    </w:p>
    <w:p w14:paraId="54EC85B4" w14:textId="77777777" w:rsidR="00F018AA" w:rsidRPr="00F018AA" w:rsidRDefault="00362002" w:rsidP="004422FA">
      <w:pPr>
        <w:pStyle w:val="ListParagraph"/>
        <w:numPr>
          <w:ilvl w:val="1"/>
          <w:numId w:val="2"/>
        </w:numPr>
      </w:pPr>
      <w:r w:rsidRPr="00F018AA">
        <w:rPr>
          <w:snapToGrid/>
          <w:szCs w:val="24"/>
          <w:lang w:eastAsia="en-AU"/>
        </w:rPr>
        <w:t>The RULM test is an outcome measure specifically developed to assess upper limb functional abilities in SMA patients</w:t>
      </w:r>
      <w:r w:rsidR="00416FC6">
        <w:rPr>
          <w:snapToGrid/>
          <w:szCs w:val="24"/>
          <w:lang w:eastAsia="en-AU"/>
        </w:rPr>
        <w:t xml:space="preserve"> (</w:t>
      </w:r>
      <w:r w:rsidRPr="00F018AA">
        <w:rPr>
          <w:snapToGrid/>
          <w:szCs w:val="24"/>
          <w:lang w:eastAsia="en-AU"/>
        </w:rPr>
        <w:t>essential for non-ambulatory Type 3 adult patients to maintain a level of independence</w:t>
      </w:r>
      <w:r w:rsidR="00416FC6">
        <w:rPr>
          <w:snapToGrid/>
          <w:szCs w:val="24"/>
          <w:lang w:eastAsia="en-AU"/>
        </w:rPr>
        <w:t>)</w:t>
      </w:r>
      <w:r w:rsidRPr="00F018AA">
        <w:rPr>
          <w:snapToGrid/>
          <w:szCs w:val="24"/>
          <w:lang w:eastAsia="en-AU"/>
        </w:rPr>
        <w:t>. The test assesses important aspects of upper limb function including the ability to drink from a cup, lift weighted items to and above, shoulder level, drawing, opening containers, switching on lights and reaching and manipulation</w:t>
      </w:r>
      <w:r w:rsidR="00416FC6">
        <w:rPr>
          <w:snapToGrid/>
          <w:szCs w:val="24"/>
          <w:lang w:eastAsia="en-AU"/>
        </w:rPr>
        <w:t xml:space="preserve">. </w:t>
      </w:r>
      <w:r w:rsidRPr="00F018AA">
        <w:rPr>
          <w:snapToGrid/>
          <w:szCs w:val="24"/>
          <w:lang w:eastAsia="en-AU"/>
        </w:rPr>
        <w:t>The submission stated that in the context of natural history data the mean change in RULM score was -0.4 in Type 2 and non-ambulant Type 3 patients aged 2.7 to 49.6 years (Pera 2019).</w:t>
      </w:r>
      <w:r w:rsidRPr="007B3DA4">
        <w:t xml:space="preserve"> </w:t>
      </w:r>
    </w:p>
    <w:p w14:paraId="10D21B51" w14:textId="77777777" w:rsidR="00056CEA" w:rsidRDefault="00056CEA" w:rsidP="00056CEA">
      <w:pPr>
        <w:pStyle w:val="ListParagraph"/>
        <w:numPr>
          <w:ilvl w:val="1"/>
          <w:numId w:val="2"/>
        </w:numPr>
      </w:pPr>
      <w:r>
        <w:t xml:space="preserve">The </w:t>
      </w:r>
      <w:r w:rsidR="00E532A9">
        <w:t>motor function measure 32 (</w:t>
      </w:r>
      <w:r>
        <w:t>MF</w:t>
      </w:r>
      <w:r w:rsidRPr="00F17EE7">
        <w:t>M32</w:t>
      </w:r>
      <w:r w:rsidR="00E532A9">
        <w:t>)</w:t>
      </w:r>
      <w:r w:rsidRPr="00F17EE7">
        <w:t xml:space="preserve"> </w:t>
      </w:r>
      <w:r>
        <w:t xml:space="preserve">is an ordinal scale that </w:t>
      </w:r>
      <w:r w:rsidRPr="00F17EE7">
        <w:t>has the ability to assess a wide range of motor function across a broad range of SMA patients. The scale</w:t>
      </w:r>
      <w:r>
        <w:t>, which was the primary outcome in SUNFISH</w:t>
      </w:r>
      <w:r w:rsidRPr="00F17EE7">
        <w:t xml:space="preserve"> comprises 32 items that evaluate physical function in three dimensions</w:t>
      </w:r>
      <w:r>
        <w:t xml:space="preserve">. </w:t>
      </w:r>
      <w:r w:rsidRPr="00F17EE7">
        <w:t xml:space="preserve">The scoring of each task uses a 4-point Likert scale based </w:t>
      </w:r>
      <w:r w:rsidRPr="00F17EE7">
        <w:lastRenderedPageBreak/>
        <w:t xml:space="preserve">on the patient’s maximal abilities without assistance. The submission suggested that natural history data on patients aged 6 to 59 years, including Type 2 and Type 3 SMA patients, demonstrated an overall decline over time of -0.9 points per year in the MFM total score for Type 2 patients, and -0.6 for Type 3 patients (Vuillerot 2013a).  </w:t>
      </w:r>
    </w:p>
    <w:p w14:paraId="676EAC7E" w14:textId="77777777" w:rsidR="00056CEA" w:rsidRDefault="00056CEA" w:rsidP="00056CEA">
      <w:pPr>
        <w:pStyle w:val="ListParagraph"/>
        <w:numPr>
          <w:ilvl w:val="1"/>
          <w:numId w:val="2"/>
        </w:numPr>
      </w:pPr>
      <w:r>
        <w:t xml:space="preserve">The </w:t>
      </w:r>
      <w:r w:rsidR="00E532A9">
        <w:t>Hammersmith functional motor scale expanded (</w:t>
      </w:r>
      <w:r>
        <w:t>HFMSE</w:t>
      </w:r>
      <w:r w:rsidR="00E532A9">
        <w:t>)</w:t>
      </w:r>
      <w:r>
        <w:t xml:space="preserve"> </w:t>
      </w:r>
      <w:r w:rsidRPr="00CE2851">
        <w:t xml:space="preserve">contains a series of assessments designed to assess important functional abilities, including standing, transfers, ambulation, and proximal and axial function. </w:t>
      </w:r>
      <w:r>
        <w:t xml:space="preserve"> </w:t>
      </w:r>
      <w:r w:rsidRPr="00CE2851">
        <w:t>The HFMSE total score change from baseline was the primary endpoint in the CHERISH trial. The scale contains 33 items, which are scored</w:t>
      </w:r>
      <w:r>
        <w:t xml:space="preserve"> on a 3-point Likert-type scale</w:t>
      </w:r>
      <w:r w:rsidRPr="00CE2851">
        <w:t xml:space="preserve"> and summed to derive the total score, with lower scores indicating greater impairment.</w:t>
      </w:r>
    </w:p>
    <w:p w14:paraId="1BDC5536" w14:textId="77777777" w:rsidR="00414B4D" w:rsidRPr="0019675C" w:rsidRDefault="00414B4D" w:rsidP="00414B4D">
      <w:pPr>
        <w:pStyle w:val="ListParagraph"/>
      </w:pPr>
      <w:r w:rsidRPr="00C33D30">
        <w:rPr>
          <w:rFonts w:asciiTheme="minorHAnsi" w:hAnsiTheme="minorHAnsi"/>
          <w:i/>
        </w:rPr>
        <w:t>For more detail on PBAC’s view, see section 7 PBAC outcome.</w:t>
      </w:r>
    </w:p>
    <w:p w14:paraId="6EBDC09F" w14:textId="77777777" w:rsidR="00B60939" w:rsidRPr="003A44F8" w:rsidRDefault="00B60939" w:rsidP="0037240C">
      <w:pPr>
        <w:pStyle w:val="4-SubsectionHeading"/>
      </w:pPr>
      <w:bookmarkStart w:id="21" w:name="_Toc61959934"/>
      <w:r w:rsidRPr="003A44F8">
        <w:t>Comparative effectiveness</w:t>
      </w:r>
      <w:bookmarkEnd w:id="21"/>
    </w:p>
    <w:p w14:paraId="009382F6" w14:textId="77777777" w:rsidR="007C61ED" w:rsidRPr="007C61ED" w:rsidRDefault="007C61ED" w:rsidP="0037240C">
      <w:pPr>
        <w:pStyle w:val="5-Subsectionsubheading"/>
      </w:pPr>
      <w:r w:rsidRPr="007C61ED">
        <w:t>Population 1 ≤18 years of age, SMA Type 1</w:t>
      </w:r>
    </w:p>
    <w:p w14:paraId="3613B9C3" w14:textId="77777777" w:rsidR="00056CEA" w:rsidRPr="00D15F79" w:rsidRDefault="00056CEA" w:rsidP="005318F2">
      <w:pPr>
        <w:pStyle w:val="ListParagraph"/>
        <w:widowControl/>
        <w:numPr>
          <w:ilvl w:val="1"/>
          <w:numId w:val="2"/>
        </w:numPr>
        <w:rPr>
          <w:iCs/>
        </w:rPr>
      </w:pPr>
      <w:r>
        <w:t>As no</w:t>
      </w:r>
      <w:r w:rsidR="006C77E7">
        <w:t xml:space="preserve"> RCT was available for risdiplam in patients with SMA Type 1, the submission presented an unanchored </w:t>
      </w:r>
      <w:r>
        <w:t>MAIC</w:t>
      </w:r>
      <w:r w:rsidR="006C77E7">
        <w:t xml:space="preserve"> to </w:t>
      </w:r>
      <w:r>
        <w:t xml:space="preserve">inform the comparative efficacy of risdiplam and nusinersen. </w:t>
      </w:r>
      <w:r w:rsidR="00087207">
        <w:t>The</w:t>
      </w:r>
      <w:r w:rsidR="00087207" w:rsidRPr="00087207">
        <w:t xml:space="preserve"> submission pooled the results from the high-dose cohort from FIREFISH Part 1</w:t>
      </w:r>
      <w:r>
        <w:t xml:space="preserve"> (n=17)</w:t>
      </w:r>
      <w:r w:rsidR="005F210A">
        <w:t>, where patients received the same dose as in Part 2,</w:t>
      </w:r>
      <w:r w:rsidR="00087207" w:rsidRPr="00087207">
        <w:t xml:space="preserve"> with patients in FIREFISH Part 2</w:t>
      </w:r>
      <w:r>
        <w:t xml:space="preserve"> (n=44) as this </w:t>
      </w:r>
      <w:r w:rsidR="00087207" w:rsidRPr="00087207">
        <w:t>allowed for a great</w:t>
      </w:r>
      <w:r w:rsidR="00087207">
        <w:t>er sample size for risdiplam</w:t>
      </w:r>
      <w:r>
        <w:t xml:space="preserve"> and was feasible given the similar trial designs between FIREFISH Part 1 and Part 2</w:t>
      </w:r>
      <w:r w:rsidR="00087207">
        <w:t xml:space="preserve">. </w:t>
      </w:r>
      <w:r w:rsidR="005318F2" w:rsidRPr="005318F2">
        <w:rPr>
          <w:rFonts w:eastAsiaTheme="minorEastAsia" w:cstheme="minorBidi"/>
          <w:snapToGrid/>
          <w:szCs w:val="24"/>
          <w:lang w:eastAsia="zh-CN"/>
        </w:rPr>
        <w:t xml:space="preserve">Patients enrolled in FIREFISH had worse baseline children's hospital of Philadelphia infant test of neuromuscular disorders </w:t>
      </w:r>
      <w:r w:rsidR="005318F2">
        <w:rPr>
          <w:rFonts w:eastAsiaTheme="minorEastAsia" w:cstheme="minorBidi"/>
          <w:snapToGrid/>
          <w:szCs w:val="24"/>
          <w:lang w:eastAsia="zh-CN"/>
        </w:rPr>
        <w:t>(</w:t>
      </w:r>
      <w:r w:rsidR="005318F2" w:rsidRPr="005318F2">
        <w:rPr>
          <w:rFonts w:eastAsiaTheme="minorEastAsia" w:cstheme="minorBidi"/>
          <w:snapToGrid/>
          <w:szCs w:val="24"/>
          <w:lang w:eastAsia="zh-CN"/>
        </w:rPr>
        <w:t>CHOP-INTEND</w:t>
      </w:r>
      <w:r w:rsidR="005318F2">
        <w:rPr>
          <w:rFonts w:eastAsiaTheme="minorEastAsia" w:cstheme="minorBidi"/>
          <w:snapToGrid/>
          <w:szCs w:val="24"/>
          <w:lang w:eastAsia="zh-CN"/>
        </w:rPr>
        <w:t>)</w:t>
      </w:r>
      <w:r w:rsidR="005318F2" w:rsidRPr="005318F2">
        <w:rPr>
          <w:rFonts w:eastAsiaTheme="minorEastAsia" w:cstheme="minorBidi"/>
          <w:snapToGrid/>
          <w:szCs w:val="24"/>
          <w:lang w:eastAsia="zh-CN"/>
        </w:rPr>
        <w:t xml:space="preserve"> and </w:t>
      </w:r>
      <w:r w:rsidR="005318F2">
        <w:rPr>
          <w:rFonts w:eastAsiaTheme="minorEastAsia" w:cstheme="minorBidi"/>
          <w:snapToGrid/>
          <w:szCs w:val="24"/>
          <w:lang w:eastAsia="zh-CN"/>
        </w:rPr>
        <w:t>the H</w:t>
      </w:r>
      <w:r w:rsidR="005318F2" w:rsidRPr="005318F2">
        <w:rPr>
          <w:rFonts w:eastAsiaTheme="minorEastAsia" w:cstheme="minorBidi"/>
          <w:snapToGrid/>
          <w:szCs w:val="24"/>
          <w:lang w:eastAsia="zh-CN"/>
        </w:rPr>
        <w:t>ammersmith infant neurological examination module 2</w:t>
      </w:r>
      <w:r w:rsidR="005318F2">
        <w:rPr>
          <w:rFonts w:eastAsiaTheme="minorEastAsia" w:cstheme="minorBidi"/>
          <w:snapToGrid/>
          <w:szCs w:val="24"/>
          <w:lang w:eastAsia="zh-CN"/>
        </w:rPr>
        <w:t xml:space="preserve"> (</w:t>
      </w:r>
      <w:r w:rsidR="005318F2" w:rsidRPr="005318F2">
        <w:rPr>
          <w:rFonts w:eastAsiaTheme="minorEastAsia" w:cstheme="minorBidi"/>
          <w:snapToGrid/>
          <w:szCs w:val="24"/>
          <w:lang w:eastAsia="zh-CN"/>
        </w:rPr>
        <w:t>HINE-2</w:t>
      </w:r>
      <w:r w:rsidR="005318F2">
        <w:rPr>
          <w:rFonts w:eastAsiaTheme="minorEastAsia" w:cstheme="minorBidi"/>
          <w:snapToGrid/>
          <w:szCs w:val="24"/>
          <w:lang w:eastAsia="zh-CN"/>
        </w:rPr>
        <w:t>)</w:t>
      </w:r>
      <w:r w:rsidR="005318F2" w:rsidRPr="005318F2">
        <w:rPr>
          <w:rFonts w:eastAsiaTheme="minorEastAsia" w:cstheme="minorBidi"/>
          <w:snapToGrid/>
          <w:szCs w:val="24"/>
          <w:lang w:eastAsia="zh-CN"/>
        </w:rPr>
        <w:t xml:space="preserve"> scores compared to patients enrolled in ENDEAR, suggesting that patients enrolled in FIREFISH may have had more severe disease. </w:t>
      </w:r>
      <w:r w:rsidR="005318F2">
        <w:rPr>
          <w:rFonts w:eastAsiaTheme="minorEastAsia" w:cstheme="minorBidi"/>
          <w:snapToGrid/>
          <w:szCs w:val="24"/>
          <w:lang w:eastAsia="zh-CN"/>
        </w:rPr>
        <w:t xml:space="preserve">Therefore, </w:t>
      </w:r>
      <w:r w:rsidR="005318F2">
        <w:t>t</w:t>
      </w:r>
      <w:r w:rsidR="00087207">
        <w:t xml:space="preserve">he submission used a propensity score logistic regression model to adjust for baseline characteristics, and this reduced the </w:t>
      </w:r>
      <w:r>
        <w:t xml:space="preserve">number of patients treated with risdiplam in FIREFISH </w:t>
      </w:r>
      <w:r w:rsidR="00087207">
        <w:t xml:space="preserve">from 58 </w:t>
      </w:r>
      <w:r>
        <w:t>patients to 3</w:t>
      </w:r>
      <w:r w:rsidR="00087207">
        <w:t xml:space="preserve">6.5 patients. </w:t>
      </w:r>
      <w:r w:rsidR="003B419B">
        <w:t xml:space="preserve">Matching was </w:t>
      </w:r>
      <w:r w:rsidR="005318F2">
        <w:t xml:space="preserve">conducted </w:t>
      </w:r>
      <w:r w:rsidR="003B419B">
        <w:t xml:space="preserve">on the variables of Type 1 SMA, age at first dose, duration of symptoms and baseline CHOP-INTED score. </w:t>
      </w:r>
      <w:r>
        <w:t xml:space="preserve">The baseline characteristics of patients before and after matching for FIREFISH and ENDEAR </w:t>
      </w:r>
      <w:r w:rsidR="00261A90">
        <w:t>are</w:t>
      </w:r>
      <w:r>
        <w:t xml:space="preserve"> presented in </w:t>
      </w:r>
      <w:r w:rsidR="009825B3" w:rsidRPr="009825B3">
        <w:t>Table 6</w:t>
      </w:r>
      <w:r>
        <w:t>.</w:t>
      </w:r>
    </w:p>
    <w:p w14:paraId="2DCA2FA1" w14:textId="77777777" w:rsidR="003C2E42" w:rsidRPr="003A44F8" w:rsidRDefault="005B44C9" w:rsidP="005B44C9">
      <w:pPr>
        <w:keepNext/>
        <w:keepLines/>
        <w:widowControl/>
        <w:spacing w:before="240" w:after="40"/>
        <w:ind w:left="993" w:hanging="993"/>
        <w:jc w:val="left"/>
        <w:rPr>
          <w:rFonts w:ascii="Arial Narrow" w:eastAsiaTheme="minorEastAsia" w:hAnsi="Arial Narrow" w:cstheme="minorBidi"/>
          <w:b/>
          <w:bCs/>
          <w:snapToGrid/>
          <w:sz w:val="20"/>
          <w:szCs w:val="20"/>
          <w:lang w:eastAsia="zh-CN"/>
        </w:rPr>
      </w:pPr>
      <w:bookmarkStart w:id="22" w:name="_Ref61511336"/>
      <w:r w:rsidRPr="005B44C9">
        <w:rPr>
          <w:rFonts w:ascii="Arial Narrow" w:eastAsiaTheme="minorEastAsia" w:hAnsi="Arial Narrow" w:cstheme="minorBidi"/>
          <w:b/>
          <w:bCs/>
          <w:snapToGrid/>
          <w:sz w:val="20"/>
          <w:szCs w:val="20"/>
          <w:lang w:eastAsia="zh-CN"/>
        </w:rPr>
        <w:lastRenderedPageBreak/>
        <w:t xml:space="preserve">Table </w:t>
      </w:r>
      <w:r w:rsidR="009825B3">
        <w:rPr>
          <w:rFonts w:ascii="Arial Narrow" w:eastAsiaTheme="minorEastAsia" w:hAnsi="Arial Narrow" w:cstheme="minorBidi"/>
          <w:b/>
          <w:bCs/>
          <w:noProof/>
          <w:snapToGrid/>
          <w:sz w:val="20"/>
          <w:szCs w:val="20"/>
          <w:lang w:eastAsia="zh-CN"/>
        </w:rPr>
        <w:t>6</w:t>
      </w:r>
      <w:bookmarkEnd w:id="22"/>
      <w:r w:rsidR="003C2E42" w:rsidRPr="003A44F8">
        <w:rPr>
          <w:rFonts w:ascii="Arial Narrow" w:eastAsiaTheme="minorEastAsia" w:hAnsi="Arial Narrow" w:cstheme="minorBidi"/>
          <w:b/>
          <w:bCs/>
          <w:snapToGrid/>
          <w:sz w:val="20"/>
          <w:szCs w:val="20"/>
          <w:lang w:eastAsia="zh-CN"/>
        </w:rPr>
        <w:t>: FIREFISH baseline characteristics post ENDEAR-matching</w:t>
      </w:r>
    </w:p>
    <w:tbl>
      <w:tblPr>
        <w:tblStyle w:val="TableGrid2"/>
        <w:tblW w:w="5000" w:type="pct"/>
        <w:tblLook w:val="0420" w:firstRow="1" w:lastRow="0" w:firstColumn="0" w:lastColumn="0" w:noHBand="0" w:noVBand="1"/>
        <w:tblCaption w:val="Table 6: FIREFISH baseline characteristics post ENDEAR-matching"/>
      </w:tblPr>
      <w:tblGrid>
        <w:gridCol w:w="3369"/>
        <w:gridCol w:w="1702"/>
        <w:gridCol w:w="2818"/>
        <w:gridCol w:w="1127"/>
      </w:tblGrid>
      <w:tr w:rsidR="003C2E42" w:rsidRPr="003A44F8" w14:paraId="5EEF74F8" w14:textId="77777777" w:rsidTr="00EC127F">
        <w:trPr>
          <w:trHeight w:val="20"/>
          <w:tblHeader/>
        </w:trPr>
        <w:tc>
          <w:tcPr>
            <w:tcW w:w="1868" w:type="pct"/>
            <w:shd w:val="clear" w:color="auto" w:fill="auto"/>
            <w:vAlign w:val="center"/>
            <w:hideMark/>
          </w:tcPr>
          <w:p w14:paraId="409204DC" w14:textId="77777777" w:rsidR="003C2E42" w:rsidRPr="003A44F8" w:rsidRDefault="003C2E42" w:rsidP="00BA3F8B">
            <w:pPr>
              <w:keepNext/>
              <w:keepLines/>
              <w:widowControl/>
              <w:spacing w:before="20"/>
              <w:jc w:val="left"/>
              <w:rPr>
                <w:rFonts w:ascii="Arial Narrow" w:hAnsi="Arial Narrow" w:cstheme="minorHAnsi"/>
                <w:b/>
                <w:snapToGrid/>
                <w:sz w:val="20"/>
                <w:szCs w:val="20"/>
                <w:lang w:eastAsia="zh-CN"/>
              </w:rPr>
            </w:pPr>
            <w:r w:rsidRPr="003A44F8">
              <w:rPr>
                <w:rFonts w:ascii="Arial Narrow" w:hAnsi="Arial Narrow" w:cstheme="minorHAnsi"/>
                <w:b/>
                <w:snapToGrid/>
                <w:sz w:val="20"/>
                <w:szCs w:val="20"/>
                <w:lang w:eastAsia="zh-CN"/>
              </w:rPr>
              <w:t>Baseline characteristic</w:t>
            </w:r>
          </w:p>
        </w:tc>
        <w:tc>
          <w:tcPr>
            <w:tcW w:w="944" w:type="pct"/>
            <w:shd w:val="clear" w:color="auto" w:fill="auto"/>
            <w:vAlign w:val="center"/>
            <w:hideMark/>
          </w:tcPr>
          <w:p w14:paraId="3CD14FCD" w14:textId="77777777" w:rsidR="003C2E42" w:rsidRPr="003A44F8" w:rsidRDefault="003C2E42" w:rsidP="00BA3F8B">
            <w:pPr>
              <w:keepNext/>
              <w:keepLines/>
              <w:widowControl/>
              <w:spacing w:before="20"/>
              <w:jc w:val="center"/>
              <w:rPr>
                <w:rFonts w:ascii="Arial Narrow" w:hAnsi="Arial Narrow" w:cstheme="minorHAnsi"/>
                <w:b/>
                <w:snapToGrid/>
                <w:sz w:val="20"/>
                <w:szCs w:val="20"/>
                <w:lang w:eastAsia="zh-CN"/>
              </w:rPr>
            </w:pPr>
            <w:r w:rsidRPr="003A44F8">
              <w:rPr>
                <w:rFonts w:ascii="Arial Narrow" w:hAnsi="Arial Narrow" w:cstheme="minorHAnsi"/>
                <w:b/>
                <w:snapToGrid/>
                <w:sz w:val="20"/>
                <w:szCs w:val="20"/>
                <w:lang w:eastAsia="zh-CN"/>
              </w:rPr>
              <w:t>Pre-Matching:</w:t>
            </w:r>
          </w:p>
          <w:p w14:paraId="44EF4A2F" w14:textId="77777777" w:rsidR="003C2E42" w:rsidRPr="003A44F8" w:rsidRDefault="003C2E42" w:rsidP="00BA3F8B">
            <w:pPr>
              <w:keepNext/>
              <w:keepLines/>
              <w:widowControl/>
              <w:spacing w:before="20"/>
              <w:jc w:val="center"/>
              <w:rPr>
                <w:rFonts w:ascii="Arial Narrow" w:hAnsi="Arial Narrow" w:cstheme="minorHAnsi"/>
                <w:b/>
                <w:snapToGrid/>
                <w:sz w:val="20"/>
                <w:szCs w:val="20"/>
                <w:lang w:eastAsia="zh-CN"/>
              </w:rPr>
            </w:pPr>
            <w:r w:rsidRPr="003A44F8">
              <w:rPr>
                <w:rFonts w:ascii="Arial Narrow" w:hAnsi="Arial Narrow" w:cstheme="minorHAnsi"/>
                <w:b/>
                <w:snapToGrid/>
                <w:sz w:val="20"/>
                <w:szCs w:val="20"/>
                <w:lang w:eastAsia="zh-CN"/>
              </w:rPr>
              <w:t>Risdiplam</w:t>
            </w:r>
          </w:p>
          <w:p w14:paraId="2AFDB754" w14:textId="77777777" w:rsidR="003C2E42" w:rsidRPr="003A44F8" w:rsidRDefault="003C2E42" w:rsidP="00BA3F8B">
            <w:pPr>
              <w:keepNext/>
              <w:keepLines/>
              <w:widowControl/>
              <w:spacing w:before="20"/>
              <w:jc w:val="center"/>
              <w:rPr>
                <w:rFonts w:ascii="Arial Narrow" w:hAnsi="Arial Narrow" w:cstheme="minorHAnsi"/>
                <w:b/>
                <w:snapToGrid/>
                <w:sz w:val="20"/>
                <w:szCs w:val="20"/>
                <w:lang w:eastAsia="zh-CN"/>
              </w:rPr>
            </w:pPr>
            <w:r w:rsidRPr="003A44F8">
              <w:rPr>
                <w:rFonts w:ascii="Arial Narrow" w:hAnsi="Arial Narrow" w:cstheme="minorHAnsi"/>
                <w:b/>
                <w:snapToGrid/>
                <w:sz w:val="20"/>
                <w:szCs w:val="20"/>
                <w:lang w:eastAsia="zh-CN"/>
              </w:rPr>
              <w:t>(Pooled FIREFISH)</w:t>
            </w:r>
          </w:p>
        </w:tc>
        <w:tc>
          <w:tcPr>
            <w:tcW w:w="1563" w:type="pct"/>
            <w:shd w:val="clear" w:color="auto" w:fill="auto"/>
            <w:vAlign w:val="center"/>
          </w:tcPr>
          <w:p w14:paraId="626EEB94" w14:textId="77777777" w:rsidR="003C2E42" w:rsidRPr="003A44F8" w:rsidRDefault="003C2E42" w:rsidP="00BA3F8B">
            <w:pPr>
              <w:keepNext/>
              <w:keepLines/>
              <w:widowControl/>
              <w:spacing w:before="20"/>
              <w:jc w:val="center"/>
              <w:rPr>
                <w:rFonts w:ascii="Arial Narrow" w:hAnsi="Arial Narrow" w:cstheme="minorHAnsi"/>
                <w:b/>
                <w:snapToGrid/>
                <w:sz w:val="20"/>
                <w:szCs w:val="20"/>
                <w:lang w:eastAsia="zh-CN"/>
              </w:rPr>
            </w:pPr>
            <w:r w:rsidRPr="003A44F8">
              <w:rPr>
                <w:rFonts w:ascii="Arial Narrow" w:hAnsi="Arial Narrow" w:cstheme="minorHAnsi"/>
                <w:b/>
                <w:snapToGrid/>
                <w:sz w:val="20"/>
                <w:szCs w:val="20"/>
                <w:lang w:eastAsia="zh-CN"/>
              </w:rPr>
              <w:t>Post-matching:</w:t>
            </w:r>
          </w:p>
          <w:p w14:paraId="54507357" w14:textId="77777777" w:rsidR="003C2E42" w:rsidRPr="003A44F8" w:rsidRDefault="003C2E42" w:rsidP="00BA3F8B">
            <w:pPr>
              <w:keepNext/>
              <w:keepLines/>
              <w:widowControl/>
              <w:spacing w:before="20"/>
              <w:jc w:val="center"/>
              <w:rPr>
                <w:rFonts w:ascii="Arial Narrow" w:hAnsi="Arial Narrow" w:cstheme="minorHAnsi"/>
                <w:b/>
                <w:snapToGrid/>
                <w:sz w:val="20"/>
                <w:szCs w:val="20"/>
                <w:lang w:eastAsia="zh-CN"/>
              </w:rPr>
            </w:pPr>
            <w:r w:rsidRPr="003A44F8">
              <w:rPr>
                <w:rFonts w:ascii="Arial Narrow" w:hAnsi="Arial Narrow" w:cstheme="minorHAnsi"/>
                <w:b/>
                <w:snapToGrid/>
                <w:sz w:val="20"/>
                <w:szCs w:val="20"/>
                <w:lang w:eastAsia="zh-CN"/>
              </w:rPr>
              <w:t>Risdiplam</w:t>
            </w:r>
          </w:p>
          <w:p w14:paraId="2D65C3FF" w14:textId="77777777" w:rsidR="003C2E42" w:rsidRPr="003A44F8" w:rsidRDefault="003C2E42" w:rsidP="00BA3F8B">
            <w:pPr>
              <w:keepNext/>
              <w:keepLines/>
              <w:widowControl/>
              <w:spacing w:before="20"/>
              <w:jc w:val="center"/>
              <w:rPr>
                <w:rFonts w:ascii="Arial Narrow" w:hAnsi="Arial Narrow" w:cstheme="minorHAnsi"/>
                <w:b/>
                <w:snapToGrid/>
                <w:sz w:val="20"/>
                <w:szCs w:val="20"/>
                <w:lang w:eastAsia="zh-CN"/>
              </w:rPr>
            </w:pPr>
            <w:r w:rsidRPr="003A44F8">
              <w:rPr>
                <w:rFonts w:ascii="Arial Narrow" w:hAnsi="Arial Narrow" w:cstheme="minorHAnsi"/>
                <w:b/>
                <w:snapToGrid/>
                <w:sz w:val="20"/>
                <w:szCs w:val="20"/>
                <w:lang w:eastAsia="zh-CN"/>
              </w:rPr>
              <w:t>(Pooled FIREFISH matching-adjusted to ENDEAR)</w:t>
            </w:r>
          </w:p>
        </w:tc>
        <w:tc>
          <w:tcPr>
            <w:tcW w:w="625" w:type="pct"/>
            <w:shd w:val="clear" w:color="auto" w:fill="auto"/>
            <w:vAlign w:val="center"/>
            <w:hideMark/>
          </w:tcPr>
          <w:p w14:paraId="341CDCFD" w14:textId="77777777" w:rsidR="003C2E42" w:rsidRPr="003A44F8" w:rsidRDefault="003C2E42" w:rsidP="00BA3F8B">
            <w:pPr>
              <w:keepNext/>
              <w:keepLines/>
              <w:widowControl/>
              <w:spacing w:before="20"/>
              <w:jc w:val="center"/>
              <w:rPr>
                <w:rFonts w:ascii="Arial Narrow" w:hAnsi="Arial Narrow" w:cstheme="minorHAnsi"/>
                <w:b/>
                <w:snapToGrid/>
                <w:sz w:val="20"/>
                <w:szCs w:val="20"/>
                <w:lang w:eastAsia="zh-CN"/>
              </w:rPr>
            </w:pPr>
            <w:r w:rsidRPr="003A44F8">
              <w:rPr>
                <w:rFonts w:ascii="Arial Narrow" w:hAnsi="Arial Narrow" w:cstheme="minorHAnsi"/>
                <w:b/>
                <w:snapToGrid/>
                <w:sz w:val="20"/>
                <w:szCs w:val="20"/>
                <w:lang w:eastAsia="zh-CN"/>
              </w:rPr>
              <w:t>Nusinersen &amp; BSC</w:t>
            </w:r>
          </w:p>
          <w:p w14:paraId="52569719" w14:textId="77777777" w:rsidR="003C2E42" w:rsidRPr="003A44F8" w:rsidRDefault="003C2E42" w:rsidP="00BA3F8B">
            <w:pPr>
              <w:keepNext/>
              <w:keepLines/>
              <w:widowControl/>
              <w:spacing w:before="20"/>
              <w:jc w:val="center"/>
              <w:rPr>
                <w:rFonts w:ascii="Arial Narrow" w:hAnsi="Arial Narrow" w:cstheme="minorHAnsi"/>
                <w:b/>
                <w:snapToGrid/>
                <w:sz w:val="20"/>
                <w:szCs w:val="20"/>
                <w:lang w:eastAsia="zh-CN"/>
              </w:rPr>
            </w:pPr>
            <w:r w:rsidRPr="003A44F8">
              <w:rPr>
                <w:rFonts w:ascii="Arial Narrow" w:hAnsi="Arial Narrow" w:cstheme="minorHAnsi"/>
                <w:b/>
                <w:snapToGrid/>
                <w:sz w:val="20"/>
                <w:szCs w:val="20"/>
                <w:lang w:eastAsia="zh-CN"/>
              </w:rPr>
              <w:t>(ENDEAR)</w:t>
            </w:r>
          </w:p>
        </w:tc>
      </w:tr>
      <w:tr w:rsidR="003C2E42" w:rsidRPr="003A44F8" w14:paraId="462B3F2E" w14:textId="77777777" w:rsidTr="00E96E81">
        <w:trPr>
          <w:trHeight w:val="20"/>
        </w:trPr>
        <w:tc>
          <w:tcPr>
            <w:tcW w:w="1868" w:type="pct"/>
            <w:shd w:val="clear" w:color="auto" w:fill="auto"/>
          </w:tcPr>
          <w:p w14:paraId="23673499" w14:textId="77777777" w:rsidR="003C2E42" w:rsidRPr="003A44F8" w:rsidRDefault="003C2E42" w:rsidP="00BA3F8B">
            <w:pPr>
              <w:keepNext/>
              <w:keepLines/>
              <w:widowControl/>
              <w:spacing w:before="20"/>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Sample size (ESS)</w:t>
            </w:r>
          </w:p>
        </w:tc>
        <w:tc>
          <w:tcPr>
            <w:tcW w:w="944" w:type="pct"/>
            <w:shd w:val="clear" w:color="auto" w:fill="auto"/>
          </w:tcPr>
          <w:p w14:paraId="495997A4"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58</w:t>
            </w:r>
          </w:p>
        </w:tc>
        <w:tc>
          <w:tcPr>
            <w:tcW w:w="1563" w:type="pct"/>
            <w:shd w:val="clear" w:color="auto" w:fill="auto"/>
          </w:tcPr>
          <w:p w14:paraId="0D1B420D"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58 (36.5)</w:t>
            </w:r>
          </w:p>
        </w:tc>
        <w:tc>
          <w:tcPr>
            <w:tcW w:w="625" w:type="pct"/>
            <w:shd w:val="clear" w:color="auto" w:fill="auto"/>
          </w:tcPr>
          <w:p w14:paraId="69C1AD89"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121</w:t>
            </w:r>
          </w:p>
        </w:tc>
      </w:tr>
      <w:tr w:rsidR="003C2E42" w:rsidRPr="003A44F8" w14:paraId="44D1B8B8" w14:textId="77777777" w:rsidTr="00E96E81">
        <w:trPr>
          <w:trHeight w:val="20"/>
        </w:trPr>
        <w:tc>
          <w:tcPr>
            <w:tcW w:w="1868" w:type="pct"/>
            <w:shd w:val="clear" w:color="auto" w:fill="auto"/>
            <w:hideMark/>
          </w:tcPr>
          <w:p w14:paraId="04239C75" w14:textId="77777777" w:rsidR="003C2E42" w:rsidRPr="003A44F8" w:rsidRDefault="003C2E42" w:rsidP="00BA3F8B">
            <w:pPr>
              <w:keepNext/>
              <w:keepLines/>
              <w:widowControl/>
              <w:spacing w:before="20"/>
              <w:rPr>
                <w:rFonts w:ascii="Arial Narrow" w:hAnsi="Arial Narrow" w:cstheme="minorHAnsi"/>
                <w:snapToGrid/>
                <w:sz w:val="20"/>
                <w:szCs w:val="20"/>
                <w:lang w:eastAsia="zh-CN"/>
              </w:rPr>
            </w:pPr>
            <w:r w:rsidRPr="003A44F8">
              <w:rPr>
                <w:rFonts w:ascii="Arial Narrow" w:hAnsi="Arial Narrow" w:cstheme="minorHAnsi"/>
                <w:bCs/>
                <w:snapToGrid/>
                <w:sz w:val="20"/>
                <w:szCs w:val="20"/>
                <w:lang w:eastAsia="zh-CN"/>
              </w:rPr>
              <w:t>Mean age at first dose in days</w:t>
            </w:r>
          </w:p>
        </w:tc>
        <w:tc>
          <w:tcPr>
            <w:tcW w:w="944" w:type="pct"/>
            <w:shd w:val="clear" w:color="auto" w:fill="auto"/>
            <w:hideMark/>
          </w:tcPr>
          <w:p w14:paraId="6535F8B0"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bCs/>
                <w:snapToGrid/>
                <w:sz w:val="20"/>
                <w:szCs w:val="20"/>
                <w:lang w:eastAsia="zh-CN"/>
              </w:rPr>
              <w:t>163 days</w:t>
            </w:r>
          </w:p>
        </w:tc>
        <w:tc>
          <w:tcPr>
            <w:tcW w:w="1563" w:type="pct"/>
            <w:shd w:val="clear" w:color="auto" w:fill="auto"/>
          </w:tcPr>
          <w:p w14:paraId="62925D04" w14:textId="77777777" w:rsidR="003C2E42" w:rsidRPr="003A44F8" w:rsidRDefault="003C2E42" w:rsidP="00BA3F8B">
            <w:pPr>
              <w:keepNext/>
              <w:keepLines/>
              <w:widowControl/>
              <w:spacing w:before="20"/>
              <w:jc w:val="center"/>
              <w:rPr>
                <w:rFonts w:ascii="Arial Narrow" w:hAnsi="Arial Narrow" w:cstheme="minorHAnsi"/>
                <w:bCs/>
                <w:snapToGrid/>
                <w:sz w:val="20"/>
                <w:szCs w:val="20"/>
                <w:lang w:eastAsia="zh-CN"/>
              </w:rPr>
            </w:pPr>
            <w:r w:rsidRPr="003A44F8">
              <w:rPr>
                <w:rFonts w:ascii="Arial Narrow" w:hAnsi="Arial Narrow" w:cstheme="minorHAnsi"/>
                <w:bCs/>
                <w:snapToGrid/>
                <w:sz w:val="20"/>
                <w:szCs w:val="20"/>
                <w:lang w:eastAsia="zh-CN"/>
              </w:rPr>
              <w:t>169 days</w:t>
            </w:r>
          </w:p>
        </w:tc>
        <w:tc>
          <w:tcPr>
            <w:tcW w:w="625" w:type="pct"/>
            <w:shd w:val="clear" w:color="auto" w:fill="auto"/>
            <w:hideMark/>
          </w:tcPr>
          <w:p w14:paraId="24073D91"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bCs/>
                <w:snapToGrid/>
                <w:sz w:val="20"/>
                <w:szCs w:val="20"/>
                <w:lang w:eastAsia="zh-CN"/>
              </w:rPr>
              <w:t>169 days</w:t>
            </w:r>
          </w:p>
        </w:tc>
      </w:tr>
      <w:tr w:rsidR="003C2E42" w:rsidRPr="003A44F8" w14:paraId="54DC9E32" w14:textId="77777777" w:rsidTr="00E96E81">
        <w:trPr>
          <w:trHeight w:val="20"/>
        </w:trPr>
        <w:tc>
          <w:tcPr>
            <w:tcW w:w="1868" w:type="pct"/>
            <w:shd w:val="clear" w:color="auto" w:fill="auto"/>
            <w:hideMark/>
          </w:tcPr>
          <w:p w14:paraId="3CA84AE7" w14:textId="77777777" w:rsidR="003C2E42" w:rsidRPr="003A44F8" w:rsidRDefault="003C2E42" w:rsidP="00BA3F8B">
            <w:pPr>
              <w:keepNext/>
              <w:keepLines/>
              <w:widowControl/>
              <w:spacing w:before="20"/>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Female gender</w:t>
            </w:r>
          </w:p>
        </w:tc>
        <w:tc>
          <w:tcPr>
            <w:tcW w:w="944" w:type="pct"/>
            <w:shd w:val="clear" w:color="auto" w:fill="auto"/>
            <w:hideMark/>
          </w:tcPr>
          <w:p w14:paraId="1F4E5484"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57%</w:t>
            </w:r>
          </w:p>
        </w:tc>
        <w:tc>
          <w:tcPr>
            <w:tcW w:w="1563" w:type="pct"/>
            <w:shd w:val="clear" w:color="auto" w:fill="auto"/>
          </w:tcPr>
          <w:p w14:paraId="1B0D0234"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69%</w:t>
            </w:r>
          </w:p>
        </w:tc>
        <w:tc>
          <w:tcPr>
            <w:tcW w:w="625" w:type="pct"/>
            <w:shd w:val="clear" w:color="auto" w:fill="auto"/>
            <w:hideMark/>
          </w:tcPr>
          <w:p w14:paraId="5D1A4BD9"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55%</w:t>
            </w:r>
          </w:p>
        </w:tc>
      </w:tr>
      <w:tr w:rsidR="003C2E42" w:rsidRPr="003A44F8" w14:paraId="431811BC" w14:textId="77777777" w:rsidTr="00E96E81">
        <w:trPr>
          <w:trHeight w:val="20"/>
        </w:trPr>
        <w:tc>
          <w:tcPr>
            <w:tcW w:w="1868" w:type="pct"/>
            <w:shd w:val="clear" w:color="auto" w:fill="auto"/>
            <w:hideMark/>
          </w:tcPr>
          <w:p w14:paraId="2EADC041" w14:textId="77777777" w:rsidR="003C2E42" w:rsidRPr="003A44F8" w:rsidRDefault="003C2E42" w:rsidP="00BA3F8B">
            <w:pPr>
              <w:keepNext/>
              <w:keepLines/>
              <w:widowControl/>
              <w:spacing w:before="20"/>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Mean age at symptom onset in days</w:t>
            </w:r>
          </w:p>
        </w:tc>
        <w:tc>
          <w:tcPr>
            <w:tcW w:w="944" w:type="pct"/>
            <w:shd w:val="clear" w:color="auto" w:fill="auto"/>
            <w:hideMark/>
          </w:tcPr>
          <w:p w14:paraId="5AB53A27"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51 days</w:t>
            </w:r>
          </w:p>
        </w:tc>
        <w:tc>
          <w:tcPr>
            <w:tcW w:w="1563" w:type="pct"/>
            <w:shd w:val="clear" w:color="auto" w:fill="auto"/>
          </w:tcPr>
          <w:p w14:paraId="7584E160"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55 days</w:t>
            </w:r>
          </w:p>
        </w:tc>
        <w:tc>
          <w:tcPr>
            <w:tcW w:w="625" w:type="pct"/>
            <w:shd w:val="clear" w:color="auto" w:fill="auto"/>
            <w:hideMark/>
          </w:tcPr>
          <w:p w14:paraId="05C71FB5"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60 days</w:t>
            </w:r>
          </w:p>
        </w:tc>
      </w:tr>
      <w:tr w:rsidR="003C2E42" w:rsidRPr="003A44F8" w14:paraId="4A1E2F3D" w14:textId="77777777" w:rsidTr="00E96E81">
        <w:trPr>
          <w:trHeight w:val="20"/>
        </w:trPr>
        <w:tc>
          <w:tcPr>
            <w:tcW w:w="1868" w:type="pct"/>
            <w:shd w:val="clear" w:color="auto" w:fill="auto"/>
            <w:hideMark/>
          </w:tcPr>
          <w:p w14:paraId="0D6D2EDE" w14:textId="77777777" w:rsidR="003C2E42" w:rsidRPr="003A44F8" w:rsidRDefault="003C2E42" w:rsidP="00BA3F8B">
            <w:pPr>
              <w:keepNext/>
              <w:keepLines/>
              <w:widowControl/>
              <w:spacing w:before="20"/>
              <w:rPr>
                <w:rFonts w:ascii="Arial Narrow" w:hAnsi="Arial Narrow" w:cstheme="minorHAnsi"/>
                <w:snapToGrid/>
                <w:sz w:val="20"/>
                <w:szCs w:val="20"/>
                <w:lang w:eastAsia="zh-CN"/>
              </w:rPr>
            </w:pPr>
            <w:r w:rsidRPr="003A44F8">
              <w:rPr>
                <w:rFonts w:ascii="Arial Narrow" w:hAnsi="Arial Narrow" w:cstheme="minorHAnsi"/>
                <w:bCs/>
                <w:snapToGrid/>
                <w:sz w:val="20"/>
                <w:szCs w:val="20"/>
                <w:lang w:eastAsia="zh-CN"/>
              </w:rPr>
              <w:t>Mean disease duration at screening in days</w:t>
            </w:r>
          </w:p>
        </w:tc>
        <w:tc>
          <w:tcPr>
            <w:tcW w:w="944" w:type="pct"/>
            <w:shd w:val="clear" w:color="auto" w:fill="auto"/>
            <w:hideMark/>
          </w:tcPr>
          <w:p w14:paraId="30ABBEC2"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bCs/>
                <w:snapToGrid/>
                <w:sz w:val="20"/>
                <w:szCs w:val="20"/>
                <w:lang w:eastAsia="zh-CN"/>
              </w:rPr>
              <w:t>91 days</w:t>
            </w:r>
          </w:p>
        </w:tc>
        <w:tc>
          <w:tcPr>
            <w:tcW w:w="1563" w:type="pct"/>
            <w:shd w:val="clear" w:color="auto" w:fill="auto"/>
          </w:tcPr>
          <w:p w14:paraId="47C1F696" w14:textId="77777777" w:rsidR="003C2E42" w:rsidRPr="003A44F8" w:rsidRDefault="003C2E42" w:rsidP="00BA3F8B">
            <w:pPr>
              <w:keepNext/>
              <w:keepLines/>
              <w:widowControl/>
              <w:spacing w:before="20"/>
              <w:jc w:val="center"/>
              <w:rPr>
                <w:rFonts w:ascii="Arial Narrow" w:hAnsi="Arial Narrow" w:cstheme="minorHAnsi"/>
                <w:bCs/>
                <w:snapToGrid/>
                <w:sz w:val="20"/>
                <w:szCs w:val="20"/>
                <w:lang w:eastAsia="zh-CN"/>
              </w:rPr>
            </w:pPr>
            <w:r w:rsidRPr="003A44F8">
              <w:rPr>
                <w:rFonts w:ascii="Arial Narrow" w:hAnsi="Arial Narrow" w:cstheme="minorHAnsi"/>
                <w:bCs/>
                <w:snapToGrid/>
                <w:sz w:val="20"/>
                <w:szCs w:val="20"/>
                <w:lang w:eastAsia="zh-CN"/>
              </w:rPr>
              <w:t>94 days</w:t>
            </w:r>
          </w:p>
        </w:tc>
        <w:tc>
          <w:tcPr>
            <w:tcW w:w="625" w:type="pct"/>
            <w:shd w:val="clear" w:color="auto" w:fill="auto"/>
            <w:hideMark/>
          </w:tcPr>
          <w:p w14:paraId="771DB7B9"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bCs/>
                <w:snapToGrid/>
                <w:sz w:val="20"/>
                <w:szCs w:val="20"/>
                <w:lang w:eastAsia="zh-CN"/>
              </w:rPr>
              <w:t>94 days</w:t>
            </w:r>
          </w:p>
        </w:tc>
      </w:tr>
      <w:tr w:rsidR="003C2E42" w:rsidRPr="003A44F8" w14:paraId="7F51B4C6" w14:textId="77777777" w:rsidTr="00E96E81">
        <w:trPr>
          <w:trHeight w:val="20"/>
        </w:trPr>
        <w:tc>
          <w:tcPr>
            <w:tcW w:w="1868" w:type="pct"/>
            <w:shd w:val="clear" w:color="auto" w:fill="auto"/>
            <w:hideMark/>
          </w:tcPr>
          <w:p w14:paraId="03071AE5" w14:textId="77777777" w:rsidR="003C2E42" w:rsidRPr="003A44F8" w:rsidRDefault="003C2E42" w:rsidP="00BA3F8B">
            <w:pPr>
              <w:keepNext/>
              <w:keepLines/>
              <w:widowControl/>
              <w:spacing w:before="20"/>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Mean age at diagnosis in weeks</w:t>
            </w:r>
          </w:p>
        </w:tc>
        <w:tc>
          <w:tcPr>
            <w:tcW w:w="944" w:type="pct"/>
            <w:shd w:val="clear" w:color="auto" w:fill="auto"/>
            <w:hideMark/>
          </w:tcPr>
          <w:p w14:paraId="429F6D9A"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12.7 weeks</w:t>
            </w:r>
          </w:p>
        </w:tc>
        <w:tc>
          <w:tcPr>
            <w:tcW w:w="1563" w:type="pct"/>
            <w:shd w:val="clear" w:color="auto" w:fill="auto"/>
          </w:tcPr>
          <w:p w14:paraId="793C7F71"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14.3 weeks</w:t>
            </w:r>
          </w:p>
        </w:tc>
        <w:tc>
          <w:tcPr>
            <w:tcW w:w="625" w:type="pct"/>
            <w:shd w:val="clear" w:color="auto" w:fill="auto"/>
            <w:hideMark/>
          </w:tcPr>
          <w:p w14:paraId="20F2025F"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14.3 weeks</w:t>
            </w:r>
          </w:p>
        </w:tc>
      </w:tr>
      <w:tr w:rsidR="003C2E42" w:rsidRPr="003A44F8" w14:paraId="2A26CD34" w14:textId="77777777" w:rsidTr="00E96E81">
        <w:trPr>
          <w:trHeight w:val="20"/>
        </w:trPr>
        <w:tc>
          <w:tcPr>
            <w:tcW w:w="1868" w:type="pct"/>
            <w:shd w:val="clear" w:color="auto" w:fill="auto"/>
            <w:hideMark/>
          </w:tcPr>
          <w:p w14:paraId="7C910DF5" w14:textId="77777777" w:rsidR="003C2E42" w:rsidRPr="003A44F8" w:rsidRDefault="003C2E42" w:rsidP="00BA3F8B">
            <w:pPr>
              <w:keepNext/>
              <w:keepLines/>
              <w:widowControl/>
              <w:spacing w:before="20"/>
              <w:rPr>
                <w:rFonts w:ascii="Arial Narrow" w:hAnsi="Arial Narrow" w:cstheme="minorHAnsi"/>
                <w:snapToGrid/>
                <w:sz w:val="20"/>
                <w:szCs w:val="20"/>
                <w:lang w:eastAsia="zh-CN"/>
              </w:rPr>
            </w:pPr>
            <w:r w:rsidRPr="003A44F8">
              <w:rPr>
                <w:rFonts w:ascii="Arial Narrow" w:hAnsi="Arial Narrow" w:cstheme="minorHAnsi"/>
                <w:bCs/>
                <w:snapToGrid/>
                <w:sz w:val="20"/>
                <w:szCs w:val="20"/>
                <w:lang w:eastAsia="zh-CN"/>
              </w:rPr>
              <w:t>Mean score on CHOP-INTEND</w:t>
            </w:r>
          </w:p>
        </w:tc>
        <w:tc>
          <w:tcPr>
            <w:tcW w:w="944" w:type="pct"/>
            <w:shd w:val="clear" w:color="auto" w:fill="auto"/>
            <w:hideMark/>
          </w:tcPr>
          <w:p w14:paraId="63D15DEC"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bCs/>
                <w:snapToGrid/>
                <w:sz w:val="20"/>
                <w:szCs w:val="20"/>
                <w:lang w:eastAsia="zh-CN"/>
              </w:rPr>
              <w:t>22.47</w:t>
            </w:r>
          </w:p>
        </w:tc>
        <w:tc>
          <w:tcPr>
            <w:tcW w:w="1563" w:type="pct"/>
            <w:shd w:val="clear" w:color="auto" w:fill="auto"/>
          </w:tcPr>
          <w:p w14:paraId="720D128E" w14:textId="77777777" w:rsidR="003C2E42" w:rsidRPr="003A44F8" w:rsidRDefault="003C2E42" w:rsidP="00BA3F8B">
            <w:pPr>
              <w:keepNext/>
              <w:keepLines/>
              <w:widowControl/>
              <w:spacing w:before="20"/>
              <w:jc w:val="center"/>
              <w:rPr>
                <w:rFonts w:ascii="Arial Narrow" w:hAnsi="Arial Narrow" w:cstheme="minorHAnsi"/>
                <w:bCs/>
                <w:snapToGrid/>
                <w:sz w:val="20"/>
                <w:szCs w:val="20"/>
                <w:lang w:eastAsia="zh-CN"/>
              </w:rPr>
            </w:pPr>
            <w:r w:rsidRPr="003A44F8">
              <w:rPr>
                <w:rFonts w:ascii="Arial Narrow" w:hAnsi="Arial Narrow" w:cstheme="minorHAnsi"/>
                <w:bCs/>
                <w:snapToGrid/>
                <w:sz w:val="20"/>
                <w:szCs w:val="20"/>
                <w:lang w:eastAsia="zh-CN"/>
              </w:rPr>
              <w:t>27.24</w:t>
            </w:r>
          </w:p>
        </w:tc>
        <w:tc>
          <w:tcPr>
            <w:tcW w:w="625" w:type="pct"/>
            <w:shd w:val="clear" w:color="auto" w:fill="auto"/>
            <w:hideMark/>
          </w:tcPr>
          <w:p w14:paraId="7A8DBA08"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bCs/>
                <w:snapToGrid/>
                <w:sz w:val="20"/>
                <w:szCs w:val="20"/>
                <w:lang w:eastAsia="zh-CN"/>
              </w:rPr>
              <w:t>27.24</w:t>
            </w:r>
          </w:p>
        </w:tc>
      </w:tr>
      <w:tr w:rsidR="003C2E42" w:rsidRPr="003A44F8" w14:paraId="02CE1132" w14:textId="77777777" w:rsidTr="00E96E81">
        <w:trPr>
          <w:trHeight w:val="20"/>
        </w:trPr>
        <w:tc>
          <w:tcPr>
            <w:tcW w:w="1868" w:type="pct"/>
            <w:shd w:val="clear" w:color="auto" w:fill="auto"/>
            <w:hideMark/>
          </w:tcPr>
          <w:p w14:paraId="2D9B06F4" w14:textId="77777777" w:rsidR="003C2E42" w:rsidRPr="003A44F8" w:rsidRDefault="003C2E42" w:rsidP="00BA3F8B">
            <w:pPr>
              <w:keepNext/>
              <w:keepLines/>
              <w:widowControl/>
              <w:spacing w:before="20"/>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Mean HINE-2 score</w:t>
            </w:r>
          </w:p>
        </w:tc>
        <w:tc>
          <w:tcPr>
            <w:tcW w:w="944" w:type="pct"/>
            <w:shd w:val="clear" w:color="auto" w:fill="auto"/>
            <w:hideMark/>
          </w:tcPr>
          <w:p w14:paraId="2F6687EC"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0.93</w:t>
            </w:r>
          </w:p>
        </w:tc>
        <w:tc>
          <w:tcPr>
            <w:tcW w:w="1563" w:type="pct"/>
            <w:shd w:val="clear" w:color="auto" w:fill="auto"/>
          </w:tcPr>
          <w:p w14:paraId="0B7934F1"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1.28</w:t>
            </w:r>
          </w:p>
        </w:tc>
        <w:tc>
          <w:tcPr>
            <w:tcW w:w="625" w:type="pct"/>
            <w:shd w:val="clear" w:color="auto" w:fill="auto"/>
            <w:hideMark/>
          </w:tcPr>
          <w:p w14:paraId="43F0AA9D"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1.37</w:t>
            </w:r>
          </w:p>
        </w:tc>
      </w:tr>
      <w:tr w:rsidR="003C2E42" w:rsidRPr="003A44F8" w14:paraId="6C3CECC3" w14:textId="77777777" w:rsidTr="00E96E81">
        <w:trPr>
          <w:trHeight w:val="20"/>
        </w:trPr>
        <w:tc>
          <w:tcPr>
            <w:tcW w:w="1868" w:type="pct"/>
            <w:shd w:val="clear" w:color="auto" w:fill="auto"/>
          </w:tcPr>
          <w:p w14:paraId="36765B92" w14:textId="77777777" w:rsidR="003C2E42" w:rsidRPr="003A44F8" w:rsidRDefault="003C2E42" w:rsidP="00BA3F8B">
            <w:pPr>
              <w:keepNext/>
              <w:keepLines/>
              <w:widowControl/>
              <w:spacing w:before="20"/>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Patients with ventilatory support</w:t>
            </w:r>
          </w:p>
        </w:tc>
        <w:tc>
          <w:tcPr>
            <w:tcW w:w="944" w:type="pct"/>
            <w:shd w:val="clear" w:color="auto" w:fill="auto"/>
          </w:tcPr>
          <w:p w14:paraId="75A3B08D"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29%</w:t>
            </w:r>
          </w:p>
        </w:tc>
        <w:tc>
          <w:tcPr>
            <w:tcW w:w="1563" w:type="pct"/>
            <w:shd w:val="clear" w:color="auto" w:fill="auto"/>
          </w:tcPr>
          <w:p w14:paraId="23B91121"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18%</w:t>
            </w:r>
          </w:p>
        </w:tc>
        <w:tc>
          <w:tcPr>
            <w:tcW w:w="625" w:type="pct"/>
            <w:shd w:val="clear" w:color="auto" w:fill="auto"/>
          </w:tcPr>
          <w:p w14:paraId="0DD2D4DD" w14:textId="77777777" w:rsidR="003C2E42" w:rsidRPr="003A44F8" w:rsidRDefault="003C2E42" w:rsidP="00BA3F8B">
            <w:pPr>
              <w:keepNext/>
              <w:keepLines/>
              <w:widowControl/>
              <w:spacing w:before="20"/>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22%</w:t>
            </w:r>
          </w:p>
        </w:tc>
      </w:tr>
    </w:tbl>
    <w:p w14:paraId="7853E3CE" w14:textId="77777777" w:rsidR="003C2E42" w:rsidRPr="003A44F8" w:rsidRDefault="003C2E42" w:rsidP="003C2E42">
      <w:pPr>
        <w:keepNext/>
        <w:keepLines/>
        <w:widowControl/>
        <w:tabs>
          <w:tab w:val="left" w:pos="1100"/>
        </w:tabs>
        <w:jc w:val="left"/>
        <w:rPr>
          <w:rFonts w:ascii="Arial Narrow" w:eastAsiaTheme="minorEastAsia" w:hAnsi="Arial Narrow" w:cstheme="minorBidi"/>
          <w:snapToGrid/>
          <w:sz w:val="18"/>
          <w:szCs w:val="18"/>
        </w:rPr>
      </w:pPr>
      <w:r w:rsidRPr="003A44F8">
        <w:rPr>
          <w:rFonts w:ascii="Arial Narrow" w:eastAsiaTheme="minorEastAsia" w:hAnsi="Arial Narrow" w:cstheme="minorBidi"/>
          <w:snapToGrid/>
          <w:sz w:val="18"/>
          <w:szCs w:val="18"/>
        </w:rPr>
        <w:t>CHOP-INTEND=Children's hospital of Philadelphia infant test of neuromuscular disorders; ESS=effective sample size; HINE-2=hammersmith infant neurological examination module 2</w:t>
      </w:r>
    </w:p>
    <w:p w14:paraId="4557567D" w14:textId="77777777" w:rsidR="003C2E42" w:rsidRPr="003A44F8" w:rsidRDefault="003C2E42" w:rsidP="00AF76EA">
      <w:pPr>
        <w:keepNext/>
        <w:keepLines/>
        <w:widowControl/>
        <w:tabs>
          <w:tab w:val="left" w:pos="1100"/>
        </w:tabs>
        <w:spacing w:after="120"/>
        <w:jc w:val="left"/>
        <w:rPr>
          <w:rFonts w:ascii="Arial Narrow" w:eastAsiaTheme="minorEastAsia" w:hAnsi="Arial Narrow" w:cstheme="minorBidi"/>
          <w:snapToGrid/>
          <w:sz w:val="18"/>
          <w:szCs w:val="18"/>
        </w:rPr>
      </w:pPr>
      <w:r w:rsidRPr="003A44F8">
        <w:rPr>
          <w:rFonts w:ascii="Arial Narrow" w:eastAsiaTheme="minorEastAsia" w:hAnsi="Arial Narrow" w:cstheme="minorBidi"/>
          <w:snapToGrid/>
          <w:sz w:val="18"/>
          <w:szCs w:val="18"/>
        </w:rPr>
        <w:t>Source: Table 2.68, p166 of the submission.</w:t>
      </w:r>
    </w:p>
    <w:p w14:paraId="429DCE9B" w14:textId="77777777" w:rsidR="003C2E42" w:rsidRPr="00CE3643" w:rsidRDefault="003C2E42" w:rsidP="003C2E42">
      <w:pPr>
        <w:pStyle w:val="ListParagraph"/>
        <w:widowControl/>
        <w:numPr>
          <w:ilvl w:val="1"/>
          <w:numId w:val="2"/>
        </w:numPr>
        <w:rPr>
          <w:iCs/>
        </w:rPr>
      </w:pPr>
      <w:r w:rsidRPr="00CE3643">
        <w:t>The propensity ma</w:t>
      </w:r>
      <w:r w:rsidR="008B70CE" w:rsidRPr="00CE3643">
        <w:t>tching resulted in reasonably balanced baseline characteristics between studies/trials</w:t>
      </w:r>
      <w:r w:rsidRPr="00CE3643">
        <w:t>, though the matching could not fully adjust for the proportion of females in FIREFISH compared to ENDEAR, and the post</w:t>
      </w:r>
      <w:r w:rsidR="00D56D65" w:rsidRPr="00CE3643">
        <w:t>-</w:t>
      </w:r>
      <w:r w:rsidRPr="00CE3643">
        <w:t>matching population in FIREFISH had a lower proportion of patients with ventilator support than in ENDEAR, whereas FIREFISH had a higher proportion pre-matching.</w:t>
      </w:r>
      <w:r w:rsidR="008B70CE" w:rsidRPr="00CE3643">
        <w:t xml:space="preserve"> </w:t>
      </w:r>
    </w:p>
    <w:p w14:paraId="3B0BD7F1" w14:textId="77777777" w:rsidR="00C137FD" w:rsidRPr="00C137FD" w:rsidRDefault="00C705D3" w:rsidP="008B70CE">
      <w:pPr>
        <w:pStyle w:val="ListParagraph"/>
        <w:widowControl/>
        <w:numPr>
          <w:ilvl w:val="1"/>
          <w:numId w:val="2"/>
        </w:numPr>
      </w:pPr>
      <w:r w:rsidRPr="00CE3643">
        <w:rPr>
          <w:rFonts w:cs="Calibri"/>
          <w:snapToGrid/>
          <w:szCs w:val="24"/>
          <w:lang w:eastAsia="en-AU"/>
        </w:rPr>
        <w:t xml:space="preserve">Time to event analyses were conducted on the EFS and OS endpoints and hazard ratios were calculated based on a Cox proportional hazards model. Analyses were conducted using </w:t>
      </w:r>
      <w:r w:rsidR="00056CEA" w:rsidRPr="00CE3643">
        <w:rPr>
          <w:rFonts w:cs="Calibri"/>
          <w:snapToGrid/>
          <w:szCs w:val="24"/>
          <w:lang w:eastAsia="en-AU"/>
        </w:rPr>
        <w:t>data at 12 months</w:t>
      </w:r>
      <w:r w:rsidRPr="00CE3643">
        <w:rPr>
          <w:rFonts w:cs="Calibri"/>
          <w:snapToGrid/>
          <w:szCs w:val="24"/>
          <w:lang w:eastAsia="en-AU"/>
        </w:rPr>
        <w:t xml:space="preserve">. </w:t>
      </w:r>
      <w:r w:rsidR="007C61ED" w:rsidRPr="00CE3643">
        <w:rPr>
          <w:rFonts w:cs="Calibri"/>
          <w:snapToGrid/>
          <w:szCs w:val="24"/>
          <w:lang w:eastAsia="en-AU"/>
        </w:rPr>
        <w:t xml:space="preserve">The results of the MAIC for OS and EFS using FIREFISH and ENDEAR are </w:t>
      </w:r>
      <w:r w:rsidR="003C2E42" w:rsidRPr="00CE3643">
        <w:rPr>
          <w:rFonts w:cs="Calibri"/>
          <w:snapToGrid/>
          <w:szCs w:val="24"/>
          <w:lang w:eastAsia="en-AU"/>
        </w:rPr>
        <w:t xml:space="preserve">presented in </w:t>
      </w:r>
      <w:r w:rsidR="009825B3" w:rsidRPr="009825B3">
        <w:rPr>
          <w:rFonts w:cs="Calibri"/>
          <w:snapToGrid/>
          <w:szCs w:val="24"/>
          <w:lang w:eastAsia="en-AU"/>
        </w:rPr>
        <w:t>Table 7</w:t>
      </w:r>
      <w:r w:rsidR="006C77E7" w:rsidRPr="00CE3643">
        <w:rPr>
          <w:rFonts w:cs="Calibri"/>
          <w:snapToGrid/>
          <w:szCs w:val="24"/>
          <w:lang w:eastAsia="en-AU"/>
        </w:rPr>
        <w:t>, together with</w:t>
      </w:r>
      <w:r w:rsidR="00C137FD" w:rsidRPr="00CE3643">
        <w:rPr>
          <w:rFonts w:cs="Calibri"/>
          <w:snapToGrid/>
          <w:szCs w:val="24"/>
          <w:lang w:eastAsia="en-AU"/>
        </w:rPr>
        <w:t xml:space="preserve"> the results of the naïve unadjusted</w:t>
      </w:r>
      <w:r w:rsidR="00C137FD" w:rsidRPr="008B70CE">
        <w:rPr>
          <w:rFonts w:cs="Calibri"/>
          <w:snapToGrid/>
          <w:szCs w:val="24"/>
          <w:lang w:eastAsia="en-AU"/>
        </w:rPr>
        <w:t xml:space="preserve"> ITC, presented as a sensitivity analysis. </w:t>
      </w:r>
    </w:p>
    <w:p w14:paraId="506804E7" w14:textId="77777777" w:rsidR="003C2E42" w:rsidRPr="003C2E42" w:rsidRDefault="00EB4A4D" w:rsidP="00EB4A4D">
      <w:pPr>
        <w:keepNext/>
        <w:keepLines/>
        <w:widowControl/>
        <w:spacing w:before="20"/>
        <w:rPr>
          <w:rFonts w:ascii="Arial Narrow" w:eastAsiaTheme="minorEastAsia" w:hAnsi="Arial Narrow" w:cstheme="minorHAnsi"/>
          <w:b/>
          <w:snapToGrid/>
          <w:sz w:val="20"/>
          <w:szCs w:val="20"/>
          <w:lang w:eastAsia="zh-CN"/>
        </w:rPr>
      </w:pPr>
      <w:bookmarkStart w:id="23" w:name="_Ref61513552"/>
      <w:r w:rsidRPr="00EB4A4D">
        <w:rPr>
          <w:rFonts w:ascii="Arial Narrow" w:eastAsiaTheme="minorEastAsia" w:hAnsi="Arial Narrow" w:cstheme="minorHAnsi"/>
          <w:b/>
          <w:snapToGrid/>
          <w:sz w:val="20"/>
          <w:szCs w:val="20"/>
          <w:lang w:eastAsia="zh-CN"/>
        </w:rPr>
        <w:lastRenderedPageBreak/>
        <w:t xml:space="preserve">Table </w:t>
      </w:r>
      <w:r w:rsidR="009825B3">
        <w:rPr>
          <w:rFonts w:ascii="Arial Narrow" w:eastAsiaTheme="minorEastAsia" w:hAnsi="Arial Narrow" w:cstheme="minorHAnsi"/>
          <w:b/>
          <w:noProof/>
          <w:snapToGrid/>
          <w:sz w:val="20"/>
          <w:szCs w:val="20"/>
          <w:lang w:eastAsia="zh-CN"/>
        </w:rPr>
        <w:t>7</w:t>
      </w:r>
      <w:bookmarkEnd w:id="23"/>
      <w:r w:rsidR="003C2E42" w:rsidRPr="003C2E42">
        <w:rPr>
          <w:rFonts w:ascii="Arial Narrow" w:eastAsiaTheme="minorEastAsia" w:hAnsi="Arial Narrow" w:cstheme="minorHAnsi"/>
          <w:b/>
          <w:snapToGrid/>
          <w:sz w:val="20"/>
          <w:szCs w:val="20"/>
          <w:lang w:eastAsia="zh-CN"/>
        </w:rPr>
        <w:t xml:space="preserve">: Summary of results of the Type 1 SMA indirect comparison (FIREFISH and ENDEAR) </w:t>
      </w:r>
    </w:p>
    <w:tbl>
      <w:tblPr>
        <w:tblStyle w:val="TableGrid"/>
        <w:tblW w:w="0" w:type="auto"/>
        <w:tblLook w:val="04A0" w:firstRow="1" w:lastRow="0" w:firstColumn="1" w:lastColumn="0" w:noHBand="0" w:noVBand="1"/>
        <w:tblCaption w:val="Table 7: Summary of results of the Type 1 SMA indirect comparison (FIREFISH and ENDEAR) "/>
      </w:tblPr>
      <w:tblGrid>
        <w:gridCol w:w="1980"/>
        <w:gridCol w:w="1626"/>
        <w:gridCol w:w="1803"/>
        <w:gridCol w:w="1803"/>
        <w:gridCol w:w="1804"/>
      </w:tblGrid>
      <w:tr w:rsidR="003C2E42" w:rsidRPr="003C2E42" w14:paraId="2E7521B5" w14:textId="77777777" w:rsidTr="00EC127F">
        <w:trPr>
          <w:trHeight w:val="170"/>
          <w:tblHeader/>
        </w:trPr>
        <w:tc>
          <w:tcPr>
            <w:tcW w:w="1980" w:type="dxa"/>
          </w:tcPr>
          <w:p w14:paraId="4190EF47" w14:textId="77777777" w:rsidR="003C2E42" w:rsidRPr="003C2E42" w:rsidRDefault="003C2E42" w:rsidP="003C2E42">
            <w:pPr>
              <w:keepNext/>
              <w:keepLines/>
              <w:widowControl/>
              <w:spacing w:before="20"/>
              <w:rPr>
                <w:rFonts w:ascii="Arial Narrow" w:eastAsiaTheme="minorEastAsia" w:hAnsi="Arial Narrow" w:cstheme="minorHAnsi"/>
                <w:b/>
                <w:snapToGrid/>
                <w:sz w:val="20"/>
                <w:szCs w:val="20"/>
                <w:lang w:eastAsia="zh-CN"/>
              </w:rPr>
            </w:pPr>
            <w:r w:rsidRPr="003C2E42">
              <w:rPr>
                <w:rFonts w:ascii="Arial Narrow" w:eastAsiaTheme="minorEastAsia" w:hAnsi="Arial Narrow" w:cstheme="minorHAnsi"/>
                <w:b/>
                <w:snapToGrid/>
                <w:sz w:val="20"/>
                <w:szCs w:val="20"/>
                <w:lang w:eastAsia="zh-CN"/>
              </w:rPr>
              <w:t>Study</w:t>
            </w:r>
          </w:p>
        </w:tc>
        <w:tc>
          <w:tcPr>
            <w:tcW w:w="1626" w:type="dxa"/>
            <w:vAlign w:val="center"/>
          </w:tcPr>
          <w:p w14:paraId="70385D11" w14:textId="77777777" w:rsidR="003C2E42" w:rsidRPr="003C2E42" w:rsidRDefault="003C2E42" w:rsidP="00B84967">
            <w:pPr>
              <w:keepNext/>
              <w:keepLines/>
              <w:widowControl/>
              <w:spacing w:before="20"/>
              <w:jc w:val="center"/>
              <w:rPr>
                <w:rFonts w:ascii="Arial Narrow" w:eastAsiaTheme="minorEastAsia" w:hAnsi="Arial Narrow" w:cstheme="minorHAnsi"/>
                <w:b/>
                <w:snapToGrid/>
                <w:sz w:val="20"/>
                <w:szCs w:val="20"/>
                <w:lang w:eastAsia="zh-CN"/>
              </w:rPr>
            </w:pPr>
            <w:r w:rsidRPr="003C2E42">
              <w:rPr>
                <w:rFonts w:ascii="Arial Narrow" w:eastAsiaTheme="minorEastAsia" w:hAnsi="Arial Narrow" w:cstheme="minorHAnsi"/>
                <w:b/>
                <w:snapToGrid/>
                <w:sz w:val="20"/>
                <w:szCs w:val="20"/>
                <w:lang w:eastAsia="zh-CN"/>
              </w:rPr>
              <w:t>Risdiplam</w:t>
            </w:r>
          </w:p>
          <w:p w14:paraId="3D57530E" w14:textId="77777777" w:rsidR="003C2E42" w:rsidRPr="003C2E42" w:rsidRDefault="003C2E42" w:rsidP="00B84967">
            <w:pPr>
              <w:keepNext/>
              <w:keepLines/>
              <w:widowControl/>
              <w:spacing w:before="20"/>
              <w:jc w:val="center"/>
              <w:rPr>
                <w:rFonts w:ascii="Arial Narrow" w:eastAsiaTheme="minorEastAsia" w:hAnsi="Arial Narrow" w:cstheme="minorHAnsi"/>
                <w:b/>
                <w:snapToGrid/>
                <w:sz w:val="20"/>
                <w:szCs w:val="20"/>
                <w:lang w:eastAsia="zh-CN"/>
              </w:rPr>
            </w:pPr>
            <w:r w:rsidRPr="003C2E42">
              <w:rPr>
                <w:rFonts w:ascii="Arial Narrow" w:eastAsiaTheme="minorEastAsia" w:hAnsi="Arial Narrow" w:cstheme="minorHAnsi"/>
                <w:b/>
                <w:snapToGrid/>
                <w:sz w:val="20"/>
                <w:szCs w:val="20"/>
                <w:lang w:eastAsia="zh-CN"/>
              </w:rPr>
              <w:t>n/N(%)</w:t>
            </w:r>
          </w:p>
        </w:tc>
        <w:tc>
          <w:tcPr>
            <w:tcW w:w="1803" w:type="dxa"/>
            <w:vAlign w:val="center"/>
          </w:tcPr>
          <w:p w14:paraId="5A1A1FEB" w14:textId="77777777" w:rsidR="003C2E42" w:rsidRPr="003C2E42" w:rsidRDefault="003C2E42" w:rsidP="00B84967">
            <w:pPr>
              <w:keepNext/>
              <w:keepLines/>
              <w:widowControl/>
              <w:spacing w:before="20"/>
              <w:jc w:val="center"/>
              <w:rPr>
                <w:rFonts w:ascii="Arial Narrow" w:eastAsiaTheme="minorEastAsia" w:hAnsi="Arial Narrow" w:cstheme="minorHAnsi"/>
                <w:b/>
                <w:snapToGrid/>
                <w:sz w:val="20"/>
                <w:szCs w:val="20"/>
                <w:lang w:eastAsia="zh-CN"/>
              </w:rPr>
            </w:pPr>
            <w:r w:rsidRPr="003C2E42">
              <w:rPr>
                <w:rFonts w:ascii="Arial Narrow" w:eastAsiaTheme="minorEastAsia" w:hAnsi="Arial Narrow" w:cstheme="minorHAnsi"/>
                <w:b/>
                <w:snapToGrid/>
                <w:sz w:val="20"/>
                <w:szCs w:val="20"/>
                <w:lang w:eastAsia="zh-CN"/>
              </w:rPr>
              <w:t>Sham-Control n/N(%)</w:t>
            </w:r>
          </w:p>
        </w:tc>
        <w:tc>
          <w:tcPr>
            <w:tcW w:w="1803" w:type="dxa"/>
            <w:vAlign w:val="center"/>
          </w:tcPr>
          <w:p w14:paraId="3747606D" w14:textId="77777777" w:rsidR="003C2E42" w:rsidRPr="003C2E42" w:rsidRDefault="003C2E42" w:rsidP="00B84967">
            <w:pPr>
              <w:keepNext/>
              <w:keepLines/>
              <w:widowControl/>
              <w:spacing w:before="20"/>
              <w:jc w:val="center"/>
              <w:rPr>
                <w:rFonts w:ascii="Arial Narrow" w:eastAsiaTheme="minorEastAsia" w:hAnsi="Arial Narrow" w:cstheme="minorHAnsi"/>
                <w:b/>
                <w:snapToGrid/>
                <w:sz w:val="20"/>
                <w:szCs w:val="20"/>
                <w:lang w:eastAsia="zh-CN"/>
              </w:rPr>
            </w:pPr>
            <w:r w:rsidRPr="003C2E42">
              <w:rPr>
                <w:rFonts w:ascii="Arial Narrow" w:eastAsiaTheme="minorEastAsia" w:hAnsi="Arial Narrow" w:cstheme="minorHAnsi"/>
                <w:b/>
                <w:snapToGrid/>
                <w:sz w:val="20"/>
                <w:szCs w:val="20"/>
                <w:lang w:eastAsia="zh-CN"/>
              </w:rPr>
              <w:t>Nusinersen</w:t>
            </w:r>
          </w:p>
          <w:p w14:paraId="484AF835" w14:textId="77777777" w:rsidR="003C2E42" w:rsidRPr="003C2E42" w:rsidRDefault="003C2E42" w:rsidP="00B84967">
            <w:pPr>
              <w:keepNext/>
              <w:keepLines/>
              <w:widowControl/>
              <w:spacing w:before="20"/>
              <w:jc w:val="center"/>
              <w:rPr>
                <w:rFonts w:ascii="Arial Narrow" w:eastAsiaTheme="minorEastAsia" w:hAnsi="Arial Narrow" w:cstheme="minorHAnsi"/>
                <w:b/>
                <w:snapToGrid/>
                <w:sz w:val="20"/>
                <w:szCs w:val="20"/>
                <w:lang w:eastAsia="zh-CN"/>
              </w:rPr>
            </w:pPr>
            <w:r w:rsidRPr="003C2E42">
              <w:rPr>
                <w:rFonts w:ascii="Arial Narrow" w:eastAsiaTheme="minorEastAsia" w:hAnsi="Arial Narrow" w:cstheme="minorHAnsi"/>
                <w:b/>
                <w:snapToGrid/>
                <w:sz w:val="20"/>
                <w:szCs w:val="20"/>
                <w:lang w:eastAsia="zh-CN"/>
              </w:rPr>
              <w:t>n/N(%)</w:t>
            </w:r>
          </w:p>
        </w:tc>
        <w:tc>
          <w:tcPr>
            <w:tcW w:w="1804" w:type="dxa"/>
            <w:vAlign w:val="center"/>
          </w:tcPr>
          <w:p w14:paraId="7F20F572" w14:textId="77777777" w:rsidR="003C2E42" w:rsidRPr="003C2E42" w:rsidRDefault="003C2E42" w:rsidP="00B84967">
            <w:pPr>
              <w:keepNext/>
              <w:keepLines/>
              <w:widowControl/>
              <w:spacing w:before="20"/>
              <w:jc w:val="center"/>
              <w:rPr>
                <w:rFonts w:ascii="Arial Narrow" w:eastAsiaTheme="minorEastAsia" w:hAnsi="Arial Narrow" w:cstheme="minorHAnsi"/>
                <w:b/>
                <w:snapToGrid/>
                <w:sz w:val="20"/>
                <w:szCs w:val="20"/>
                <w:lang w:eastAsia="zh-CN"/>
              </w:rPr>
            </w:pPr>
            <w:r w:rsidRPr="003C2E42">
              <w:rPr>
                <w:rFonts w:ascii="Arial Narrow" w:eastAsiaTheme="minorEastAsia" w:hAnsi="Arial Narrow" w:cstheme="minorHAnsi"/>
                <w:b/>
                <w:snapToGrid/>
                <w:sz w:val="20"/>
                <w:szCs w:val="20"/>
                <w:lang w:eastAsia="zh-CN"/>
              </w:rPr>
              <w:t>HR (95%CI)</w:t>
            </w:r>
          </w:p>
        </w:tc>
      </w:tr>
      <w:tr w:rsidR="003C2E42" w:rsidRPr="003C2E42" w14:paraId="78100C9D" w14:textId="77777777" w:rsidTr="002062A5">
        <w:trPr>
          <w:trHeight w:val="170"/>
        </w:trPr>
        <w:tc>
          <w:tcPr>
            <w:tcW w:w="9016" w:type="dxa"/>
            <w:gridSpan w:val="5"/>
          </w:tcPr>
          <w:p w14:paraId="5E9AEA01" w14:textId="77777777" w:rsidR="003C2E42" w:rsidRPr="003C2E42" w:rsidRDefault="003C2E42" w:rsidP="003C2E42">
            <w:pPr>
              <w:keepNext/>
              <w:keepLines/>
              <w:widowControl/>
              <w:spacing w:before="20"/>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EFS (events)</w:t>
            </w:r>
          </w:p>
        </w:tc>
      </w:tr>
      <w:tr w:rsidR="003C2E42" w:rsidRPr="003C2E42" w14:paraId="5716AC29" w14:textId="77777777" w:rsidTr="002062A5">
        <w:trPr>
          <w:trHeight w:val="170"/>
        </w:trPr>
        <w:tc>
          <w:tcPr>
            <w:tcW w:w="1980" w:type="dxa"/>
          </w:tcPr>
          <w:p w14:paraId="1AC0E497" w14:textId="77777777" w:rsidR="003C2E42" w:rsidRPr="003C2E42" w:rsidRDefault="003C2E42" w:rsidP="003C2E42">
            <w:pPr>
              <w:keepNext/>
              <w:keepLines/>
              <w:widowControl/>
              <w:spacing w:before="20"/>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FIREFISH (pre-match)</w:t>
            </w:r>
          </w:p>
        </w:tc>
        <w:tc>
          <w:tcPr>
            <w:tcW w:w="1626" w:type="dxa"/>
            <w:vAlign w:val="center"/>
          </w:tcPr>
          <w:p w14:paraId="750E2A93"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8/58 (13.8)</w:t>
            </w:r>
          </w:p>
        </w:tc>
        <w:tc>
          <w:tcPr>
            <w:tcW w:w="1803" w:type="dxa"/>
            <w:vAlign w:val="center"/>
          </w:tcPr>
          <w:p w14:paraId="3B8452AC"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NA</w:t>
            </w:r>
          </w:p>
        </w:tc>
        <w:tc>
          <w:tcPr>
            <w:tcW w:w="1803" w:type="dxa"/>
            <w:vAlign w:val="center"/>
          </w:tcPr>
          <w:p w14:paraId="5E646155"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NA</w:t>
            </w:r>
          </w:p>
        </w:tc>
        <w:tc>
          <w:tcPr>
            <w:tcW w:w="1804" w:type="dxa"/>
            <w:vAlign w:val="center"/>
          </w:tcPr>
          <w:p w14:paraId="4BF6D358"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NA</w:t>
            </w:r>
          </w:p>
        </w:tc>
      </w:tr>
      <w:tr w:rsidR="003C2E42" w:rsidRPr="003C2E42" w14:paraId="1D36F2E3" w14:textId="77777777" w:rsidTr="002062A5">
        <w:trPr>
          <w:trHeight w:val="170"/>
        </w:trPr>
        <w:tc>
          <w:tcPr>
            <w:tcW w:w="1980" w:type="dxa"/>
          </w:tcPr>
          <w:p w14:paraId="1BD78EE4" w14:textId="77777777" w:rsidR="003C2E42" w:rsidRPr="003C2E42" w:rsidRDefault="003C2E42" w:rsidP="003C2E42">
            <w:pPr>
              <w:keepNext/>
              <w:keepLines/>
              <w:widowControl/>
              <w:spacing w:before="20"/>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FIREFISH (post-match)</w:t>
            </w:r>
          </w:p>
        </w:tc>
        <w:tc>
          <w:tcPr>
            <w:tcW w:w="1626" w:type="dxa"/>
            <w:vAlign w:val="center"/>
          </w:tcPr>
          <w:p w14:paraId="37918D2E" w14:textId="77777777" w:rsidR="003C2E42" w:rsidRPr="003C2E42" w:rsidRDefault="0006748F" w:rsidP="003B7B52">
            <w:pPr>
              <w:keepNext/>
              <w:keepLines/>
              <w:widowControl/>
              <w:spacing w:before="20"/>
              <w:jc w:val="center"/>
              <w:rPr>
                <w:rFonts w:ascii="Arial Narrow" w:eastAsiaTheme="minorEastAsia" w:hAnsi="Arial Narrow" w:cstheme="minorHAnsi"/>
                <w:snapToGrid/>
                <w:sz w:val="20"/>
                <w:szCs w:val="20"/>
                <w:lang w:eastAsia="zh-CN"/>
              </w:rPr>
            </w:pPr>
            <w:r>
              <w:rPr>
                <w:rFonts w:ascii="Arial Narrow" w:eastAsiaTheme="minorEastAsia" w:hAnsi="Arial Narrow" w:cstheme="minorHAnsi"/>
                <w:snapToGrid/>
                <w:sz w:val="20"/>
                <w:szCs w:val="20"/>
                <w:lang w:eastAsia="zh-CN"/>
              </w:rPr>
              <w:t>5.12/44.42</w:t>
            </w:r>
            <w:r w:rsidR="007F0A57">
              <w:rPr>
                <w:rFonts w:ascii="Arial Narrow" w:eastAsiaTheme="minorEastAsia" w:hAnsi="Arial Narrow" w:cstheme="minorHAnsi"/>
                <w:snapToGrid/>
                <w:sz w:val="20"/>
                <w:szCs w:val="20"/>
                <w:lang w:eastAsia="zh-CN"/>
              </w:rPr>
              <w:t>*</w:t>
            </w:r>
            <w:r w:rsidR="003C2E42" w:rsidRPr="003C2E42">
              <w:rPr>
                <w:rFonts w:ascii="Arial Narrow" w:eastAsiaTheme="minorEastAsia" w:hAnsi="Arial Narrow" w:cstheme="minorHAnsi"/>
                <w:snapToGrid/>
                <w:sz w:val="20"/>
                <w:szCs w:val="20"/>
                <w:lang w:eastAsia="zh-CN"/>
              </w:rPr>
              <w:t xml:space="preserve"> </w:t>
            </w:r>
          </w:p>
        </w:tc>
        <w:tc>
          <w:tcPr>
            <w:tcW w:w="1803" w:type="dxa"/>
            <w:vAlign w:val="center"/>
          </w:tcPr>
          <w:p w14:paraId="65E1FB12"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NA</w:t>
            </w:r>
          </w:p>
        </w:tc>
        <w:tc>
          <w:tcPr>
            <w:tcW w:w="1803" w:type="dxa"/>
            <w:vAlign w:val="center"/>
          </w:tcPr>
          <w:p w14:paraId="2969C7D1"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NA</w:t>
            </w:r>
          </w:p>
        </w:tc>
        <w:tc>
          <w:tcPr>
            <w:tcW w:w="1804" w:type="dxa"/>
            <w:vAlign w:val="center"/>
          </w:tcPr>
          <w:p w14:paraId="5A237471"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NA</w:t>
            </w:r>
          </w:p>
        </w:tc>
      </w:tr>
      <w:tr w:rsidR="003C2E42" w:rsidRPr="003C2E42" w14:paraId="5F9976DE" w14:textId="77777777" w:rsidTr="002062A5">
        <w:trPr>
          <w:trHeight w:val="170"/>
        </w:trPr>
        <w:tc>
          <w:tcPr>
            <w:tcW w:w="1980" w:type="dxa"/>
          </w:tcPr>
          <w:p w14:paraId="6010AE27" w14:textId="77777777" w:rsidR="003C2E42" w:rsidRPr="003C2E42" w:rsidRDefault="003C2E42" w:rsidP="003C2E42">
            <w:pPr>
              <w:keepNext/>
              <w:keepLines/>
              <w:widowControl/>
              <w:spacing w:before="20"/>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ENDEAR</w:t>
            </w:r>
          </w:p>
        </w:tc>
        <w:tc>
          <w:tcPr>
            <w:tcW w:w="1626" w:type="dxa"/>
            <w:vAlign w:val="center"/>
          </w:tcPr>
          <w:p w14:paraId="7AF5F724"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NA</w:t>
            </w:r>
          </w:p>
        </w:tc>
        <w:tc>
          <w:tcPr>
            <w:tcW w:w="1803" w:type="dxa"/>
            <w:vAlign w:val="center"/>
          </w:tcPr>
          <w:p w14:paraId="49170C46"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28/41 (68.3)</w:t>
            </w:r>
          </w:p>
        </w:tc>
        <w:tc>
          <w:tcPr>
            <w:tcW w:w="1803" w:type="dxa"/>
            <w:vAlign w:val="center"/>
          </w:tcPr>
          <w:p w14:paraId="143EBE5C"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31/80 (38.8)</w:t>
            </w:r>
          </w:p>
        </w:tc>
        <w:tc>
          <w:tcPr>
            <w:tcW w:w="1804" w:type="dxa"/>
            <w:vAlign w:val="center"/>
          </w:tcPr>
          <w:p w14:paraId="46199C99"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0.53 (0.32, 0.89)</w:t>
            </w:r>
          </w:p>
        </w:tc>
      </w:tr>
      <w:tr w:rsidR="003C2E42" w:rsidRPr="003C2E42" w14:paraId="60134609" w14:textId="77777777" w:rsidTr="002062A5">
        <w:trPr>
          <w:trHeight w:val="170"/>
        </w:trPr>
        <w:tc>
          <w:tcPr>
            <w:tcW w:w="7212" w:type="dxa"/>
            <w:gridSpan w:val="4"/>
          </w:tcPr>
          <w:p w14:paraId="1D7201F6" w14:textId="77777777" w:rsidR="003C2E42" w:rsidRPr="003C2E42" w:rsidRDefault="003C2E42" w:rsidP="003C2E42">
            <w:pPr>
              <w:keepNext/>
              <w:keepLines/>
              <w:widowControl/>
              <w:spacing w:before="20"/>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Risdiplam (pre-match) vs nusinersen (Naïve indirect)</w:t>
            </w:r>
          </w:p>
        </w:tc>
        <w:tc>
          <w:tcPr>
            <w:tcW w:w="1804" w:type="dxa"/>
            <w:vAlign w:val="center"/>
          </w:tcPr>
          <w:p w14:paraId="39C1EFA4"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 xml:space="preserve">0.244 </w:t>
            </w:r>
            <w:r w:rsidRPr="007B3DA4">
              <w:rPr>
                <w:rFonts w:ascii="Arial Narrow" w:eastAsiaTheme="minorEastAsia" w:hAnsi="Arial Narrow" w:cstheme="minorHAnsi"/>
                <w:snapToGrid/>
                <w:sz w:val="20"/>
                <w:szCs w:val="20"/>
                <w:lang w:eastAsia="zh-CN"/>
              </w:rPr>
              <w:t>(0.0</w:t>
            </w:r>
            <w:r w:rsidR="00217601" w:rsidRPr="007B3DA4">
              <w:rPr>
                <w:rFonts w:ascii="Arial Narrow" w:eastAsiaTheme="minorEastAsia" w:hAnsi="Arial Narrow" w:cstheme="minorHAnsi"/>
                <w:snapToGrid/>
                <w:sz w:val="20"/>
                <w:szCs w:val="20"/>
                <w:lang w:eastAsia="zh-CN"/>
              </w:rPr>
              <w:t>86</w:t>
            </w:r>
            <w:r w:rsidRPr="007B3DA4">
              <w:rPr>
                <w:rFonts w:ascii="Arial Narrow" w:eastAsiaTheme="minorEastAsia" w:hAnsi="Arial Narrow" w:cstheme="minorHAnsi"/>
                <w:snapToGrid/>
                <w:sz w:val="20"/>
                <w:szCs w:val="20"/>
                <w:lang w:eastAsia="zh-CN"/>
              </w:rPr>
              <w:t>, 0.4</w:t>
            </w:r>
            <w:r w:rsidR="00217601" w:rsidRPr="007B3DA4">
              <w:rPr>
                <w:rFonts w:ascii="Arial Narrow" w:eastAsiaTheme="minorEastAsia" w:hAnsi="Arial Narrow" w:cstheme="minorHAnsi"/>
                <w:snapToGrid/>
                <w:sz w:val="20"/>
                <w:szCs w:val="20"/>
                <w:lang w:eastAsia="zh-CN"/>
              </w:rPr>
              <w:t>62</w:t>
            </w:r>
            <w:r w:rsidRPr="003C2E42">
              <w:rPr>
                <w:rFonts w:ascii="Arial Narrow" w:eastAsiaTheme="minorEastAsia" w:hAnsi="Arial Narrow" w:cstheme="minorHAnsi"/>
                <w:snapToGrid/>
                <w:sz w:val="20"/>
                <w:szCs w:val="20"/>
                <w:lang w:eastAsia="zh-CN"/>
              </w:rPr>
              <w:t>)</w:t>
            </w:r>
          </w:p>
        </w:tc>
      </w:tr>
      <w:tr w:rsidR="003C2E42" w:rsidRPr="003C2E42" w14:paraId="546D94E6" w14:textId="77777777" w:rsidTr="002062A5">
        <w:trPr>
          <w:trHeight w:val="170"/>
        </w:trPr>
        <w:tc>
          <w:tcPr>
            <w:tcW w:w="7212" w:type="dxa"/>
            <w:gridSpan w:val="4"/>
          </w:tcPr>
          <w:p w14:paraId="5E72B0D8" w14:textId="77777777" w:rsidR="003C2E42" w:rsidRPr="003C2E42" w:rsidRDefault="003C2E42" w:rsidP="003C2E42">
            <w:pPr>
              <w:keepNext/>
              <w:keepLines/>
              <w:widowControl/>
              <w:spacing w:before="20"/>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Risdiplam (post-match) vs nusinersen (MAIC)</w:t>
            </w:r>
          </w:p>
        </w:tc>
        <w:tc>
          <w:tcPr>
            <w:tcW w:w="1804" w:type="dxa"/>
            <w:vAlign w:val="center"/>
          </w:tcPr>
          <w:p w14:paraId="70F725AF" w14:textId="77777777" w:rsidR="003C2E42" w:rsidRPr="007B3DA4"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 xml:space="preserve">0.197 </w:t>
            </w:r>
            <w:r w:rsidRPr="007B3DA4">
              <w:rPr>
                <w:rFonts w:ascii="Arial Narrow" w:eastAsiaTheme="minorEastAsia" w:hAnsi="Arial Narrow" w:cstheme="minorHAnsi"/>
                <w:snapToGrid/>
                <w:sz w:val="20"/>
                <w:szCs w:val="20"/>
                <w:lang w:eastAsia="zh-CN"/>
              </w:rPr>
              <w:t>(0.0</w:t>
            </w:r>
            <w:r w:rsidR="00217601" w:rsidRPr="007B3DA4">
              <w:rPr>
                <w:rFonts w:ascii="Arial Narrow" w:eastAsiaTheme="minorEastAsia" w:hAnsi="Arial Narrow" w:cstheme="minorHAnsi"/>
                <w:snapToGrid/>
                <w:sz w:val="20"/>
                <w:szCs w:val="20"/>
                <w:lang w:eastAsia="zh-CN"/>
              </w:rPr>
              <w:t>56</w:t>
            </w:r>
            <w:r w:rsidRPr="007B3DA4">
              <w:rPr>
                <w:rFonts w:ascii="Arial Narrow" w:eastAsiaTheme="minorEastAsia" w:hAnsi="Arial Narrow" w:cstheme="minorHAnsi"/>
                <w:snapToGrid/>
                <w:sz w:val="20"/>
                <w:szCs w:val="20"/>
                <w:lang w:eastAsia="zh-CN"/>
              </w:rPr>
              <w:t>, 0.</w:t>
            </w:r>
            <w:r w:rsidR="00217601" w:rsidRPr="007B3DA4">
              <w:rPr>
                <w:rFonts w:ascii="Arial Narrow" w:eastAsiaTheme="minorEastAsia" w:hAnsi="Arial Narrow" w:cstheme="minorHAnsi"/>
                <w:snapToGrid/>
                <w:sz w:val="20"/>
                <w:szCs w:val="20"/>
                <w:lang w:eastAsia="zh-CN"/>
              </w:rPr>
              <w:t>415</w:t>
            </w:r>
            <w:r w:rsidRPr="007B3DA4">
              <w:rPr>
                <w:rFonts w:ascii="Arial Narrow" w:eastAsiaTheme="minorEastAsia" w:hAnsi="Arial Narrow" w:cstheme="minorHAnsi"/>
                <w:snapToGrid/>
                <w:sz w:val="20"/>
                <w:szCs w:val="20"/>
                <w:lang w:eastAsia="zh-CN"/>
              </w:rPr>
              <w:t>)</w:t>
            </w:r>
          </w:p>
        </w:tc>
      </w:tr>
      <w:tr w:rsidR="003C2E42" w:rsidRPr="003C2E42" w14:paraId="1C2FA5EB" w14:textId="77777777" w:rsidTr="002062A5">
        <w:trPr>
          <w:trHeight w:val="170"/>
        </w:trPr>
        <w:tc>
          <w:tcPr>
            <w:tcW w:w="9016" w:type="dxa"/>
            <w:gridSpan w:val="5"/>
          </w:tcPr>
          <w:p w14:paraId="0AF60BCE" w14:textId="77777777" w:rsidR="003C2E42" w:rsidRPr="003C2E42" w:rsidRDefault="003C2E42" w:rsidP="003C2E42">
            <w:pPr>
              <w:keepNext/>
              <w:keepLines/>
              <w:widowControl/>
              <w:spacing w:before="20"/>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OS (events)</w:t>
            </w:r>
          </w:p>
        </w:tc>
      </w:tr>
      <w:tr w:rsidR="003C2E42" w:rsidRPr="003C2E42" w14:paraId="0863A38A" w14:textId="77777777" w:rsidTr="002062A5">
        <w:trPr>
          <w:trHeight w:val="170"/>
        </w:trPr>
        <w:tc>
          <w:tcPr>
            <w:tcW w:w="1980" w:type="dxa"/>
          </w:tcPr>
          <w:p w14:paraId="6AFCF82B" w14:textId="77777777" w:rsidR="003C2E42" w:rsidRPr="003C2E42" w:rsidRDefault="003C2E42" w:rsidP="003C2E42">
            <w:pPr>
              <w:keepNext/>
              <w:keepLines/>
              <w:widowControl/>
              <w:spacing w:before="20"/>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FIREFISH (pre-match)</w:t>
            </w:r>
          </w:p>
        </w:tc>
        <w:tc>
          <w:tcPr>
            <w:tcW w:w="1626" w:type="dxa"/>
            <w:vAlign w:val="center"/>
          </w:tcPr>
          <w:p w14:paraId="05C9749F"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5/58 (8.6)</w:t>
            </w:r>
          </w:p>
        </w:tc>
        <w:tc>
          <w:tcPr>
            <w:tcW w:w="1803" w:type="dxa"/>
            <w:vAlign w:val="center"/>
          </w:tcPr>
          <w:p w14:paraId="1C8BB9ED"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NA</w:t>
            </w:r>
          </w:p>
        </w:tc>
        <w:tc>
          <w:tcPr>
            <w:tcW w:w="1803" w:type="dxa"/>
            <w:vAlign w:val="center"/>
          </w:tcPr>
          <w:p w14:paraId="37687B7C"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NA</w:t>
            </w:r>
          </w:p>
        </w:tc>
        <w:tc>
          <w:tcPr>
            <w:tcW w:w="1804" w:type="dxa"/>
            <w:vAlign w:val="center"/>
          </w:tcPr>
          <w:p w14:paraId="3E561B57"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NA</w:t>
            </w:r>
          </w:p>
        </w:tc>
      </w:tr>
      <w:tr w:rsidR="003C2E42" w:rsidRPr="003C2E42" w14:paraId="653D570C" w14:textId="77777777" w:rsidTr="002062A5">
        <w:trPr>
          <w:trHeight w:val="170"/>
        </w:trPr>
        <w:tc>
          <w:tcPr>
            <w:tcW w:w="1980" w:type="dxa"/>
          </w:tcPr>
          <w:p w14:paraId="71858AD2" w14:textId="77777777" w:rsidR="003C2E42" w:rsidRPr="003C2E42" w:rsidRDefault="003C2E42" w:rsidP="003C2E42">
            <w:pPr>
              <w:keepNext/>
              <w:keepLines/>
              <w:widowControl/>
              <w:spacing w:before="20"/>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FIREFISH (post-match)</w:t>
            </w:r>
          </w:p>
        </w:tc>
        <w:tc>
          <w:tcPr>
            <w:tcW w:w="1626" w:type="dxa"/>
            <w:vAlign w:val="center"/>
          </w:tcPr>
          <w:p w14:paraId="2B2B8224"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2.34/44.42</w:t>
            </w:r>
            <w:r w:rsidR="00013B63">
              <w:rPr>
                <w:rFonts w:ascii="Arial Narrow" w:eastAsiaTheme="minorEastAsia" w:hAnsi="Arial Narrow" w:cstheme="minorHAnsi"/>
                <w:snapToGrid/>
                <w:sz w:val="20"/>
                <w:szCs w:val="20"/>
                <w:lang w:eastAsia="zh-CN"/>
              </w:rPr>
              <w:t>*</w:t>
            </w:r>
            <w:r w:rsidRPr="003C2E42">
              <w:rPr>
                <w:rFonts w:ascii="Arial Narrow" w:eastAsiaTheme="minorEastAsia" w:hAnsi="Arial Narrow" w:cstheme="minorHAnsi"/>
                <w:snapToGrid/>
                <w:sz w:val="20"/>
                <w:szCs w:val="20"/>
                <w:lang w:eastAsia="zh-CN"/>
              </w:rPr>
              <w:t xml:space="preserve"> </w:t>
            </w:r>
          </w:p>
        </w:tc>
        <w:tc>
          <w:tcPr>
            <w:tcW w:w="1803" w:type="dxa"/>
            <w:vAlign w:val="center"/>
          </w:tcPr>
          <w:p w14:paraId="3F2C6FA0"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NA</w:t>
            </w:r>
          </w:p>
        </w:tc>
        <w:tc>
          <w:tcPr>
            <w:tcW w:w="1803" w:type="dxa"/>
            <w:vAlign w:val="center"/>
          </w:tcPr>
          <w:p w14:paraId="26C33115"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NA</w:t>
            </w:r>
          </w:p>
        </w:tc>
        <w:tc>
          <w:tcPr>
            <w:tcW w:w="1804" w:type="dxa"/>
            <w:vAlign w:val="center"/>
          </w:tcPr>
          <w:p w14:paraId="293EB1F2"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NA</w:t>
            </w:r>
          </w:p>
        </w:tc>
      </w:tr>
      <w:tr w:rsidR="003C2E42" w:rsidRPr="003C2E42" w14:paraId="4C213CB1" w14:textId="77777777" w:rsidTr="002062A5">
        <w:trPr>
          <w:trHeight w:val="170"/>
        </w:trPr>
        <w:tc>
          <w:tcPr>
            <w:tcW w:w="1980" w:type="dxa"/>
          </w:tcPr>
          <w:p w14:paraId="7D4141CB" w14:textId="77777777" w:rsidR="003C2E42" w:rsidRPr="003C2E42" w:rsidRDefault="003C2E42" w:rsidP="003C2E42">
            <w:pPr>
              <w:keepNext/>
              <w:keepLines/>
              <w:widowControl/>
              <w:spacing w:before="20"/>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ENDEAR</w:t>
            </w:r>
          </w:p>
        </w:tc>
        <w:tc>
          <w:tcPr>
            <w:tcW w:w="1626" w:type="dxa"/>
            <w:vAlign w:val="center"/>
          </w:tcPr>
          <w:p w14:paraId="4B86122A"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NA</w:t>
            </w:r>
          </w:p>
        </w:tc>
        <w:tc>
          <w:tcPr>
            <w:tcW w:w="1803" w:type="dxa"/>
            <w:vAlign w:val="center"/>
          </w:tcPr>
          <w:p w14:paraId="7173B430"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16/41 (39.0)</w:t>
            </w:r>
          </w:p>
        </w:tc>
        <w:tc>
          <w:tcPr>
            <w:tcW w:w="1803" w:type="dxa"/>
            <w:vAlign w:val="center"/>
          </w:tcPr>
          <w:p w14:paraId="7ED49AF5"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13/80 (16.3)</w:t>
            </w:r>
          </w:p>
        </w:tc>
        <w:tc>
          <w:tcPr>
            <w:tcW w:w="1804" w:type="dxa"/>
            <w:vAlign w:val="center"/>
          </w:tcPr>
          <w:p w14:paraId="3D499D38" w14:textId="77777777" w:rsidR="003C2E42" w:rsidRPr="003C2E42" w:rsidRDefault="003C2E42" w:rsidP="008B70CE">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0.37 (0.18, 0.77)</w:t>
            </w:r>
          </w:p>
        </w:tc>
      </w:tr>
      <w:tr w:rsidR="003C2E42" w:rsidRPr="003C2E42" w14:paraId="64717B21" w14:textId="77777777" w:rsidTr="002062A5">
        <w:trPr>
          <w:trHeight w:val="170"/>
        </w:trPr>
        <w:tc>
          <w:tcPr>
            <w:tcW w:w="7212" w:type="dxa"/>
            <w:gridSpan w:val="4"/>
          </w:tcPr>
          <w:p w14:paraId="322239DA" w14:textId="77777777" w:rsidR="003C2E42" w:rsidRPr="003C2E42" w:rsidRDefault="003C2E42" w:rsidP="003C2E42">
            <w:pPr>
              <w:keepNext/>
              <w:keepLines/>
              <w:widowControl/>
              <w:spacing w:before="20"/>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Risdiplam (pre-match) vs nusinersen (Naïve indirect)</w:t>
            </w:r>
          </w:p>
        </w:tc>
        <w:tc>
          <w:tcPr>
            <w:tcW w:w="1804" w:type="dxa"/>
            <w:vAlign w:val="center"/>
          </w:tcPr>
          <w:p w14:paraId="66123B15" w14:textId="77777777" w:rsidR="003C2E42" w:rsidRPr="007B3DA4" w:rsidRDefault="003C2E42" w:rsidP="00217601">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 xml:space="preserve">0.442 </w:t>
            </w:r>
            <w:r w:rsidRPr="007B3DA4">
              <w:rPr>
                <w:rFonts w:ascii="Arial Narrow" w:eastAsiaTheme="minorEastAsia" w:hAnsi="Arial Narrow" w:cstheme="minorHAnsi"/>
                <w:snapToGrid/>
                <w:sz w:val="20"/>
                <w:szCs w:val="20"/>
                <w:lang w:eastAsia="zh-CN"/>
              </w:rPr>
              <w:t>(0.0</w:t>
            </w:r>
            <w:r w:rsidR="00217601" w:rsidRPr="007B3DA4">
              <w:rPr>
                <w:rFonts w:ascii="Arial Narrow" w:eastAsiaTheme="minorEastAsia" w:hAnsi="Arial Narrow" w:cstheme="minorHAnsi"/>
                <w:snapToGrid/>
                <w:sz w:val="20"/>
                <w:szCs w:val="20"/>
                <w:lang w:eastAsia="zh-CN"/>
              </w:rPr>
              <w:t>89</w:t>
            </w:r>
            <w:r w:rsidRPr="007B3DA4">
              <w:rPr>
                <w:rFonts w:ascii="Arial Narrow" w:eastAsiaTheme="minorEastAsia" w:hAnsi="Arial Narrow" w:cstheme="minorHAnsi"/>
                <w:snapToGrid/>
                <w:sz w:val="20"/>
                <w:szCs w:val="20"/>
                <w:lang w:eastAsia="zh-CN"/>
              </w:rPr>
              <w:t xml:space="preserve">, </w:t>
            </w:r>
            <w:r w:rsidR="00217601" w:rsidRPr="007B3DA4">
              <w:rPr>
                <w:rFonts w:ascii="Arial Narrow" w:eastAsiaTheme="minorEastAsia" w:hAnsi="Arial Narrow" w:cstheme="minorHAnsi"/>
                <w:snapToGrid/>
                <w:sz w:val="20"/>
                <w:szCs w:val="20"/>
                <w:lang w:eastAsia="zh-CN"/>
              </w:rPr>
              <w:t>1.020</w:t>
            </w:r>
            <w:r w:rsidRPr="007B3DA4">
              <w:rPr>
                <w:rFonts w:ascii="Arial Narrow" w:eastAsiaTheme="minorEastAsia" w:hAnsi="Arial Narrow" w:cstheme="minorHAnsi"/>
                <w:snapToGrid/>
                <w:sz w:val="20"/>
                <w:szCs w:val="20"/>
                <w:lang w:eastAsia="zh-CN"/>
              </w:rPr>
              <w:t>)</w:t>
            </w:r>
          </w:p>
        </w:tc>
      </w:tr>
      <w:tr w:rsidR="003C2E42" w:rsidRPr="003C2E42" w14:paraId="44FB165C" w14:textId="77777777" w:rsidTr="002062A5">
        <w:trPr>
          <w:trHeight w:val="170"/>
        </w:trPr>
        <w:tc>
          <w:tcPr>
            <w:tcW w:w="7212" w:type="dxa"/>
            <w:gridSpan w:val="4"/>
          </w:tcPr>
          <w:p w14:paraId="708D8D68" w14:textId="77777777" w:rsidR="003C2E42" w:rsidRPr="003C2E42" w:rsidRDefault="003C2E42" w:rsidP="00C613F5">
            <w:pPr>
              <w:keepNext/>
              <w:keepLines/>
              <w:widowControl/>
              <w:tabs>
                <w:tab w:val="left" w:pos="3810"/>
              </w:tabs>
              <w:spacing w:before="20"/>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Risdiplam (post-match) vs nusinersen (MAIC)</w:t>
            </w:r>
            <w:r w:rsidR="00C613F5">
              <w:rPr>
                <w:rFonts w:ascii="Arial Narrow" w:eastAsiaTheme="minorEastAsia" w:hAnsi="Arial Narrow" w:cstheme="minorHAnsi"/>
                <w:snapToGrid/>
                <w:sz w:val="20"/>
                <w:szCs w:val="20"/>
                <w:lang w:eastAsia="zh-CN"/>
              </w:rPr>
              <w:tab/>
            </w:r>
          </w:p>
        </w:tc>
        <w:tc>
          <w:tcPr>
            <w:tcW w:w="1804" w:type="dxa"/>
            <w:vAlign w:val="center"/>
          </w:tcPr>
          <w:p w14:paraId="0176C89E" w14:textId="77777777" w:rsidR="003C2E42" w:rsidRPr="007B3DA4" w:rsidRDefault="003C2E42" w:rsidP="00217601">
            <w:pPr>
              <w:keepNext/>
              <w:keepLines/>
              <w:widowControl/>
              <w:spacing w:before="20"/>
              <w:jc w:val="center"/>
              <w:rPr>
                <w:rFonts w:ascii="Arial Narrow" w:eastAsiaTheme="minorEastAsia" w:hAnsi="Arial Narrow" w:cstheme="minorHAnsi"/>
                <w:snapToGrid/>
                <w:sz w:val="20"/>
                <w:szCs w:val="20"/>
                <w:lang w:eastAsia="zh-CN"/>
              </w:rPr>
            </w:pPr>
            <w:r w:rsidRPr="003C2E42">
              <w:rPr>
                <w:rFonts w:ascii="Arial Narrow" w:eastAsiaTheme="minorEastAsia" w:hAnsi="Arial Narrow" w:cstheme="minorHAnsi"/>
                <w:snapToGrid/>
                <w:sz w:val="20"/>
                <w:szCs w:val="20"/>
                <w:lang w:eastAsia="zh-CN"/>
              </w:rPr>
              <w:t>0.261 (</w:t>
            </w:r>
            <w:r w:rsidRPr="007B3DA4">
              <w:rPr>
                <w:rFonts w:ascii="Arial Narrow" w:eastAsiaTheme="minorEastAsia" w:hAnsi="Arial Narrow" w:cstheme="minorHAnsi"/>
                <w:snapToGrid/>
                <w:sz w:val="20"/>
                <w:szCs w:val="20"/>
                <w:lang w:eastAsia="zh-CN"/>
              </w:rPr>
              <w:t>0.0</w:t>
            </w:r>
            <w:r w:rsidR="00217601" w:rsidRPr="007B3DA4">
              <w:rPr>
                <w:rFonts w:ascii="Arial Narrow" w:eastAsiaTheme="minorEastAsia" w:hAnsi="Arial Narrow" w:cstheme="minorHAnsi"/>
                <w:snapToGrid/>
                <w:sz w:val="20"/>
                <w:szCs w:val="20"/>
                <w:lang w:eastAsia="zh-CN"/>
              </w:rPr>
              <w:t>28</w:t>
            </w:r>
            <w:r w:rsidRPr="007B3DA4">
              <w:rPr>
                <w:rFonts w:ascii="Arial Narrow" w:eastAsiaTheme="minorEastAsia" w:hAnsi="Arial Narrow" w:cstheme="minorHAnsi"/>
                <w:snapToGrid/>
                <w:sz w:val="20"/>
                <w:szCs w:val="20"/>
                <w:lang w:eastAsia="zh-CN"/>
              </w:rPr>
              <w:t>, 0.</w:t>
            </w:r>
            <w:r w:rsidR="00217601" w:rsidRPr="007B3DA4">
              <w:rPr>
                <w:rFonts w:ascii="Arial Narrow" w:eastAsiaTheme="minorEastAsia" w:hAnsi="Arial Narrow" w:cstheme="minorHAnsi"/>
                <w:snapToGrid/>
                <w:sz w:val="20"/>
                <w:szCs w:val="20"/>
                <w:lang w:eastAsia="zh-CN"/>
              </w:rPr>
              <w:t>665</w:t>
            </w:r>
            <w:r w:rsidRPr="007B3DA4">
              <w:rPr>
                <w:rFonts w:ascii="Arial Narrow" w:eastAsiaTheme="minorEastAsia" w:hAnsi="Arial Narrow" w:cstheme="minorHAnsi"/>
                <w:snapToGrid/>
                <w:sz w:val="20"/>
                <w:szCs w:val="20"/>
                <w:lang w:eastAsia="zh-CN"/>
              </w:rPr>
              <w:t>)</w:t>
            </w:r>
          </w:p>
        </w:tc>
      </w:tr>
    </w:tbl>
    <w:p w14:paraId="6F95B3C4" w14:textId="77777777" w:rsidR="003C2E42" w:rsidRPr="00D15F79" w:rsidRDefault="003C2E42" w:rsidP="00AF76EA">
      <w:pPr>
        <w:keepNext/>
        <w:keepLines/>
        <w:widowControl/>
        <w:rPr>
          <w:rFonts w:ascii="Arial Narrow" w:eastAsiaTheme="minorEastAsia" w:hAnsi="Arial Narrow" w:cstheme="minorHAnsi"/>
          <w:snapToGrid/>
          <w:sz w:val="18"/>
          <w:szCs w:val="18"/>
          <w:lang w:eastAsia="zh-CN"/>
        </w:rPr>
      </w:pPr>
      <w:r w:rsidRPr="00D15F79">
        <w:rPr>
          <w:rFonts w:ascii="Arial Narrow" w:eastAsiaTheme="minorEastAsia" w:hAnsi="Arial Narrow" w:cstheme="minorHAnsi"/>
          <w:snapToGrid/>
          <w:sz w:val="18"/>
          <w:szCs w:val="18"/>
          <w:lang w:eastAsia="zh-CN"/>
        </w:rPr>
        <w:t xml:space="preserve">Event free survival defined as time to death or permanent ventilation (≥16 hours ventilation per day continuously for &gt;21 days in the absence of an acute reversible event). *Pooled event data of patients from the ‘High-dose’ cohort (Cohort 2) of FIREFISH Part 1 (patients on pivotal dose selected for Part 2 of the study) and the ITT population of FIREFISH Part 2 (all patients enrolled in Part 2 of the study, regardless of whether they received treatment or not). HRs &lt; 1 favour risdiplam. </w:t>
      </w:r>
    </w:p>
    <w:p w14:paraId="5D1E6488" w14:textId="77777777" w:rsidR="00217601" w:rsidRPr="007B3DA4" w:rsidRDefault="00013B63" w:rsidP="00AF76EA">
      <w:pPr>
        <w:keepNext/>
        <w:keepLines/>
        <w:widowControl/>
        <w:rPr>
          <w:rFonts w:ascii="Arial Narrow" w:eastAsiaTheme="minorEastAsia" w:hAnsi="Arial Narrow" w:cstheme="minorHAnsi"/>
          <w:snapToGrid/>
          <w:sz w:val="18"/>
          <w:szCs w:val="18"/>
          <w:lang w:eastAsia="zh-CN"/>
        </w:rPr>
      </w:pPr>
      <w:r w:rsidRPr="007B3DA4">
        <w:rPr>
          <w:rFonts w:ascii="Arial Narrow" w:eastAsiaTheme="minorEastAsia" w:hAnsi="Arial Narrow" w:cstheme="minorHAnsi"/>
          <w:snapToGrid/>
          <w:sz w:val="18"/>
          <w:szCs w:val="18"/>
          <w:lang w:eastAsia="zh-CN"/>
        </w:rPr>
        <w:t xml:space="preserve">* </w:t>
      </w:r>
      <w:r w:rsidR="00BC4507" w:rsidRPr="007B3DA4">
        <w:rPr>
          <w:rFonts w:ascii="Arial Narrow" w:eastAsiaTheme="minorEastAsia" w:hAnsi="Arial Narrow" w:cstheme="minorHAnsi"/>
          <w:snapToGrid/>
          <w:sz w:val="18"/>
          <w:szCs w:val="18"/>
          <w:lang w:eastAsia="zh-CN"/>
        </w:rPr>
        <w:t>44.42 is the s</w:t>
      </w:r>
      <w:r w:rsidRPr="007B3DA4">
        <w:rPr>
          <w:rFonts w:ascii="Arial Narrow" w:eastAsiaTheme="minorEastAsia" w:hAnsi="Arial Narrow" w:cstheme="minorHAnsi"/>
          <w:snapToGrid/>
          <w:sz w:val="18"/>
          <w:szCs w:val="18"/>
          <w:lang w:eastAsia="zh-CN"/>
        </w:rPr>
        <w:t>um of weights</w:t>
      </w:r>
    </w:p>
    <w:p w14:paraId="720398D5" w14:textId="77777777" w:rsidR="003C2E42" w:rsidRDefault="003C2E42" w:rsidP="00AF76EA">
      <w:pPr>
        <w:keepNext/>
        <w:keepLines/>
        <w:widowControl/>
        <w:rPr>
          <w:rFonts w:ascii="Arial Narrow" w:eastAsiaTheme="minorEastAsia" w:hAnsi="Arial Narrow" w:cstheme="minorHAnsi"/>
          <w:snapToGrid/>
          <w:sz w:val="18"/>
          <w:szCs w:val="18"/>
          <w:lang w:eastAsia="zh-CN"/>
        </w:rPr>
      </w:pPr>
      <w:r w:rsidRPr="00D15F79">
        <w:rPr>
          <w:rFonts w:ascii="Arial Narrow" w:eastAsiaTheme="minorEastAsia" w:hAnsi="Arial Narrow" w:cstheme="minorHAnsi"/>
          <w:snapToGrid/>
          <w:sz w:val="18"/>
          <w:szCs w:val="18"/>
          <w:lang w:eastAsia="zh-CN"/>
        </w:rPr>
        <w:t>CI=confidence interval; EFS= event free survival; HR=hazard ratio; OS=overall survival, NA = not applicable</w:t>
      </w:r>
    </w:p>
    <w:p w14:paraId="0F0B2502" w14:textId="77777777" w:rsidR="00E0405F" w:rsidRPr="00D15F79" w:rsidRDefault="00E0405F" w:rsidP="00AF76EA">
      <w:pPr>
        <w:keepNext/>
        <w:keepLines/>
        <w:widowControl/>
        <w:rPr>
          <w:rFonts w:ascii="Arial Narrow" w:eastAsiaTheme="minorEastAsia" w:hAnsi="Arial Narrow" w:cstheme="minorHAnsi"/>
          <w:snapToGrid/>
          <w:sz w:val="18"/>
          <w:szCs w:val="18"/>
          <w:lang w:eastAsia="zh-CN"/>
        </w:rPr>
      </w:pPr>
      <w:r>
        <w:rPr>
          <w:rFonts w:ascii="Arial Narrow" w:eastAsiaTheme="minorEastAsia" w:hAnsi="Arial Narrow" w:cstheme="minorHAnsi"/>
          <w:snapToGrid/>
          <w:sz w:val="18"/>
          <w:szCs w:val="18"/>
          <w:lang w:eastAsia="zh-CN"/>
        </w:rPr>
        <w:t xml:space="preserve">Lower value for HR favours treatment with risdiplam </w:t>
      </w:r>
    </w:p>
    <w:p w14:paraId="39977A7E" w14:textId="77777777" w:rsidR="003C2E42" w:rsidRPr="00D15F79" w:rsidRDefault="003C2E42" w:rsidP="00AF76EA">
      <w:pPr>
        <w:keepNext/>
        <w:keepLines/>
        <w:widowControl/>
        <w:tabs>
          <w:tab w:val="left" w:pos="1100"/>
        </w:tabs>
        <w:spacing w:after="120"/>
        <w:ind w:left="1100" w:hanging="1100"/>
        <w:jc w:val="left"/>
        <w:rPr>
          <w:rFonts w:ascii="Arial Narrow" w:eastAsiaTheme="minorEastAsia" w:hAnsi="Arial Narrow" w:cstheme="minorBidi"/>
          <w:snapToGrid/>
          <w:sz w:val="18"/>
          <w:szCs w:val="18"/>
        </w:rPr>
      </w:pPr>
      <w:r w:rsidRPr="00D15F79">
        <w:rPr>
          <w:rFonts w:ascii="Arial Narrow" w:eastAsiaTheme="minorEastAsia" w:hAnsi="Arial Narrow" w:cstheme="minorBidi"/>
          <w:snapToGrid/>
          <w:sz w:val="18"/>
          <w:szCs w:val="18"/>
        </w:rPr>
        <w:t>Source: Table 2.71, p169 of the submission, Finkel 2017</w:t>
      </w:r>
    </w:p>
    <w:p w14:paraId="03431988" w14:textId="77777777" w:rsidR="00DA3167" w:rsidRPr="007C61ED" w:rsidRDefault="005E4B84" w:rsidP="004422FA">
      <w:pPr>
        <w:pStyle w:val="ListParagraph"/>
        <w:widowControl/>
        <w:numPr>
          <w:ilvl w:val="1"/>
          <w:numId w:val="2"/>
        </w:numPr>
      </w:pPr>
      <w:r>
        <w:rPr>
          <w:rFonts w:cs="Calibri"/>
          <w:snapToGrid/>
          <w:szCs w:val="24"/>
          <w:lang w:eastAsia="en-AU"/>
        </w:rPr>
        <w:t>T</w:t>
      </w:r>
      <w:r w:rsidRPr="005E4B84">
        <w:rPr>
          <w:rFonts w:cs="Calibri"/>
          <w:snapToGrid/>
          <w:szCs w:val="24"/>
          <w:lang w:eastAsia="en-AU"/>
        </w:rPr>
        <w:t xml:space="preserve">he EFS and OS Kaplan-Meier curves are presented in </w:t>
      </w:r>
      <w:r w:rsidR="009825B3" w:rsidRPr="009825B3">
        <w:rPr>
          <w:rFonts w:cs="Calibri"/>
          <w:snapToGrid/>
          <w:szCs w:val="24"/>
          <w:lang w:eastAsia="en-AU"/>
        </w:rPr>
        <w:t>Figure 1</w:t>
      </w:r>
      <w:r w:rsidR="00555731">
        <w:rPr>
          <w:rFonts w:cs="Calibri"/>
          <w:snapToGrid/>
          <w:szCs w:val="24"/>
          <w:lang w:eastAsia="en-AU"/>
        </w:rPr>
        <w:t xml:space="preserve"> and </w:t>
      </w:r>
      <w:r w:rsidR="009825B3" w:rsidRPr="009825B3">
        <w:rPr>
          <w:rFonts w:cs="Calibri"/>
          <w:snapToGrid/>
          <w:szCs w:val="24"/>
          <w:lang w:eastAsia="en-AU"/>
        </w:rPr>
        <w:t>Figure 2</w:t>
      </w:r>
      <w:r w:rsidR="00D15F79">
        <w:rPr>
          <w:rFonts w:cs="Calibri"/>
          <w:snapToGrid/>
          <w:szCs w:val="24"/>
          <w:lang w:eastAsia="en-AU"/>
        </w:rPr>
        <w:t>, respectively</w:t>
      </w:r>
      <w:r w:rsidR="00DA3167" w:rsidRPr="007C61ED">
        <w:rPr>
          <w:rFonts w:cs="Calibri"/>
          <w:snapToGrid/>
          <w:szCs w:val="24"/>
          <w:lang w:eastAsia="en-AU"/>
        </w:rPr>
        <w:t>.</w:t>
      </w:r>
    </w:p>
    <w:p w14:paraId="40371D25" w14:textId="77777777" w:rsidR="005E4B84" w:rsidRPr="00555731" w:rsidRDefault="00555731" w:rsidP="00555731">
      <w:pPr>
        <w:keepNext/>
        <w:keepLines/>
        <w:widowControl/>
        <w:rPr>
          <w:rFonts w:ascii="Arial Narrow" w:hAnsi="Arial Narrow" w:cs="Calibri"/>
          <w:b/>
          <w:snapToGrid/>
          <w:sz w:val="20"/>
          <w:szCs w:val="20"/>
          <w:lang w:eastAsia="en-AU"/>
        </w:rPr>
      </w:pPr>
      <w:bookmarkStart w:id="24" w:name="_Ref61514310"/>
      <w:r w:rsidRPr="00555731">
        <w:rPr>
          <w:rFonts w:ascii="Arial Narrow" w:hAnsi="Arial Narrow" w:cs="Calibri"/>
          <w:b/>
          <w:snapToGrid/>
          <w:sz w:val="20"/>
          <w:szCs w:val="20"/>
          <w:lang w:eastAsia="en-AU"/>
        </w:rPr>
        <w:t xml:space="preserve">Figure </w:t>
      </w:r>
      <w:r w:rsidR="009825B3">
        <w:rPr>
          <w:rFonts w:ascii="Arial Narrow" w:hAnsi="Arial Narrow" w:cs="Calibri"/>
          <w:b/>
          <w:noProof/>
          <w:snapToGrid/>
          <w:sz w:val="20"/>
          <w:szCs w:val="20"/>
          <w:lang w:eastAsia="en-AU"/>
        </w:rPr>
        <w:t>1</w:t>
      </w:r>
      <w:bookmarkEnd w:id="24"/>
      <w:r w:rsidR="005E4B84" w:rsidRPr="00B032DF">
        <w:rPr>
          <w:rFonts w:ascii="Arial Narrow" w:hAnsi="Arial Narrow" w:cs="Calibri"/>
          <w:b/>
          <w:snapToGrid/>
          <w:sz w:val="20"/>
          <w:szCs w:val="20"/>
          <w:lang w:eastAsia="en-AU"/>
        </w:rPr>
        <w:t>:</w:t>
      </w:r>
      <w:r w:rsidR="00B032DF" w:rsidRPr="00555731">
        <w:rPr>
          <w:rFonts w:ascii="Arial Narrow" w:hAnsi="Arial Narrow" w:cs="Calibri"/>
          <w:b/>
          <w:snapToGrid/>
          <w:sz w:val="20"/>
          <w:szCs w:val="20"/>
          <w:lang w:eastAsia="en-AU"/>
        </w:rPr>
        <w:t xml:space="preserve"> Event-free survival Kaplan-Meier curves for Type 1 SMA (FIREFISH and ENDEAR)</w:t>
      </w:r>
    </w:p>
    <w:p w14:paraId="1D65EAC3" w14:textId="77777777" w:rsidR="00B032DF" w:rsidRPr="003A44F8" w:rsidRDefault="00B032DF" w:rsidP="00555731">
      <w:pPr>
        <w:keepNext/>
        <w:keepLines/>
        <w:widowControl/>
        <w:ind w:left="992" w:hanging="992"/>
        <w:jc w:val="left"/>
        <w:rPr>
          <w:rFonts w:eastAsiaTheme="minorEastAsia" w:cstheme="minorBidi"/>
          <w:b/>
          <w:bCs/>
          <w:snapToGrid/>
          <w:sz w:val="20"/>
          <w:szCs w:val="20"/>
          <w:lang w:eastAsia="zh-CN"/>
        </w:rPr>
      </w:pPr>
      <w:r w:rsidRPr="003A44F8">
        <w:rPr>
          <w:rFonts w:eastAsiaTheme="minorEastAsia" w:cstheme="minorBidi"/>
          <w:b/>
          <w:bCs/>
          <w:noProof/>
          <w:snapToGrid/>
          <w:sz w:val="20"/>
          <w:szCs w:val="20"/>
          <w:lang w:eastAsia="en-AU"/>
        </w:rPr>
        <w:drawing>
          <wp:inline distT="0" distB="0" distL="0" distR="0" wp14:anchorId="7268C221" wp14:editId="37EC5E1B">
            <wp:extent cx="4229100" cy="3044310"/>
            <wp:effectExtent l="0" t="0" r="0" b="3810"/>
            <wp:docPr id="8" name="Picture 1" title="Figure 1: Event-free survival Kaplan-Meier curves for Type 1 SMA (FIREFISH and END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8513" cy="3058285"/>
                    </a:xfrm>
                    <a:prstGeom prst="rect">
                      <a:avLst/>
                    </a:prstGeom>
                  </pic:spPr>
                </pic:pic>
              </a:graphicData>
            </a:graphic>
          </wp:inline>
        </w:drawing>
      </w:r>
    </w:p>
    <w:p w14:paraId="69EC0EE8" w14:textId="77777777" w:rsidR="00B032DF" w:rsidRPr="003A44F8" w:rsidRDefault="00B032DF" w:rsidP="00555731">
      <w:pPr>
        <w:keepNext/>
        <w:keepLines/>
        <w:widowControl/>
        <w:tabs>
          <w:tab w:val="left" w:pos="1100"/>
        </w:tabs>
        <w:jc w:val="left"/>
        <w:rPr>
          <w:rFonts w:ascii="Arial Narrow" w:eastAsiaTheme="minorEastAsia" w:hAnsi="Arial Narrow" w:cstheme="minorBidi"/>
          <w:snapToGrid/>
          <w:sz w:val="18"/>
          <w:szCs w:val="18"/>
        </w:rPr>
      </w:pPr>
      <w:r w:rsidRPr="003A44F8">
        <w:rPr>
          <w:rFonts w:ascii="Arial Narrow" w:eastAsiaTheme="minorEastAsia" w:hAnsi="Arial Narrow" w:cstheme="minorBidi"/>
          <w:snapToGrid/>
          <w:sz w:val="18"/>
          <w:szCs w:val="18"/>
        </w:rPr>
        <w:t>E</w:t>
      </w:r>
      <w:r w:rsidRPr="003A44F8">
        <w:rPr>
          <w:rFonts w:ascii="Arial Narrow" w:eastAsiaTheme="minorEastAsia" w:hAnsi="Arial Narrow" w:cstheme="minorBidi"/>
          <w:noProof/>
          <w:snapToGrid/>
          <w:sz w:val="18"/>
          <w:szCs w:val="18"/>
        </w:rPr>
        <w:t>vent free survival defined as time to death or permanent ventilation (</w:t>
      </w:r>
      <w:r w:rsidRPr="003A44F8">
        <w:rPr>
          <w:rFonts w:ascii="Arial Narrow" w:eastAsiaTheme="minorEastAsia" w:hAnsi="Arial Narrow" w:cstheme="minorBidi"/>
          <w:snapToGrid/>
          <w:sz w:val="18"/>
          <w:szCs w:val="18"/>
        </w:rPr>
        <w:t>≥16 hours ventilation per day continuously for &gt;21 days in the absence of an acute reversible event).</w:t>
      </w:r>
    </w:p>
    <w:p w14:paraId="2004D2D8" w14:textId="77777777" w:rsidR="00B032DF" w:rsidRPr="003A44F8" w:rsidRDefault="00B032DF" w:rsidP="00555731">
      <w:pPr>
        <w:keepNext/>
        <w:keepLines/>
        <w:widowControl/>
        <w:tabs>
          <w:tab w:val="left" w:pos="1100"/>
        </w:tabs>
        <w:ind w:left="1100" w:hanging="1100"/>
        <w:jc w:val="left"/>
        <w:rPr>
          <w:rFonts w:ascii="Arial Narrow" w:eastAsiaTheme="minorEastAsia" w:hAnsi="Arial Narrow" w:cstheme="minorBidi"/>
          <w:snapToGrid/>
          <w:sz w:val="18"/>
          <w:szCs w:val="18"/>
        </w:rPr>
      </w:pPr>
      <w:r w:rsidRPr="003A44F8">
        <w:rPr>
          <w:rFonts w:ascii="Arial Narrow" w:eastAsiaTheme="minorEastAsia" w:hAnsi="Arial Narrow" w:cstheme="minorBidi"/>
          <w:snapToGrid/>
          <w:sz w:val="18"/>
          <w:szCs w:val="18"/>
        </w:rPr>
        <w:t>Source: Figure 2.38, p170 of the submission.</w:t>
      </w:r>
    </w:p>
    <w:p w14:paraId="741965E8" w14:textId="77777777" w:rsidR="005E4B84" w:rsidRDefault="005E4B84" w:rsidP="005E4B84">
      <w:pPr>
        <w:widowControl/>
        <w:rPr>
          <w:rFonts w:cs="Calibri"/>
          <w:snapToGrid/>
          <w:szCs w:val="24"/>
          <w:lang w:eastAsia="en-AU"/>
        </w:rPr>
      </w:pPr>
    </w:p>
    <w:p w14:paraId="0D677364" w14:textId="77777777" w:rsidR="00B032DF" w:rsidRPr="003A44F8" w:rsidRDefault="00555731" w:rsidP="00555731">
      <w:pPr>
        <w:keepNext/>
        <w:widowControl/>
        <w:spacing w:before="240" w:after="40"/>
        <w:ind w:left="993" w:hanging="993"/>
        <w:jc w:val="left"/>
        <w:rPr>
          <w:rFonts w:ascii="Arial Narrow" w:eastAsiaTheme="minorEastAsia" w:hAnsi="Arial Narrow" w:cstheme="minorBidi"/>
          <w:b/>
          <w:bCs/>
          <w:snapToGrid/>
          <w:sz w:val="20"/>
          <w:szCs w:val="20"/>
          <w:lang w:eastAsia="zh-CN"/>
        </w:rPr>
      </w:pPr>
      <w:bookmarkStart w:id="25" w:name="_Ref61514313"/>
      <w:r w:rsidRPr="00555731">
        <w:rPr>
          <w:rFonts w:ascii="Arial Narrow" w:eastAsiaTheme="minorEastAsia" w:hAnsi="Arial Narrow" w:cstheme="minorBidi"/>
          <w:b/>
          <w:bCs/>
          <w:snapToGrid/>
          <w:sz w:val="20"/>
          <w:szCs w:val="20"/>
          <w:lang w:eastAsia="zh-CN"/>
        </w:rPr>
        <w:lastRenderedPageBreak/>
        <w:t xml:space="preserve">Figure </w:t>
      </w:r>
      <w:r w:rsidR="009825B3">
        <w:rPr>
          <w:rFonts w:ascii="Arial Narrow" w:eastAsiaTheme="minorEastAsia" w:hAnsi="Arial Narrow" w:cstheme="minorBidi"/>
          <w:b/>
          <w:bCs/>
          <w:noProof/>
          <w:snapToGrid/>
          <w:sz w:val="20"/>
          <w:szCs w:val="20"/>
          <w:lang w:eastAsia="zh-CN"/>
        </w:rPr>
        <w:t>2</w:t>
      </w:r>
      <w:bookmarkEnd w:id="25"/>
      <w:r w:rsidR="00B032DF">
        <w:rPr>
          <w:rFonts w:ascii="Arial Narrow" w:eastAsiaTheme="minorEastAsia" w:hAnsi="Arial Narrow" w:cstheme="minorBidi"/>
          <w:b/>
          <w:bCs/>
          <w:snapToGrid/>
          <w:sz w:val="20"/>
          <w:szCs w:val="20"/>
          <w:lang w:eastAsia="zh-CN"/>
        </w:rPr>
        <w:t>: O</w:t>
      </w:r>
      <w:r w:rsidR="00B032DF" w:rsidRPr="003A44F8">
        <w:rPr>
          <w:rFonts w:ascii="Arial Narrow" w:eastAsiaTheme="minorEastAsia" w:hAnsi="Arial Narrow" w:cstheme="minorBidi"/>
          <w:b/>
          <w:bCs/>
          <w:snapToGrid/>
          <w:sz w:val="20"/>
          <w:szCs w:val="20"/>
          <w:lang w:eastAsia="zh-CN"/>
        </w:rPr>
        <w:t>verall survival Kaplan-Meier curves for Type 1 SMA</w:t>
      </w:r>
      <w:r w:rsidR="00B032DF">
        <w:rPr>
          <w:rFonts w:ascii="Arial Narrow" w:eastAsiaTheme="minorEastAsia" w:hAnsi="Arial Narrow" w:cstheme="minorBidi"/>
          <w:b/>
          <w:bCs/>
          <w:snapToGrid/>
          <w:sz w:val="20"/>
          <w:szCs w:val="20"/>
          <w:lang w:eastAsia="zh-CN"/>
        </w:rPr>
        <w:t xml:space="preserve"> (FIREFISH and ENDEAR)</w:t>
      </w:r>
    </w:p>
    <w:p w14:paraId="54C26B6A" w14:textId="77777777" w:rsidR="00B032DF" w:rsidRPr="003A44F8" w:rsidRDefault="00B032DF" w:rsidP="00B032DF">
      <w:pPr>
        <w:keepNext/>
        <w:widowControl/>
        <w:ind w:left="992" w:hanging="992"/>
        <w:jc w:val="left"/>
        <w:rPr>
          <w:rFonts w:eastAsiaTheme="minorEastAsia" w:cstheme="minorBidi"/>
          <w:snapToGrid/>
          <w:sz w:val="22"/>
          <w:lang w:eastAsia="zh-CN"/>
        </w:rPr>
      </w:pPr>
      <w:r w:rsidRPr="003A44F8">
        <w:rPr>
          <w:rFonts w:eastAsiaTheme="minorEastAsia" w:cstheme="minorBidi"/>
          <w:noProof/>
          <w:snapToGrid/>
          <w:sz w:val="22"/>
          <w:lang w:eastAsia="en-AU"/>
        </w:rPr>
        <w:drawing>
          <wp:inline distT="0" distB="0" distL="0" distR="0" wp14:anchorId="01E2FDDD" wp14:editId="7C31C8C5">
            <wp:extent cx="4485632" cy="3228975"/>
            <wp:effectExtent l="0" t="0" r="0" b="0"/>
            <wp:docPr id="10" name="Picture 1" title="Figure 2: Overall survival Kaplan-Meier curves for Type 1 SMA (FIREFISH and END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4500015" cy="3239329"/>
                    </a:xfrm>
                    <a:prstGeom prst="rect">
                      <a:avLst/>
                    </a:prstGeom>
                  </pic:spPr>
                </pic:pic>
              </a:graphicData>
            </a:graphic>
          </wp:inline>
        </w:drawing>
      </w:r>
    </w:p>
    <w:p w14:paraId="419FA22A" w14:textId="77777777" w:rsidR="00B032DF" w:rsidRPr="003A44F8" w:rsidRDefault="00B032DF" w:rsidP="00B032DF">
      <w:pPr>
        <w:widowControl/>
        <w:tabs>
          <w:tab w:val="left" w:pos="1100"/>
        </w:tabs>
        <w:ind w:left="1100" w:hanging="1100"/>
        <w:jc w:val="left"/>
        <w:rPr>
          <w:rFonts w:ascii="Arial Narrow" w:eastAsiaTheme="minorEastAsia" w:hAnsi="Arial Narrow" w:cstheme="minorBidi"/>
          <w:snapToGrid/>
          <w:sz w:val="18"/>
          <w:szCs w:val="18"/>
        </w:rPr>
      </w:pPr>
      <w:r w:rsidRPr="003A44F8">
        <w:rPr>
          <w:rFonts w:ascii="Arial Narrow" w:eastAsiaTheme="minorEastAsia" w:hAnsi="Arial Narrow" w:cstheme="minorBidi"/>
          <w:snapToGrid/>
          <w:sz w:val="18"/>
          <w:szCs w:val="18"/>
        </w:rPr>
        <w:t>BSC=best supportive care; OS=overall survival</w:t>
      </w:r>
    </w:p>
    <w:p w14:paraId="241D0B3D" w14:textId="77777777" w:rsidR="00B032DF" w:rsidRPr="003A44F8" w:rsidRDefault="00B032DF" w:rsidP="00D15F79">
      <w:pPr>
        <w:widowControl/>
        <w:tabs>
          <w:tab w:val="left" w:pos="1100"/>
        </w:tabs>
        <w:spacing w:after="160"/>
        <w:ind w:left="1100" w:hanging="1100"/>
        <w:jc w:val="left"/>
        <w:rPr>
          <w:rFonts w:ascii="Arial Narrow" w:eastAsiaTheme="minorEastAsia" w:hAnsi="Arial Narrow" w:cstheme="minorBidi"/>
          <w:snapToGrid/>
          <w:sz w:val="18"/>
          <w:szCs w:val="18"/>
        </w:rPr>
      </w:pPr>
      <w:r w:rsidRPr="003A44F8">
        <w:rPr>
          <w:rFonts w:ascii="Arial Narrow" w:eastAsiaTheme="minorEastAsia" w:hAnsi="Arial Narrow" w:cstheme="minorBidi"/>
          <w:snapToGrid/>
          <w:sz w:val="18"/>
          <w:szCs w:val="18"/>
        </w:rPr>
        <w:t>Source: Figure 2.39, p171 of the submission.</w:t>
      </w:r>
    </w:p>
    <w:p w14:paraId="0944DECF" w14:textId="77777777" w:rsidR="00E80B89" w:rsidRDefault="00E80B89">
      <w:pPr>
        <w:widowControl/>
        <w:jc w:val="left"/>
        <w:rPr>
          <w:rFonts w:cs="Calibri"/>
          <w:snapToGrid/>
          <w:szCs w:val="24"/>
          <w:lang w:eastAsia="en-AU"/>
        </w:rPr>
      </w:pPr>
    </w:p>
    <w:p w14:paraId="32244ECB" w14:textId="77777777" w:rsidR="003C2E42" w:rsidRPr="00CE3643" w:rsidRDefault="0023301E" w:rsidP="00D15F79">
      <w:pPr>
        <w:pStyle w:val="ListParagraph"/>
        <w:widowControl/>
        <w:numPr>
          <w:ilvl w:val="1"/>
          <w:numId w:val="2"/>
        </w:numPr>
        <w:spacing w:after="0"/>
        <w:rPr>
          <w:iCs/>
        </w:rPr>
      </w:pPr>
      <w:r w:rsidRPr="00CE3643">
        <w:rPr>
          <w:rFonts w:cs="Calibri"/>
          <w:snapToGrid/>
          <w:szCs w:val="24"/>
          <w:lang w:eastAsia="en-AU"/>
        </w:rPr>
        <w:t xml:space="preserve">While the results of the MAIC favoured risdiplam, </w:t>
      </w:r>
      <w:r w:rsidR="00A022AB" w:rsidRPr="00CE3643">
        <w:rPr>
          <w:rFonts w:cs="Calibri"/>
          <w:snapToGrid/>
          <w:szCs w:val="24"/>
          <w:lang w:eastAsia="en-AU"/>
        </w:rPr>
        <w:t>the</w:t>
      </w:r>
      <w:r w:rsidR="00E80B89">
        <w:rPr>
          <w:rFonts w:cs="Calibri"/>
          <w:snapToGrid/>
          <w:szCs w:val="24"/>
          <w:lang w:eastAsia="en-AU"/>
        </w:rPr>
        <w:t xml:space="preserve"> </w:t>
      </w:r>
      <w:r w:rsidR="00163CAF">
        <w:rPr>
          <w:rFonts w:cs="Calibri"/>
          <w:snapToGrid/>
          <w:szCs w:val="24"/>
          <w:lang w:eastAsia="en-AU"/>
        </w:rPr>
        <w:t>PBAC</w:t>
      </w:r>
      <w:r w:rsidR="00163CAF" w:rsidRPr="007B3DA4">
        <w:rPr>
          <w:rFonts w:cs="Calibri"/>
          <w:snapToGrid/>
          <w:szCs w:val="24"/>
          <w:lang w:eastAsia="en-AU"/>
        </w:rPr>
        <w:t xml:space="preserve"> </w:t>
      </w:r>
      <w:r w:rsidR="00E80B89" w:rsidRPr="007B3DA4">
        <w:rPr>
          <w:rFonts w:cs="Calibri"/>
          <w:snapToGrid/>
          <w:szCs w:val="24"/>
          <w:lang w:eastAsia="en-AU"/>
        </w:rPr>
        <w:t>noted the</w:t>
      </w:r>
      <w:r w:rsidR="00A022AB" w:rsidRPr="00CE3643">
        <w:rPr>
          <w:rFonts w:cs="Calibri"/>
          <w:snapToGrid/>
          <w:szCs w:val="24"/>
          <w:lang w:eastAsia="en-AU"/>
        </w:rPr>
        <w:t xml:space="preserve"> </w:t>
      </w:r>
      <w:r w:rsidRPr="00CE3643">
        <w:rPr>
          <w:rFonts w:cs="Calibri"/>
          <w:snapToGrid/>
          <w:szCs w:val="24"/>
          <w:lang w:eastAsia="en-AU"/>
        </w:rPr>
        <w:t xml:space="preserve">following issues </w:t>
      </w:r>
      <w:r w:rsidR="00342EBA" w:rsidRPr="007B3DA4">
        <w:rPr>
          <w:rFonts w:cs="Calibri"/>
          <w:snapToGrid/>
          <w:szCs w:val="24"/>
          <w:lang w:eastAsia="en-AU"/>
        </w:rPr>
        <w:t>remained</w:t>
      </w:r>
      <w:r w:rsidR="00261A90" w:rsidRPr="007B3DA4">
        <w:rPr>
          <w:rFonts w:cs="Calibri"/>
          <w:snapToGrid/>
          <w:szCs w:val="24"/>
          <w:lang w:eastAsia="en-AU"/>
        </w:rPr>
        <w:t>,</w:t>
      </w:r>
      <w:r w:rsidR="00342EBA" w:rsidRPr="007B3DA4">
        <w:rPr>
          <w:rFonts w:cs="Calibri"/>
          <w:snapToGrid/>
          <w:szCs w:val="24"/>
          <w:lang w:eastAsia="en-AU"/>
        </w:rPr>
        <w:t xml:space="preserve"> rendering</w:t>
      </w:r>
      <w:r w:rsidR="00342EBA" w:rsidRPr="00CE3643">
        <w:rPr>
          <w:rFonts w:cs="Calibri"/>
          <w:snapToGrid/>
          <w:szCs w:val="24"/>
          <w:lang w:eastAsia="en-AU"/>
        </w:rPr>
        <w:t xml:space="preserve"> </w:t>
      </w:r>
      <w:r w:rsidRPr="00CE3643">
        <w:rPr>
          <w:rFonts w:cs="Calibri"/>
          <w:snapToGrid/>
          <w:szCs w:val="24"/>
          <w:lang w:eastAsia="en-AU"/>
        </w:rPr>
        <w:t xml:space="preserve">the results uncertain: </w:t>
      </w:r>
    </w:p>
    <w:p w14:paraId="35EF7FF0" w14:textId="77777777" w:rsidR="001C56FB" w:rsidRDefault="0023301E" w:rsidP="006C5CF2">
      <w:pPr>
        <w:pStyle w:val="ListParagraph"/>
        <w:widowControl/>
        <w:numPr>
          <w:ilvl w:val="0"/>
          <w:numId w:val="9"/>
        </w:numPr>
        <w:spacing w:after="0"/>
        <w:ind w:left="993" w:hanging="284"/>
      </w:pPr>
      <w:r w:rsidRPr="00CE3643">
        <w:t xml:space="preserve">FIREFISH </w:t>
      </w:r>
      <w:r w:rsidR="001C56FB">
        <w:t>had</w:t>
      </w:r>
      <w:r w:rsidR="00F14ABA" w:rsidRPr="00CE3643">
        <w:t xml:space="preserve"> high risk of bias </w:t>
      </w:r>
      <w:r w:rsidR="003C2E42" w:rsidRPr="00CE3643">
        <w:t xml:space="preserve">as </w:t>
      </w:r>
      <w:r w:rsidR="00F14ABA" w:rsidRPr="00CE3643">
        <w:t xml:space="preserve">it was </w:t>
      </w:r>
      <w:r w:rsidR="003C2E42" w:rsidRPr="00CE3643">
        <w:t xml:space="preserve">single arm </w:t>
      </w:r>
      <w:r w:rsidR="00F14ABA" w:rsidRPr="00CE3643">
        <w:t xml:space="preserve">open-label </w:t>
      </w:r>
      <w:r w:rsidR="003C2E42" w:rsidRPr="00CE3643">
        <w:t xml:space="preserve">study </w:t>
      </w:r>
      <w:r w:rsidR="00F14ABA" w:rsidRPr="00CE3643">
        <w:t>and</w:t>
      </w:r>
      <w:r w:rsidR="001C56FB">
        <w:t>;</w:t>
      </w:r>
    </w:p>
    <w:p w14:paraId="400BEAE3" w14:textId="77777777" w:rsidR="00180FF0" w:rsidRDefault="001C56FB" w:rsidP="006C5CF2">
      <w:pPr>
        <w:pStyle w:val="ListParagraph"/>
        <w:widowControl/>
        <w:numPr>
          <w:ilvl w:val="0"/>
          <w:numId w:val="9"/>
        </w:numPr>
        <w:spacing w:after="0"/>
        <w:ind w:left="993" w:hanging="284"/>
      </w:pPr>
      <w:r w:rsidRPr="00CE3643">
        <w:t>FIREFISH</w:t>
      </w:r>
      <w:r>
        <w:t xml:space="preserve"> was a small study and</w:t>
      </w:r>
      <w:r w:rsidR="00F14ABA" w:rsidRPr="00CE3643">
        <w:t xml:space="preserve"> the propensity matching reduc</w:t>
      </w:r>
      <w:r w:rsidR="003C2E42" w:rsidRPr="00CE3643">
        <w:t>ed patient numbers even further</w:t>
      </w:r>
      <w:r>
        <w:t>.</w:t>
      </w:r>
    </w:p>
    <w:p w14:paraId="243ED1FF" w14:textId="77777777" w:rsidR="003C2E42" w:rsidRPr="00CE3643" w:rsidRDefault="003C2E42" w:rsidP="00180FF0">
      <w:pPr>
        <w:pStyle w:val="ListParagraph"/>
        <w:widowControl/>
        <w:spacing w:after="0"/>
        <w:ind w:left="993"/>
      </w:pPr>
    </w:p>
    <w:p w14:paraId="190ADAB6" w14:textId="77777777" w:rsidR="0006433C" w:rsidRDefault="0006433C" w:rsidP="0037240C">
      <w:pPr>
        <w:pStyle w:val="5-Subsectionsubheading"/>
      </w:pPr>
      <w:r w:rsidRPr="007C61ED">
        <w:t>Population 1 ≤18 years of age, SMA Type</w:t>
      </w:r>
      <w:r>
        <w:t xml:space="preserve"> 2 and 3a</w:t>
      </w:r>
    </w:p>
    <w:p w14:paraId="50753F00" w14:textId="77777777" w:rsidR="003C2E42" w:rsidRDefault="00906463" w:rsidP="004422FA">
      <w:pPr>
        <w:pStyle w:val="ListParagraph"/>
        <w:widowControl/>
        <w:numPr>
          <w:ilvl w:val="1"/>
          <w:numId w:val="2"/>
        </w:numPr>
      </w:pPr>
      <w:r>
        <w:t>The submission presented two</w:t>
      </w:r>
      <w:r w:rsidR="00C150F0" w:rsidRPr="00C150F0">
        <w:t xml:space="preserve"> anchored MAIC</w:t>
      </w:r>
      <w:r>
        <w:t>s</w:t>
      </w:r>
      <w:r w:rsidR="00C150F0" w:rsidRPr="00C150F0">
        <w:t xml:space="preserve"> </w:t>
      </w:r>
      <w:r w:rsidRPr="00C150F0">
        <w:t xml:space="preserve">for patients treated with risdiplam in SUNFISH Part 2 and with nusinersen in CHERISH </w:t>
      </w:r>
      <w:r w:rsidR="00C150F0" w:rsidRPr="00C150F0">
        <w:t>using the outcome</w:t>
      </w:r>
      <w:r>
        <w:t>s</w:t>
      </w:r>
      <w:r w:rsidR="00C150F0" w:rsidRPr="00C150F0">
        <w:t xml:space="preserve"> of </w:t>
      </w:r>
      <w:r w:rsidR="00D15F79">
        <w:t>(</w:t>
      </w:r>
      <w:r>
        <w:t xml:space="preserve">i) </w:t>
      </w:r>
      <w:r w:rsidR="00C150F0" w:rsidRPr="00C150F0">
        <w:t xml:space="preserve">RULM </w:t>
      </w:r>
      <w:r w:rsidR="005D60FD">
        <w:t xml:space="preserve">change from baseline and </w:t>
      </w:r>
      <w:r w:rsidR="00D15F79">
        <w:t>(</w:t>
      </w:r>
      <w:r>
        <w:t xml:space="preserve">ii) </w:t>
      </w:r>
      <w:r w:rsidR="003C2E42">
        <w:t xml:space="preserve">proportion of patients with </w:t>
      </w:r>
      <w:r>
        <w:t xml:space="preserve">a </w:t>
      </w:r>
      <w:r w:rsidR="005D60FD">
        <w:t xml:space="preserve">change in total RULM score </w:t>
      </w:r>
      <w:r>
        <w:t xml:space="preserve">of </w:t>
      </w:r>
      <w:r>
        <w:rPr>
          <w:rFonts w:cs="Calibri"/>
        </w:rPr>
        <w:t>≥</w:t>
      </w:r>
      <w:r w:rsidR="00B722D9">
        <w:t>2</w:t>
      </w:r>
      <w:r w:rsidR="00C150F0" w:rsidRPr="00C150F0">
        <w:t>.</w:t>
      </w:r>
      <w:r w:rsidR="00C150F0">
        <w:t xml:space="preserve"> </w:t>
      </w:r>
    </w:p>
    <w:p w14:paraId="3CFEB665" w14:textId="77777777" w:rsidR="007A1E95" w:rsidRPr="00CE3643" w:rsidRDefault="00523896" w:rsidP="000421AD">
      <w:pPr>
        <w:pStyle w:val="ListParagraph"/>
        <w:widowControl/>
        <w:numPr>
          <w:ilvl w:val="1"/>
          <w:numId w:val="2"/>
        </w:numPr>
        <w:spacing w:after="0"/>
      </w:pPr>
      <w:r>
        <w:t>The submission stated that there w</w:t>
      </w:r>
      <w:r w:rsidR="00D15F79">
        <w:t>ere</w:t>
      </w:r>
      <w:r>
        <w:t xml:space="preserve"> </w:t>
      </w:r>
      <w:r w:rsidRPr="00160CC8">
        <w:t xml:space="preserve">heterogeneity </w:t>
      </w:r>
      <w:r w:rsidR="00906463">
        <w:t xml:space="preserve">issues </w:t>
      </w:r>
      <w:r w:rsidRPr="00160CC8">
        <w:t xml:space="preserve">between </w:t>
      </w:r>
      <w:r>
        <w:t>SUNFISH Part 2 and CHERISH due to differences in enrolmen</w:t>
      </w:r>
      <w:r w:rsidR="00906463">
        <w:t>t</w:t>
      </w:r>
      <w:r w:rsidR="00C60130">
        <w:t xml:space="preserve"> criteria</w:t>
      </w:r>
      <w:r w:rsidR="00906463">
        <w:t xml:space="preserve"> and baseline characteristics, as </w:t>
      </w:r>
      <w:r w:rsidRPr="003A44F8">
        <w:t>SUNFISH allowed enrolment of older and weaker patients w</w:t>
      </w:r>
      <w:r w:rsidR="00906463">
        <w:t xml:space="preserve">ith more progressed SMA </w:t>
      </w:r>
      <w:r w:rsidR="00906463" w:rsidRPr="00CE3643">
        <w:t>disease</w:t>
      </w:r>
      <w:r w:rsidRPr="00CE3643">
        <w:t xml:space="preserve"> compared to </w:t>
      </w:r>
      <w:r w:rsidR="00906463" w:rsidRPr="00CE3643">
        <w:t xml:space="preserve">those enrolled in </w:t>
      </w:r>
      <w:r w:rsidRPr="00CE3643">
        <w:t xml:space="preserve">CHERISH. SUNFISH Part 2 included patients with SMA Type 2 and 3 (non-ambulant), </w:t>
      </w:r>
      <w:r w:rsidR="00D15F79" w:rsidRPr="00CE3643">
        <w:t>whereas</w:t>
      </w:r>
      <w:r w:rsidRPr="00CE3643">
        <w:t xml:space="preserve"> CHERISH enrolled only patients with SMA Type 2 (</w:t>
      </w:r>
      <w:r w:rsidR="00D15F79" w:rsidRPr="00CE3643">
        <w:t>s</w:t>
      </w:r>
      <w:r w:rsidRPr="00CE3643">
        <w:t xml:space="preserve">ee Table 5). Therefore, </w:t>
      </w:r>
      <w:r w:rsidR="00342EBA" w:rsidRPr="007B3DA4">
        <w:t xml:space="preserve">the evaluation considered that </w:t>
      </w:r>
      <w:r w:rsidRPr="00CE3643">
        <w:t>while SUNFISH Part 2 included patients with more advanced disease, the disease progression of the entire cohort of patients in CHER</w:t>
      </w:r>
      <w:r w:rsidR="00906463" w:rsidRPr="00CE3643">
        <w:t>ISH may be more rapid, which may</w:t>
      </w:r>
      <w:r w:rsidRPr="00CE3643">
        <w:t xml:space="preserve"> bias the ITC in favour of risdiplam when assessing results based on changes from baseline. </w:t>
      </w:r>
      <w:r w:rsidR="00C8483C" w:rsidRPr="007B3DA4">
        <w:t xml:space="preserve">The PSCR argued that it was clinically implausible that disease progression would be more rapid in </w:t>
      </w:r>
      <w:r w:rsidR="00C8483C" w:rsidRPr="007B3DA4">
        <w:lastRenderedPageBreak/>
        <w:t>patients in CHERISH</w:t>
      </w:r>
      <w:r w:rsidR="00DC73F4" w:rsidRPr="007B3DA4">
        <w:t xml:space="preserve"> where mean age at symptom onset was similar. The PSCR maintained that patients enrolled in SUNFISH Part 2 were overall weaker compared to CHERISH and the difference was likely to bias the ITC results in favour of nusinersen. In addition, the PSCR noted that severe scoliosis and </w:t>
      </w:r>
      <w:r w:rsidR="00C8483C" w:rsidRPr="007B3DA4">
        <w:t xml:space="preserve">contractures (which can significantly impact </w:t>
      </w:r>
      <w:r w:rsidR="00AA1E1E">
        <w:t xml:space="preserve">a </w:t>
      </w:r>
      <w:r w:rsidR="00C8483C" w:rsidRPr="007B3DA4">
        <w:t>patient’s movement</w:t>
      </w:r>
      <w:r w:rsidR="00DC73F4" w:rsidRPr="007B3DA4">
        <w:t xml:space="preserve"> and would be likely to impact on RULM measurement</w:t>
      </w:r>
      <w:r w:rsidR="00C8483C" w:rsidRPr="007B3DA4">
        <w:t xml:space="preserve">) was an exclusion criteria in CHERISH but patients with contractures were included in SUNFISH Part 2. </w:t>
      </w:r>
      <w:r w:rsidR="007A1E95" w:rsidRPr="00CE3643">
        <w:t xml:space="preserve">The </w:t>
      </w:r>
      <w:r w:rsidRPr="00CE3643">
        <w:t xml:space="preserve">matching of patients </w:t>
      </w:r>
      <w:r w:rsidR="007A1E95" w:rsidRPr="00CE3643">
        <w:t>was conducted on</w:t>
      </w:r>
      <w:r w:rsidRPr="00CE3643">
        <w:t>ly on</w:t>
      </w:r>
      <w:r w:rsidR="007A1E95" w:rsidRPr="00CE3643">
        <w:t xml:space="preserve"> a subset of patients in SUNFISH </w:t>
      </w:r>
      <w:r w:rsidR="000421AD" w:rsidRPr="00CE3643">
        <w:t>P</w:t>
      </w:r>
      <w:r w:rsidR="007A1E95" w:rsidRPr="00CE3643">
        <w:t>art 2 who fulfilled the following criteria</w:t>
      </w:r>
      <w:r w:rsidR="00C60130" w:rsidRPr="00CE3643">
        <w:t xml:space="preserve"> which were aligned with the inclusion and exclusion criteria of CHERISH</w:t>
      </w:r>
      <w:r w:rsidR="007A1E95" w:rsidRPr="00CE3643">
        <w:t xml:space="preserve">: </w:t>
      </w:r>
    </w:p>
    <w:p w14:paraId="12A820E7" w14:textId="77777777" w:rsidR="007A1E95" w:rsidRPr="00CE3643" w:rsidRDefault="007A1E95" w:rsidP="006C5CF2">
      <w:pPr>
        <w:pStyle w:val="ListParagraph"/>
        <w:numPr>
          <w:ilvl w:val="0"/>
          <w:numId w:val="10"/>
        </w:numPr>
        <w:spacing w:after="0"/>
        <w:ind w:left="993" w:hanging="284"/>
      </w:pPr>
      <w:r w:rsidRPr="00CE3643">
        <w:t>age</w:t>
      </w:r>
      <w:r w:rsidR="00906463" w:rsidRPr="00CE3643">
        <w:t xml:space="preserve"> at screening </w:t>
      </w:r>
      <w:r w:rsidR="00C60130" w:rsidRPr="00CE3643">
        <w:t xml:space="preserve">was </w:t>
      </w:r>
      <w:r w:rsidR="00906463" w:rsidRPr="00CE3643">
        <w:t>9 years or less</w:t>
      </w:r>
      <w:r w:rsidR="000421AD" w:rsidRPr="00CE3643">
        <w:t>,</w:t>
      </w:r>
      <w:r w:rsidR="00C60130" w:rsidRPr="00CE3643">
        <w:t xml:space="preserve"> SUNFISH enrolled patients between ages 2 to 25. </w:t>
      </w:r>
      <w:r w:rsidR="00C8483C">
        <w:t>P</w:t>
      </w:r>
      <w:r w:rsidR="00906463" w:rsidRPr="00CE3643">
        <w:t>atients over 18 years old were included in the data used to inform the efficacy of risdiplam in SUNFISH Part 2, whereas the analysis was used to inform the efficacy of using risdiplam in patients aged 18 years or less</w:t>
      </w:r>
      <w:r w:rsidRPr="00CE3643">
        <w:t>;</w:t>
      </w:r>
    </w:p>
    <w:p w14:paraId="5702FA16" w14:textId="77777777" w:rsidR="007A1E95" w:rsidRPr="00CE3643" w:rsidRDefault="007A1E95" w:rsidP="006C5CF2">
      <w:pPr>
        <w:pStyle w:val="ListParagraph"/>
        <w:widowControl/>
        <w:numPr>
          <w:ilvl w:val="0"/>
          <w:numId w:val="10"/>
        </w:numPr>
        <w:spacing w:after="0"/>
        <w:ind w:left="993" w:hanging="284"/>
      </w:pPr>
      <w:r w:rsidRPr="00CE3643">
        <w:t>bas</w:t>
      </w:r>
      <w:r w:rsidR="00C60130" w:rsidRPr="00CE3643">
        <w:t>eline HFMSE score of 10 or more, SUNFISH enrolled patients irrespective of baseline HFMSE;</w:t>
      </w:r>
      <w:r w:rsidRPr="00CE3643">
        <w:t xml:space="preserve"> and </w:t>
      </w:r>
    </w:p>
    <w:p w14:paraId="2840F25D" w14:textId="77777777" w:rsidR="007A1E95" w:rsidRPr="00CE3643" w:rsidRDefault="007A1E95" w:rsidP="006C5CF2">
      <w:pPr>
        <w:pStyle w:val="ListParagraph"/>
        <w:widowControl/>
        <w:numPr>
          <w:ilvl w:val="0"/>
          <w:numId w:val="10"/>
        </w:numPr>
        <w:ind w:left="993" w:hanging="284"/>
      </w:pPr>
      <w:r w:rsidRPr="00CE3643">
        <w:t xml:space="preserve">no severe scoliosis present at baseline. </w:t>
      </w:r>
    </w:p>
    <w:p w14:paraId="5E9EA17D" w14:textId="77777777" w:rsidR="007A1E95" w:rsidRPr="007B3DA4" w:rsidRDefault="007A1E95" w:rsidP="007A1E95">
      <w:pPr>
        <w:pStyle w:val="ListParagraph"/>
        <w:widowControl/>
      </w:pPr>
      <w:r w:rsidRPr="00CE3643">
        <w:t xml:space="preserve">This reduced the number of patients available for matching from 180 in the </w:t>
      </w:r>
      <w:r w:rsidR="00C60130" w:rsidRPr="00CE3643">
        <w:t xml:space="preserve">SUNFISH </w:t>
      </w:r>
      <w:r w:rsidRPr="00CE3643">
        <w:t xml:space="preserve">ITT population to 68 </w:t>
      </w:r>
      <w:r w:rsidR="00A57396">
        <w:t xml:space="preserve"> </w:t>
      </w:r>
      <w:r w:rsidRPr="00CE3643">
        <w:t xml:space="preserve">patients in the subset (43 in risdiplam and 25 in placebo). </w:t>
      </w:r>
    </w:p>
    <w:p w14:paraId="06A63219" w14:textId="77777777" w:rsidR="00523896" w:rsidRDefault="00523896" w:rsidP="00523896">
      <w:pPr>
        <w:pStyle w:val="ListParagraph"/>
        <w:widowControl/>
        <w:numPr>
          <w:ilvl w:val="1"/>
          <w:numId w:val="2"/>
        </w:numPr>
      </w:pPr>
      <w:r w:rsidRPr="003C2E42">
        <w:t xml:space="preserve">In undertaking the MAIC, the submission used a propensity score logistic regression model to estimate the odds of a patient </w:t>
      </w:r>
      <w:r>
        <w:t xml:space="preserve">enrolled in SUNFISH Part 2 </w:t>
      </w:r>
      <w:r w:rsidRPr="003C2E42">
        <w:t>being enrolled into the CHERISH trial</w:t>
      </w:r>
      <w:r>
        <w:t xml:space="preserve">. Age at screening, </w:t>
      </w:r>
      <w:r w:rsidRPr="007B3DA4">
        <w:rPr>
          <w:iCs/>
        </w:rPr>
        <w:t>SMN2</w:t>
      </w:r>
      <w:r>
        <w:t xml:space="preserve"> copy number and baseline motor function score were included as matching factors in Type 2 and 3 SMA. </w:t>
      </w:r>
    </w:p>
    <w:p w14:paraId="30DC9BF6" w14:textId="77777777" w:rsidR="003C2E42" w:rsidRDefault="003C2E42" w:rsidP="004422FA">
      <w:pPr>
        <w:pStyle w:val="ListParagraph"/>
        <w:widowControl/>
        <w:numPr>
          <w:ilvl w:val="1"/>
          <w:numId w:val="2"/>
        </w:numPr>
      </w:pPr>
      <w:r>
        <w:t xml:space="preserve">The baseline characteristics of patients before and after matching for SUNFISH Part 2 and CHERISH </w:t>
      </w:r>
      <w:r w:rsidR="00261A90">
        <w:t>are</w:t>
      </w:r>
      <w:r>
        <w:t xml:space="preserve"> presented in </w:t>
      </w:r>
      <w:r w:rsidR="009825B3" w:rsidRPr="009825B3">
        <w:t>Table 8</w:t>
      </w:r>
      <w:r>
        <w:t>.</w:t>
      </w:r>
    </w:p>
    <w:p w14:paraId="1A57ECA9" w14:textId="77777777" w:rsidR="007A1E95" w:rsidRPr="003A44F8" w:rsidRDefault="00636A75" w:rsidP="00636A75">
      <w:pPr>
        <w:keepNext/>
        <w:keepLines/>
        <w:widowControl/>
        <w:ind w:left="992" w:hanging="992"/>
        <w:jc w:val="left"/>
        <w:rPr>
          <w:rFonts w:ascii="Arial Narrow" w:eastAsiaTheme="minorEastAsia" w:hAnsi="Arial Narrow" w:cstheme="minorBidi"/>
          <w:b/>
          <w:bCs/>
          <w:snapToGrid/>
          <w:sz w:val="20"/>
          <w:szCs w:val="20"/>
          <w:lang w:eastAsia="zh-CN"/>
        </w:rPr>
      </w:pPr>
      <w:bookmarkStart w:id="26" w:name="_Ref61515585"/>
      <w:r w:rsidRPr="00636A75">
        <w:rPr>
          <w:rFonts w:ascii="Arial Narrow" w:eastAsiaTheme="minorEastAsia" w:hAnsi="Arial Narrow" w:cstheme="minorBidi"/>
          <w:b/>
          <w:bCs/>
          <w:snapToGrid/>
          <w:sz w:val="20"/>
          <w:szCs w:val="20"/>
          <w:lang w:eastAsia="zh-CN"/>
        </w:rPr>
        <w:lastRenderedPageBreak/>
        <w:t xml:space="preserve">Table </w:t>
      </w:r>
      <w:r w:rsidR="009825B3">
        <w:rPr>
          <w:rFonts w:ascii="Arial Narrow" w:eastAsiaTheme="minorEastAsia" w:hAnsi="Arial Narrow" w:cstheme="minorBidi"/>
          <w:b/>
          <w:bCs/>
          <w:noProof/>
          <w:snapToGrid/>
          <w:sz w:val="20"/>
          <w:szCs w:val="20"/>
          <w:lang w:eastAsia="zh-CN"/>
        </w:rPr>
        <w:t>8</w:t>
      </w:r>
      <w:bookmarkEnd w:id="26"/>
      <w:r w:rsidR="007A1E95" w:rsidRPr="003A44F8">
        <w:rPr>
          <w:rFonts w:ascii="Arial Narrow" w:eastAsiaTheme="minorEastAsia" w:hAnsi="Arial Narrow" w:cstheme="minorBidi"/>
          <w:b/>
          <w:bCs/>
          <w:snapToGrid/>
          <w:sz w:val="20"/>
          <w:szCs w:val="20"/>
          <w:lang w:eastAsia="zh-CN"/>
        </w:rPr>
        <w:t>: SUNFISH subset baseline characteristics pre and post CHERISH-matching (RULM endpoints)</w:t>
      </w:r>
    </w:p>
    <w:tbl>
      <w:tblPr>
        <w:tblStyle w:val="TableGrid21"/>
        <w:tblW w:w="5000" w:type="pct"/>
        <w:tblCellMar>
          <w:left w:w="28" w:type="dxa"/>
          <w:right w:w="28" w:type="dxa"/>
        </w:tblCellMar>
        <w:tblLook w:val="0420" w:firstRow="1" w:lastRow="0" w:firstColumn="0" w:lastColumn="0" w:noHBand="0" w:noVBand="1"/>
        <w:tblCaption w:val="Table 8: SUNFISH subset baseline characteristics pre and post CHERISH-matching (RULM endpoints)"/>
      </w:tblPr>
      <w:tblGrid>
        <w:gridCol w:w="3097"/>
        <w:gridCol w:w="1198"/>
        <w:gridCol w:w="1198"/>
        <w:gridCol w:w="1197"/>
        <w:gridCol w:w="1199"/>
        <w:gridCol w:w="1127"/>
      </w:tblGrid>
      <w:tr w:rsidR="007A1E95" w:rsidRPr="00E330FE" w14:paraId="48B1B3FA" w14:textId="77777777" w:rsidTr="00E96E81">
        <w:trPr>
          <w:trHeight w:val="20"/>
          <w:tblHeader/>
        </w:trPr>
        <w:tc>
          <w:tcPr>
            <w:tcW w:w="1717" w:type="pct"/>
            <w:vMerge w:val="restart"/>
            <w:shd w:val="clear" w:color="auto" w:fill="auto"/>
            <w:vAlign w:val="center"/>
            <w:hideMark/>
          </w:tcPr>
          <w:p w14:paraId="3A1EBD07" w14:textId="77777777" w:rsidR="007A1E95" w:rsidRPr="00E330FE" w:rsidRDefault="007A1E95" w:rsidP="00523896">
            <w:pPr>
              <w:keepNext/>
              <w:keepLines/>
              <w:widowControl/>
              <w:jc w:val="left"/>
              <w:rPr>
                <w:rFonts w:ascii="Arial Narrow" w:hAnsi="Arial Narrow" w:cstheme="minorHAnsi"/>
                <w:b/>
                <w:snapToGrid/>
                <w:sz w:val="20"/>
                <w:szCs w:val="20"/>
                <w:lang w:eastAsia="zh-CN"/>
              </w:rPr>
            </w:pPr>
            <w:r w:rsidRPr="00E330FE">
              <w:rPr>
                <w:rFonts w:ascii="Arial Narrow" w:hAnsi="Arial Narrow" w:cstheme="minorHAnsi"/>
                <w:b/>
                <w:snapToGrid/>
                <w:sz w:val="20"/>
                <w:szCs w:val="20"/>
                <w:lang w:eastAsia="zh-CN"/>
              </w:rPr>
              <w:t xml:space="preserve">Baseline characteristic </w:t>
            </w:r>
          </w:p>
        </w:tc>
        <w:tc>
          <w:tcPr>
            <w:tcW w:w="1328" w:type="pct"/>
            <w:gridSpan w:val="2"/>
            <w:shd w:val="clear" w:color="auto" w:fill="auto"/>
            <w:vAlign w:val="center"/>
            <w:hideMark/>
          </w:tcPr>
          <w:p w14:paraId="484680C5" w14:textId="77777777" w:rsidR="007A1E95" w:rsidRPr="00E330FE" w:rsidRDefault="007A1E95" w:rsidP="00523896">
            <w:pPr>
              <w:keepNext/>
              <w:keepLines/>
              <w:widowControl/>
              <w:jc w:val="center"/>
              <w:rPr>
                <w:rFonts w:ascii="Arial Narrow" w:hAnsi="Arial Narrow" w:cstheme="minorHAnsi"/>
                <w:b/>
                <w:snapToGrid/>
                <w:sz w:val="20"/>
                <w:szCs w:val="20"/>
                <w:lang w:eastAsia="zh-CN"/>
              </w:rPr>
            </w:pPr>
            <w:r w:rsidRPr="00E330FE">
              <w:rPr>
                <w:rFonts w:ascii="Arial Narrow" w:hAnsi="Arial Narrow" w:cstheme="minorHAnsi"/>
                <w:b/>
                <w:snapToGrid/>
                <w:sz w:val="20"/>
                <w:szCs w:val="20"/>
                <w:lang w:eastAsia="zh-CN"/>
              </w:rPr>
              <w:t>Pre-Matching (SUNFISH Part 2 subset°)</w:t>
            </w:r>
          </w:p>
        </w:tc>
        <w:tc>
          <w:tcPr>
            <w:tcW w:w="1329" w:type="pct"/>
            <w:gridSpan w:val="2"/>
            <w:shd w:val="clear" w:color="auto" w:fill="auto"/>
            <w:vAlign w:val="center"/>
          </w:tcPr>
          <w:p w14:paraId="53C6ED7E" w14:textId="77777777" w:rsidR="007A1E95" w:rsidRPr="00E330FE" w:rsidRDefault="007A1E95" w:rsidP="00523896">
            <w:pPr>
              <w:keepNext/>
              <w:keepLines/>
              <w:widowControl/>
              <w:jc w:val="center"/>
              <w:rPr>
                <w:rFonts w:ascii="Arial Narrow" w:hAnsi="Arial Narrow" w:cstheme="minorHAnsi"/>
                <w:b/>
                <w:snapToGrid/>
                <w:sz w:val="20"/>
                <w:szCs w:val="20"/>
                <w:lang w:eastAsia="zh-CN"/>
              </w:rPr>
            </w:pPr>
            <w:r w:rsidRPr="00E330FE">
              <w:rPr>
                <w:rFonts w:ascii="Arial Narrow" w:hAnsi="Arial Narrow" w:cstheme="minorHAnsi"/>
                <w:b/>
                <w:snapToGrid/>
                <w:sz w:val="20"/>
                <w:szCs w:val="20"/>
                <w:lang w:eastAsia="zh-CN"/>
              </w:rPr>
              <w:t>Post-matching</w:t>
            </w:r>
          </w:p>
          <w:p w14:paraId="1191D225" w14:textId="77777777" w:rsidR="007A1E95" w:rsidRPr="00E330FE" w:rsidRDefault="007A1E95" w:rsidP="00523896">
            <w:pPr>
              <w:keepNext/>
              <w:keepLines/>
              <w:widowControl/>
              <w:jc w:val="center"/>
              <w:rPr>
                <w:rFonts w:ascii="Arial Narrow" w:hAnsi="Arial Narrow" w:cstheme="minorHAnsi"/>
                <w:b/>
                <w:snapToGrid/>
                <w:sz w:val="20"/>
                <w:szCs w:val="20"/>
                <w:lang w:eastAsia="zh-CN"/>
              </w:rPr>
            </w:pPr>
            <w:r w:rsidRPr="00E330FE">
              <w:rPr>
                <w:rFonts w:ascii="Arial Narrow" w:hAnsi="Arial Narrow" w:cstheme="minorHAnsi"/>
                <w:b/>
                <w:snapToGrid/>
                <w:sz w:val="20"/>
                <w:szCs w:val="20"/>
                <w:lang w:eastAsia="zh-CN"/>
              </w:rPr>
              <w:t>(SUNFISH Part 2 subset° matching-adjusted to CHERISH)</w:t>
            </w:r>
          </w:p>
        </w:tc>
        <w:tc>
          <w:tcPr>
            <w:tcW w:w="625" w:type="pct"/>
            <w:vMerge w:val="restart"/>
            <w:shd w:val="clear" w:color="auto" w:fill="auto"/>
            <w:vAlign w:val="center"/>
            <w:hideMark/>
          </w:tcPr>
          <w:p w14:paraId="223780FA" w14:textId="77777777" w:rsidR="007A1E95" w:rsidRPr="00E330FE" w:rsidRDefault="007A1E95" w:rsidP="00523896">
            <w:pPr>
              <w:keepNext/>
              <w:keepLines/>
              <w:widowControl/>
              <w:jc w:val="center"/>
              <w:rPr>
                <w:rFonts w:ascii="Arial Narrow" w:hAnsi="Arial Narrow" w:cstheme="minorHAnsi"/>
                <w:b/>
                <w:snapToGrid/>
                <w:sz w:val="20"/>
                <w:szCs w:val="20"/>
                <w:lang w:eastAsia="zh-CN"/>
              </w:rPr>
            </w:pPr>
            <w:r w:rsidRPr="00E330FE">
              <w:rPr>
                <w:rFonts w:ascii="Arial Narrow" w:hAnsi="Arial Narrow" w:cstheme="minorHAnsi"/>
                <w:b/>
                <w:snapToGrid/>
                <w:sz w:val="20"/>
                <w:szCs w:val="20"/>
                <w:lang w:eastAsia="zh-CN"/>
              </w:rPr>
              <w:t>Nusinersen &amp; Sham</w:t>
            </w:r>
          </w:p>
          <w:p w14:paraId="465BBEC0" w14:textId="77777777" w:rsidR="007A1E95" w:rsidRPr="00E330FE" w:rsidRDefault="007A1E95" w:rsidP="00523896">
            <w:pPr>
              <w:keepNext/>
              <w:keepLines/>
              <w:widowControl/>
              <w:jc w:val="center"/>
              <w:rPr>
                <w:rFonts w:ascii="Arial Narrow" w:hAnsi="Arial Narrow" w:cstheme="minorHAnsi"/>
                <w:b/>
                <w:snapToGrid/>
                <w:sz w:val="20"/>
                <w:szCs w:val="20"/>
                <w:lang w:eastAsia="zh-CN"/>
              </w:rPr>
            </w:pPr>
            <w:r w:rsidRPr="00E330FE">
              <w:rPr>
                <w:rFonts w:ascii="Arial Narrow" w:hAnsi="Arial Narrow" w:cstheme="minorHAnsi"/>
                <w:b/>
                <w:snapToGrid/>
                <w:sz w:val="20"/>
                <w:szCs w:val="20"/>
                <w:lang w:eastAsia="zh-CN"/>
              </w:rPr>
              <w:t>(CHERISH)</w:t>
            </w:r>
          </w:p>
        </w:tc>
      </w:tr>
      <w:tr w:rsidR="007A1E95" w:rsidRPr="00E330FE" w14:paraId="68DE0D07" w14:textId="77777777" w:rsidTr="00E96E81">
        <w:trPr>
          <w:trHeight w:val="20"/>
          <w:tblHeader/>
        </w:trPr>
        <w:tc>
          <w:tcPr>
            <w:tcW w:w="1717" w:type="pct"/>
            <w:vMerge/>
            <w:shd w:val="clear" w:color="auto" w:fill="auto"/>
          </w:tcPr>
          <w:p w14:paraId="64524AB2" w14:textId="77777777" w:rsidR="007A1E95" w:rsidRPr="00E330FE" w:rsidRDefault="007A1E95" w:rsidP="00523896">
            <w:pPr>
              <w:keepNext/>
              <w:keepLines/>
              <w:widowControl/>
              <w:rPr>
                <w:rFonts w:ascii="Arial Narrow" w:hAnsi="Arial Narrow" w:cstheme="minorHAnsi"/>
                <w:snapToGrid/>
                <w:sz w:val="20"/>
                <w:szCs w:val="20"/>
                <w:lang w:eastAsia="zh-CN"/>
              </w:rPr>
            </w:pPr>
          </w:p>
        </w:tc>
        <w:tc>
          <w:tcPr>
            <w:tcW w:w="664" w:type="pct"/>
            <w:shd w:val="clear" w:color="auto" w:fill="auto"/>
          </w:tcPr>
          <w:p w14:paraId="44087671" w14:textId="77777777" w:rsidR="007A1E95" w:rsidRPr="00E330FE" w:rsidRDefault="007A1E95" w:rsidP="00523896">
            <w:pPr>
              <w:keepNext/>
              <w:keepLines/>
              <w:widowControl/>
              <w:jc w:val="center"/>
              <w:rPr>
                <w:rFonts w:ascii="Arial Narrow" w:hAnsi="Arial Narrow" w:cstheme="minorHAnsi"/>
                <w:b/>
                <w:snapToGrid/>
                <w:sz w:val="20"/>
                <w:szCs w:val="20"/>
                <w:lang w:eastAsia="zh-CN"/>
              </w:rPr>
            </w:pPr>
            <w:r w:rsidRPr="00E330FE">
              <w:rPr>
                <w:rFonts w:ascii="Arial Narrow" w:hAnsi="Arial Narrow" w:cstheme="minorHAnsi"/>
                <w:b/>
                <w:snapToGrid/>
                <w:sz w:val="20"/>
                <w:szCs w:val="20"/>
                <w:lang w:eastAsia="zh-CN"/>
              </w:rPr>
              <w:t>Risdiplam</w:t>
            </w:r>
          </w:p>
        </w:tc>
        <w:tc>
          <w:tcPr>
            <w:tcW w:w="664" w:type="pct"/>
            <w:shd w:val="clear" w:color="auto" w:fill="auto"/>
          </w:tcPr>
          <w:p w14:paraId="13B4967C" w14:textId="77777777" w:rsidR="007A1E95" w:rsidRPr="00E330FE" w:rsidRDefault="007A1E95" w:rsidP="00523896">
            <w:pPr>
              <w:keepNext/>
              <w:keepLines/>
              <w:widowControl/>
              <w:jc w:val="center"/>
              <w:rPr>
                <w:rFonts w:ascii="Arial Narrow" w:hAnsi="Arial Narrow" w:cstheme="minorHAnsi"/>
                <w:b/>
                <w:snapToGrid/>
                <w:sz w:val="20"/>
                <w:szCs w:val="20"/>
                <w:lang w:eastAsia="zh-CN"/>
              </w:rPr>
            </w:pPr>
            <w:r w:rsidRPr="00E330FE">
              <w:rPr>
                <w:rFonts w:ascii="Arial Narrow" w:hAnsi="Arial Narrow" w:cstheme="minorHAnsi"/>
                <w:b/>
                <w:snapToGrid/>
                <w:sz w:val="20"/>
                <w:szCs w:val="20"/>
                <w:lang w:eastAsia="zh-CN"/>
              </w:rPr>
              <w:t>Placebo</w:t>
            </w:r>
          </w:p>
        </w:tc>
        <w:tc>
          <w:tcPr>
            <w:tcW w:w="664" w:type="pct"/>
            <w:shd w:val="clear" w:color="auto" w:fill="auto"/>
          </w:tcPr>
          <w:p w14:paraId="11FDC6D3" w14:textId="77777777" w:rsidR="007A1E95" w:rsidRPr="00E330FE" w:rsidRDefault="007A1E95" w:rsidP="00523896">
            <w:pPr>
              <w:keepNext/>
              <w:keepLines/>
              <w:widowControl/>
              <w:jc w:val="center"/>
              <w:rPr>
                <w:rFonts w:ascii="Arial Narrow" w:hAnsi="Arial Narrow" w:cstheme="minorHAnsi"/>
                <w:b/>
                <w:snapToGrid/>
                <w:sz w:val="20"/>
                <w:szCs w:val="20"/>
                <w:lang w:eastAsia="zh-CN"/>
              </w:rPr>
            </w:pPr>
            <w:r w:rsidRPr="00E330FE">
              <w:rPr>
                <w:rFonts w:ascii="Arial Narrow" w:hAnsi="Arial Narrow" w:cstheme="minorHAnsi"/>
                <w:b/>
                <w:snapToGrid/>
                <w:sz w:val="20"/>
                <w:szCs w:val="20"/>
                <w:lang w:eastAsia="zh-CN"/>
              </w:rPr>
              <w:t>Risdiplam</w:t>
            </w:r>
          </w:p>
        </w:tc>
        <w:tc>
          <w:tcPr>
            <w:tcW w:w="664" w:type="pct"/>
            <w:shd w:val="clear" w:color="auto" w:fill="auto"/>
          </w:tcPr>
          <w:p w14:paraId="4FC153D5" w14:textId="77777777" w:rsidR="007A1E95" w:rsidRPr="00E330FE" w:rsidRDefault="007A1E95" w:rsidP="00523896">
            <w:pPr>
              <w:keepNext/>
              <w:keepLines/>
              <w:widowControl/>
              <w:jc w:val="center"/>
              <w:rPr>
                <w:rFonts w:ascii="Arial Narrow" w:hAnsi="Arial Narrow" w:cstheme="minorHAnsi"/>
                <w:b/>
                <w:snapToGrid/>
                <w:sz w:val="20"/>
                <w:szCs w:val="20"/>
                <w:lang w:eastAsia="zh-CN"/>
              </w:rPr>
            </w:pPr>
            <w:r w:rsidRPr="00E330FE">
              <w:rPr>
                <w:rFonts w:ascii="Arial Narrow" w:hAnsi="Arial Narrow" w:cstheme="minorHAnsi"/>
                <w:b/>
                <w:snapToGrid/>
                <w:sz w:val="20"/>
                <w:szCs w:val="20"/>
                <w:lang w:eastAsia="zh-CN"/>
              </w:rPr>
              <w:t>Placebo</w:t>
            </w:r>
          </w:p>
        </w:tc>
        <w:tc>
          <w:tcPr>
            <w:tcW w:w="625" w:type="pct"/>
            <w:vMerge/>
            <w:shd w:val="clear" w:color="auto" w:fill="auto"/>
          </w:tcPr>
          <w:p w14:paraId="46BA01A6"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p>
        </w:tc>
      </w:tr>
      <w:tr w:rsidR="007A1E95" w:rsidRPr="00E330FE" w14:paraId="591B07EA" w14:textId="77777777" w:rsidTr="00E96E81">
        <w:trPr>
          <w:trHeight w:val="20"/>
        </w:trPr>
        <w:tc>
          <w:tcPr>
            <w:tcW w:w="1717" w:type="pct"/>
            <w:shd w:val="clear" w:color="auto" w:fill="auto"/>
          </w:tcPr>
          <w:p w14:paraId="29A6A993" w14:textId="77777777" w:rsidR="007A1E95" w:rsidRPr="00E330FE" w:rsidRDefault="007A1E95" w:rsidP="00523896">
            <w:pPr>
              <w:keepNext/>
              <w:keepLines/>
              <w:widowControl/>
              <w:jc w:val="left"/>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Sample size (ESS)</w:t>
            </w:r>
          </w:p>
        </w:tc>
        <w:tc>
          <w:tcPr>
            <w:tcW w:w="664" w:type="pct"/>
            <w:shd w:val="clear" w:color="auto" w:fill="auto"/>
          </w:tcPr>
          <w:p w14:paraId="79C432AF"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43</w:t>
            </w:r>
          </w:p>
        </w:tc>
        <w:tc>
          <w:tcPr>
            <w:tcW w:w="664" w:type="pct"/>
            <w:shd w:val="clear" w:color="auto" w:fill="auto"/>
          </w:tcPr>
          <w:p w14:paraId="76D94BF2"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25</w:t>
            </w:r>
          </w:p>
        </w:tc>
        <w:tc>
          <w:tcPr>
            <w:tcW w:w="664" w:type="pct"/>
            <w:shd w:val="clear" w:color="auto" w:fill="auto"/>
          </w:tcPr>
          <w:p w14:paraId="0943842B"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43 (28.3)</w:t>
            </w:r>
          </w:p>
        </w:tc>
        <w:tc>
          <w:tcPr>
            <w:tcW w:w="664" w:type="pct"/>
            <w:shd w:val="clear" w:color="auto" w:fill="auto"/>
          </w:tcPr>
          <w:p w14:paraId="7E3225D5"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25 (8.8)</w:t>
            </w:r>
          </w:p>
        </w:tc>
        <w:tc>
          <w:tcPr>
            <w:tcW w:w="625" w:type="pct"/>
            <w:shd w:val="clear" w:color="auto" w:fill="auto"/>
          </w:tcPr>
          <w:p w14:paraId="64E24FC4"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121</w:t>
            </w:r>
          </w:p>
        </w:tc>
      </w:tr>
      <w:tr w:rsidR="007A1E95" w:rsidRPr="00E330FE" w14:paraId="59E50E38" w14:textId="77777777" w:rsidTr="00E96E81">
        <w:trPr>
          <w:trHeight w:val="20"/>
        </w:trPr>
        <w:tc>
          <w:tcPr>
            <w:tcW w:w="1717" w:type="pct"/>
            <w:shd w:val="clear" w:color="auto" w:fill="auto"/>
          </w:tcPr>
          <w:p w14:paraId="7D0B838E" w14:textId="77777777" w:rsidR="007A1E95" w:rsidRPr="00E330FE" w:rsidRDefault="007A1E95" w:rsidP="00523896">
            <w:pPr>
              <w:keepNext/>
              <w:keepLines/>
              <w:widowControl/>
              <w:jc w:val="left"/>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Female gender</w:t>
            </w:r>
          </w:p>
        </w:tc>
        <w:tc>
          <w:tcPr>
            <w:tcW w:w="664" w:type="pct"/>
            <w:shd w:val="clear" w:color="auto" w:fill="auto"/>
          </w:tcPr>
          <w:p w14:paraId="3DC2DFD6"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53%</w:t>
            </w:r>
          </w:p>
        </w:tc>
        <w:tc>
          <w:tcPr>
            <w:tcW w:w="664" w:type="pct"/>
            <w:shd w:val="clear" w:color="auto" w:fill="auto"/>
          </w:tcPr>
          <w:p w14:paraId="7811FB51" w14:textId="77777777" w:rsidR="007A1E95" w:rsidRPr="00E330FE" w:rsidRDefault="007A1E95" w:rsidP="00523896">
            <w:pPr>
              <w:keepNext/>
              <w:keepLines/>
              <w:widowControl/>
              <w:jc w:val="center"/>
              <w:rPr>
                <w:rFonts w:ascii="Arial Narrow" w:hAnsi="Arial Narrow" w:cstheme="minorHAnsi"/>
                <w:bCs/>
                <w:snapToGrid/>
                <w:sz w:val="20"/>
                <w:szCs w:val="20"/>
                <w:lang w:eastAsia="zh-CN"/>
              </w:rPr>
            </w:pPr>
            <w:r w:rsidRPr="00E330FE">
              <w:rPr>
                <w:rFonts w:ascii="Arial Narrow" w:hAnsi="Arial Narrow" w:cstheme="minorHAnsi"/>
                <w:bCs/>
                <w:snapToGrid/>
                <w:sz w:val="20"/>
                <w:szCs w:val="20"/>
                <w:lang w:eastAsia="zh-CN"/>
              </w:rPr>
              <w:t>44%</w:t>
            </w:r>
          </w:p>
        </w:tc>
        <w:tc>
          <w:tcPr>
            <w:tcW w:w="664" w:type="pct"/>
            <w:shd w:val="clear" w:color="auto" w:fill="auto"/>
          </w:tcPr>
          <w:p w14:paraId="64E345D0"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61%</w:t>
            </w:r>
          </w:p>
        </w:tc>
        <w:tc>
          <w:tcPr>
            <w:tcW w:w="664" w:type="pct"/>
            <w:shd w:val="clear" w:color="auto" w:fill="auto"/>
          </w:tcPr>
          <w:p w14:paraId="7DFA3245"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43%</w:t>
            </w:r>
          </w:p>
        </w:tc>
        <w:tc>
          <w:tcPr>
            <w:tcW w:w="625" w:type="pct"/>
            <w:shd w:val="clear" w:color="auto" w:fill="auto"/>
          </w:tcPr>
          <w:p w14:paraId="02678EFC"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53%</w:t>
            </w:r>
          </w:p>
        </w:tc>
      </w:tr>
      <w:tr w:rsidR="007A1E95" w:rsidRPr="00E330FE" w14:paraId="655C23F1" w14:textId="77777777" w:rsidTr="00E96E81">
        <w:trPr>
          <w:trHeight w:val="20"/>
        </w:trPr>
        <w:tc>
          <w:tcPr>
            <w:tcW w:w="1717" w:type="pct"/>
            <w:shd w:val="clear" w:color="auto" w:fill="auto"/>
            <w:hideMark/>
          </w:tcPr>
          <w:p w14:paraId="435F6EC9" w14:textId="77777777" w:rsidR="007A1E95" w:rsidRPr="00E330FE" w:rsidRDefault="007A1E95" w:rsidP="00523896">
            <w:pPr>
              <w:keepNext/>
              <w:keepLines/>
              <w:widowControl/>
              <w:jc w:val="left"/>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Mean age at screening (years)</w:t>
            </w:r>
          </w:p>
        </w:tc>
        <w:tc>
          <w:tcPr>
            <w:tcW w:w="664" w:type="pct"/>
            <w:shd w:val="clear" w:color="auto" w:fill="auto"/>
            <w:hideMark/>
          </w:tcPr>
          <w:p w14:paraId="3F29E9D7"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 xml:space="preserve">5.0 </w:t>
            </w:r>
          </w:p>
        </w:tc>
        <w:tc>
          <w:tcPr>
            <w:tcW w:w="664" w:type="pct"/>
            <w:shd w:val="clear" w:color="auto" w:fill="auto"/>
          </w:tcPr>
          <w:p w14:paraId="45FCA842"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 xml:space="preserve">5.3 </w:t>
            </w:r>
          </w:p>
        </w:tc>
        <w:tc>
          <w:tcPr>
            <w:tcW w:w="664" w:type="pct"/>
            <w:shd w:val="clear" w:color="auto" w:fill="auto"/>
          </w:tcPr>
          <w:p w14:paraId="08CFCCF0"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 xml:space="preserve">3.7 </w:t>
            </w:r>
          </w:p>
        </w:tc>
        <w:tc>
          <w:tcPr>
            <w:tcW w:w="664" w:type="pct"/>
            <w:shd w:val="clear" w:color="auto" w:fill="auto"/>
          </w:tcPr>
          <w:p w14:paraId="26F5C850"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 xml:space="preserve">3.7 </w:t>
            </w:r>
          </w:p>
        </w:tc>
        <w:tc>
          <w:tcPr>
            <w:tcW w:w="625" w:type="pct"/>
            <w:shd w:val="clear" w:color="auto" w:fill="auto"/>
            <w:hideMark/>
          </w:tcPr>
          <w:p w14:paraId="3E127696"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3.7 *</w:t>
            </w:r>
          </w:p>
        </w:tc>
      </w:tr>
      <w:tr w:rsidR="007A1E95" w:rsidRPr="00E330FE" w14:paraId="19CC97E3" w14:textId="77777777" w:rsidTr="00E96E81">
        <w:trPr>
          <w:trHeight w:val="20"/>
        </w:trPr>
        <w:tc>
          <w:tcPr>
            <w:tcW w:w="1717" w:type="pct"/>
            <w:shd w:val="clear" w:color="auto" w:fill="auto"/>
          </w:tcPr>
          <w:p w14:paraId="1ADBD162" w14:textId="77777777" w:rsidR="007A1E95" w:rsidRPr="00E330FE" w:rsidRDefault="007A1E95" w:rsidP="00523896">
            <w:pPr>
              <w:keepNext/>
              <w:keepLines/>
              <w:widowControl/>
              <w:jc w:val="left"/>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Mean age at symptom onset (months)</w:t>
            </w:r>
          </w:p>
        </w:tc>
        <w:tc>
          <w:tcPr>
            <w:tcW w:w="664" w:type="pct"/>
            <w:shd w:val="clear" w:color="auto" w:fill="auto"/>
          </w:tcPr>
          <w:p w14:paraId="7DFC679A"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13.7</w:t>
            </w:r>
          </w:p>
        </w:tc>
        <w:tc>
          <w:tcPr>
            <w:tcW w:w="664" w:type="pct"/>
            <w:shd w:val="clear" w:color="auto" w:fill="auto"/>
          </w:tcPr>
          <w:p w14:paraId="571F7854"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16.6</w:t>
            </w:r>
          </w:p>
        </w:tc>
        <w:tc>
          <w:tcPr>
            <w:tcW w:w="664" w:type="pct"/>
            <w:shd w:val="clear" w:color="auto" w:fill="auto"/>
          </w:tcPr>
          <w:p w14:paraId="6D58123E"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12.7</w:t>
            </w:r>
          </w:p>
        </w:tc>
        <w:tc>
          <w:tcPr>
            <w:tcW w:w="664" w:type="pct"/>
            <w:shd w:val="clear" w:color="auto" w:fill="auto"/>
          </w:tcPr>
          <w:p w14:paraId="66C0CBA8"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13.4s</w:t>
            </w:r>
          </w:p>
        </w:tc>
        <w:tc>
          <w:tcPr>
            <w:tcW w:w="625" w:type="pct"/>
            <w:shd w:val="clear" w:color="auto" w:fill="auto"/>
          </w:tcPr>
          <w:p w14:paraId="0D51E50B"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10.3 *</w:t>
            </w:r>
          </w:p>
        </w:tc>
      </w:tr>
      <w:tr w:rsidR="007A1E95" w:rsidRPr="00E330FE" w14:paraId="2FE8E0A5" w14:textId="77777777" w:rsidTr="00E96E81">
        <w:trPr>
          <w:trHeight w:val="20"/>
        </w:trPr>
        <w:tc>
          <w:tcPr>
            <w:tcW w:w="1717" w:type="pct"/>
            <w:shd w:val="clear" w:color="auto" w:fill="auto"/>
          </w:tcPr>
          <w:p w14:paraId="58EB9E7A" w14:textId="77777777" w:rsidR="007A1E95" w:rsidRPr="00E330FE" w:rsidRDefault="007A1E95" w:rsidP="00523896">
            <w:pPr>
              <w:keepNext/>
              <w:keepLines/>
              <w:widowControl/>
              <w:jc w:val="left"/>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Mean symptoms duration (months)</w:t>
            </w:r>
          </w:p>
        </w:tc>
        <w:tc>
          <w:tcPr>
            <w:tcW w:w="664" w:type="pct"/>
            <w:shd w:val="clear" w:color="auto" w:fill="auto"/>
          </w:tcPr>
          <w:p w14:paraId="622BA54E"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46.3</w:t>
            </w:r>
          </w:p>
        </w:tc>
        <w:tc>
          <w:tcPr>
            <w:tcW w:w="664" w:type="pct"/>
            <w:shd w:val="clear" w:color="auto" w:fill="auto"/>
          </w:tcPr>
          <w:p w14:paraId="3F718C42" w14:textId="77777777" w:rsidR="007A1E95" w:rsidRPr="00E330FE" w:rsidRDefault="007A1E95" w:rsidP="00523896">
            <w:pPr>
              <w:keepNext/>
              <w:keepLines/>
              <w:widowControl/>
              <w:jc w:val="center"/>
              <w:rPr>
                <w:rFonts w:ascii="Arial Narrow" w:hAnsi="Arial Narrow" w:cstheme="minorHAnsi"/>
                <w:bCs/>
                <w:snapToGrid/>
                <w:sz w:val="20"/>
                <w:szCs w:val="20"/>
                <w:lang w:eastAsia="zh-CN"/>
              </w:rPr>
            </w:pPr>
            <w:r w:rsidRPr="00E330FE">
              <w:rPr>
                <w:rFonts w:ascii="Arial Narrow" w:hAnsi="Arial Narrow" w:cstheme="minorHAnsi"/>
                <w:bCs/>
                <w:snapToGrid/>
                <w:sz w:val="20"/>
                <w:szCs w:val="20"/>
                <w:lang w:eastAsia="zh-CN"/>
              </w:rPr>
              <w:t>46.8</w:t>
            </w:r>
          </w:p>
        </w:tc>
        <w:tc>
          <w:tcPr>
            <w:tcW w:w="664" w:type="pct"/>
            <w:shd w:val="clear" w:color="auto" w:fill="auto"/>
          </w:tcPr>
          <w:p w14:paraId="021EA18A"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31.6</w:t>
            </w:r>
          </w:p>
        </w:tc>
        <w:tc>
          <w:tcPr>
            <w:tcW w:w="664" w:type="pct"/>
            <w:shd w:val="clear" w:color="auto" w:fill="auto"/>
          </w:tcPr>
          <w:p w14:paraId="6C27CB46"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30.7</w:t>
            </w:r>
          </w:p>
        </w:tc>
        <w:tc>
          <w:tcPr>
            <w:tcW w:w="625" w:type="pct"/>
            <w:shd w:val="clear" w:color="auto" w:fill="auto"/>
          </w:tcPr>
          <w:p w14:paraId="4DAE39B6"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36.0*</w:t>
            </w:r>
          </w:p>
        </w:tc>
      </w:tr>
      <w:tr w:rsidR="007A1E95" w:rsidRPr="00E330FE" w14:paraId="16CEA083" w14:textId="77777777" w:rsidTr="00E96E81">
        <w:trPr>
          <w:trHeight w:val="20"/>
        </w:trPr>
        <w:tc>
          <w:tcPr>
            <w:tcW w:w="1717" w:type="pct"/>
            <w:shd w:val="clear" w:color="auto" w:fill="auto"/>
          </w:tcPr>
          <w:p w14:paraId="13FEF881" w14:textId="77777777" w:rsidR="007A1E95" w:rsidRPr="00E330FE" w:rsidRDefault="007A1E95" w:rsidP="00523896">
            <w:pPr>
              <w:keepNext/>
              <w:keepLines/>
              <w:widowControl/>
              <w:jc w:val="left"/>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Mean HFMSE baseline score</w:t>
            </w:r>
          </w:p>
        </w:tc>
        <w:tc>
          <w:tcPr>
            <w:tcW w:w="664" w:type="pct"/>
            <w:shd w:val="clear" w:color="auto" w:fill="auto"/>
          </w:tcPr>
          <w:p w14:paraId="3790292E"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24.21</w:t>
            </w:r>
          </w:p>
        </w:tc>
        <w:tc>
          <w:tcPr>
            <w:tcW w:w="664" w:type="pct"/>
            <w:shd w:val="clear" w:color="auto" w:fill="auto"/>
          </w:tcPr>
          <w:p w14:paraId="3088AC05"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23.12</w:t>
            </w:r>
          </w:p>
        </w:tc>
        <w:tc>
          <w:tcPr>
            <w:tcW w:w="664" w:type="pct"/>
            <w:shd w:val="clear" w:color="auto" w:fill="auto"/>
          </w:tcPr>
          <w:p w14:paraId="063BFB49"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21.99</w:t>
            </w:r>
          </w:p>
        </w:tc>
        <w:tc>
          <w:tcPr>
            <w:tcW w:w="664" w:type="pct"/>
            <w:shd w:val="clear" w:color="auto" w:fill="auto"/>
          </w:tcPr>
          <w:p w14:paraId="4623CD3A"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22.36</w:t>
            </w:r>
          </w:p>
        </w:tc>
        <w:tc>
          <w:tcPr>
            <w:tcW w:w="625" w:type="pct"/>
            <w:shd w:val="clear" w:color="auto" w:fill="auto"/>
          </w:tcPr>
          <w:p w14:paraId="6684FC44"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21.57</w:t>
            </w:r>
          </w:p>
        </w:tc>
      </w:tr>
      <w:tr w:rsidR="007A1E95" w:rsidRPr="00E330FE" w14:paraId="00FF2288" w14:textId="77777777" w:rsidTr="00E96E81">
        <w:trPr>
          <w:trHeight w:val="20"/>
        </w:trPr>
        <w:tc>
          <w:tcPr>
            <w:tcW w:w="1717" w:type="pct"/>
            <w:shd w:val="clear" w:color="auto" w:fill="auto"/>
          </w:tcPr>
          <w:p w14:paraId="0FF072F9" w14:textId="77777777" w:rsidR="007A1E95" w:rsidRPr="00E330FE" w:rsidRDefault="007A1E95" w:rsidP="00523896">
            <w:pPr>
              <w:keepNext/>
              <w:keepLines/>
              <w:widowControl/>
              <w:jc w:val="left"/>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Mean RULM baseline score</w:t>
            </w:r>
          </w:p>
        </w:tc>
        <w:tc>
          <w:tcPr>
            <w:tcW w:w="664" w:type="pct"/>
            <w:shd w:val="clear" w:color="auto" w:fill="auto"/>
          </w:tcPr>
          <w:p w14:paraId="16776279"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21.65</w:t>
            </w:r>
          </w:p>
        </w:tc>
        <w:tc>
          <w:tcPr>
            <w:tcW w:w="664" w:type="pct"/>
            <w:shd w:val="clear" w:color="auto" w:fill="auto"/>
          </w:tcPr>
          <w:p w14:paraId="7D096F48"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22.28</w:t>
            </w:r>
          </w:p>
        </w:tc>
        <w:tc>
          <w:tcPr>
            <w:tcW w:w="664" w:type="pct"/>
            <w:shd w:val="clear" w:color="auto" w:fill="auto"/>
          </w:tcPr>
          <w:p w14:paraId="6DFF0741"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19.11</w:t>
            </w:r>
          </w:p>
        </w:tc>
        <w:tc>
          <w:tcPr>
            <w:tcW w:w="664" w:type="pct"/>
            <w:shd w:val="clear" w:color="auto" w:fill="auto"/>
          </w:tcPr>
          <w:p w14:paraId="6BC62A3E"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19.07</w:t>
            </w:r>
          </w:p>
        </w:tc>
        <w:tc>
          <w:tcPr>
            <w:tcW w:w="625" w:type="pct"/>
            <w:shd w:val="clear" w:color="auto" w:fill="auto"/>
          </w:tcPr>
          <w:p w14:paraId="2C4F8070"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19.07</w:t>
            </w:r>
          </w:p>
        </w:tc>
      </w:tr>
      <w:tr w:rsidR="007A1E95" w:rsidRPr="00E330FE" w14:paraId="032662F1" w14:textId="77777777" w:rsidTr="00E96E81">
        <w:trPr>
          <w:trHeight w:val="20"/>
        </w:trPr>
        <w:tc>
          <w:tcPr>
            <w:tcW w:w="1717" w:type="pct"/>
            <w:shd w:val="clear" w:color="auto" w:fill="auto"/>
          </w:tcPr>
          <w:p w14:paraId="56DC66B7" w14:textId="77777777" w:rsidR="007A1E95" w:rsidRPr="00E330FE" w:rsidRDefault="007A1E95" w:rsidP="00523896">
            <w:pPr>
              <w:keepNext/>
              <w:keepLines/>
              <w:widowControl/>
              <w:jc w:val="left"/>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Mean SMN2 copy number</w:t>
            </w:r>
          </w:p>
        </w:tc>
        <w:tc>
          <w:tcPr>
            <w:tcW w:w="664" w:type="pct"/>
            <w:shd w:val="clear" w:color="auto" w:fill="auto"/>
          </w:tcPr>
          <w:p w14:paraId="605D53DF"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3.09</w:t>
            </w:r>
          </w:p>
        </w:tc>
        <w:tc>
          <w:tcPr>
            <w:tcW w:w="664" w:type="pct"/>
            <w:shd w:val="clear" w:color="auto" w:fill="auto"/>
          </w:tcPr>
          <w:p w14:paraId="77676BB3"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3.08</w:t>
            </w:r>
          </w:p>
        </w:tc>
        <w:tc>
          <w:tcPr>
            <w:tcW w:w="664" w:type="pct"/>
            <w:shd w:val="clear" w:color="auto" w:fill="auto"/>
          </w:tcPr>
          <w:p w14:paraId="559B9C20"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3.00</w:t>
            </w:r>
          </w:p>
        </w:tc>
        <w:tc>
          <w:tcPr>
            <w:tcW w:w="664" w:type="pct"/>
            <w:shd w:val="clear" w:color="auto" w:fill="auto"/>
          </w:tcPr>
          <w:p w14:paraId="4DC15942"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2.94</w:t>
            </w:r>
          </w:p>
        </w:tc>
        <w:tc>
          <w:tcPr>
            <w:tcW w:w="625" w:type="pct"/>
            <w:shd w:val="clear" w:color="auto" w:fill="auto"/>
          </w:tcPr>
          <w:p w14:paraId="0D8A0675"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2.94</w:t>
            </w:r>
          </w:p>
        </w:tc>
      </w:tr>
      <w:tr w:rsidR="007A1E95" w:rsidRPr="00E330FE" w14:paraId="0A6C26F9" w14:textId="77777777" w:rsidTr="00E96E81">
        <w:trPr>
          <w:trHeight w:val="20"/>
        </w:trPr>
        <w:tc>
          <w:tcPr>
            <w:tcW w:w="1717" w:type="pct"/>
            <w:shd w:val="clear" w:color="auto" w:fill="auto"/>
          </w:tcPr>
          <w:p w14:paraId="72AE6002" w14:textId="77777777" w:rsidR="007A1E95" w:rsidRPr="00E330FE" w:rsidRDefault="007A1E95" w:rsidP="00523896">
            <w:pPr>
              <w:keepNext/>
              <w:keepLines/>
              <w:widowControl/>
              <w:ind w:left="720"/>
              <w:jc w:val="left"/>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 2 copies</w:t>
            </w:r>
          </w:p>
        </w:tc>
        <w:tc>
          <w:tcPr>
            <w:tcW w:w="664" w:type="pct"/>
            <w:shd w:val="clear" w:color="auto" w:fill="auto"/>
          </w:tcPr>
          <w:p w14:paraId="26A6303B"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0%</w:t>
            </w:r>
          </w:p>
        </w:tc>
        <w:tc>
          <w:tcPr>
            <w:tcW w:w="664" w:type="pct"/>
            <w:shd w:val="clear" w:color="auto" w:fill="auto"/>
          </w:tcPr>
          <w:p w14:paraId="50950972"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4%</w:t>
            </w:r>
          </w:p>
        </w:tc>
        <w:tc>
          <w:tcPr>
            <w:tcW w:w="664" w:type="pct"/>
            <w:shd w:val="clear" w:color="auto" w:fill="auto"/>
          </w:tcPr>
          <w:p w14:paraId="0098353B"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0%</w:t>
            </w:r>
          </w:p>
        </w:tc>
        <w:tc>
          <w:tcPr>
            <w:tcW w:w="664" w:type="pct"/>
            <w:shd w:val="clear" w:color="auto" w:fill="auto"/>
          </w:tcPr>
          <w:p w14:paraId="6A3ED19A"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7%</w:t>
            </w:r>
          </w:p>
        </w:tc>
        <w:tc>
          <w:tcPr>
            <w:tcW w:w="625" w:type="pct"/>
            <w:shd w:val="clear" w:color="auto" w:fill="auto"/>
          </w:tcPr>
          <w:p w14:paraId="06FBF17E"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8%</w:t>
            </w:r>
          </w:p>
        </w:tc>
      </w:tr>
      <w:tr w:rsidR="007A1E95" w:rsidRPr="00E330FE" w14:paraId="6C3C4ACF" w14:textId="77777777" w:rsidTr="00E96E81">
        <w:trPr>
          <w:trHeight w:val="20"/>
        </w:trPr>
        <w:tc>
          <w:tcPr>
            <w:tcW w:w="1717" w:type="pct"/>
            <w:shd w:val="clear" w:color="auto" w:fill="auto"/>
          </w:tcPr>
          <w:p w14:paraId="721FDAC6" w14:textId="77777777" w:rsidR="007A1E95" w:rsidRPr="00E330FE" w:rsidRDefault="007A1E95" w:rsidP="00523896">
            <w:pPr>
              <w:keepNext/>
              <w:keepLines/>
              <w:widowControl/>
              <w:ind w:left="720"/>
              <w:jc w:val="left"/>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 3 copies</w:t>
            </w:r>
          </w:p>
        </w:tc>
        <w:tc>
          <w:tcPr>
            <w:tcW w:w="664" w:type="pct"/>
            <w:shd w:val="clear" w:color="auto" w:fill="auto"/>
          </w:tcPr>
          <w:p w14:paraId="4B18C03C"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91%</w:t>
            </w:r>
          </w:p>
        </w:tc>
        <w:tc>
          <w:tcPr>
            <w:tcW w:w="664" w:type="pct"/>
            <w:shd w:val="clear" w:color="auto" w:fill="auto"/>
          </w:tcPr>
          <w:p w14:paraId="0F93A3A1"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84%</w:t>
            </w:r>
          </w:p>
        </w:tc>
        <w:tc>
          <w:tcPr>
            <w:tcW w:w="664" w:type="pct"/>
            <w:shd w:val="clear" w:color="auto" w:fill="auto"/>
          </w:tcPr>
          <w:p w14:paraId="2DF90532"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100%</w:t>
            </w:r>
          </w:p>
        </w:tc>
        <w:tc>
          <w:tcPr>
            <w:tcW w:w="664" w:type="pct"/>
            <w:shd w:val="clear" w:color="auto" w:fill="auto"/>
          </w:tcPr>
          <w:p w14:paraId="4549215C"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91%</w:t>
            </w:r>
          </w:p>
        </w:tc>
        <w:tc>
          <w:tcPr>
            <w:tcW w:w="625" w:type="pct"/>
            <w:shd w:val="clear" w:color="auto" w:fill="auto"/>
          </w:tcPr>
          <w:p w14:paraId="2191AA3B"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88%</w:t>
            </w:r>
          </w:p>
        </w:tc>
      </w:tr>
      <w:tr w:rsidR="007A1E95" w:rsidRPr="00E330FE" w14:paraId="7AA677C7" w14:textId="77777777" w:rsidTr="00E96E81">
        <w:trPr>
          <w:trHeight w:val="20"/>
        </w:trPr>
        <w:tc>
          <w:tcPr>
            <w:tcW w:w="1717" w:type="pct"/>
            <w:shd w:val="clear" w:color="auto" w:fill="auto"/>
          </w:tcPr>
          <w:p w14:paraId="600EDBF0" w14:textId="77777777" w:rsidR="007A1E95" w:rsidRPr="00E330FE" w:rsidRDefault="007A1E95" w:rsidP="00523896">
            <w:pPr>
              <w:keepNext/>
              <w:keepLines/>
              <w:widowControl/>
              <w:ind w:left="720"/>
              <w:jc w:val="left"/>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 4 copies</w:t>
            </w:r>
          </w:p>
        </w:tc>
        <w:tc>
          <w:tcPr>
            <w:tcW w:w="664" w:type="pct"/>
            <w:shd w:val="clear" w:color="auto" w:fill="auto"/>
          </w:tcPr>
          <w:p w14:paraId="35186007"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9%</w:t>
            </w:r>
          </w:p>
        </w:tc>
        <w:tc>
          <w:tcPr>
            <w:tcW w:w="664" w:type="pct"/>
            <w:shd w:val="clear" w:color="auto" w:fill="auto"/>
          </w:tcPr>
          <w:p w14:paraId="0328BE38"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12%</w:t>
            </w:r>
          </w:p>
        </w:tc>
        <w:tc>
          <w:tcPr>
            <w:tcW w:w="664" w:type="pct"/>
            <w:shd w:val="clear" w:color="auto" w:fill="auto"/>
          </w:tcPr>
          <w:p w14:paraId="4D161D5F"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0%</w:t>
            </w:r>
          </w:p>
        </w:tc>
        <w:tc>
          <w:tcPr>
            <w:tcW w:w="664" w:type="pct"/>
            <w:shd w:val="clear" w:color="auto" w:fill="auto"/>
          </w:tcPr>
          <w:p w14:paraId="647193BD"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1%</w:t>
            </w:r>
          </w:p>
        </w:tc>
        <w:tc>
          <w:tcPr>
            <w:tcW w:w="625" w:type="pct"/>
            <w:shd w:val="clear" w:color="auto" w:fill="auto"/>
          </w:tcPr>
          <w:p w14:paraId="743D9C6A"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2%</w:t>
            </w:r>
          </w:p>
        </w:tc>
      </w:tr>
      <w:tr w:rsidR="007A1E95" w:rsidRPr="00E330FE" w14:paraId="49A8C6F8" w14:textId="77777777" w:rsidTr="00E96E81">
        <w:trPr>
          <w:trHeight w:val="20"/>
        </w:trPr>
        <w:tc>
          <w:tcPr>
            <w:tcW w:w="1717" w:type="pct"/>
            <w:shd w:val="clear" w:color="auto" w:fill="auto"/>
          </w:tcPr>
          <w:p w14:paraId="5F4E1570" w14:textId="77777777" w:rsidR="007A1E95" w:rsidRPr="00E330FE" w:rsidRDefault="007A1E95" w:rsidP="00523896">
            <w:pPr>
              <w:keepNext/>
              <w:keepLines/>
              <w:widowControl/>
              <w:ind w:left="720"/>
              <w:jc w:val="left"/>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 Unknown</w:t>
            </w:r>
          </w:p>
        </w:tc>
        <w:tc>
          <w:tcPr>
            <w:tcW w:w="664" w:type="pct"/>
            <w:shd w:val="clear" w:color="auto" w:fill="auto"/>
          </w:tcPr>
          <w:p w14:paraId="5199452D"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0%</w:t>
            </w:r>
          </w:p>
        </w:tc>
        <w:tc>
          <w:tcPr>
            <w:tcW w:w="664" w:type="pct"/>
            <w:shd w:val="clear" w:color="auto" w:fill="auto"/>
          </w:tcPr>
          <w:p w14:paraId="7FFFA0DE"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0%</w:t>
            </w:r>
          </w:p>
        </w:tc>
        <w:tc>
          <w:tcPr>
            <w:tcW w:w="664" w:type="pct"/>
            <w:shd w:val="clear" w:color="auto" w:fill="auto"/>
          </w:tcPr>
          <w:p w14:paraId="0CCB5678"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0%</w:t>
            </w:r>
          </w:p>
        </w:tc>
        <w:tc>
          <w:tcPr>
            <w:tcW w:w="664" w:type="pct"/>
            <w:shd w:val="clear" w:color="auto" w:fill="auto"/>
          </w:tcPr>
          <w:p w14:paraId="6FC0E9C5"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0%</w:t>
            </w:r>
          </w:p>
        </w:tc>
        <w:tc>
          <w:tcPr>
            <w:tcW w:w="625" w:type="pct"/>
            <w:shd w:val="clear" w:color="auto" w:fill="auto"/>
          </w:tcPr>
          <w:p w14:paraId="56D522E6" w14:textId="77777777" w:rsidR="007A1E95" w:rsidRPr="00E330FE" w:rsidRDefault="007A1E95" w:rsidP="00523896">
            <w:pPr>
              <w:keepNext/>
              <w:keepLines/>
              <w:widowControl/>
              <w:jc w:val="center"/>
              <w:rPr>
                <w:rFonts w:ascii="Arial Narrow" w:hAnsi="Arial Narrow" w:cstheme="minorHAnsi"/>
                <w:snapToGrid/>
                <w:sz w:val="20"/>
                <w:szCs w:val="20"/>
                <w:lang w:eastAsia="zh-CN"/>
              </w:rPr>
            </w:pPr>
            <w:r w:rsidRPr="00E330FE">
              <w:rPr>
                <w:rFonts w:ascii="Arial Narrow" w:hAnsi="Arial Narrow" w:cstheme="minorHAnsi"/>
                <w:snapToGrid/>
                <w:sz w:val="20"/>
                <w:szCs w:val="20"/>
                <w:lang w:eastAsia="zh-CN"/>
              </w:rPr>
              <w:t>2%</w:t>
            </w:r>
          </w:p>
        </w:tc>
      </w:tr>
    </w:tbl>
    <w:p w14:paraId="6AE5E3C5" w14:textId="77777777" w:rsidR="00D84035" w:rsidRDefault="007A1E95" w:rsidP="00523896">
      <w:pPr>
        <w:keepNext/>
        <w:keepLines/>
        <w:widowControl/>
        <w:ind w:left="5"/>
        <w:rPr>
          <w:rFonts w:ascii="Arial Narrow" w:eastAsiaTheme="minorEastAsia" w:hAnsi="Arial Narrow" w:cstheme="minorBidi"/>
          <w:snapToGrid/>
          <w:sz w:val="18"/>
          <w:szCs w:val="18"/>
          <w:lang w:eastAsia="zh-CN"/>
        </w:rPr>
      </w:pPr>
      <w:r w:rsidRPr="003A44F8">
        <w:rPr>
          <w:rFonts w:ascii="Arial Narrow" w:eastAsiaTheme="minorEastAsia" w:hAnsi="Arial Narrow" w:cstheme="minorBidi"/>
          <w:snapToGrid/>
          <w:sz w:val="18"/>
          <w:szCs w:val="18"/>
          <w:lang w:eastAsia="zh-CN"/>
        </w:rPr>
        <w:t>*In the absence of reported means, means for the overall CHERISH population were calculated as a weighted average of the medians for the purpose of these analyses.</w:t>
      </w:r>
    </w:p>
    <w:p w14:paraId="105FE7F1" w14:textId="77777777" w:rsidR="007A1E95" w:rsidRPr="003A44F8" w:rsidRDefault="007A1E95" w:rsidP="00523896">
      <w:pPr>
        <w:keepNext/>
        <w:keepLines/>
        <w:widowControl/>
        <w:ind w:left="5"/>
        <w:rPr>
          <w:rFonts w:ascii="Arial Narrow" w:eastAsiaTheme="minorEastAsia" w:hAnsi="Arial Narrow" w:cstheme="minorBidi"/>
          <w:snapToGrid/>
          <w:sz w:val="18"/>
          <w:szCs w:val="18"/>
          <w:lang w:eastAsia="zh-CN"/>
        </w:rPr>
      </w:pPr>
      <w:r w:rsidRPr="003A44F8">
        <w:rPr>
          <w:rFonts w:ascii="Arial Narrow" w:eastAsiaTheme="minorEastAsia" w:hAnsi="Arial Narrow" w:cstheme="minorBidi"/>
          <w:snapToGrid/>
          <w:sz w:val="18"/>
          <w:szCs w:val="18"/>
          <w:lang w:eastAsia="zh-CN"/>
        </w:rPr>
        <w:t>°Patients from SUNFISH Part 2 aged ≤9 years at screening, with a HFMSE score ≥10 at baseline, and without severe scoliosis.</w:t>
      </w:r>
    </w:p>
    <w:p w14:paraId="4A51C744" w14:textId="77777777" w:rsidR="007A1E95" w:rsidRPr="003A44F8" w:rsidRDefault="007A1E95" w:rsidP="00523896">
      <w:pPr>
        <w:keepNext/>
        <w:keepLines/>
        <w:widowControl/>
        <w:tabs>
          <w:tab w:val="left" w:pos="1100"/>
        </w:tabs>
        <w:jc w:val="left"/>
        <w:rPr>
          <w:rFonts w:ascii="Arial Narrow" w:eastAsiaTheme="minorEastAsia" w:hAnsi="Arial Narrow" w:cstheme="minorBidi"/>
          <w:snapToGrid/>
          <w:sz w:val="18"/>
          <w:szCs w:val="18"/>
        </w:rPr>
      </w:pPr>
      <w:r w:rsidRPr="003A44F8">
        <w:rPr>
          <w:rFonts w:ascii="Arial Narrow" w:eastAsiaTheme="minorEastAsia" w:hAnsi="Arial Narrow" w:cstheme="minorBidi"/>
          <w:snapToGrid/>
          <w:sz w:val="18"/>
          <w:szCs w:val="18"/>
        </w:rPr>
        <w:t>ESS=effective sample size; HFMSE=Hammersmith Functional Motor Scale Expanded; RULM=revised upper limb module; SMN=survival motor neuron</w:t>
      </w:r>
    </w:p>
    <w:p w14:paraId="3E5656D1" w14:textId="77777777" w:rsidR="007A1E95" w:rsidRDefault="007A1E95" w:rsidP="006D1D91">
      <w:pPr>
        <w:keepNext/>
        <w:keepLines/>
        <w:widowControl/>
        <w:tabs>
          <w:tab w:val="left" w:pos="1100"/>
        </w:tabs>
        <w:ind w:left="1100" w:hanging="1100"/>
        <w:jc w:val="left"/>
        <w:rPr>
          <w:rFonts w:ascii="Arial Narrow" w:eastAsiaTheme="minorEastAsia" w:hAnsi="Arial Narrow" w:cstheme="minorBidi"/>
          <w:snapToGrid/>
          <w:sz w:val="18"/>
          <w:szCs w:val="18"/>
        </w:rPr>
      </w:pPr>
      <w:r w:rsidRPr="003A44F8">
        <w:rPr>
          <w:rFonts w:ascii="Arial Narrow" w:eastAsiaTheme="minorEastAsia" w:hAnsi="Arial Narrow" w:cstheme="minorBidi"/>
          <w:snapToGrid/>
          <w:sz w:val="18"/>
          <w:szCs w:val="18"/>
        </w:rPr>
        <w:t>Source: Table 2.69, pp167-168 of the submission.</w:t>
      </w:r>
    </w:p>
    <w:p w14:paraId="114D64F9" w14:textId="77777777" w:rsidR="006D1D91" w:rsidRPr="006D1D91" w:rsidRDefault="006D1D91" w:rsidP="006D1D91">
      <w:pPr>
        <w:keepNext/>
        <w:keepLines/>
        <w:widowControl/>
        <w:tabs>
          <w:tab w:val="left" w:pos="1100"/>
        </w:tabs>
        <w:ind w:left="1100" w:hanging="1100"/>
        <w:jc w:val="left"/>
        <w:rPr>
          <w:rFonts w:ascii="Arial Narrow" w:eastAsiaTheme="minorEastAsia" w:hAnsi="Arial Narrow" w:cstheme="minorBidi"/>
          <w:snapToGrid/>
          <w:sz w:val="18"/>
          <w:szCs w:val="18"/>
        </w:rPr>
      </w:pPr>
    </w:p>
    <w:p w14:paraId="61275E26" w14:textId="77777777" w:rsidR="007A1E95" w:rsidRPr="00CE3643" w:rsidRDefault="007A1E95" w:rsidP="007A1E95">
      <w:pPr>
        <w:pStyle w:val="ListParagraph"/>
        <w:widowControl/>
        <w:numPr>
          <w:ilvl w:val="1"/>
          <w:numId w:val="2"/>
        </w:numPr>
        <w:rPr>
          <w:iCs/>
        </w:rPr>
      </w:pPr>
      <w:r w:rsidRPr="00CE3643">
        <w:t xml:space="preserve">The propensity matching of SUNFISH Part 2 to CHERISH may not </w:t>
      </w:r>
      <w:r w:rsidR="00523896" w:rsidRPr="00CE3643">
        <w:t xml:space="preserve">have been entirely successful. </w:t>
      </w:r>
      <w:r w:rsidRPr="00CE3643">
        <w:t xml:space="preserve">There were still differences in mean age of symptom onset (earlier in CHERISH), symptom duration (longer in CHERISH) and proportion of patients with </w:t>
      </w:r>
      <w:r w:rsidR="00D84035" w:rsidRPr="00CE3643">
        <w:t>two</w:t>
      </w:r>
      <w:r w:rsidRPr="00CE3643">
        <w:t xml:space="preserve"> copies of </w:t>
      </w:r>
      <w:r w:rsidRPr="00CE3643">
        <w:rPr>
          <w:iCs/>
        </w:rPr>
        <w:t>SM</w:t>
      </w:r>
      <w:r w:rsidR="00523896" w:rsidRPr="00CE3643">
        <w:rPr>
          <w:iCs/>
        </w:rPr>
        <w:t>N2</w:t>
      </w:r>
      <w:r w:rsidR="00523896" w:rsidRPr="00CE3643">
        <w:t xml:space="preserve"> (higher in CHERISH). </w:t>
      </w:r>
      <w:r w:rsidRPr="00CE3643">
        <w:t xml:space="preserve">Given these are all considered to be prognostic and treatment effect modifiers by the submission, </w:t>
      </w:r>
      <w:r w:rsidR="00342EBA" w:rsidRPr="007B3DA4">
        <w:t xml:space="preserve">the evaluation considered that </w:t>
      </w:r>
      <w:r w:rsidRPr="00CE3643">
        <w:t xml:space="preserve">these differences in patient characteristics post matching likely biased the results of the MAIC, favouring risdiplam.  </w:t>
      </w:r>
    </w:p>
    <w:p w14:paraId="3E53D2C3" w14:textId="77777777" w:rsidR="00C150F0" w:rsidRDefault="007A1E95" w:rsidP="004422FA">
      <w:pPr>
        <w:pStyle w:val="ListParagraph"/>
        <w:widowControl/>
        <w:numPr>
          <w:ilvl w:val="1"/>
          <w:numId w:val="2"/>
        </w:numPr>
      </w:pPr>
      <w:r w:rsidRPr="00CE3643">
        <w:t>The</w:t>
      </w:r>
      <w:r w:rsidR="00E4524E" w:rsidRPr="00CE3643">
        <w:t xml:space="preserve"> results </w:t>
      </w:r>
      <w:r w:rsidR="004E2FD2" w:rsidRPr="00CE3643">
        <w:t xml:space="preserve">from the </w:t>
      </w:r>
      <w:r w:rsidRPr="00CE3643">
        <w:t>MAIC</w:t>
      </w:r>
      <w:r w:rsidR="00404D1F" w:rsidRPr="00CE3643">
        <w:t>s</w:t>
      </w:r>
      <w:r w:rsidRPr="00CE3643">
        <w:t xml:space="preserve"> </w:t>
      </w:r>
      <w:r w:rsidR="00404D1F" w:rsidRPr="00CE3643">
        <w:t xml:space="preserve">and the Bucher ITC </w:t>
      </w:r>
      <w:r w:rsidRPr="00CE3643">
        <w:t>for SUNFISH Part 2 and CHERISH are</w:t>
      </w:r>
      <w:r>
        <w:t xml:space="preserve"> presented in </w:t>
      </w:r>
      <w:r w:rsidR="009825B3" w:rsidRPr="009825B3">
        <w:t>Table 9</w:t>
      </w:r>
      <w:r w:rsidR="00636A75">
        <w:t xml:space="preserve"> and </w:t>
      </w:r>
      <w:r w:rsidR="009825B3" w:rsidRPr="009825B3">
        <w:t>Table 10</w:t>
      </w:r>
      <w:r w:rsidR="00E4524E">
        <w:t>.</w:t>
      </w:r>
    </w:p>
    <w:p w14:paraId="30C95F74" w14:textId="77777777" w:rsidR="007A1E95" w:rsidRPr="003A44F8" w:rsidRDefault="00636A75" w:rsidP="00636A75">
      <w:pPr>
        <w:keepNext/>
        <w:keepLines/>
        <w:widowControl/>
        <w:jc w:val="left"/>
        <w:rPr>
          <w:rFonts w:ascii="Arial Narrow" w:eastAsiaTheme="minorEastAsia" w:hAnsi="Arial Narrow" w:cstheme="minorBidi"/>
          <w:b/>
          <w:bCs/>
          <w:snapToGrid/>
          <w:sz w:val="20"/>
          <w:szCs w:val="20"/>
          <w:lang w:eastAsia="zh-CN"/>
        </w:rPr>
      </w:pPr>
      <w:bookmarkStart w:id="27" w:name="_Ref61515755"/>
      <w:r w:rsidRPr="00636A75">
        <w:rPr>
          <w:rFonts w:ascii="Arial Narrow" w:eastAsiaTheme="minorEastAsia" w:hAnsi="Arial Narrow" w:cstheme="minorBidi"/>
          <w:b/>
          <w:bCs/>
          <w:snapToGrid/>
          <w:sz w:val="20"/>
          <w:szCs w:val="20"/>
          <w:lang w:eastAsia="zh-CN"/>
        </w:rPr>
        <w:t xml:space="preserve">Table </w:t>
      </w:r>
      <w:r w:rsidR="009825B3">
        <w:rPr>
          <w:rFonts w:ascii="Arial Narrow" w:eastAsiaTheme="minorEastAsia" w:hAnsi="Arial Narrow" w:cstheme="minorBidi"/>
          <w:b/>
          <w:bCs/>
          <w:noProof/>
          <w:snapToGrid/>
          <w:sz w:val="20"/>
          <w:szCs w:val="20"/>
          <w:lang w:eastAsia="zh-CN"/>
        </w:rPr>
        <w:t>9</w:t>
      </w:r>
      <w:bookmarkEnd w:id="27"/>
      <w:r w:rsidR="009F61B4" w:rsidRPr="003A44F8">
        <w:rPr>
          <w:rFonts w:ascii="Arial Narrow" w:eastAsiaTheme="minorEastAsia" w:hAnsi="Arial Narrow" w:cstheme="minorBidi"/>
          <w:b/>
          <w:bCs/>
          <w:snapToGrid/>
          <w:sz w:val="20"/>
          <w:szCs w:val="20"/>
          <w:lang w:eastAsia="zh-CN"/>
        </w:rPr>
        <w:t>:</w:t>
      </w:r>
      <w:r w:rsidR="009F61B4">
        <w:rPr>
          <w:rFonts w:ascii="Arial Narrow" w:eastAsiaTheme="minorEastAsia" w:hAnsi="Arial Narrow" w:cstheme="minorBidi"/>
          <w:b/>
          <w:bCs/>
          <w:snapToGrid/>
          <w:sz w:val="20"/>
          <w:szCs w:val="20"/>
          <w:lang w:eastAsia="zh-CN"/>
        </w:rPr>
        <w:t xml:space="preserve"> Indirect</w:t>
      </w:r>
      <w:r w:rsidR="00404D1F">
        <w:rPr>
          <w:rFonts w:ascii="Arial Narrow" w:eastAsiaTheme="minorEastAsia" w:hAnsi="Arial Narrow" w:cstheme="minorBidi"/>
          <w:b/>
          <w:bCs/>
          <w:snapToGrid/>
          <w:sz w:val="20"/>
          <w:szCs w:val="20"/>
          <w:lang w:eastAsia="zh-CN"/>
        </w:rPr>
        <w:t xml:space="preserve"> comparisons</w:t>
      </w:r>
      <w:r w:rsidR="007A1E95" w:rsidRPr="003A44F8">
        <w:rPr>
          <w:rFonts w:ascii="Arial Narrow" w:eastAsiaTheme="minorEastAsia" w:hAnsi="Arial Narrow" w:cstheme="minorBidi"/>
          <w:b/>
          <w:bCs/>
          <w:snapToGrid/>
          <w:sz w:val="20"/>
          <w:szCs w:val="20"/>
          <w:lang w:eastAsia="zh-CN"/>
        </w:rPr>
        <w:t xml:space="preserve"> for RULM change from baseline at 12 months</w:t>
      </w:r>
      <w:r w:rsidR="007A1E95">
        <w:rPr>
          <w:rFonts w:ascii="Arial Narrow" w:eastAsiaTheme="minorEastAsia" w:hAnsi="Arial Narrow" w:cstheme="minorBidi"/>
          <w:b/>
          <w:bCs/>
          <w:snapToGrid/>
          <w:sz w:val="20"/>
          <w:szCs w:val="20"/>
          <w:lang w:eastAsia="zh-CN"/>
        </w:rPr>
        <w:t xml:space="preserve"> in </w:t>
      </w:r>
      <w:r w:rsidR="00B722D9">
        <w:rPr>
          <w:rFonts w:ascii="Arial Narrow" w:eastAsiaTheme="minorEastAsia" w:hAnsi="Arial Narrow" w:cstheme="minorBidi"/>
          <w:b/>
          <w:bCs/>
          <w:snapToGrid/>
          <w:sz w:val="20"/>
          <w:szCs w:val="20"/>
          <w:lang w:eastAsia="zh-CN"/>
        </w:rPr>
        <w:t xml:space="preserve">patients aged ≤18 years with </w:t>
      </w:r>
      <w:r w:rsidR="007A1E95">
        <w:rPr>
          <w:rFonts w:ascii="Arial Narrow" w:eastAsiaTheme="minorEastAsia" w:hAnsi="Arial Narrow" w:cstheme="minorBidi"/>
          <w:b/>
          <w:bCs/>
          <w:snapToGrid/>
          <w:sz w:val="20"/>
          <w:szCs w:val="20"/>
          <w:lang w:eastAsia="zh-CN"/>
        </w:rPr>
        <w:t>SMA type 2 and 3 (SUNFISH and CHERISH)</w:t>
      </w:r>
    </w:p>
    <w:tbl>
      <w:tblPr>
        <w:tblStyle w:val="TableGrid23"/>
        <w:tblW w:w="5000" w:type="pct"/>
        <w:tblLook w:val="0420" w:firstRow="1" w:lastRow="0" w:firstColumn="0" w:lastColumn="0" w:noHBand="0" w:noVBand="1"/>
        <w:tblCaption w:val="Table 9: Indirect comparisons for RULM change from baseline at 12 months in patients aged ≤18 years with SMA type 2 and 3 (SUNFISH and CHERISH)"/>
      </w:tblPr>
      <w:tblGrid>
        <w:gridCol w:w="2429"/>
        <w:gridCol w:w="858"/>
        <w:gridCol w:w="1145"/>
        <w:gridCol w:w="1003"/>
        <w:gridCol w:w="1145"/>
        <w:gridCol w:w="2436"/>
      </w:tblGrid>
      <w:tr w:rsidR="00B722D9" w:rsidRPr="003A44F8" w14:paraId="23303AF4" w14:textId="77777777" w:rsidTr="00EC127F">
        <w:trPr>
          <w:trHeight w:val="413"/>
          <w:tblHeader/>
        </w:trPr>
        <w:tc>
          <w:tcPr>
            <w:tcW w:w="1347" w:type="pct"/>
            <w:vMerge w:val="restart"/>
            <w:shd w:val="clear" w:color="auto" w:fill="auto"/>
            <w:hideMark/>
          </w:tcPr>
          <w:p w14:paraId="385FAC19" w14:textId="77777777" w:rsidR="00B722D9" w:rsidRPr="003A44F8" w:rsidRDefault="00B722D9" w:rsidP="00B722D9">
            <w:pPr>
              <w:keepNext/>
              <w:keepLines/>
              <w:widowControl/>
              <w:jc w:val="left"/>
              <w:rPr>
                <w:rFonts w:ascii="Arial Narrow" w:hAnsi="Arial Narrow" w:cstheme="minorHAnsi"/>
                <w:snapToGrid/>
                <w:sz w:val="20"/>
                <w:szCs w:val="20"/>
                <w:lang w:eastAsia="zh-CN"/>
              </w:rPr>
            </w:pPr>
            <w:r w:rsidRPr="003A44F8">
              <w:rPr>
                <w:rFonts w:ascii="Arial Narrow" w:hAnsi="Arial Narrow" w:cstheme="minorHAnsi"/>
                <w:b/>
                <w:snapToGrid/>
                <w:sz w:val="20"/>
                <w:szCs w:val="20"/>
                <w:lang w:eastAsia="zh-CN"/>
              </w:rPr>
              <w:t xml:space="preserve">Comparator </w:t>
            </w:r>
            <w:r>
              <w:rPr>
                <w:rFonts w:ascii="Arial Narrow" w:hAnsi="Arial Narrow" w:cstheme="minorHAnsi"/>
                <w:b/>
                <w:snapToGrid/>
                <w:sz w:val="20"/>
                <w:szCs w:val="20"/>
                <w:lang w:eastAsia="zh-CN"/>
              </w:rPr>
              <w:t>(study</w:t>
            </w:r>
            <w:r w:rsidRPr="003A44F8">
              <w:rPr>
                <w:rFonts w:ascii="Arial Narrow" w:hAnsi="Arial Narrow" w:cstheme="minorHAnsi"/>
                <w:b/>
                <w:snapToGrid/>
                <w:sz w:val="20"/>
                <w:szCs w:val="20"/>
                <w:lang w:eastAsia="zh-CN"/>
              </w:rPr>
              <w:t>)</w:t>
            </w:r>
          </w:p>
        </w:tc>
        <w:tc>
          <w:tcPr>
            <w:tcW w:w="476" w:type="pct"/>
            <w:vMerge w:val="restart"/>
            <w:shd w:val="clear" w:color="auto" w:fill="auto"/>
            <w:vAlign w:val="center"/>
          </w:tcPr>
          <w:p w14:paraId="495A1572" w14:textId="77777777" w:rsidR="00B722D9" w:rsidRPr="003A44F8" w:rsidRDefault="00B722D9" w:rsidP="00BA3F8B">
            <w:pPr>
              <w:keepNext/>
              <w:keepLines/>
              <w:widowControl/>
              <w:jc w:val="center"/>
              <w:rPr>
                <w:rFonts w:ascii="Arial Narrow" w:hAnsi="Arial Narrow" w:cstheme="minorHAnsi"/>
                <w:b/>
                <w:snapToGrid/>
                <w:sz w:val="20"/>
                <w:szCs w:val="20"/>
                <w:lang w:eastAsia="zh-CN"/>
              </w:rPr>
            </w:pPr>
            <w:r w:rsidRPr="003A44F8">
              <w:rPr>
                <w:rFonts w:ascii="Arial Narrow" w:hAnsi="Arial Narrow" w:cstheme="minorHAnsi"/>
                <w:b/>
                <w:snapToGrid/>
                <w:sz w:val="20"/>
                <w:szCs w:val="20"/>
                <w:lang w:eastAsia="zh-CN"/>
              </w:rPr>
              <w:t>ESS/N</w:t>
            </w:r>
          </w:p>
        </w:tc>
        <w:tc>
          <w:tcPr>
            <w:tcW w:w="1191" w:type="pct"/>
            <w:gridSpan w:val="2"/>
            <w:shd w:val="clear" w:color="auto" w:fill="auto"/>
            <w:vAlign w:val="center"/>
          </w:tcPr>
          <w:p w14:paraId="1FF59281" w14:textId="77777777" w:rsidR="00B722D9" w:rsidRPr="003A44F8" w:rsidRDefault="00B722D9" w:rsidP="00BA3F8B">
            <w:pPr>
              <w:keepNext/>
              <w:keepLines/>
              <w:widowControl/>
              <w:jc w:val="center"/>
              <w:rPr>
                <w:rFonts w:ascii="Arial Narrow" w:hAnsi="Arial Narrow" w:cstheme="minorHAnsi"/>
                <w:b/>
                <w:snapToGrid/>
                <w:sz w:val="20"/>
                <w:szCs w:val="20"/>
                <w:lang w:eastAsia="zh-CN"/>
              </w:rPr>
            </w:pPr>
            <w:r w:rsidRPr="003A44F8">
              <w:rPr>
                <w:rFonts w:ascii="Arial Narrow" w:hAnsi="Arial Narrow" w:cstheme="minorHAnsi"/>
                <w:b/>
                <w:snapToGrid/>
                <w:sz w:val="20"/>
                <w:szCs w:val="20"/>
                <w:lang w:eastAsia="zh-CN"/>
              </w:rPr>
              <w:t>Change from baseline</w:t>
            </w:r>
          </w:p>
        </w:tc>
        <w:tc>
          <w:tcPr>
            <w:tcW w:w="635" w:type="pct"/>
            <w:vMerge w:val="restart"/>
            <w:shd w:val="clear" w:color="auto" w:fill="auto"/>
            <w:vAlign w:val="center"/>
            <w:hideMark/>
          </w:tcPr>
          <w:p w14:paraId="2B021B68" w14:textId="77777777" w:rsidR="00B722D9" w:rsidRPr="003A44F8" w:rsidRDefault="00B722D9" w:rsidP="00BA3F8B">
            <w:pPr>
              <w:keepNext/>
              <w:keepLines/>
              <w:widowControl/>
              <w:jc w:val="center"/>
              <w:rPr>
                <w:rFonts w:ascii="Arial Narrow" w:hAnsi="Arial Narrow" w:cstheme="minorHAnsi"/>
                <w:b/>
                <w:snapToGrid/>
                <w:sz w:val="20"/>
                <w:szCs w:val="20"/>
                <w:lang w:eastAsia="zh-CN"/>
              </w:rPr>
            </w:pPr>
            <w:r w:rsidRPr="003A44F8">
              <w:rPr>
                <w:rFonts w:ascii="Arial Narrow" w:hAnsi="Arial Narrow" w:cstheme="minorHAnsi"/>
                <w:b/>
                <w:snapToGrid/>
                <w:sz w:val="20"/>
                <w:szCs w:val="20"/>
                <w:lang w:eastAsia="zh-CN"/>
              </w:rPr>
              <w:t>Difference against control</w:t>
            </w:r>
          </w:p>
        </w:tc>
        <w:tc>
          <w:tcPr>
            <w:tcW w:w="1351" w:type="pct"/>
            <w:vMerge w:val="restart"/>
            <w:shd w:val="clear" w:color="auto" w:fill="auto"/>
            <w:vAlign w:val="center"/>
            <w:hideMark/>
          </w:tcPr>
          <w:p w14:paraId="0AE235A2" w14:textId="77777777" w:rsidR="00B722D9" w:rsidRPr="003A44F8" w:rsidRDefault="00B722D9" w:rsidP="00BA3F8B">
            <w:pPr>
              <w:keepNext/>
              <w:keepLines/>
              <w:widowControl/>
              <w:jc w:val="center"/>
              <w:rPr>
                <w:rFonts w:ascii="Arial Narrow" w:hAnsi="Arial Narrow" w:cstheme="minorHAnsi"/>
                <w:b/>
                <w:snapToGrid/>
                <w:sz w:val="20"/>
                <w:szCs w:val="20"/>
                <w:lang w:eastAsia="zh-CN"/>
              </w:rPr>
            </w:pPr>
            <w:r w:rsidRPr="003A44F8">
              <w:rPr>
                <w:rFonts w:ascii="Arial Narrow" w:hAnsi="Arial Narrow" w:cstheme="minorHAnsi"/>
                <w:b/>
                <w:snapToGrid/>
                <w:sz w:val="20"/>
                <w:szCs w:val="20"/>
                <w:lang w:eastAsia="zh-CN"/>
              </w:rPr>
              <w:t>Mean difference risdiplam against nusinersen (95% CI)</w:t>
            </w:r>
          </w:p>
        </w:tc>
      </w:tr>
      <w:tr w:rsidR="00B722D9" w:rsidRPr="003A44F8" w14:paraId="22726A77" w14:textId="77777777" w:rsidTr="00EC127F">
        <w:trPr>
          <w:trHeight w:val="412"/>
          <w:tblHeader/>
        </w:trPr>
        <w:tc>
          <w:tcPr>
            <w:tcW w:w="1347" w:type="pct"/>
            <w:vMerge/>
            <w:shd w:val="clear" w:color="auto" w:fill="auto"/>
          </w:tcPr>
          <w:p w14:paraId="0C5277D6" w14:textId="77777777" w:rsidR="00B722D9" w:rsidRPr="003A44F8" w:rsidRDefault="00B722D9" w:rsidP="00BA3F8B">
            <w:pPr>
              <w:keepNext/>
              <w:keepLines/>
              <w:widowControl/>
              <w:rPr>
                <w:rFonts w:ascii="Arial Narrow" w:hAnsi="Arial Narrow" w:cstheme="minorHAnsi"/>
                <w:snapToGrid/>
                <w:sz w:val="20"/>
                <w:szCs w:val="20"/>
                <w:lang w:eastAsia="zh-CN"/>
              </w:rPr>
            </w:pPr>
          </w:p>
        </w:tc>
        <w:tc>
          <w:tcPr>
            <w:tcW w:w="476" w:type="pct"/>
            <w:vMerge/>
            <w:shd w:val="clear" w:color="auto" w:fill="auto"/>
          </w:tcPr>
          <w:p w14:paraId="52CC145F" w14:textId="77777777" w:rsidR="00B722D9" w:rsidRPr="003A44F8" w:rsidRDefault="00B722D9" w:rsidP="00BA3F8B">
            <w:pPr>
              <w:keepNext/>
              <w:keepLines/>
              <w:widowControl/>
              <w:rPr>
                <w:rFonts w:ascii="Arial Narrow" w:hAnsi="Arial Narrow" w:cstheme="minorHAnsi"/>
                <w:b/>
                <w:snapToGrid/>
                <w:sz w:val="20"/>
                <w:szCs w:val="20"/>
                <w:lang w:eastAsia="zh-CN"/>
              </w:rPr>
            </w:pPr>
          </w:p>
        </w:tc>
        <w:tc>
          <w:tcPr>
            <w:tcW w:w="635" w:type="pct"/>
            <w:shd w:val="clear" w:color="auto" w:fill="auto"/>
            <w:vAlign w:val="center"/>
          </w:tcPr>
          <w:p w14:paraId="7A367339" w14:textId="77777777" w:rsidR="00B722D9" w:rsidRPr="003A44F8" w:rsidRDefault="00B722D9" w:rsidP="00BA3F8B">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Intervention</w:t>
            </w:r>
          </w:p>
        </w:tc>
        <w:tc>
          <w:tcPr>
            <w:tcW w:w="556" w:type="pct"/>
            <w:shd w:val="clear" w:color="auto" w:fill="auto"/>
            <w:vAlign w:val="center"/>
          </w:tcPr>
          <w:p w14:paraId="15EF556F" w14:textId="77777777" w:rsidR="00B722D9" w:rsidRPr="003A44F8" w:rsidRDefault="00B722D9" w:rsidP="00BA3F8B">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Control</w:t>
            </w:r>
          </w:p>
        </w:tc>
        <w:tc>
          <w:tcPr>
            <w:tcW w:w="635" w:type="pct"/>
            <w:vMerge/>
            <w:shd w:val="clear" w:color="auto" w:fill="auto"/>
          </w:tcPr>
          <w:p w14:paraId="19AD4364" w14:textId="77777777" w:rsidR="00B722D9" w:rsidRPr="003A44F8" w:rsidRDefault="00B722D9" w:rsidP="00BA3F8B">
            <w:pPr>
              <w:keepNext/>
              <w:keepLines/>
              <w:widowControl/>
              <w:rPr>
                <w:rFonts w:ascii="Arial Narrow" w:hAnsi="Arial Narrow" w:cstheme="minorHAnsi"/>
                <w:b/>
                <w:snapToGrid/>
                <w:sz w:val="20"/>
                <w:szCs w:val="20"/>
                <w:lang w:eastAsia="zh-CN"/>
              </w:rPr>
            </w:pPr>
          </w:p>
        </w:tc>
        <w:tc>
          <w:tcPr>
            <w:tcW w:w="1351" w:type="pct"/>
            <w:vMerge/>
            <w:shd w:val="clear" w:color="auto" w:fill="auto"/>
          </w:tcPr>
          <w:p w14:paraId="26FF126B" w14:textId="77777777" w:rsidR="00B722D9" w:rsidRPr="003A44F8" w:rsidRDefault="00B722D9" w:rsidP="00BA3F8B">
            <w:pPr>
              <w:keepNext/>
              <w:keepLines/>
              <w:widowControl/>
              <w:rPr>
                <w:rFonts w:ascii="Arial Narrow" w:hAnsi="Arial Narrow" w:cstheme="minorHAnsi"/>
                <w:b/>
                <w:snapToGrid/>
                <w:sz w:val="20"/>
                <w:szCs w:val="20"/>
                <w:lang w:eastAsia="zh-CN"/>
              </w:rPr>
            </w:pPr>
          </w:p>
        </w:tc>
      </w:tr>
      <w:tr w:rsidR="007A1E95" w:rsidRPr="003A44F8" w14:paraId="1977DD0E" w14:textId="77777777" w:rsidTr="00E96E81">
        <w:trPr>
          <w:trHeight w:val="144"/>
        </w:trPr>
        <w:tc>
          <w:tcPr>
            <w:tcW w:w="5000" w:type="pct"/>
            <w:gridSpan w:val="6"/>
            <w:shd w:val="clear" w:color="auto" w:fill="auto"/>
          </w:tcPr>
          <w:p w14:paraId="1A6B17AC" w14:textId="77777777" w:rsidR="007A1E95" w:rsidRPr="003A44F8" w:rsidRDefault="00404D1F" w:rsidP="00BA3F8B">
            <w:pPr>
              <w:keepNext/>
              <w:keepLines/>
              <w:widowControl/>
              <w:rPr>
                <w:rFonts w:ascii="Arial Narrow" w:hAnsi="Arial Narrow" w:cstheme="minorHAnsi"/>
                <w:b/>
                <w:snapToGrid/>
                <w:sz w:val="20"/>
                <w:szCs w:val="20"/>
                <w:lang w:eastAsia="zh-CN"/>
              </w:rPr>
            </w:pPr>
            <w:r>
              <w:rPr>
                <w:rFonts w:ascii="Arial Narrow" w:hAnsi="Arial Narrow" w:cstheme="minorHAnsi"/>
                <w:b/>
                <w:snapToGrid/>
                <w:sz w:val="20"/>
                <w:szCs w:val="20"/>
                <w:lang w:eastAsia="zh-CN"/>
              </w:rPr>
              <w:t>MAIC</w:t>
            </w:r>
          </w:p>
        </w:tc>
      </w:tr>
      <w:tr w:rsidR="007A1E95" w:rsidRPr="003A44F8" w14:paraId="77198347" w14:textId="77777777" w:rsidTr="00E96E81">
        <w:trPr>
          <w:trHeight w:val="144"/>
        </w:trPr>
        <w:tc>
          <w:tcPr>
            <w:tcW w:w="1347" w:type="pct"/>
            <w:shd w:val="clear" w:color="auto" w:fill="auto"/>
            <w:hideMark/>
          </w:tcPr>
          <w:p w14:paraId="26682513" w14:textId="77777777" w:rsidR="007A1E95" w:rsidRPr="003A44F8" w:rsidRDefault="007A1E95" w:rsidP="00BA3F8B">
            <w:pPr>
              <w:keepNext/>
              <w:keepLines/>
              <w:widowControl/>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Risdiplam (SUNFISH subset°)</w:t>
            </w:r>
          </w:p>
        </w:tc>
        <w:tc>
          <w:tcPr>
            <w:tcW w:w="476" w:type="pct"/>
            <w:shd w:val="clear" w:color="auto" w:fill="auto"/>
          </w:tcPr>
          <w:p w14:paraId="04630C38" w14:textId="77777777" w:rsidR="007A1E95" w:rsidRPr="003A44F8" w:rsidRDefault="007A1E95" w:rsidP="00BA3F8B">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37.1/68</w:t>
            </w:r>
          </w:p>
        </w:tc>
        <w:tc>
          <w:tcPr>
            <w:tcW w:w="635" w:type="pct"/>
            <w:shd w:val="clear" w:color="auto" w:fill="auto"/>
          </w:tcPr>
          <w:p w14:paraId="66D86A4D" w14:textId="77777777" w:rsidR="007A1E95" w:rsidRPr="003A44F8" w:rsidRDefault="007A1E95" w:rsidP="00BA3F8B">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3.3</w:t>
            </w:r>
          </w:p>
        </w:tc>
        <w:tc>
          <w:tcPr>
            <w:tcW w:w="556" w:type="pct"/>
            <w:shd w:val="clear" w:color="auto" w:fill="auto"/>
          </w:tcPr>
          <w:p w14:paraId="17730163" w14:textId="77777777" w:rsidR="007A1E95" w:rsidRPr="003A44F8" w:rsidRDefault="007A1E95" w:rsidP="00BA3F8B">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0.8</w:t>
            </w:r>
          </w:p>
        </w:tc>
        <w:tc>
          <w:tcPr>
            <w:tcW w:w="635" w:type="pct"/>
            <w:shd w:val="clear" w:color="auto" w:fill="auto"/>
            <w:hideMark/>
          </w:tcPr>
          <w:p w14:paraId="3208FEA5" w14:textId="77777777" w:rsidR="007A1E95" w:rsidRPr="003A44F8" w:rsidRDefault="007A1E95" w:rsidP="00BA3F8B">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2.5</w:t>
            </w:r>
          </w:p>
        </w:tc>
        <w:tc>
          <w:tcPr>
            <w:tcW w:w="1351" w:type="pct"/>
            <w:shd w:val="clear" w:color="auto" w:fill="auto"/>
            <w:hideMark/>
          </w:tcPr>
          <w:p w14:paraId="1E1DC4F4" w14:textId="77777777" w:rsidR="007A1E95" w:rsidRPr="003A44F8" w:rsidRDefault="007A1E95" w:rsidP="002E4A89">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-0.49</w:t>
            </w:r>
            <w:r w:rsidR="002E4A89">
              <w:rPr>
                <w:rFonts w:ascii="Arial Narrow" w:hAnsi="Arial Narrow" w:cstheme="minorHAnsi"/>
                <w:snapToGrid/>
                <w:sz w:val="20"/>
                <w:szCs w:val="20"/>
                <w:lang w:eastAsia="zh-CN"/>
              </w:rPr>
              <w:t xml:space="preserve"> </w:t>
            </w:r>
            <w:r w:rsidRPr="003A44F8">
              <w:rPr>
                <w:rFonts w:ascii="Arial Narrow" w:hAnsi="Arial Narrow" w:cstheme="minorHAnsi"/>
                <w:snapToGrid/>
                <w:sz w:val="20"/>
                <w:szCs w:val="20"/>
                <w:lang w:eastAsia="zh-CN"/>
              </w:rPr>
              <w:t>(-3.33; 2.53)*</w:t>
            </w:r>
          </w:p>
        </w:tc>
      </w:tr>
      <w:tr w:rsidR="007A1E95" w:rsidRPr="003A44F8" w14:paraId="509E3251" w14:textId="77777777" w:rsidTr="00E96E81">
        <w:trPr>
          <w:trHeight w:val="144"/>
        </w:trPr>
        <w:tc>
          <w:tcPr>
            <w:tcW w:w="1347" w:type="pct"/>
            <w:shd w:val="clear" w:color="auto" w:fill="auto"/>
            <w:hideMark/>
          </w:tcPr>
          <w:p w14:paraId="28CE354D" w14:textId="77777777" w:rsidR="007A1E95" w:rsidRPr="003A44F8" w:rsidRDefault="007A1E95" w:rsidP="00BA3F8B">
            <w:pPr>
              <w:keepNext/>
              <w:keepLines/>
              <w:widowControl/>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Nusinersen (CHERISH)</w:t>
            </w:r>
            <w:r w:rsidR="00404D1F">
              <w:rPr>
                <w:rFonts w:ascii="Arial Narrow" w:hAnsi="Arial Narrow" w:cstheme="minorHAnsi"/>
                <w:snapToGrid/>
                <w:sz w:val="20"/>
                <w:szCs w:val="20"/>
                <w:lang w:eastAsia="zh-CN"/>
              </w:rPr>
              <w:t>**</w:t>
            </w:r>
          </w:p>
        </w:tc>
        <w:tc>
          <w:tcPr>
            <w:tcW w:w="476" w:type="pct"/>
            <w:shd w:val="clear" w:color="auto" w:fill="auto"/>
          </w:tcPr>
          <w:p w14:paraId="09DFA437" w14:textId="77777777" w:rsidR="007A1E95" w:rsidRPr="003A44F8" w:rsidRDefault="007A1E95" w:rsidP="00BA3F8B">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126</w:t>
            </w:r>
          </w:p>
        </w:tc>
        <w:tc>
          <w:tcPr>
            <w:tcW w:w="635" w:type="pct"/>
            <w:shd w:val="clear" w:color="auto" w:fill="auto"/>
          </w:tcPr>
          <w:p w14:paraId="63AB9244" w14:textId="77777777" w:rsidR="007A1E95" w:rsidRPr="003A44F8" w:rsidRDefault="007A1E95" w:rsidP="00BA3F8B">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3.7</w:t>
            </w:r>
          </w:p>
        </w:tc>
        <w:tc>
          <w:tcPr>
            <w:tcW w:w="556" w:type="pct"/>
            <w:shd w:val="clear" w:color="auto" w:fill="auto"/>
          </w:tcPr>
          <w:p w14:paraId="48173510" w14:textId="77777777" w:rsidR="007A1E95" w:rsidRPr="003A44F8" w:rsidRDefault="007A1E95" w:rsidP="00BA3F8B">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0.7</w:t>
            </w:r>
          </w:p>
        </w:tc>
        <w:tc>
          <w:tcPr>
            <w:tcW w:w="635" w:type="pct"/>
            <w:shd w:val="clear" w:color="auto" w:fill="auto"/>
            <w:hideMark/>
          </w:tcPr>
          <w:p w14:paraId="3D5B720A" w14:textId="77777777" w:rsidR="007A1E95" w:rsidRPr="003A44F8" w:rsidRDefault="007A1E95" w:rsidP="00BA3F8B">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3.0</w:t>
            </w:r>
          </w:p>
        </w:tc>
        <w:tc>
          <w:tcPr>
            <w:tcW w:w="1351" w:type="pct"/>
            <w:shd w:val="clear" w:color="auto" w:fill="auto"/>
            <w:hideMark/>
          </w:tcPr>
          <w:p w14:paraId="7832D18E" w14:textId="77777777" w:rsidR="007A1E95" w:rsidRPr="003A44F8" w:rsidRDefault="007A1E95" w:rsidP="00BA3F8B">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Reference treatment</w:t>
            </w:r>
          </w:p>
        </w:tc>
      </w:tr>
      <w:tr w:rsidR="00404D1F" w:rsidRPr="003A44F8" w14:paraId="0CAD3AD4" w14:textId="77777777" w:rsidTr="00E96E81">
        <w:trPr>
          <w:trHeight w:val="144"/>
        </w:trPr>
        <w:tc>
          <w:tcPr>
            <w:tcW w:w="5000" w:type="pct"/>
            <w:gridSpan w:val="6"/>
            <w:shd w:val="clear" w:color="auto" w:fill="auto"/>
          </w:tcPr>
          <w:p w14:paraId="5FFD1F78" w14:textId="77777777" w:rsidR="00404D1F" w:rsidRPr="003A44F8" w:rsidRDefault="00404D1F" w:rsidP="00404D1F">
            <w:pPr>
              <w:keepNext/>
              <w:keepLines/>
              <w:widowControl/>
              <w:rPr>
                <w:rFonts w:ascii="Arial Narrow" w:hAnsi="Arial Narrow" w:cstheme="minorHAnsi"/>
                <w:snapToGrid/>
                <w:sz w:val="20"/>
                <w:szCs w:val="20"/>
                <w:lang w:eastAsia="zh-CN"/>
              </w:rPr>
            </w:pPr>
            <w:r>
              <w:rPr>
                <w:rFonts w:ascii="Arial Narrow" w:hAnsi="Arial Narrow" w:cstheme="minorHAnsi"/>
                <w:b/>
                <w:snapToGrid/>
                <w:sz w:val="20"/>
                <w:szCs w:val="20"/>
                <w:lang w:eastAsia="zh-CN"/>
              </w:rPr>
              <w:t>Bucher Indirect</w:t>
            </w:r>
          </w:p>
        </w:tc>
      </w:tr>
      <w:tr w:rsidR="00404D1F" w:rsidRPr="003A44F8" w14:paraId="62487B37" w14:textId="77777777" w:rsidTr="00E96E81">
        <w:trPr>
          <w:trHeight w:val="144"/>
        </w:trPr>
        <w:tc>
          <w:tcPr>
            <w:tcW w:w="1347" w:type="pct"/>
            <w:shd w:val="clear" w:color="auto" w:fill="auto"/>
          </w:tcPr>
          <w:p w14:paraId="6CB690A2" w14:textId="77777777" w:rsidR="00404D1F" w:rsidRPr="003A44F8" w:rsidRDefault="00404D1F" w:rsidP="00404D1F">
            <w:pPr>
              <w:keepNext/>
              <w:keepLines/>
              <w:widowControl/>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Risdiplam (SUNFISH subset°)</w:t>
            </w:r>
          </w:p>
        </w:tc>
        <w:tc>
          <w:tcPr>
            <w:tcW w:w="476" w:type="pct"/>
            <w:shd w:val="clear" w:color="auto" w:fill="auto"/>
          </w:tcPr>
          <w:p w14:paraId="32D78AD7" w14:textId="77777777" w:rsidR="00404D1F" w:rsidRPr="003A44F8" w:rsidRDefault="00404D1F" w:rsidP="00404D1F">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68</w:t>
            </w:r>
          </w:p>
        </w:tc>
        <w:tc>
          <w:tcPr>
            <w:tcW w:w="635" w:type="pct"/>
            <w:shd w:val="clear" w:color="auto" w:fill="auto"/>
          </w:tcPr>
          <w:p w14:paraId="11F63AD7" w14:textId="77777777" w:rsidR="00404D1F" w:rsidRPr="003A44F8" w:rsidRDefault="00404D1F" w:rsidP="00404D1F">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3.6</w:t>
            </w:r>
          </w:p>
        </w:tc>
        <w:tc>
          <w:tcPr>
            <w:tcW w:w="556" w:type="pct"/>
            <w:shd w:val="clear" w:color="auto" w:fill="auto"/>
          </w:tcPr>
          <w:p w14:paraId="2E3C10B0" w14:textId="77777777" w:rsidR="00404D1F" w:rsidRPr="003A44F8" w:rsidRDefault="00404D1F" w:rsidP="00404D1F">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1.2</w:t>
            </w:r>
          </w:p>
        </w:tc>
        <w:tc>
          <w:tcPr>
            <w:tcW w:w="635" w:type="pct"/>
            <w:shd w:val="clear" w:color="auto" w:fill="auto"/>
          </w:tcPr>
          <w:p w14:paraId="51590DD2" w14:textId="77777777" w:rsidR="00404D1F" w:rsidRPr="003A44F8" w:rsidRDefault="00404D1F" w:rsidP="00404D1F">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2.4</w:t>
            </w:r>
          </w:p>
        </w:tc>
        <w:tc>
          <w:tcPr>
            <w:tcW w:w="1351" w:type="pct"/>
            <w:shd w:val="clear" w:color="auto" w:fill="auto"/>
          </w:tcPr>
          <w:p w14:paraId="607421FB" w14:textId="77777777" w:rsidR="00404D1F" w:rsidRPr="003A44F8" w:rsidRDefault="00404D1F" w:rsidP="00404D1F">
            <w:pPr>
              <w:keepNext/>
              <w:keepLines/>
              <w:widowControl/>
              <w:jc w:val="center"/>
              <w:rPr>
                <w:rFonts w:ascii="Arial Narrow" w:hAnsi="Arial Narrow" w:cstheme="minorHAnsi"/>
                <w:snapToGrid/>
                <w:sz w:val="20"/>
                <w:szCs w:val="20"/>
                <w:lang w:eastAsia="zh-CN"/>
              </w:rPr>
            </w:pPr>
            <w:r w:rsidRPr="0002121F">
              <w:rPr>
                <w:rFonts w:ascii="Arial Narrow" w:hAnsi="Arial Narrow" w:cstheme="minorHAnsi"/>
                <w:snapToGrid/>
                <w:sz w:val="20"/>
                <w:szCs w:val="20"/>
                <w:lang w:eastAsia="zh-CN"/>
              </w:rPr>
              <w:t>-0.60</w:t>
            </w:r>
            <w:r>
              <w:rPr>
                <w:rFonts w:ascii="Arial Narrow" w:hAnsi="Arial Narrow" w:cstheme="minorHAnsi"/>
                <w:snapToGrid/>
                <w:sz w:val="20"/>
                <w:szCs w:val="20"/>
                <w:lang w:eastAsia="zh-CN"/>
              </w:rPr>
              <w:t xml:space="preserve"> </w:t>
            </w:r>
            <w:r w:rsidRPr="0002121F">
              <w:rPr>
                <w:rFonts w:ascii="Arial Narrow" w:hAnsi="Arial Narrow" w:cstheme="minorHAnsi"/>
                <w:snapToGrid/>
                <w:sz w:val="20"/>
                <w:szCs w:val="20"/>
                <w:lang w:eastAsia="zh-CN"/>
              </w:rPr>
              <w:t>(-2.24;1.22)*</w:t>
            </w:r>
          </w:p>
        </w:tc>
      </w:tr>
      <w:tr w:rsidR="00404D1F" w:rsidRPr="003A44F8" w14:paraId="6802DCD0" w14:textId="77777777" w:rsidTr="00E96E81">
        <w:trPr>
          <w:trHeight w:val="144"/>
        </w:trPr>
        <w:tc>
          <w:tcPr>
            <w:tcW w:w="1347" w:type="pct"/>
            <w:shd w:val="clear" w:color="auto" w:fill="auto"/>
          </w:tcPr>
          <w:p w14:paraId="11ABCF70" w14:textId="77777777" w:rsidR="00404D1F" w:rsidRPr="003A44F8" w:rsidRDefault="00404D1F" w:rsidP="00404D1F">
            <w:pPr>
              <w:keepNext/>
              <w:keepLines/>
              <w:widowControl/>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Nusinersen (CHERISH)**</w:t>
            </w:r>
          </w:p>
        </w:tc>
        <w:tc>
          <w:tcPr>
            <w:tcW w:w="476" w:type="pct"/>
            <w:shd w:val="clear" w:color="auto" w:fill="auto"/>
          </w:tcPr>
          <w:p w14:paraId="0741C918" w14:textId="77777777" w:rsidR="00404D1F" w:rsidRPr="003A44F8" w:rsidRDefault="00404D1F" w:rsidP="00404D1F">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126</w:t>
            </w:r>
          </w:p>
        </w:tc>
        <w:tc>
          <w:tcPr>
            <w:tcW w:w="635" w:type="pct"/>
            <w:shd w:val="clear" w:color="auto" w:fill="auto"/>
          </w:tcPr>
          <w:p w14:paraId="01CC4330" w14:textId="77777777" w:rsidR="00404D1F" w:rsidRPr="003A44F8" w:rsidRDefault="00404D1F" w:rsidP="00404D1F">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3.7</w:t>
            </w:r>
          </w:p>
        </w:tc>
        <w:tc>
          <w:tcPr>
            <w:tcW w:w="556" w:type="pct"/>
            <w:shd w:val="clear" w:color="auto" w:fill="auto"/>
          </w:tcPr>
          <w:p w14:paraId="143A3506" w14:textId="77777777" w:rsidR="00404D1F" w:rsidRPr="003A44F8" w:rsidRDefault="00404D1F" w:rsidP="00404D1F">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0.7</w:t>
            </w:r>
          </w:p>
        </w:tc>
        <w:tc>
          <w:tcPr>
            <w:tcW w:w="635" w:type="pct"/>
            <w:shd w:val="clear" w:color="auto" w:fill="auto"/>
          </w:tcPr>
          <w:p w14:paraId="1810DD95" w14:textId="77777777" w:rsidR="00404D1F" w:rsidRPr="003A44F8" w:rsidRDefault="00404D1F" w:rsidP="00404D1F">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3.0</w:t>
            </w:r>
          </w:p>
        </w:tc>
        <w:tc>
          <w:tcPr>
            <w:tcW w:w="1351" w:type="pct"/>
            <w:shd w:val="clear" w:color="auto" w:fill="auto"/>
          </w:tcPr>
          <w:p w14:paraId="5A1162A9" w14:textId="77777777" w:rsidR="00404D1F" w:rsidRPr="003A44F8" w:rsidRDefault="00404D1F" w:rsidP="00404D1F">
            <w:pPr>
              <w:keepNext/>
              <w:keepLines/>
              <w:widowControl/>
              <w:jc w:val="center"/>
              <w:rPr>
                <w:rFonts w:ascii="Arial Narrow" w:hAnsi="Arial Narrow" w:cstheme="minorHAnsi"/>
                <w:snapToGrid/>
                <w:sz w:val="20"/>
                <w:szCs w:val="20"/>
                <w:lang w:eastAsia="zh-CN"/>
              </w:rPr>
            </w:pPr>
            <w:r w:rsidRPr="003A44F8">
              <w:rPr>
                <w:rFonts w:ascii="Arial Narrow" w:hAnsi="Arial Narrow" w:cstheme="minorHAnsi"/>
                <w:snapToGrid/>
                <w:sz w:val="20"/>
                <w:szCs w:val="20"/>
                <w:lang w:eastAsia="zh-CN"/>
              </w:rPr>
              <w:t>Reference treatment</w:t>
            </w:r>
          </w:p>
        </w:tc>
      </w:tr>
    </w:tbl>
    <w:p w14:paraId="50DDF539" w14:textId="77777777" w:rsidR="00404D1F" w:rsidRPr="003A44F8" w:rsidRDefault="007A1E95" w:rsidP="00404D1F">
      <w:pPr>
        <w:keepNext/>
        <w:keepLines/>
        <w:widowControl/>
        <w:tabs>
          <w:tab w:val="left" w:pos="1100"/>
        </w:tabs>
        <w:jc w:val="left"/>
        <w:rPr>
          <w:rFonts w:ascii="Arial Narrow" w:eastAsiaTheme="minorEastAsia" w:hAnsi="Arial Narrow" w:cstheme="minorBidi"/>
          <w:noProof/>
          <w:snapToGrid/>
          <w:sz w:val="18"/>
          <w:szCs w:val="18"/>
        </w:rPr>
      </w:pPr>
      <w:r w:rsidRPr="003A44F8">
        <w:rPr>
          <w:rFonts w:ascii="Arial Narrow" w:eastAsiaTheme="minorEastAsia" w:hAnsi="Arial Narrow" w:cstheme="minorBidi"/>
          <w:snapToGrid/>
          <w:sz w:val="20"/>
          <w:szCs w:val="20"/>
        </w:rPr>
        <w:t>°</w:t>
      </w:r>
      <w:r w:rsidRPr="003A44F8">
        <w:rPr>
          <w:rFonts w:ascii="Arial Narrow" w:eastAsiaTheme="minorEastAsia" w:hAnsi="Arial Narrow" w:cstheme="minorBidi"/>
          <w:noProof/>
          <w:snapToGrid/>
          <w:sz w:val="18"/>
          <w:szCs w:val="18"/>
        </w:rPr>
        <w:t>Patients from SUNFISH Part 2 aged ≤9 years at screening, with a HFMSE score ≥10 at baseline, and without severe scoliosis. *N=1000 successful bootstrap samples.</w:t>
      </w:r>
      <w:r w:rsidR="00404D1F" w:rsidRPr="003A44F8">
        <w:rPr>
          <w:rFonts w:ascii="Arial Narrow" w:eastAsiaTheme="minorEastAsia" w:hAnsi="Arial Narrow" w:cstheme="minorBidi"/>
          <w:noProof/>
          <w:snapToGrid/>
          <w:sz w:val="18"/>
          <w:szCs w:val="18"/>
        </w:rPr>
        <w:t>**Extracted from the graph in Figure 2.27 of the submission using digitizing software: at 15 months the values were 4.2 for nusinersen and 0.5 for control (Table 2.44, p133 of the submission)</w:t>
      </w:r>
    </w:p>
    <w:p w14:paraId="6E15677E" w14:textId="77777777" w:rsidR="00404D1F" w:rsidRPr="003A44F8" w:rsidRDefault="00B722D9" w:rsidP="00404D1F">
      <w:pPr>
        <w:widowControl/>
        <w:tabs>
          <w:tab w:val="left" w:pos="1100"/>
        </w:tabs>
        <w:jc w:val="left"/>
        <w:rPr>
          <w:rFonts w:ascii="Arial Narrow" w:eastAsiaTheme="minorEastAsia" w:hAnsi="Arial Narrow" w:cstheme="minorBidi"/>
          <w:noProof/>
          <w:snapToGrid/>
          <w:sz w:val="18"/>
          <w:szCs w:val="18"/>
        </w:rPr>
      </w:pPr>
      <w:r>
        <w:rPr>
          <w:rFonts w:ascii="Arial Narrow" w:eastAsiaTheme="minorEastAsia" w:hAnsi="Arial Narrow" w:cstheme="minorBidi"/>
          <w:noProof/>
          <w:snapToGrid/>
          <w:sz w:val="18"/>
          <w:szCs w:val="18"/>
        </w:rPr>
        <w:t>MAIC = matching adjusted indirect comparison</w:t>
      </w:r>
      <w:r w:rsidR="00404D1F" w:rsidRPr="003A44F8">
        <w:rPr>
          <w:rFonts w:ascii="Arial Narrow" w:eastAsiaTheme="minorEastAsia" w:hAnsi="Arial Narrow" w:cstheme="minorBidi"/>
          <w:noProof/>
          <w:snapToGrid/>
          <w:sz w:val="18"/>
          <w:szCs w:val="18"/>
        </w:rPr>
        <w:t xml:space="preserve">CI=confidence interval; ESS=effective sample size; N=number of samples; RULM=revised uppper limb module </w:t>
      </w:r>
    </w:p>
    <w:p w14:paraId="46303A2B" w14:textId="77777777" w:rsidR="00404D1F" w:rsidRPr="003A44F8" w:rsidRDefault="00404D1F" w:rsidP="00E330FE">
      <w:pPr>
        <w:widowControl/>
        <w:spacing w:after="160"/>
        <w:rPr>
          <w:rFonts w:ascii="Arial Narrow" w:eastAsiaTheme="minorEastAsia" w:hAnsi="Arial Narrow" w:cstheme="minorBidi"/>
          <w:noProof/>
          <w:snapToGrid/>
          <w:sz w:val="18"/>
          <w:szCs w:val="18"/>
        </w:rPr>
      </w:pPr>
      <w:r w:rsidRPr="003A44F8">
        <w:rPr>
          <w:rFonts w:ascii="Arial Narrow" w:eastAsiaTheme="minorEastAsia" w:hAnsi="Arial Narrow" w:cstheme="minorBidi"/>
          <w:noProof/>
          <w:snapToGrid/>
          <w:sz w:val="18"/>
          <w:szCs w:val="18"/>
        </w:rPr>
        <w:t xml:space="preserve">Source: Source: Table 2.72, p173 </w:t>
      </w:r>
      <w:r>
        <w:rPr>
          <w:rFonts w:ascii="Arial Narrow" w:eastAsiaTheme="minorEastAsia" w:hAnsi="Arial Narrow" w:cstheme="minorBidi"/>
          <w:noProof/>
          <w:snapToGrid/>
          <w:sz w:val="18"/>
          <w:szCs w:val="18"/>
        </w:rPr>
        <w:t xml:space="preserve">and </w:t>
      </w:r>
      <w:r w:rsidRPr="003A44F8">
        <w:rPr>
          <w:rFonts w:ascii="Arial Narrow" w:eastAsiaTheme="minorEastAsia" w:hAnsi="Arial Narrow" w:cstheme="minorBidi"/>
          <w:noProof/>
          <w:snapToGrid/>
          <w:sz w:val="18"/>
          <w:szCs w:val="18"/>
        </w:rPr>
        <w:t>Table 2.74, p174 of the submission.</w:t>
      </w:r>
    </w:p>
    <w:p w14:paraId="433464F4" w14:textId="77777777" w:rsidR="007A1E95" w:rsidRPr="00DB5F26" w:rsidRDefault="00636A75" w:rsidP="00636A75">
      <w:pPr>
        <w:keepNext/>
        <w:keepLines/>
        <w:widowControl/>
        <w:rPr>
          <w:rFonts w:ascii="Arial Narrow" w:eastAsiaTheme="minorEastAsia" w:hAnsi="Arial Narrow" w:cstheme="minorBidi"/>
          <w:b/>
          <w:bCs/>
          <w:noProof/>
          <w:snapToGrid/>
          <w:sz w:val="20"/>
          <w:szCs w:val="20"/>
        </w:rPr>
      </w:pPr>
      <w:bookmarkStart w:id="28" w:name="_Ref61515757"/>
      <w:r w:rsidRPr="00636A75">
        <w:rPr>
          <w:rFonts w:ascii="Arial Narrow" w:eastAsiaTheme="minorEastAsia" w:hAnsi="Arial Narrow" w:cstheme="minorBidi"/>
          <w:b/>
          <w:bCs/>
          <w:noProof/>
          <w:snapToGrid/>
          <w:sz w:val="20"/>
          <w:szCs w:val="20"/>
        </w:rPr>
        <w:lastRenderedPageBreak/>
        <w:t xml:space="preserve">Table </w:t>
      </w:r>
      <w:r w:rsidR="009825B3">
        <w:rPr>
          <w:rFonts w:ascii="Arial Narrow" w:eastAsiaTheme="minorEastAsia" w:hAnsi="Arial Narrow" w:cstheme="minorBidi"/>
          <w:b/>
          <w:bCs/>
          <w:noProof/>
          <w:snapToGrid/>
          <w:sz w:val="20"/>
          <w:szCs w:val="20"/>
        </w:rPr>
        <w:t>10</w:t>
      </w:r>
      <w:bookmarkEnd w:id="28"/>
      <w:r w:rsidR="007A1E95" w:rsidRPr="00DB5F26">
        <w:rPr>
          <w:rFonts w:ascii="Arial Narrow" w:eastAsiaTheme="minorEastAsia" w:hAnsi="Arial Narrow" w:cstheme="minorBidi"/>
          <w:b/>
          <w:bCs/>
          <w:noProof/>
          <w:snapToGrid/>
          <w:sz w:val="20"/>
          <w:szCs w:val="20"/>
        </w:rPr>
        <w:t xml:space="preserve">: </w:t>
      </w:r>
      <w:r w:rsidR="00B722D9">
        <w:rPr>
          <w:rFonts w:ascii="Arial Narrow" w:eastAsiaTheme="minorEastAsia" w:hAnsi="Arial Narrow" w:cstheme="minorBidi"/>
          <w:b/>
          <w:bCs/>
          <w:noProof/>
          <w:snapToGrid/>
          <w:sz w:val="20"/>
          <w:szCs w:val="20"/>
        </w:rPr>
        <w:t xml:space="preserve">Indirect comparisons </w:t>
      </w:r>
      <w:r w:rsidR="007A1E95" w:rsidRPr="00DB5F26">
        <w:rPr>
          <w:rFonts w:ascii="Arial Narrow" w:eastAsiaTheme="minorEastAsia" w:hAnsi="Arial Narrow" w:cstheme="minorBidi"/>
          <w:b/>
          <w:bCs/>
          <w:noProof/>
          <w:snapToGrid/>
          <w:sz w:val="20"/>
          <w:szCs w:val="20"/>
        </w:rPr>
        <w:t>for RULM responders (score change ≥ 2 points)</w:t>
      </w:r>
      <w:r w:rsidR="007A1E95" w:rsidRPr="00636A75">
        <w:rPr>
          <w:rFonts w:ascii="Arial Narrow" w:eastAsiaTheme="minorEastAsia" w:hAnsi="Arial Narrow" w:cstheme="minorBidi"/>
          <w:b/>
          <w:bCs/>
          <w:noProof/>
          <w:snapToGrid/>
          <w:sz w:val="20"/>
          <w:szCs w:val="20"/>
        </w:rPr>
        <w:t xml:space="preserve"> </w:t>
      </w:r>
      <w:r w:rsidR="007A1E95" w:rsidRPr="00DB5F26">
        <w:rPr>
          <w:rFonts w:ascii="Arial Narrow" w:eastAsiaTheme="minorEastAsia" w:hAnsi="Arial Narrow" w:cstheme="minorBidi"/>
          <w:b/>
          <w:bCs/>
          <w:noProof/>
          <w:snapToGrid/>
          <w:sz w:val="20"/>
          <w:szCs w:val="20"/>
        </w:rPr>
        <w:t xml:space="preserve">at 12 months in </w:t>
      </w:r>
      <w:r w:rsidR="00B722D9">
        <w:rPr>
          <w:rFonts w:ascii="Arial Narrow" w:eastAsiaTheme="minorEastAsia" w:hAnsi="Arial Narrow" w:cstheme="minorBidi"/>
          <w:b/>
          <w:bCs/>
          <w:noProof/>
          <w:snapToGrid/>
          <w:sz w:val="20"/>
          <w:szCs w:val="20"/>
        </w:rPr>
        <w:t xml:space="preserve">patients aged ≤18 years with </w:t>
      </w:r>
      <w:r w:rsidR="007A1E95" w:rsidRPr="00DB5F26">
        <w:rPr>
          <w:rFonts w:ascii="Arial Narrow" w:eastAsiaTheme="minorEastAsia" w:hAnsi="Arial Narrow" w:cstheme="minorBidi"/>
          <w:b/>
          <w:bCs/>
          <w:noProof/>
          <w:snapToGrid/>
          <w:sz w:val="20"/>
          <w:szCs w:val="20"/>
        </w:rPr>
        <w:t>SMA type 2 and 3 (SUNFISH and CHERISH)</w:t>
      </w:r>
    </w:p>
    <w:tbl>
      <w:tblPr>
        <w:tblStyle w:val="TableGrid23"/>
        <w:tblW w:w="5000" w:type="pct"/>
        <w:tblCellMar>
          <w:left w:w="28" w:type="dxa"/>
          <w:right w:w="28" w:type="dxa"/>
        </w:tblCellMar>
        <w:tblLook w:val="0420" w:firstRow="1" w:lastRow="0" w:firstColumn="0" w:lastColumn="0" w:noHBand="0" w:noVBand="1"/>
        <w:tblCaption w:val="Table 10: Indirect comparisons for RULM responders (score change ≥ 2 points) at 12 months in patients aged ≤18 years with SMA type 2 and 3 (SUNFISH and CHERISH)"/>
      </w:tblPr>
      <w:tblGrid>
        <w:gridCol w:w="2573"/>
        <w:gridCol w:w="1003"/>
        <w:gridCol w:w="1145"/>
        <w:gridCol w:w="1145"/>
        <w:gridCol w:w="1289"/>
        <w:gridCol w:w="1861"/>
      </w:tblGrid>
      <w:tr w:rsidR="00B722D9" w:rsidRPr="00DB5F26" w14:paraId="72491836" w14:textId="77777777" w:rsidTr="000D6486">
        <w:trPr>
          <w:trHeight w:val="20"/>
          <w:tblHeader/>
        </w:trPr>
        <w:tc>
          <w:tcPr>
            <w:tcW w:w="1427" w:type="pct"/>
            <w:vMerge w:val="restart"/>
            <w:shd w:val="clear" w:color="auto" w:fill="auto"/>
            <w:vAlign w:val="center"/>
          </w:tcPr>
          <w:p w14:paraId="4C11BC9B" w14:textId="77777777" w:rsidR="00B722D9" w:rsidRPr="00DB5F26" w:rsidRDefault="00B722D9" w:rsidP="00B722D9">
            <w:pPr>
              <w:keepNext/>
              <w:keepLines/>
              <w:jc w:val="left"/>
              <w:rPr>
                <w:rFonts w:ascii="Arial Narrow" w:hAnsi="Arial Narrow" w:cstheme="minorBidi"/>
                <w:noProof/>
                <w:snapToGrid/>
                <w:sz w:val="20"/>
                <w:szCs w:val="20"/>
              </w:rPr>
            </w:pPr>
            <w:r w:rsidRPr="00DB5F26">
              <w:rPr>
                <w:rFonts w:ascii="Arial Narrow" w:hAnsi="Arial Narrow" w:cstheme="minorBidi"/>
                <w:b/>
                <w:noProof/>
                <w:snapToGrid/>
                <w:sz w:val="20"/>
                <w:szCs w:val="20"/>
              </w:rPr>
              <w:t>Comparator (STUDY)</w:t>
            </w:r>
          </w:p>
        </w:tc>
        <w:tc>
          <w:tcPr>
            <w:tcW w:w="556" w:type="pct"/>
            <w:vMerge w:val="restart"/>
            <w:shd w:val="clear" w:color="auto" w:fill="auto"/>
            <w:vAlign w:val="center"/>
          </w:tcPr>
          <w:p w14:paraId="5F7D6996" w14:textId="77777777" w:rsidR="00B722D9" w:rsidRPr="00DB5F26" w:rsidRDefault="00B722D9" w:rsidP="00E330FE">
            <w:pPr>
              <w:keepNext/>
              <w:keepLines/>
              <w:jc w:val="center"/>
              <w:rPr>
                <w:rFonts w:ascii="Arial Narrow" w:hAnsi="Arial Narrow" w:cstheme="minorBidi"/>
                <w:noProof/>
                <w:snapToGrid/>
                <w:sz w:val="20"/>
                <w:szCs w:val="20"/>
              </w:rPr>
            </w:pPr>
            <w:r w:rsidRPr="003A44F8">
              <w:rPr>
                <w:rFonts w:ascii="Arial Narrow" w:hAnsi="Arial Narrow" w:cstheme="minorHAnsi"/>
                <w:b/>
                <w:snapToGrid/>
                <w:sz w:val="20"/>
                <w:szCs w:val="20"/>
                <w:lang w:eastAsia="zh-CN"/>
              </w:rPr>
              <w:t>ESS/N</w:t>
            </w:r>
          </w:p>
        </w:tc>
        <w:tc>
          <w:tcPr>
            <w:tcW w:w="1270" w:type="pct"/>
            <w:gridSpan w:val="2"/>
            <w:shd w:val="clear" w:color="auto" w:fill="auto"/>
            <w:vAlign w:val="center"/>
          </w:tcPr>
          <w:p w14:paraId="6948932E" w14:textId="77777777" w:rsidR="00B722D9" w:rsidRPr="00DB5F26" w:rsidRDefault="00B722D9" w:rsidP="00E330FE">
            <w:pPr>
              <w:keepNext/>
              <w:keepLines/>
              <w:widowControl/>
              <w:jc w:val="center"/>
              <w:rPr>
                <w:rFonts w:ascii="Arial Narrow" w:hAnsi="Arial Narrow" w:cstheme="minorBidi"/>
                <w:b/>
                <w:noProof/>
                <w:snapToGrid/>
                <w:sz w:val="20"/>
                <w:szCs w:val="20"/>
              </w:rPr>
            </w:pPr>
            <w:r w:rsidRPr="00DB5F26">
              <w:rPr>
                <w:rFonts w:ascii="Arial Narrow" w:hAnsi="Arial Narrow" w:cstheme="minorBidi"/>
                <w:b/>
                <w:noProof/>
                <w:snapToGrid/>
                <w:sz w:val="20"/>
                <w:szCs w:val="20"/>
              </w:rPr>
              <w:t>Proportion of responders</w:t>
            </w:r>
          </w:p>
        </w:tc>
        <w:tc>
          <w:tcPr>
            <w:tcW w:w="715" w:type="pct"/>
            <w:vMerge w:val="restart"/>
            <w:shd w:val="clear" w:color="auto" w:fill="auto"/>
            <w:vAlign w:val="center"/>
          </w:tcPr>
          <w:p w14:paraId="204336F0" w14:textId="77777777" w:rsidR="00B722D9" w:rsidRPr="00DB5F26" w:rsidRDefault="00B722D9" w:rsidP="00E330FE">
            <w:pPr>
              <w:keepNext/>
              <w:keepLines/>
              <w:widowControl/>
              <w:jc w:val="center"/>
              <w:rPr>
                <w:rFonts w:ascii="Arial Narrow" w:hAnsi="Arial Narrow" w:cstheme="minorBidi"/>
                <w:b/>
                <w:noProof/>
                <w:snapToGrid/>
                <w:sz w:val="20"/>
                <w:szCs w:val="20"/>
              </w:rPr>
            </w:pPr>
            <w:r w:rsidRPr="00DB5F26">
              <w:rPr>
                <w:rFonts w:ascii="Arial Narrow" w:hAnsi="Arial Narrow" w:cstheme="minorBidi"/>
                <w:b/>
                <w:noProof/>
                <w:snapToGrid/>
                <w:sz w:val="20"/>
                <w:szCs w:val="20"/>
              </w:rPr>
              <w:t>OR against control</w:t>
            </w:r>
          </w:p>
        </w:tc>
        <w:tc>
          <w:tcPr>
            <w:tcW w:w="1032" w:type="pct"/>
            <w:vMerge w:val="restart"/>
            <w:shd w:val="clear" w:color="auto" w:fill="auto"/>
            <w:vAlign w:val="center"/>
          </w:tcPr>
          <w:p w14:paraId="4D9F45E4" w14:textId="77777777" w:rsidR="00B722D9" w:rsidRPr="00DB5F26" w:rsidRDefault="00B722D9" w:rsidP="00E330FE">
            <w:pPr>
              <w:keepNext/>
              <w:keepLines/>
              <w:widowControl/>
              <w:jc w:val="center"/>
              <w:rPr>
                <w:rFonts w:ascii="Arial Narrow" w:hAnsi="Arial Narrow" w:cstheme="minorBidi"/>
                <w:noProof/>
                <w:snapToGrid/>
                <w:sz w:val="20"/>
                <w:szCs w:val="20"/>
              </w:rPr>
            </w:pPr>
            <w:r w:rsidRPr="00DB5F26">
              <w:rPr>
                <w:rFonts w:ascii="Arial Narrow" w:hAnsi="Arial Narrow" w:cstheme="minorBidi"/>
                <w:b/>
                <w:noProof/>
                <w:snapToGrid/>
                <w:sz w:val="20"/>
                <w:szCs w:val="20"/>
              </w:rPr>
              <w:t>OR</w:t>
            </w:r>
            <w:r>
              <w:rPr>
                <w:rFonts w:ascii="Arial Narrow" w:hAnsi="Arial Narrow" w:cstheme="minorBidi"/>
                <w:b/>
                <w:noProof/>
                <w:snapToGrid/>
                <w:sz w:val="20"/>
                <w:szCs w:val="20"/>
              </w:rPr>
              <w:t xml:space="preserve"> </w:t>
            </w:r>
            <w:r w:rsidRPr="00DB5F26">
              <w:rPr>
                <w:rFonts w:ascii="Arial Narrow" w:hAnsi="Arial Narrow" w:cstheme="minorBidi"/>
                <w:b/>
                <w:noProof/>
                <w:snapToGrid/>
                <w:sz w:val="20"/>
                <w:szCs w:val="20"/>
              </w:rPr>
              <w:t>(95% CI)</w:t>
            </w:r>
          </w:p>
        </w:tc>
      </w:tr>
      <w:tr w:rsidR="00B722D9" w:rsidRPr="00DB5F26" w14:paraId="5B615BF8" w14:textId="77777777" w:rsidTr="000D6486">
        <w:trPr>
          <w:trHeight w:val="20"/>
          <w:tblHeader/>
        </w:trPr>
        <w:tc>
          <w:tcPr>
            <w:tcW w:w="1427" w:type="pct"/>
            <w:vMerge/>
            <w:shd w:val="clear" w:color="auto" w:fill="auto"/>
          </w:tcPr>
          <w:p w14:paraId="7932CE65" w14:textId="77777777" w:rsidR="00B722D9" w:rsidRPr="00DB5F26" w:rsidRDefault="00B722D9" w:rsidP="00B722D9">
            <w:pPr>
              <w:keepNext/>
              <w:keepLines/>
              <w:widowControl/>
              <w:rPr>
                <w:rFonts w:ascii="Arial Narrow" w:hAnsi="Arial Narrow" w:cstheme="minorBidi"/>
                <w:noProof/>
                <w:snapToGrid/>
                <w:sz w:val="20"/>
                <w:szCs w:val="20"/>
              </w:rPr>
            </w:pPr>
          </w:p>
        </w:tc>
        <w:tc>
          <w:tcPr>
            <w:tcW w:w="556" w:type="pct"/>
            <w:vMerge/>
            <w:shd w:val="clear" w:color="auto" w:fill="auto"/>
            <w:vAlign w:val="center"/>
          </w:tcPr>
          <w:p w14:paraId="2D24DF6B" w14:textId="77777777" w:rsidR="00B722D9" w:rsidRPr="00DB5F26" w:rsidRDefault="00B722D9" w:rsidP="00B722D9">
            <w:pPr>
              <w:keepNext/>
              <w:keepLines/>
              <w:widowControl/>
              <w:rPr>
                <w:rFonts w:ascii="Arial Narrow" w:hAnsi="Arial Narrow" w:cstheme="minorBidi"/>
                <w:noProof/>
                <w:snapToGrid/>
                <w:sz w:val="20"/>
                <w:szCs w:val="20"/>
              </w:rPr>
            </w:pPr>
          </w:p>
        </w:tc>
        <w:tc>
          <w:tcPr>
            <w:tcW w:w="635" w:type="pct"/>
            <w:shd w:val="clear" w:color="auto" w:fill="auto"/>
            <w:vAlign w:val="center"/>
          </w:tcPr>
          <w:p w14:paraId="7A9BE6E8" w14:textId="77777777" w:rsidR="00B722D9" w:rsidRPr="00E330FE" w:rsidRDefault="00B722D9" w:rsidP="00E330FE">
            <w:pPr>
              <w:keepNext/>
              <w:keepLines/>
              <w:widowControl/>
              <w:jc w:val="center"/>
              <w:rPr>
                <w:rFonts w:ascii="Arial Narrow" w:hAnsi="Arial Narrow" w:cstheme="minorBidi"/>
                <w:b/>
                <w:bCs/>
                <w:noProof/>
                <w:snapToGrid/>
                <w:sz w:val="20"/>
                <w:szCs w:val="20"/>
              </w:rPr>
            </w:pPr>
            <w:r w:rsidRPr="00E330FE">
              <w:rPr>
                <w:rFonts w:ascii="Arial Narrow" w:hAnsi="Arial Narrow" w:cstheme="minorBidi"/>
                <w:b/>
                <w:bCs/>
                <w:noProof/>
                <w:snapToGrid/>
                <w:sz w:val="20"/>
                <w:szCs w:val="20"/>
              </w:rPr>
              <w:t>Intervention</w:t>
            </w:r>
          </w:p>
        </w:tc>
        <w:tc>
          <w:tcPr>
            <w:tcW w:w="635" w:type="pct"/>
            <w:shd w:val="clear" w:color="auto" w:fill="auto"/>
            <w:vAlign w:val="center"/>
          </w:tcPr>
          <w:p w14:paraId="49F646B8" w14:textId="77777777" w:rsidR="00B722D9" w:rsidRPr="00E330FE" w:rsidRDefault="00B722D9" w:rsidP="00E330FE">
            <w:pPr>
              <w:keepNext/>
              <w:keepLines/>
              <w:widowControl/>
              <w:jc w:val="center"/>
              <w:rPr>
                <w:rFonts w:ascii="Arial Narrow" w:hAnsi="Arial Narrow" w:cstheme="minorBidi"/>
                <w:b/>
                <w:bCs/>
                <w:noProof/>
                <w:snapToGrid/>
                <w:sz w:val="20"/>
                <w:szCs w:val="20"/>
              </w:rPr>
            </w:pPr>
            <w:r w:rsidRPr="00E330FE">
              <w:rPr>
                <w:rFonts w:ascii="Arial Narrow" w:hAnsi="Arial Narrow" w:cstheme="minorBidi"/>
                <w:b/>
                <w:bCs/>
                <w:noProof/>
                <w:snapToGrid/>
                <w:sz w:val="20"/>
                <w:szCs w:val="20"/>
              </w:rPr>
              <w:t>Control</w:t>
            </w:r>
          </w:p>
        </w:tc>
        <w:tc>
          <w:tcPr>
            <w:tcW w:w="715" w:type="pct"/>
            <w:vMerge/>
            <w:shd w:val="clear" w:color="auto" w:fill="auto"/>
          </w:tcPr>
          <w:p w14:paraId="0803E52D" w14:textId="77777777" w:rsidR="00B722D9" w:rsidRPr="00DB5F26" w:rsidRDefault="00B722D9" w:rsidP="00B722D9">
            <w:pPr>
              <w:keepNext/>
              <w:keepLines/>
              <w:widowControl/>
              <w:rPr>
                <w:rFonts w:ascii="Arial Narrow" w:hAnsi="Arial Narrow" w:cstheme="minorBidi"/>
                <w:noProof/>
                <w:snapToGrid/>
                <w:sz w:val="20"/>
                <w:szCs w:val="20"/>
              </w:rPr>
            </w:pPr>
          </w:p>
        </w:tc>
        <w:tc>
          <w:tcPr>
            <w:tcW w:w="1032" w:type="pct"/>
            <w:vMerge/>
            <w:shd w:val="clear" w:color="auto" w:fill="auto"/>
          </w:tcPr>
          <w:p w14:paraId="187BAB25" w14:textId="77777777" w:rsidR="00B722D9" w:rsidRPr="00DB5F26" w:rsidRDefault="00B722D9" w:rsidP="00B722D9">
            <w:pPr>
              <w:keepNext/>
              <w:keepLines/>
              <w:widowControl/>
              <w:rPr>
                <w:rFonts w:ascii="Arial Narrow" w:hAnsi="Arial Narrow" w:cstheme="minorBidi"/>
                <w:noProof/>
                <w:snapToGrid/>
                <w:sz w:val="20"/>
                <w:szCs w:val="20"/>
              </w:rPr>
            </w:pPr>
          </w:p>
        </w:tc>
      </w:tr>
      <w:tr w:rsidR="00B722D9" w:rsidRPr="00DB5F26" w14:paraId="6DCC083A" w14:textId="77777777" w:rsidTr="0044536A">
        <w:trPr>
          <w:trHeight w:val="20"/>
        </w:trPr>
        <w:tc>
          <w:tcPr>
            <w:tcW w:w="5000" w:type="pct"/>
            <w:gridSpan w:val="6"/>
            <w:shd w:val="clear" w:color="auto" w:fill="auto"/>
          </w:tcPr>
          <w:p w14:paraId="41121568" w14:textId="77777777" w:rsidR="00B722D9" w:rsidRPr="00DB5F26" w:rsidRDefault="00B722D9" w:rsidP="00B722D9">
            <w:pPr>
              <w:keepNext/>
              <w:keepLines/>
              <w:widowControl/>
              <w:rPr>
                <w:rFonts w:ascii="Arial Narrow" w:hAnsi="Arial Narrow" w:cstheme="minorBidi"/>
                <w:noProof/>
                <w:snapToGrid/>
                <w:sz w:val="20"/>
                <w:szCs w:val="20"/>
              </w:rPr>
            </w:pPr>
            <w:r>
              <w:rPr>
                <w:rFonts w:ascii="Arial Narrow" w:hAnsi="Arial Narrow" w:cstheme="minorBidi"/>
                <w:b/>
                <w:noProof/>
                <w:snapToGrid/>
                <w:sz w:val="20"/>
                <w:szCs w:val="20"/>
              </w:rPr>
              <w:t>MAIC</w:t>
            </w:r>
          </w:p>
        </w:tc>
      </w:tr>
      <w:tr w:rsidR="00B722D9" w:rsidRPr="00DB5F26" w14:paraId="5BD81A47" w14:textId="77777777" w:rsidTr="0044536A">
        <w:trPr>
          <w:trHeight w:val="20"/>
        </w:trPr>
        <w:tc>
          <w:tcPr>
            <w:tcW w:w="1427" w:type="pct"/>
            <w:shd w:val="clear" w:color="auto" w:fill="auto"/>
          </w:tcPr>
          <w:p w14:paraId="476483EB" w14:textId="77777777" w:rsidR="00B722D9" w:rsidRPr="00DB5F26" w:rsidRDefault="00B722D9" w:rsidP="00B722D9">
            <w:pPr>
              <w:keepNext/>
              <w:keepLines/>
              <w:widowControl/>
              <w:rPr>
                <w:rFonts w:ascii="Arial Narrow" w:hAnsi="Arial Narrow" w:cstheme="minorBidi"/>
                <w:noProof/>
                <w:snapToGrid/>
                <w:sz w:val="20"/>
                <w:szCs w:val="20"/>
              </w:rPr>
            </w:pPr>
            <w:r w:rsidRPr="00DB5F26">
              <w:rPr>
                <w:rFonts w:ascii="Arial Narrow" w:hAnsi="Arial Narrow" w:cstheme="minorBidi"/>
                <w:noProof/>
                <w:snapToGrid/>
                <w:sz w:val="20"/>
                <w:szCs w:val="20"/>
              </w:rPr>
              <w:t>Risdiplam (SUNFISH subset°)</w:t>
            </w:r>
          </w:p>
        </w:tc>
        <w:tc>
          <w:tcPr>
            <w:tcW w:w="556" w:type="pct"/>
            <w:shd w:val="clear" w:color="auto" w:fill="auto"/>
            <w:vAlign w:val="center"/>
          </w:tcPr>
          <w:p w14:paraId="7625A91B"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DB5F26">
              <w:rPr>
                <w:rFonts w:ascii="Arial Narrow" w:hAnsi="Arial Narrow" w:cstheme="minorBidi"/>
                <w:noProof/>
                <w:snapToGrid/>
                <w:sz w:val="20"/>
                <w:szCs w:val="20"/>
              </w:rPr>
              <w:t>37.1/68</w:t>
            </w:r>
          </w:p>
        </w:tc>
        <w:tc>
          <w:tcPr>
            <w:tcW w:w="635" w:type="pct"/>
            <w:shd w:val="clear" w:color="auto" w:fill="auto"/>
            <w:vAlign w:val="center"/>
          </w:tcPr>
          <w:p w14:paraId="1DD56FBD"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DB5F26">
              <w:rPr>
                <w:rFonts w:ascii="Arial Narrow" w:hAnsi="Arial Narrow" w:cstheme="minorBidi"/>
                <w:noProof/>
                <w:snapToGrid/>
                <w:sz w:val="20"/>
                <w:szCs w:val="20"/>
              </w:rPr>
              <w:t>88%</w:t>
            </w:r>
          </w:p>
        </w:tc>
        <w:tc>
          <w:tcPr>
            <w:tcW w:w="635" w:type="pct"/>
            <w:shd w:val="clear" w:color="auto" w:fill="auto"/>
            <w:vAlign w:val="center"/>
          </w:tcPr>
          <w:p w14:paraId="202C741D"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DB5F26">
              <w:rPr>
                <w:rFonts w:ascii="Arial Narrow" w:hAnsi="Arial Narrow" w:cstheme="minorBidi"/>
                <w:noProof/>
                <w:snapToGrid/>
                <w:sz w:val="20"/>
                <w:szCs w:val="20"/>
              </w:rPr>
              <w:t>64%</w:t>
            </w:r>
          </w:p>
        </w:tc>
        <w:tc>
          <w:tcPr>
            <w:tcW w:w="715" w:type="pct"/>
            <w:shd w:val="clear" w:color="auto" w:fill="auto"/>
            <w:vAlign w:val="center"/>
          </w:tcPr>
          <w:p w14:paraId="646F36D4"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DB5F26">
              <w:rPr>
                <w:rFonts w:ascii="Arial Narrow" w:hAnsi="Arial Narrow" w:cstheme="minorBidi"/>
                <w:noProof/>
                <w:snapToGrid/>
                <w:sz w:val="20"/>
                <w:szCs w:val="20"/>
              </w:rPr>
              <w:t>4.1</w:t>
            </w:r>
          </w:p>
        </w:tc>
        <w:tc>
          <w:tcPr>
            <w:tcW w:w="1032" w:type="pct"/>
            <w:shd w:val="clear" w:color="auto" w:fill="auto"/>
            <w:vAlign w:val="center"/>
          </w:tcPr>
          <w:p w14:paraId="199748FF"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DB5F26">
              <w:rPr>
                <w:rFonts w:ascii="Arial Narrow" w:hAnsi="Arial Narrow" w:cstheme="minorBidi"/>
                <w:noProof/>
                <w:snapToGrid/>
                <w:sz w:val="20"/>
                <w:szCs w:val="20"/>
              </w:rPr>
              <w:t>2.64 (0; 117.94)*</w:t>
            </w:r>
          </w:p>
        </w:tc>
      </w:tr>
      <w:tr w:rsidR="00B722D9" w:rsidRPr="00DB5F26" w14:paraId="58A72B8E" w14:textId="77777777" w:rsidTr="0044536A">
        <w:trPr>
          <w:trHeight w:val="20"/>
        </w:trPr>
        <w:tc>
          <w:tcPr>
            <w:tcW w:w="1427" w:type="pct"/>
            <w:shd w:val="clear" w:color="auto" w:fill="auto"/>
          </w:tcPr>
          <w:p w14:paraId="0C75061D" w14:textId="77777777" w:rsidR="00B722D9" w:rsidRPr="00DB5F26" w:rsidRDefault="00B722D9" w:rsidP="00B722D9">
            <w:pPr>
              <w:keepNext/>
              <w:keepLines/>
              <w:widowControl/>
              <w:rPr>
                <w:rFonts w:ascii="Arial Narrow" w:hAnsi="Arial Narrow" w:cstheme="minorBidi"/>
                <w:noProof/>
                <w:snapToGrid/>
                <w:sz w:val="20"/>
                <w:szCs w:val="20"/>
              </w:rPr>
            </w:pPr>
            <w:r w:rsidRPr="00DB5F26">
              <w:rPr>
                <w:rFonts w:ascii="Arial Narrow" w:hAnsi="Arial Narrow" w:cstheme="minorBidi"/>
                <w:noProof/>
                <w:snapToGrid/>
                <w:sz w:val="20"/>
                <w:szCs w:val="20"/>
              </w:rPr>
              <w:t>Nusinersen (CHERISH)</w:t>
            </w:r>
            <w:r>
              <w:rPr>
                <w:rFonts w:ascii="Arial Narrow" w:hAnsi="Arial Narrow" w:cstheme="minorBidi"/>
                <w:noProof/>
                <w:snapToGrid/>
                <w:sz w:val="20"/>
                <w:szCs w:val="20"/>
              </w:rPr>
              <w:t xml:space="preserve"> **</w:t>
            </w:r>
          </w:p>
        </w:tc>
        <w:tc>
          <w:tcPr>
            <w:tcW w:w="556" w:type="pct"/>
            <w:shd w:val="clear" w:color="auto" w:fill="auto"/>
            <w:vAlign w:val="center"/>
          </w:tcPr>
          <w:p w14:paraId="007844BB"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DB5F26">
              <w:rPr>
                <w:rFonts w:ascii="Arial Narrow" w:hAnsi="Arial Narrow" w:cstheme="minorBidi"/>
                <w:noProof/>
                <w:snapToGrid/>
                <w:sz w:val="20"/>
                <w:szCs w:val="20"/>
              </w:rPr>
              <w:t>118</w:t>
            </w:r>
          </w:p>
        </w:tc>
        <w:tc>
          <w:tcPr>
            <w:tcW w:w="635" w:type="pct"/>
            <w:shd w:val="clear" w:color="auto" w:fill="auto"/>
            <w:vAlign w:val="center"/>
          </w:tcPr>
          <w:p w14:paraId="20F16445"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DB5F26">
              <w:rPr>
                <w:rFonts w:ascii="Arial Narrow" w:hAnsi="Arial Narrow" w:cstheme="minorBidi"/>
                <w:noProof/>
                <w:snapToGrid/>
                <w:sz w:val="20"/>
                <w:szCs w:val="20"/>
              </w:rPr>
              <w:t>66%</w:t>
            </w:r>
          </w:p>
        </w:tc>
        <w:tc>
          <w:tcPr>
            <w:tcW w:w="635" w:type="pct"/>
            <w:shd w:val="clear" w:color="auto" w:fill="auto"/>
            <w:vAlign w:val="center"/>
          </w:tcPr>
          <w:p w14:paraId="67A07698"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DB5F26">
              <w:rPr>
                <w:rFonts w:ascii="Arial Narrow" w:hAnsi="Arial Narrow" w:cstheme="minorBidi"/>
                <w:noProof/>
                <w:snapToGrid/>
                <w:sz w:val="20"/>
                <w:szCs w:val="20"/>
              </w:rPr>
              <w:t>56%</w:t>
            </w:r>
          </w:p>
        </w:tc>
        <w:tc>
          <w:tcPr>
            <w:tcW w:w="715" w:type="pct"/>
            <w:shd w:val="clear" w:color="auto" w:fill="auto"/>
            <w:vAlign w:val="center"/>
          </w:tcPr>
          <w:p w14:paraId="11F28E29"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DB5F26">
              <w:rPr>
                <w:rFonts w:ascii="Arial Narrow" w:hAnsi="Arial Narrow" w:cstheme="minorBidi"/>
                <w:noProof/>
                <w:snapToGrid/>
                <w:sz w:val="20"/>
                <w:szCs w:val="20"/>
              </w:rPr>
              <w:t>1.5</w:t>
            </w:r>
          </w:p>
        </w:tc>
        <w:tc>
          <w:tcPr>
            <w:tcW w:w="1032" w:type="pct"/>
            <w:shd w:val="clear" w:color="auto" w:fill="auto"/>
            <w:vAlign w:val="center"/>
          </w:tcPr>
          <w:p w14:paraId="21446A1A"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DB5F26">
              <w:rPr>
                <w:rFonts w:ascii="Arial Narrow" w:hAnsi="Arial Narrow" w:cstheme="minorBidi"/>
                <w:noProof/>
                <w:snapToGrid/>
                <w:sz w:val="20"/>
                <w:szCs w:val="20"/>
              </w:rPr>
              <w:t>Reference treatment</w:t>
            </w:r>
          </w:p>
        </w:tc>
      </w:tr>
      <w:tr w:rsidR="00B722D9" w:rsidRPr="00DB5F26" w14:paraId="230CBFE6" w14:textId="77777777" w:rsidTr="0044536A">
        <w:trPr>
          <w:trHeight w:val="20"/>
        </w:trPr>
        <w:tc>
          <w:tcPr>
            <w:tcW w:w="5000" w:type="pct"/>
            <w:gridSpan w:val="6"/>
            <w:shd w:val="clear" w:color="auto" w:fill="auto"/>
          </w:tcPr>
          <w:p w14:paraId="203EC4B3" w14:textId="77777777" w:rsidR="00B722D9" w:rsidRPr="00DB5F26" w:rsidRDefault="00B722D9" w:rsidP="00B722D9">
            <w:pPr>
              <w:keepNext/>
              <w:keepLines/>
              <w:widowControl/>
              <w:rPr>
                <w:rFonts w:ascii="Arial Narrow" w:hAnsi="Arial Narrow" w:cstheme="minorBidi"/>
                <w:noProof/>
                <w:snapToGrid/>
                <w:sz w:val="20"/>
                <w:szCs w:val="20"/>
              </w:rPr>
            </w:pPr>
            <w:r>
              <w:rPr>
                <w:rFonts w:ascii="Arial Narrow" w:hAnsi="Arial Narrow" w:cstheme="minorHAnsi"/>
                <w:b/>
                <w:snapToGrid/>
                <w:sz w:val="20"/>
                <w:szCs w:val="20"/>
                <w:lang w:eastAsia="zh-CN"/>
              </w:rPr>
              <w:t xml:space="preserve">Bucher Indirect </w:t>
            </w:r>
          </w:p>
        </w:tc>
      </w:tr>
      <w:tr w:rsidR="00B722D9" w:rsidRPr="00DB5F26" w14:paraId="2D71EB74" w14:textId="77777777" w:rsidTr="0044536A">
        <w:trPr>
          <w:trHeight w:val="20"/>
        </w:trPr>
        <w:tc>
          <w:tcPr>
            <w:tcW w:w="1427" w:type="pct"/>
            <w:shd w:val="clear" w:color="auto" w:fill="auto"/>
          </w:tcPr>
          <w:p w14:paraId="3B2AAF39" w14:textId="77777777" w:rsidR="00B722D9" w:rsidRPr="00DB5F26" w:rsidRDefault="00B722D9" w:rsidP="00B722D9">
            <w:pPr>
              <w:keepNext/>
              <w:keepLines/>
              <w:widowControl/>
              <w:rPr>
                <w:rFonts w:ascii="Arial Narrow" w:hAnsi="Arial Narrow" w:cstheme="minorBidi"/>
                <w:noProof/>
                <w:snapToGrid/>
                <w:sz w:val="20"/>
                <w:szCs w:val="20"/>
              </w:rPr>
            </w:pPr>
            <w:r w:rsidRPr="003A44F8">
              <w:rPr>
                <w:rFonts w:ascii="Arial Narrow" w:hAnsi="Arial Narrow" w:cstheme="minorHAnsi"/>
                <w:snapToGrid/>
                <w:sz w:val="20"/>
                <w:szCs w:val="20"/>
                <w:lang w:eastAsia="zh-CN"/>
              </w:rPr>
              <w:t>Risdiplam</w:t>
            </w:r>
            <w:r>
              <w:rPr>
                <w:rFonts w:ascii="Arial Narrow" w:hAnsi="Arial Narrow" w:cstheme="minorHAnsi"/>
                <w:snapToGrid/>
                <w:sz w:val="20"/>
                <w:szCs w:val="20"/>
                <w:lang w:eastAsia="zh-CN"/>
              </w:rPr>
              <w:t xml:space="preserve"> </w:t>
            </w:r>
            <w:r w:rsidRPr="003A44F8">
              <w:rPr>
                <w:rFonts w:ascii="Arial Narrow" w:hAnsi="Arial Narrow" w:cstheme="minorHAnsi"/>
                <w:snapToGrid/>
                <w:sz w:val="20"/>
                <w:szCs w:val="20"/>
                <w:lang w:eastAsia="zh-CN"/>
              </w:rPr>
              <w:t>(SUNFISH subset°)</w:t>
            </w:r>
          </w:p>
        </w:tc>
        <w:tc>
          <w:tcPr>
            <w:tcW w:w="556" w:type="pct"/>
            <w:shd w:val="clear" w:color="auto" w:fill="auto"/>
            <w:vAlign w:val="center"/>
          </w:tcPr>
          <w:p w14:paraId="6F910149"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3A44F8">
              <w:rPr>
                <w:rFonts w:ascii="Arial Narrow" w:hAnsi="Arial Narrow" w:cstheme="minorHAnsi"/>
                <w:snapToGrid/>
                <w:sz w:val="20"/>
                <w:szCs w:val="20"/>
                <w:lang w:eastAsia="zh-CN"/>
              </w:rPr>
              <w:t>68</w:t>
            </w:r>
          </w:p>
        </w:tc>
        <w:tc>
          <w:tcPr>
            <w:tcW w:w="635" w:type="pct"/>
            <w:shd w:val="clear" w:color="auto" w:fill="auto"/>
            <w:vAlign w:val="center"/>
          </w:tcPr>
          <w:p w14:paraId="28EB36B8"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3A44F8">
              <w:rPr>
                <w:rFonts w:ascii="Arial Narrow" w:hAnsi="Arial Narrow" w:cstheme="minorHAnsi"/>
                <w:snapToGrid/>
                <w:sz w:val="20"/>
                <w:szCs w:val="20"/>
                <w:lang w:eastAsia="zh-CN"/>
              </w:rPr>
              <w:t>79%</w:t>
            </w:r>
          </w:p>
        </w:tc>
        <w:tc>
          <w:tcPr>
            <w:tcW w:w="635" w:type="pct"/>
            <w:shd w:val="clear" w:color="auto" w:fill="auto"/>
            <w:vAlign w:val="center"/>
          </w:tcPr>
          <w:p w14:paraId="629F0B95"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3A44F8">
              <w:rPr>
                <w:rFonts w:ascii="Arial Narrow" w:hAnsi="Arial Narrow" w:cstheme="minorHAnsi"/>
                <w:snapToGrid/>
                <w:sz w:val="20"/>
                <w:szCs w:val="20"/>
                <w:lang w:eastAsia="zh-CN"/>
              </w:rPr>
              <w:t>48%</w:t>
            </w:r>
          </w:p>
        </w:tc>
        <w:tc>
          <w:tcPr>
            <w:tcW w:w="715" w:type="pct"/>
            <w:shd w:val="clear" w:color="auto" w:fill="auto"/>
            <w:vAlign w:val="center"/>
          </w:tcPr>
          <w:p w14:paraId="0A8C2BB3"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3A44F8">
              <w:rPr>
                <w:rFonts w:ascii="Arial Narrow" w:hAnsi="Arial Narrow" w:cstheme="minorHAnsi"/>
                <w:snapToGrid/>
                <w:sz w:val="20"/>
                <w:szCs w:val="20"/>
                <w:lang w:eastAsia="zh-CN"/>
              </w:rPr>
              <w:t>4.1</w:t>
            </w:r>
          </w:p>
        </w:tc>
        <w:tc>
          <w:tcPr>
            <w:tcW w:w="1032" w:type="pct"/>
            <w:shd w:val="clear" w:color="auto" w:fill="auto"/>
            <w:vAlign w:val="center"/>
          </w:tcPr>
          <w:p w14:paraId="3E7519F7"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1856FC">
              <w:rPr>
                <w:rFonts w:ascii="Arial Narrow" w:hAnsi="Arial Narrow" w:cstheme="minorHAnsi"/>
                <w:snapToGrid/>
                <w:sz w:val="20"/>
                <w:szCs w:val="20"/>
                <w:lang w:eastAsia="zh-CN"/>
              </w:rPr>
              <w:t>2.66</w:t>
            </w:r>
            <w:r>
              <w:rPr>
                <w:rFonts w:ascii="Arial Narrow" w:hAnsi="Arial Narrow" w:cstheme="minorHAnsi"/>
                <w:snapToGrid/>
                <w:sz w:val="20"/>
                <w:szCs w:val="20"/>
                <w:lang w:eastAsia="zh-CN"/>
              </w:rPr>
              <w:t xml:space="preserve"> </w:t>
            </w:r>
            <w:r w:rsidRPr="001856FC">
              <w:rPr>
                <w:rFonts w:ascii="Arial Narrow" w:hAnsi="Arial Narrow" w:cstheme="minorHAnsi"/>
                <w:snapToGrid/>
                <w:sz w:val="20"/>
                <w:szCs w:val="20"/>
                <w:lang w:eastAsia="zh-CN"/>
              </w:rPr>
              <w:t>(0.76; 12.74)*</w:t>
            </w:r>
          </w:p>
        </w:tc>
      </w:tr>
      <w:tr w:rsidR="00B722D9" w:rsidRPr="00DB5F26" w14:paraId="0E52F5B1" w14:textId="77777777" w:rsidTr="0044536A">
        <w:trPr>
          <w:trHeight w:val="20"/>
        </w:trPr>
        <w:tc>
          <w:tcPr>
            <w:tcW w:w="1427" w:type="pct"/>
            <w:shd w:val="clear" w:color="auto" w:fill="auto"/>
          </w:tcPr>
          <w:p w14:paraId="06628900" w14:textId="77777777" w:rsidR="00B722D9" w:rsidRPr="00DB5F26" w:rsidRDefault="00B722D9" w:rsidP="00B722D9">
            <w:pPr>
              <w:keepNext/>
              <w:keepLines/>
              <w:widowControl/>
              <w:rPr>
                <w:rFonts w:ascii="Arial Narrow" w:hAnsi="Arial Narrow" w:cstheme="minorBidi"/>
                <w:noProof/>
                <w:snapToGrid/>
                <w:sz w:val="20"/>
                <w:szCs w:val="20"/>
              </w:rPr>
            </w:pPr>
            <w:r w:rsidRPr="003A44F8">
              <w:rPr>
                <w:rFonts w:ascii="Arial Narrow" w:hAnsi="Arial Narrow" w:cstheme="minorHAnsi"/>
                <w:snapToGrid/>
                <w:sz w:val="20"/>
                <w:szCs w:val="20"/>
                <w:lang w:eastAsia="zh-CN"/>
              </w:rPr>
              <w:t>Nusinersen</w:t>
            </w:r>
            <w:r>
              <w:rPr>
                <w:rFonts w:ascii="Arial Narrow" w:hAnsi="Arial Narrow" w:cstheme="minorHAnsi"/>
                <w:snapToGrid/>
                <w:sz w:val="20"/>
                <w:szCs w:val="20"/>
                <w:lang w:eastAsia="zh-CN"/>
              </w:rPr>
              <w:t xml:space="preserve"> </w:t>
            </w:r>
            <w:r w:rsidRPr="003A44F8">
              <w:rPr>
                <w:rFonts w:ascii="Arial Narrow" w:hAnsi="Arial Narrow" w:cstheme="minorHAnsi"/>
                <w:snapToGrid/>
                <w:sz w:val="20"/>
                <w:szCs w:val="20"/>
                <w:lang w:eastAsia="zh-CN"/>
              </w:rPr>
              <w:t>(CHERISH)</w:t>
            </w:r>
            <w:r>
              <w:rPr>
                <w:rFonts w:ascii="Arial Narrow" w:hAnsi="Arial Narrow" w:cstheme="minorHAnsi"/>
                <w:snapToGrid/>
                <w:sz w:val="20"/>
                <w:szCs w:val="20"/>
                <w:lang w:eastAsia="zh-CN"/>
              </w:rPr>
              <w:t xml:space="preserve"> **</w:t>
            </w:r>
          </w:p>
        </w:tc>
        <w:tc>
          <w:tcPr>
            <w:tcW w:w="556" w:type="pct"/>
            <w:shd w:val="clear" w:color="auto" w:fill="auto"/>
            <w:vAlign w:val="center"/>
          </w:tcPr>
          <w:p w14:paraId="0D2E7FE6"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3A44F8">
              <w:rPr>
                <w:rFonts w:ascii="Arial Narrow" w:hAnsi="Arial Narrow" w:cstheme="minorHAnsi"/>
                <w:snapToGrid/>
                <w:sz w:val="20"/>
                <w:szCs w:val="20"/>
                <w:lang w:eastAsia="zh-CN"/>
              </w:rPr>
              <w:t>118</w:t>
            </w:r>
          </w:p>
        </w:tc>
        <w:tc>
          <w:tcPr>
            <w:tcW w:w="635" w:type="pct"/>
            <w:shd w:val="clear" w:color="auto" w:fill="auto"/>
            <w:vAlign w:val="center"/>
          </w:tcPr>
          <w:p w14:paraId="4BED4530"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3A44F8">
              <w:rPr>
                <w:rFonts w:ascii="Arial Narrow" w:hAnsi="Arial Narrow" w:cstheme="minorHAnsi"/>
                <w:snapToGrid/>
                <w:sz w:val="20"/>
                <w:szCs w:val="20"/>
                <w:lang w:eastAsia="zh-CN"/>
              </w:rPr>
              <w:t>66%</w:t>
            </w:r>
          </w:p>
        </w:tc>
        <w:tc>
          <w:tcPr>
            <w:tcW w:w="635" w:type="pct"/>
            <w:shd w:val="clear" w:color="auto" w:fill="auto"/>
            <w:vAlign w:val="center"/>
          </w:tcPr>
          <w:p w14:paraId="688429D6"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3A44F8">
              <w:rPr>
                <w:rFonts w:ascii="Arial Narrow" w:hAnsi="Arial Narrow" w:cstheme="minorHAnsi"/>
                <w:snapToGrid/>
                <w:sz w:val="20"/>
                <w:szCs w:val="20"/>
                <w:lang w:eastAsia="zh-CN"/>
              </w:rPr>
              <w:t>56%</w:t>
            </w:r>
          </w:p>
        </w:tc>
        <w:tc>
          <w:tcPr>
            <w:tcW w:w="715" w:type="pct"/>
            <w:shd w:val="clear" w:color="auto" w:fill="auto"/>
            <w:vAlign w:val="center"/>
          </w:tcPr>
          <w:p w14:paraId="3145EA0F"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3A44F8">
              <w:rPr>
                <w:rFonts w:ascii="Arial Narrow" w:hAnsi="Arial Narrow" w:cstheme="minorHAnsi"/>
                <w:snapToGrid/>
                <w:sz w:val="20"/>
                <w:szCs w:val="20"/>
                <w:lang w:eastAsia="zh-CN"/>
              </w:rPr>
              <w:t>1.5</w:t>
            </w:r>
          </w:p>
        </w:tc>
        <w:tc>
          <w:tcPr>
            <w:tcW w:w="1032" w:type="pct"/>
            <w:shd w:val="clear" w:color="auto" w:fill="auto"/>
            <w:vAlign w:val="center"/>
          </w:tcPr>
          <w:p w14:paraId="623109D4" w14:textId="77777777" w:rsidR="00B722D9" w:rsidRPr="00DB5F26" w:rsidRDefault="00B722D9" w:rsidP="00B722D9">
            <w:pPr>
              <w:keepNext/>
              <w:keepLines/>
              <w:widowControl/>
              <w:jc w:val="center"/>
              <w:rPr>
                <w:rFonts w:ascii="Arial Narrow" w:hAnsi="Arial Narrow" w:cstheme="minorBidi"/>
                <w:noProof/>
                <w:snapToGrid/>
                <w:sz w:val="20"/>
                <w:szCs w:val="20"/>
              </w:rPr>
            </w:pPr>
            <w:r w:rsidRPr="003A44F8">
              <w:rPr>
                <w:rFonts w:ascii="Arial Narrow" w:hAnsi="Arial Narrow" w:cstheme="minorHAnsi"/>
                <w:snapToGrid/>
                <w:sz w:val="20"/>
                <w:szCs w:val="20"/>
                <w:lang w:eastAsia="zh-CN"/>
              </w:rPr>
              <w:t>Reference treatment</w:t>
            </w:r>
          </w:p>
        </w:tc>
      </w:tr>
    </w:tbl>
    <w:p w14:paraId="1FA83B74" w14:textId="77777777" w:rsidR="00B722D9" w:rsidRDefault="007A1E95" w:rsidP="00523896">
      <w:pPr>
        <w:keepNext/>
        <w:keepLines/>
        <w:widowControl/>
        <w:rPr>
          <w:rFonts w:ascii="Arial Narrow" w:eastAsiaTheme="minorEastAsia" w:hAnsi="Arial Narrow" w:cstheme="minorBidi"/>
          <w:noProof/>
          <w:snapToGrid/>
          <w:sz w:val="18"/>
          <w:szCs w:val="18"/>
        </w:rPr>
      </w:pPr>
      <w:r w:rsidRPr="00DB5F26">
        <w:rPr>
          <w:rFonts w:ascii="Arial Narrow" w:eastAsiaTheme="minorEastAsia" w:hAnsi="Arial Narrow" w:cstheme="minorBidi"/>
          <w:noProof/>
          <w:snapToGrid/>
          <w:sz w:val="18"/>
          <w:szCs w:val="18"/>
        </w:rPr>
        <w:t>°Patients from SUNFISH Part 2 aged ≤9 years at screening, with a HFMSE score ≥10 at baseline, and without severe scoliosis.</w:t>
      </w:r>
    </w:p>
    <w:p w14:paraId="13FD94CE" w14:textId="77777777" w:rsidR="007A1E95" w:rsidRDefault="007A1E95" w:rsidP="00523896">
      <w:pPr>
        <w:keepNext/>
        <w:keepLines/>
        <w:widowControl/>
        <w:rPr>
          <w:rFonts w:ascii="Arial Narrow" w:eastAsiaTheme="minorEastAsia" w:hAnsi="Arial Narrow" w:cstheme="minorBidi"/>
          <w:noProof/>
          <w:snapToGrid/>
          <w:sz w:val="18"/>
          <w:szCs w:val="18"/>
        </w:rPr>
      </w:pPr>
      <w:r w:rsidRPr="00DB5F26">
        <w:rPr>
          <w:rFonts w:ascii="Arial Narrow" w:eastAsiaTheme="minorEastAsia" w:hAnsi="Arial Narrow" w:cstheme="minorBidi"/>
          <w:noProof/>
          <w:snapToGrid/>
          <w:sz w:val="18"/>
          <w:szCs w:val="18"/>
        </w:rPr>
        <w:t>*N=1000 successful bootstrap samples.</w:t>
      </w:r>
    </w:p>
    <w:p w14:paraId="02425724" w14:textId="77777777" w:rsidR="00B722D9" w:rsidRPr="00DB5F26" w:rsidRDefault="00B30A99" w:rsidP="00523896">
      <w:pPr>
        <w:keepNext/>
        <w:keepLines/>
        <w:widowControl/>
        <w:rPr>
          <w:rFonts w:ascii="Arial Narrow" w:eastAsiaTheme="minorEastAsia" w:hAnsi="Arial Narrow" w:cstheme="minorBidi"/>
          <w:noProof/>
          <w:snapToGrid/>
          <w:sz w:val="18"/>
          <w:szCs w:val="18"/>
        </w:rPr>
      </w:pPr>
      <w:r>
        <w:rPr>
          <w:rFonts w:ascii="Arial Narrow" w:eastAsiaTheme="minorEastAsia" w:hAnsi="Arial Narrow" w:cstheme="minorBidi"/>
          <w:noProof/>
          <w:snapToGrid/>
          <w:sz w:val="18"/>
          <w:szCs w:val="18"/>
        </w:rPr>
        <w:t>**</w:t>
      </w:r>
      <w:r w:rsidR="00B722D9">
        <w:rPr>
          <w:rFonts w:ascii="Arial Narrow" w:eastAsiaTheme="minorEastAsia" w:hAnsi="Arial Narrow" w:cstheme="minorBidi"/>
          <w:noProof/>
          <w:snapToGrid/>
          <w:sz w:val="18"/>
          <w:szCs w:val="18"/>
        </w:rPr>
        <w:t xml:space="preserve"> </w:t>
      </w:r>
      <w:r w:rsidRPr="00B30A99">
        <w:rPr>
          <w:rFonts w:ascii="Arial Narrow" w:eastAsiaTheme="minorEastAsia" w:hAnsi="Arial Narrow" w:cstheme="minorBidi"/>
          <w:noProof/>
          <w:snapToGrid/>
          <w:sz w:val="18"/>
          <w:szCs w:val="18"/>
        </w:rPr>
        <w:t>calculated from non-imputed data of RULM change from baseline at 12 months</w:t>
      </w:r>
      <w:r>
        <w:rPr>
          <w:rFonts w:ascii="Arial Narrow" w:eastAsiaTheme="minorEastAsia" w:hAnsi="Arial Narrow" w:cstheme="minorBidi"/>
          <w:noProof/>
          <w:snapToGrid/>
          <w:sz w:val="18"/>
          <w:szCs w:val="18"/>
        </w:rPr>
        <w:t xml:space="preserve"> by the submission</w:t>
      </w:r>
    </w:p>
    <w:p w14:paraId="4615AB50" w14:textId="77777777" w:rsidR="00B722D9" w:rsidRPr="003A44F8" w:rsidRDefault="00B722D9" w:rsidP="00B722D9">
      <w:pPr>
        <w:keepNext/>
        <w:keepLines/>
        <w:widowControl/>
        <w:tabs>
          <w:tab w:val="left" w:pos="1100"/>
        </w:tabs>
        <w:jc w:val="left"/>
        <w:rPr>
          <w:rFonts w:ascii="Arial Narrow" w:eastAsiaTheme="minorEastAsia" w:hAnsi="Arial Narrow" w:cstheme="minorBidi"/>
          <w:snapToGrid/>
          <w:sz w:val="18"/>
          <w:szCs w:val="18"/>
        </w:rPr>
      </w:pPr>
      <w:r w:rsidRPr="003A44F8">
        <w:rPr>
          <w:rFonts w:ascii="Arial Narrow" w:eastAsiaTheme="minorEastAsia" w:hAnsi="Arial Narrow" w:cstheme="minorBidi"/>
          <w:snapToGrid/>
          <w:sz w:val="18"/>
          <w:szCs w:val="18"/>
        </w:rPr>
        <w:t xml:space="preserve">CI=confidence interval; ESS=effective sample size; N=number of samples; OR=odds ratio; RULM= revised upper limb module </w:t>
      </w:r>
    </w:p>
    <w:p w14:paraId="4859EE7C" w14:textId="77777777" w:rsidR="007A1E95" w:rsidRPr="00DB5F26" w:rsidRDefault="00B722D9" w:rsidP="00E330FE">
      <w:pPr>
        <w:keepNext/>
        <w:keepLines/>
        <w:widowControl/>
        <w:tabs>
          <w:tab w:val="left" w:pos="1100"/>
        </w:tabs>
        <w:spacing w:after="160"/>
        <w:jc w:val="left"/>
        <w:rPr>
          <w:rFonts w:ascii="Arial Narrow" w:eastAsiaTheme="minorEastAsia" w:hAnsi="Arial Narrow" w:cstheme="minorBidi"/>
          <w:noProof/>
          <w:snapToGrid/>
          <w:sz w:val="18"/>
          <w:szCs w:val="18"/>
        </w:rPr>
      </w:pPr>
      <w:r w:rsidRPr="003A44F8">
        <w:rPr>
          <w:rFonts w:ascii="Arial Narrow" w:eastAsiaTheme="minorEastAsia" w:hAnsi="Arial Narrow" w:cstheme="minorBidi"/>
          <w:noProof/>
          <w:snapToGrid/>
          <w:sz w:val="18"/>
          <w:szCs w:val="18"/>
        </w:rPr>
        <w:t xml:space="preserve">Source: </w:t>
      </w:r>
      <w:r w:rsidR="007A1E95" w:rsidRPr="00DB5F26">
        <w:rPr>
          <w:rFonts w:ascii="Arial Narrow" w:eastAsiaTheme="minorEastAsia" w:hAnsi="Arial Narrow" w:cstheme="minorBidi"/>
          <w:noProof/>
          <w:snapToGrid/>
          <w:sz w:val="18"/>
          <w:szCs w:val="18"/>
        </w:rPr>
        <w:t xml:space="preserve">Table 2.73, p 173 </w:t>
      </w:r>
      <w:r>
        <w:rPr>
          <w:rFonts w:ascii="Arial Narrow" w:eastAsiaTheme="minorEastAsia" w:hAnsi="Arial Narrow" w:cstheme="minorBidi"/>
          <w:noProof/>
          <w:snapToGrid/>
          <w:sz w:val="18"/>
          <w:szCs w:val="18"/>
        </w:rPr>
        <w:t xml:space="preserve">and </w:t>
      </w:r>
      <w:r w:rsidRPr="003A44F8">
        <w:rPr>
          <w:rFonts w:ascii="Arial Narrow" w:eastAsiaTheme="minorEastAsia" w:hAnsi="Arial Narrow" w:cstheme="minorBidi"/>
          <w:noProof/>
          <w:snapToGrid/>
          <w:sz w:val="18"/>
          <w:szCs w:val="18"/>
        </w:rPr>
        <w:t>Tab</w:t>
      </w:r>
      <w:r>
        <w:rPr>
          <w:rFonts w:ascii="Arial Narrow" w:eastAsiaTheme="minorEastAsia" w:hAnsi="Arial Narrow" w:cstheme="minorBidi"/>
          <w:noProof/>
          <w:snapToGrid/>
          <w:sz w:val="18"/>
          <w:szCs w:val="18"/>
        </w:rPr>
        <w:t xml:space="preserve">le 2.75, p174 </w:t>
      </w:r>
      <w:r w:rsidR="007A1E95" w:rsidRPr="00DB5F26">
        <w:rPr>
          <w:rFonts w:ascii="Arial Narrow" w:eastAsiaTheme="minorEastAsia" w:hAnsi="Arial Narrow" w:cstheme="minorBidi"/>
          <w:noProof/>
          <w:snapToGrid/>
          <w:sz w:val="18"/>
          <w:szCs w:val="18"/>
        </w:rPr>
        <w:t>of the submission.</w:t>
      </w:r>
    </w:p>
    <w:p w14:paraId="3D1EF466" w14:textId="77777777" w:rsidR="007A1E95" w:rsidRPr="00831A0A" w:rsidRDefault="000E10E5" w:rsidP="007A1E95">
      <w:pPr>
        <w:pStyle w:val="ListParagraph"/>
        <w:widowControl/>
        <w:numPr>
          <w:ilvl w:val="1"/>
          <w:numId w:val="2"/>
        </w:numPr>
      </w:pPr>
      <w:r>
        <w:rPr>
          <w:rFonts w:eastAsiaTheme="minorEastAsia" w:cstheme="minorBidi"/>
          <w:snapToGrid/>
          <w:szCs w:val="24"/>
          <w:lang w:eastAsia="zh-CN"/>
        </w:rPr>
        <w:t>There were</w:t>
      </w:r>
      <w:r w:rsidR="007A1E95" w:rsidRPr="002B0969">
        <w:rPr>
          <w:rFonts w:eastAsiaTheme="minorEastAsia" w:cstheme="minorBidi"/>
          <w:snapToGrid/>
          <w:szCs w:val="24"/>
          <w:lang w:eastAsia="zh-CN"/>
        </w:rPr>
        <w:t xml:space="preserve"> no statistically significant differences </w:t>
      </w:r>
      <w:r w:rsidR="009B5C78">
        <w:rPr>
          <w:rFonts w:eastAsiaTheme="minorEastAsia" w:cstheme="minorBidi"/>
          <w:snapToGrid/>
          <w:szCs w:val="24"/>
          <w:lang w:eastAsia="zh-CN"/>
        </w:rPr>
        <w:t xml:space="preserve">observed </w:t>
      </w:r>
      <w:r w:rsidR="00FB129F" w:rsidRPr="002B0969">
        <w:rPr>
          <w:rFonts w:eastAsiaTheme="minorEastAsia" w:cstheme="minorBidi"/>
          <w:snapToGrid/>
          <w:szCs w:val="24"/>
          <w:lang w:eastAsia="zh-CN"/>
        </w:rPr>
        <w:t>between risdiplam and nusinersen</w:t>
      </w:r>
      <w:r w:rsidR="00FB129F">
        <w:rPr>
          <w:rFonts w:eastAsiaTheme="minorEastAsia" w:cstheme="minorBidi"/>
          <w:snapToGrid/>
          <w:szCs w:val="24"/>
          <w:lang w:eastAsia="zh-CN"/>
        </w:rPr>
        <w:t>,</w:t>
      </w:r>
      <w:r w:rsidR="007A1E95">
        <w:rPr>
          <w:rFonts w:eastAsiaTheme="minorEastAsia" w:cstheme="minorBidi"/>
          <w:snapToGrid/>
          <w:szCs w:val="24"/>
          <w:lang w:eastAsia="zh-CN"/>
        </w:rPr>
        <w:t xml:space="preserve"> </w:t>
      </w:r>
      <w:r w:rsidR="007A1E95" w:rsidRPr="002B0969">
        <w:rPr>
          <w:rFonts w:eastAsiaTheme="minorEastAsia" w:cstheme="minorBidi"/>
          <w:snapToGrid/>
          <w:szCs w:val="24"/>
          <w:lang w:eastAsia="zh-CN"/>
        </w:rPr>
        <w:t>in either RULM outcome</w:t>
      </w:r>
      <w:r w:rsidR="00FB129F">
        <w:rPr>
          <w:rFonts w:eastAsiaTheme="minorEastAsia" w:cstheme="minorBidi"/>
          <w:snapToGrid/>
          <w:szCs w:val="24"/>
          <w:lang w:eastAsia="zh-CN"/>
        </w:rPr>
        <w:t>,</w:t>
      </w:r>
      <w:r w:rsidR="007A1E95" w:rsidRPr="002B0969">
        <w:rPr>
          <w:rFonts w:eastAsiaTheme="minorEastAsia" w:cstheme="minorBidi"/>
          <w:snapToGrid/>
          <w:szCs w:val="24"/>
          <w:lang w:eastAsia="zh-CN"/>
        </w:rPr>
        <w:t xml:space="preserve"> </w:t>
      </w:r>
      <w:r w:rsidR="00B30A99">
        <w:rPr>
          <w:rFonts w:eastAsiaTheme="minorEastAsia" w:cstheme="minorBidi"/>
          <w:snapToGrid/>
          <w:szCs w:val="24"/>
          <w:lang w:eastAsia="zh-CN"/>
        </w:rPr>
        <w:t>in the MAIC and Bucher indirect comparisons</w:t>
      </w:r>
      <w:r w:rsidR="007A1E95" w:rsidRPr="002B0969">
        <w:rPr>
          <w:rFonts w:eastAsiaTheme="minorEastAsia" w:cstheme="minorBidi"/>
          <w:snapToGrid/>
          <w:szCs w:val="24"/>
          <w:lang w:eastAsia="zh-CN"/>
        </w:rPr>
        <w:t xml:space="preserve">. </w:t>
      </w:r>
    </w:p>
    <w:p w14:paraId="6792AF5D" w14:textId="77777777" w:rsidR="00EC53EB" w:rsidRPr="00831A0A" w:rsidRDefault="00EB28EF" w:rsidP="00E330FE">
      <w:pPr>
        <w:pStyle w:val="ListParagraph"/>
        <w:widowControl/>
        <w:numPr>
          <w:ilvl w:val="1"/>
          <w:numId w:val="2"/>
        </w:numPr>
        <w:spacing w:after="0"/>
      </w:pPr>
      <w:bookmarkStart w:id="29" w:name="_Ref58771628"/>
      <w:r w:rsidRPr="007B3DA4">
        <w:t xml:space="preserve">The </w:t>
      </w:r>
      <w:r w:rsidR="00163CAF">
        <w:t>PBAC</w:t>
      </w:r>
      <w:r w:rsidR="00163CAF" w:rsidRPr="007B3DA4">
        <w:t xml:space="preserve"> </w:t>
      </w:r>
      <w:r w:rsidRPr="007B3DA4">
        <w:t xml:space="preserve">noted that </w:t>
      </w:r>
      <w:r>
        <w:t>t</w:t>
      </w:r>
      <w:r w:rsidR="00095134" w:rsidRPr="00831A0A">
        <w:t>here were significant issues with the MAIC presented</w:t>
      </w:r>
      <w:r w:rsidR="00EC53EB" w:rsidRPr="00831A0A">
        <w:t xml:space="preserve"> for SUNFISH Part 2 and CHERISH</w:t>
      </w:r>
      <w:r w:rsidR="00E330FE" w:rsidRPr="00831A0A">
        <w:t>, including</w:t>
      </w:r>
      <w:r w:rsidR="00EC53EB" w:rsidRPr="00831A0A">
        <w:t>:</w:t>
      </w:r>
      <w:bookmarkEnd w:id="29"/>
    </w:p>
    <w:p w14:paraId="015E797A" w14:textId="77777777" w:rsidR="00EC53EB" w:rsidRPr="00831A0A" w:rsidRDefault="00095134" w:rsidP="006C5CF2">
      <w:pPr>
        <w:pStyle w:val="ListParagraph"/>
        <w:widowControl/>
        <w:numPr>
          <w:ilvl w:val="0"/>
          <w:numId w:val="11"/>
        </w:numPr>
        <w:spacing w:after="0"/>
        <w:ind w:left="993" w:hanging="284"/>
      </w:pPr>
      <w:r w:rsidRPr="00831A0A">
        <w:t>the submission’s assertion that patients with severe contractures could not be reliably identified and removed from the SUNFISH subset to form a matched cohort with CHERISH patients</w:t>
      </w:r>
      <w:r w:rsidR="00EC53EB" w:rsidRPr="00831A0A">
        <w:t>;</w:t>
      </w:r>
    </w:p>
    <w:p w14:paraId="2066E602" w14:textId="77777777" w:rsidR="00EC53EB" w:rsidRPr="00831A0A" w:rsidRDefault="00095134" w:rsidP="006C5CF2">
      <w:pPr>
        <w:pStyle w:val="ListParagraph"/>
        <w:widowControl/>
        <w:numPr>
          <w:ilvl w:val="0"/>
          <w:numId w:val="11"/>
        </w:numPr>
        <w:spacing w:after="0"/>
        <w:ind w:left="993" w:hanging="284"/>
      </w:pPr>
      <w:r w:rsidRPr="00831A0A">
        <w:t xml:space="preserve">post matching characteristics such as symptom onset, duration and </w:t>
      </w:r>
      <w:r w:rsidRPr="00831A0A">
        <w:rPr>
          <w:iCs/>
        </w:rPr>
        <w:t xml:space="preserve">SMN2 </w:t>
      </w:r>
      <w:r w:rsidRPr="00831A0A">
        <w:t xml:space="preserve">copy number </w:t>
      </w:r>
      <w:r w:rsidR="00E330FE" w:rsidRPr="00831A0A">
        <w:t xml:space="preserve">differed between groups and </w:t>
      </w:r>
      <w:r w:rsidRPr="00831A0A">
        <w:t>all favoured risdiplam</w:t>
      </w:r>
      <w:r w:rsidR="00EC53EB" w:rsidRPr="00831A0A">
        <w:t>;</w:t>
      </w:r>
    </w:p>
    <w:p w14:paraId="2692A668" w14:textId="77777777" w:rsidR="00EC53EB" w:rsidRPr="00831A0A" w:rsidRDefault="00095134" w:rsidP="006C5CF2">
      <w:pPr>
        <w:pStyle w:val="ListParagraph"/>
        <w:widowControl/>
        <w:numPr>
          <w:ilvl w:val="0"/>
          <w:numId w:val="11"/>
        </w:numPr>
        <w:spacing w:after="0"/>
        <w:ind w:left="993" w:hanging="284"/>
      </w:pPr>
      <w:r w:rsidRPr="00831A0A">
        <w:t>the outcomes from CHERISH were post-hoc estimates an</w:t>
      </w:r>
      <w:r w:rsidR="00EC53EB" w:rsidRPr="00831A0A">
        <w:t>d may not be entirely accurate;</w:t>
      </w:r>
    </w:p>
    <w:p w14:paraId="6306B44A" w14:textId="77777777" w:rsidR="00EC53EB" w:rsidRPr="00831A0A" w:rsidRDefault="00095134" w:rsidP="006C5CF2">
      <w:pPr>
        <w:pStyle w:val="ListParagraph"/>
        <w:widowControl/>
        <w:numPr>
          <w:ilvl w:val="0"/>
          <w:numId w:val="11"/>
        </w:numPr>
        <w:spacing w:after="0"/>
        <w:ind w:left="993" w:hanging="284"/>
      </w:pPr>
      <w:r w:rsidRPr="00831A0A">
        <w:t xml:space="preserve">there is the possibility of an unresolved exchangeability issue given that the proportion of patients who reported a change in RULM by ≥2 points in the post-matching placebo arm of SUNFISH </w:t>
      </w:r>
      <w:r w:rsidR="00E330FE" w:rsidRPr="00831A0A">
        <w:t>P</w:t>
      </w:r>
      <w:r w:rsidRPr="00831A0A">
        <w:t xml:space="preserve">art 2 (64%) was higher than the sham control arm in CHERISH (56%) and almost as high as the </w:t>
      </w:r>
      <w:r w:rsidR="00EC53EB" w:rsidRPr="00831A0A">
        <w:t>nusinersen arm in CHERISH (66%); and</w:t>
      </w:r>
    </w:p>
    <w:p w14:paraId="133F6E8A" w14:textId="77777777" w:rsidR="00095134" w:rsidRPr="00831A0A" w:rsidRDefault="00095134" w:rsidP="006C5CF2">
      <w:pPr>
        <w:pStyle w:val="ListParagraph"/>
        <w:widowControl/>
        <w:numPr>
          <w:ilvl w:val="0"/>
          <w:numId w:val="11"/>
        </w:numPr>
        <w:ind w:left="993" w:hanging="284"/>
      </w:pPr>
      <w:r w:rsidRPr="00831A0A">
        <w:t>the matching of patients resulted in</w:t>
      </w:r>
      <w:r w:rsidR="00EC53EB" w:rsidRPr="00831A0A">
        <w:t xml:space="preserve"> significant</w:t>
      </w:r>
      <w:r w:rsidRPr="00831A0A">
        <w:t xml:space="preserve"> loss of statistical power</w:t>
      </w:r>
      <w:r w:rsidR="00EC53EB" w:rsidRPr="00831A0A">
        <w:t xml:space="preserve"> due to sample size reduction from SUNFISH Part 2,</w:t>
      </w:r>
      <w:r w:rsidRPr="00831A0A">
        <w:t xml:space="preserve"> and </w:t>
      </w:r>
      <w:r w:rsidR="00EC53EB" w:rsidRPr="00831A0A">
        <w:t>n</w:t>
      </w:r>
      <w:r w:rsidRPr="00831A0A">
        <w:t xml:space="preserve">either </w:t>
      </w:r>
      <w:r w:rsidR="00EC53EB" w:rsidRPr="00831A0A">
        <w:t xml:space="preserve">SUNFISH Part 2 nor CHERISH </w:t>
      </w:r>
      <w:r w:rsidRPr="00831A0A">
        <w:t>were power</w:t>
      </w:r>
      <w:r w:rsidR="00EC53EB" w:rsidRPr="00831A0A">
        <w:t>ed to detect differences in RULM</w:t>
      </w:r>
      <w:r w:rsidRPr="00831A0A">
        <w:t>.</w:t>
      </w:r>
    </w:p>
    <w:p w14:paraId="0380524B" w14:textId="77777777" w:rsidR="00E83862" w:rsidRPr="00831A0A" w:rsidRDefault="00E83862" w:rsidP="00E83862">
      <w:pPr>
        <w:pStyle w:val="ListParagraph"/>
        <w:widowControl/>
        <w:numPr>
          <w:ilvl w:val="1"/>
          <w:numId w:val="2"/>
        </w:numPr>
        <w:rPr>
          <w:iCs/>
        </w:rPr>
      </w:pPr>
      <w:r w:rsidRPr="007B3DA4">
        <w:rPr>
          <w:rFonts w:cs="Calibri"/>
          <w:snapToGrid/>
          <w:szCs w:val="24"/>
          <w:lang w:eastAsia="en-AU"/>
        </w:rPr>
        <w:t xml:space="preserve">The </w:t>
      </w:r>
      <w:r w:rsidRPr="00831A0A">
        <w:rPr>
          <w:rFonts w:cs="Calibri"/>
          <w:snapToGrid/>
          <w:szCs w:val="24"/>
          <w:lang w:eastAsia="en-AU"/>
        </w:rPr>
        <w:t xml:space="preserve">Bucher ITC showed comparable efficacy results to the MAIC. However, </w:t>
      </w:r>
      <w:r>
        <w:rPr>
          <w:rFonts w:cs="Calibri"/>
          <w:snapToGrid/>
          <w:szCs w:val="24"/>
          <w:lang w:eastAsia="en-AU"/>
        </w:rPr>
        <w:t xml:space="preserve">the PBAC noted that </w:t>
      </w:r>
      <w:r w:rsidRPr="00831A0A">
        <w:rPr>
          <w:rFonts w:cs="Calibri"/>
          <w:snapToGrid/>
          <w:szCs w:val="24"/>
          <w:lang w:eastAsia="en-AU"/>
        </w:rPr>
        <w:t>given the multiple transitivity issues between SUNFISH Part 2 and CHERISH, the results of the Bucher indirect comparison</w:t>
      </w:r>
      <w:r>
        <w:rPr>
          <w:rFonts w:cs="Calibri"/>
          <w:snapToGrid/>
          <w:szCs w:val="24"/>
          <w:lang w:eastAsia="en-AU"/>
        </w:rPr>
        <w:t xml:space="preserve"> should</w:t>
      </w:r>
      <w:r w:rsidRPr="00831A0A">
        <w:rPr>
          <w:rFonts w:cs="Calibri"/>
          <w:snapToGrid/>
          <w:szCs w:val="24"/>
          <w:lang w:eastAsia="en-AU"/>
        </w:rPr>
        <w:t xml:space="preserve"> also be interpreted with caution.</w:t>
      </w:r>
      <w:r>
        <w:rPr>
          <w:rFonts w:cs="Calibri"/>
          <w:snapToGrid/>
          <w:szCs w:val="24"/>
          <w:lang w:eastAsia="en-AU"/>
        </w:rPr>
        <w:t xml:space="preserve"> </w:t>
      </w:r>
      <w:r w:rsidRPr="00831A0A">
        <w:t xml:space="preserve">For both the MAIC and the Bucher ITC for patients with Type 2 and 3 SMA, it did not appear that the submission excluded patients with Type 3b SMA or patients who commenced treatment at 19 years of age or more, and therefore the results were not </w:t>
      </w:r>
      <w:r w:rsidR="00C8477B">
        <w:t>entirely</w:t>
      </w:r>
      <w:r w:rsidRPr="00831A0A">
        <w:t xml:space="preserve"> applicable to patients in population 1.</w:t>
      </w:r>
    </w:p>
    <w:p w14:paraId="6CE1B686" w14:textId="77777777" w:rsidR="002B0969" w:rsidRPr="00831A0A" w:rsidRDefault="00E83862" w:rsidP="00E83862">
      <w:pPr>
        <w:pStyle w:val="ListParagraph"/>
        <w:widowControl/>
        <w:numPr>
          <w:ilvl w:val="1"/>
          <w:numId w:val="2"/>
        </w:numPr>
      </w:pPr>
      <w:r w:rsidRPr="00E83862">
        <w:rPr>
          <w:rFonts w:cs="Calibri"/>
          <w:snapToGrid/>
          <w:szCs w:val="24"/>
          <w:lang w:eastAsia="en-AU"/>
        </w:rPr>
        <w:t xml:space="preserve">The PBAC noted the limitations of the MAIC </w:t>
      </w:r>
      <w:r>
        <w:rPr>
          <w:rFonts w:cs="Calibri"/>
          <w:snapToGrid/>
          <w:szCs w:val="24"/>
          <w:lang w:eastAsia="en-AU"/>
        </w:rPr>
        <w:t xml:space="preserve">and </w:t>
      </w:r>
      <w:r w:rsidR="00C8477B">
        <w:rPr>
          <w:rFonts w:cs="Calibri"/>
          <w:snapToGrid/>
          <w:szCs w:val="24"/>
          <w:lang w:eastAsia="en-AU"/>
        </w:rPr>
        <w:t xml:space="preserve">Bucher </w:t>
      </w:r>
      <w:r>
        <w:rPr>
          <w:rFonts w:cs="Calibri"/>
          <w:snapToGrid/>
          <w:szCs w:val="24"/>
          <w:lang w:eastAsia="en-AU"/>
        </w:rPr>
        <w:t xml:space="preserve">ITC </w:t>
      </w:r>
      <w:r w:rsidRPr="00E83862">
        <w:rPr>
          <w:rFonts w:cs="Calibri"/>
          <w:snapToGrid/>
          <w:szCs w:val="24"/>
          <w:lang w:eastAsia="en-AU"/>
        </w:rPr>
        <w:t xml:space="preserve">as identified above. On balance, the PBAC considered that it was reasonable to conclude that risdiplam </w:t>
      </w:r>
      <w:r w:rsidRPr="00E83862">
        <w:rPr>
          <w:rFonts w:cs="Calibri"/>
          <w:snapToGrid/>
          <w:szCs w:val="24"/>
          <w:lang w:eastAsia="en-AU"/>
        </w:rPr>
        <w:lastRenderedPageBreak/>
        <w:t>appears to be non-inferior to nusinersen for patients ≥</w:t>
      </w:r>
      <w:r>
        <w:t>18 years of age with</w:t>
      </w:r>
      <w:r w:rsidRPr="007C61ED">
        <w:t xml:space="preserve"> SMA Type</w:t>
      </w:r>
      <w:r>
        <w:t xml:space="preserve"> 2 and 3a</w:t>
      </w:r>
      <w:r w:rsidR="00F25971" w:rsidRPr="00E83862">
        <w:rPr>
          <w:rFonts w:cs="Calibri"/>
          <w:snapToGrid/>
          <w:szCs w:val="24"/>
          <w:lang w:eastAsia="en-AU"/>
        </w:rPr>
        <w:t xml:space="preserve">.  </w:t>
      </w:r>
    </w:p>
    <w:p w14:paraId="2A24241F" w14:textId="77777777" w:rsidR="00F03482" w:rsidRDefault="00F03482" w:rsidP="0037240C">
      <w:pPr>
        <w:pStyle w:val="5-Subsectionsubheading"/>
        <w:rPr>
          <w:snapToGrid/>
          <w:lang w:eastAsia="en-AU"/>
        </w:rPr>
      </w:pPr>
      <w:r>
        <w:rPr>
          <w:snapToGrid/>
          <w:lang w:eastAsia="en-AU"/>
        </w:rPr>
        <w:t>Population 2 ≤</w:t>
      </w:r>
      <w:r w:rsidRPr="00F03482">
        <w:rPr>
          <w:snapToGrid/>
          <w:lang w:eastAsia="en-AU"/>
        </w:rPr>
        <w:t>18 years wi</w:t>
      </w:r>
      <w:r>
        <w:rPr>
          <w:snapToGrid/>
          <w:lang w:eastAsia="en-AU"/>
        </w:rPr>
        <w:t xml:space="preserve">th SMA Type </w:t>
      </w:r>
      <w:r w:rsidRPr="00F03482">
        <w:rPr>
          <w:snapToGrid/>
          <w:lang w:eastAsia="en-AU"/>
        </w:rPr>
        <w:t>3</w:t>
      </w:r>
      <w:r>
        <w:rPr>
          <w:snapToGrid/>
          <w:lang w:eastAsia="en-AU"/>
        </w:rPr>
        <w:t>b</w:t>
      </w:r>
    </w:p>
    <w:p w14:paraId="478A9366" w14:textId="77777777" w:rsidR="00F03482" w:rsidRPr="00831A0A" w:rsidRDefault="00EB28EF" w:rsidP="004422FA">
      <w:pPr>
        <w:pStyle w:val="ListParagraph"/>
        <w:widowControl/>
        <w:numPr>
          <w:ilvl w:val="1"/>
          <w:numId w:val="2"/>
        </w:numPr>
        <w:rPr>
          <w:iCs/>
        </w:rPr>
      </w:pPr>
      <w:r w:rsidRPr="007B3DA4">
        <w:t xml:space="preserve">The </w:t>
      </w:r>
      <w:r w:rsidR="00163CAF">
        <w:t>PBAC</w:t>
      </w:r>
      <w:r w:rsidR="00163CAF" w:rsidRPr="007B3DA4">
        <w:t xml:space="preserve"> </w:t>
      </w:r>
      <w:r w:rsidRPr="007B3DA4">
        <w:t xml:space="preserve">noted that </w:t>
      </w:r>
      <w:r>
        <w:t>n</w:t>
      </w:r>
      <w:r w:rsidR="00F03482">
        <w:t>o clinical evidence was specifically provided by the submission to support the efficacy or safety of risdiplam in patients with SMA Type 3b. It was noted that only 6 patients (3 in each treatment arm) enrolled in SUNFISH Part 2 could have been diagnosed as SMA Type 3b.</w:t>
      </w:r>
      <w:r w:rsidR="00B30A99">
        <w:t xml:space="preserve"> </w:t>
      </w:r>
    </w:p>
    <w:p w14:paraId="2A459D9A" w14:textId="77777777" w:rsidR="00F25971" w:rsidRDefault="00F25971" w:rsidP="0037240C">
      <w:pPr>
        <w:pStyle w:val="5-Subsectionsubheading"/>
        <w:rPr>
          <w:snapToGrid/>
          <w:lang w:eastAsia="en-AU"/>
        </w:rPr>
      </w:pPr>
      <w:r w:rsidRPr="0019343F">
        <w:rPr>
          <w:snapToGrid/>
          <w:lang w:eastAsia="en-AU"/>
        </w:rPr>
        <w:t>Population 3</w:t>
      </w:r>
      <w:r w:rsidR="0019343F" w:rsidRPr="0019343F">
        <w:rPr>
          <w:snapToGrid/>
          <w:lang w:eastAsia="en-AU"/>
        </w:rPr>
        <w:t xml:space="preserve"> &gt;18 years with SMA Type 1, 2, or 3</w:t>
      </w:r>
    </w:p>
    <w:p w14:paraId="4BBBE5DA" w14:textId="77777777" w:rsidR="001E48F0" w:rsidRDefault="001E48F0" w:rsidP="004422FA">
      <w:pPr>
        <w:pStyle w:val="ListParagraph"/>
        <w:widowControl/>
        <w:numPr>
          <w:ilvl w:val="1"/>
          <w:numId w:val="2"/>
        </w:numPr>
      </w:pPr>
      <w:r w:rsidRPr="001E48F0">
        <w:t xml:space="preserve">To support the use of risdiplam in patients in population 3, the submission provided efficacy outcomes </w:t>
      </w:r>
      <w:r w:rsidR="00B30A99">
        <w:t xml:space="preserve">of risdiplam </w:t>
      </w:r>
      <w:r w:rsidRPr="001E48F0">
        <w:t xml:space="preserve">versus </w:t>
      </w:r>
      <w:r w:rsidR="00F03482">
        <w:t>BSC</w:t>
      </w:r>
      <w:r w:rsidRPr="001E48F0">
        <w:t xml:space="preserve"> </w:t>
      </w:r>
      <w:r w:rsidR="00B30A99">
        <w:t>for</w:t>
      </w:r>
      <w:r w:rsidRPr="001E48F0">
        <w:t xml:space="preserve"> patients aged 18 to 25 years from the SUNFISH Part 2 trial. </w:t>
      </w:r>
      <w:r w:rsidR="008F49F1" w:rsidRPr="007B3DA4">
        <w:t xml:space="preserve">The </w:t>
      </w:r>
      <w:r w:rsidR="00163CAF">
        <w:t>PBAC</w:t>
      </w:r>
      <w:r w:rsidR="00163CAF" w:rsidRPr="007B3DA4">
        <w:t xml:space="preserve"> </w:t>
      </w:r>
      <w:r w:rsidR="008F49F1" w:rsidRPr="007B3DA4">
        <w:t xml:space="preserve">noted the very small patient numbers (n=22) for this cohort. </w:t>
      </w:r>
      <w:r w:rsidR="00FE76D4">
        <w:t xml:space="preserve"> </w:t>
      </w:r>
    </w:p>
    <w:p w14:paraId="026DABEC" w14:textId="77777777" w:rsidR="00B677ED" w:rsidRPr="002D53EB" w:rsidRDefault="00B677ED" w:rsidP="004422FA">
      <w:pPr>
        <w:pStyle w:val="ListParagraph"/>
        <w:widowControl/>
        <w:numPr>
          <w:ilvl w:val="1"/>
          <w:numId w:val="2"/>
        </w:numPr>
      </w:pPr>
      <w:r w:rsidRPr="002D53EB">
        <w:t xml:space="preserve">A summary of these </w:t>
      </w:r>
      <w:r w:rsidR="003D5DD8" w:rsidRPr="002D53EB">
        <w:t xml:space="preserve">outcomes is provided in </w:t>
      </w:r>
      <w:r w:rsidR="009825B3" w:rsidRPr="009825B3">
        <w:t>Table 11</w:t>
      </w:r>
      <w:r w:rsidRPr="002D53EB">
        <w:t>. Outcomes for other age groups in the trial were also provided in the submission.</w:t>
      </w:r>
    </w:p>
    <w:p w14:paraId="44693A67" w14:textId="77777777" w:rsidR="00B677ED" w:rsidRPr="00384B63" w:rsidRDefault="000F6202" w:rsidP="000F6202">
      <w:pPr>
        <w:keepNext/>
        <w:keepLines/>
        <w:widowControl/>
        <w:jc w:val="left"/>
        <w:rPr>
          <w:rFonts w:ascii="Arial Narrow" w:eastAsiaTheme="minorEastAsia" w:hAnsi="Arial Narrow" w:cstheme="minorBidi"/>
          <w:b/>
          <w:bCs/>
          <w:snapToGrid/>
          <w:sz w:val="20"/>
          <w:szCs w:val="20"/>
          <w:lang w:eastAsia="zh-CN"/>
        </w:rPr>
      </w:pPr>
      <w:bookmarkStart w:id="30" w:name="_Ref61517738"/>
      <w:r w:rsidRPr="000F6202">
        <w:rPr>
          <w:rFonts w:ascii="Arial Narrow" w:eastAsiaTheme="minorEastAsia" w:hAnsi="Arial Narrow" w:cstheme="minorBidi"/>
          <w:b/>
          <w:bCs/>
          <w:snapToGrid/>
          <w:sz w:val="20"/>
          <w:szCs w:val="20"/>
          <w:lang w:eastAsia="zh-CN"/>
        </w:rPr>
        <w:lastRenderedPageBreak/>
        <w:t xml:space="preserve">Table </w:t>
      </w:r>
      <w:r w:rsidR="009825B3">
        <w:rPr>
          <w:rFonts w:ascii="Arial Narrow" w:eastAsiaTheme="minorEastAsia" w:hAnsi="Arial Narrow" w:cstheme="minorBidi"/>
          <w:b/>
          <w:bCs/>
          <w:noProof/>
          <w:snapToGrid/>
          <w:sz w:val="20"/>
          <w:szCs w:val="20"/>
          <w:lang w:eastAsia="zh-CN"/>
        </w:rPr>
        <w:t>11</w:t>
      </w:r>
      <w:bookmarkEnd w:id="30"/>
      <w:r w:rsidR="00B677ED" w:rsidRPr="00384B63">
        <w:rPr>
          <w:rFonts w:ascii="Arial Narrow" w:eastAsiaTheme="minorEastAsia" w:hAnsi="Arial Narrow" w:cstheme="minorBidi"/>
          <w:b/>
          <w:bCs/>
          <w:snapToGrid/>
          <w:sz w:val="20"/>
          <w:szCs w:val="20"/>
          <w:lang w:eastAsia="zh-CN"/>
        </w:rPr>
        <w:t xml:space="preserve">: Summary of results in the pre-specified subgroup of ages 18 - 25 years in SUNFISH Part 2 </w:t>
      </w:r>
    </w:p>
    <w:tbl>
      <w:tblPr>
        <w:tblStyle w:val="HTAtableplain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Summary of results in the pre-specified subgroup of ages 18 - 25 years in SUNFISH Part 2 "/>
      </w:tblPr>
      <w:tblGrid>
        <w:gridCol w:w="4997"/>
        <w:gridCol w:w="2016"/>
        <w:gridCol w:w="2003"/>
      </w:tblGrid>
      <w:tr w:rsidR="00B677ED" w:rsidRPr="00831A0A" w14:paraId="423DCB67" w14:textId="77777777" w:rsidTr="0044536A">
        <w:trPr>
          <w:tblHeader/>
        </w:trPr>
        <w:tc>
          <w:tcPr>
            <w:tcW w:w="2771" w:type="pct"/>
            <w:vAlign w:val="center"/>
          </w:tcPr>
          <w:p w14:paraId="13F247B5" w14:textId="77777777" w:rsidR="00B677ED" w:rsidRPr="00831A0A" w:rsidRDefault="00B677ED" w:rsidP="00DA7AAC">
            <w:pPr>
              <w:keepNext/>
              <w:keepLines/>
              <w:widowControl/>
              <w:jc w:val="left"/>
              <w:rPr>
                <w:rFonts w:ascii="Arial Narrow" w:hAnsi="Arial Narrow" w:cstheme="minorBidi"/>
                <w:b/>
                <w:sz w:val="20"/>
                <w:szCs w:val="20"/>
                <w:lang w:eastAsia="zh-CN"/>
              </w:rPr>
            </w:pPr>
            <w:r w:rsidRPr="00831A0A">
              <w:rPr>
                <w:rFonts w:ascii="Arial Narrow" w:hAnsi="Arial Narrow" w:cstheme="minorBidi"/>
                <w:b/>
                <w:sz w:val="20"/>
                <w:szCs w:val="20"/>
                <w:lang w:eastAsia="zh-CN"/>
              </w:rPr>
              <w:t xml:space="preserve">Age Group 18 -  25 years </w:t>
            </w:r>
          </w:p>
        </w:tc>
        <w:tc>
          <w:tcPr>
            <w:tcW w:w="1118" w:type="pct"/>
          </w:tcPr>
          <w:p w14:paraId="50B59D68" w14:textId="77777777" w:rsidR="00B677ED" w:rsidRPr="00831A0A" w:rsidRDefault="00B677ED" w:rsidP="00F01544">
            <w:pPr>
              <w:keepNext/>
              <w:keepLines/>
              <w:widowControl/>
              <w:jc w:val="center"/>
              <w:rPr>
                <w:rFonts w:ascii="Arial Narrow" w:hAnsi="Arial Narrow" w:cstheme="minorBidi"/>
                <w:b/>
                <w:sz w:val="20"/>
                <w:szCs w:val="20"/>
                <w:lang w:eastAsia="zh-CN"/>
              </w:rPr>
            </w:pPr>
            <w:r w:rsidRPr="00831A0A">
              <w:rPr>
                <w:rFonts w:ascii="Arial Narrow" w:hAnsi="Arial Narrow" w:cstheme="minorBidi"/>
                <w:b/>
                <w:sz w:val="20"/>
                <w:szCs w:val="20"/>
                <w:lang w:eastAsia="zh-CN"/>
              </w:rPr>
              <w:t>Risdiplam</w:t>
            </w:r>
            <w:r w:rsidR="00F01544" w:rsidRPr="00831A0A">
              <w:rPr>
                <w:rFonts w:ascii="Arial Narrow" w:hAnsi="Arial Narrow" w:cstheme="minorBidi"/>
                <w:b/>
                <w:sz w:val="20"/>
                <w:szCs w:val="20"/>
                <w:lang w:eastAsia="zh-CN"/>
              </w:rPr>
              <w:t xml:space="preserve"> </w:t>
            </w:r>
            <w:r w:rsidRPr="00831A0A">
              <w:rPr>
                <w:rFonts w:ascii="Arial Narrow" w:hAnsi="Arial Narrow" w:cstheme="minorBidi"/>
                <w:b/>
                <w:sz w:val="20"/>
                <w:szCs w:val="20"/>
                <w:lang w:eastAsia="zh-CN"/>
              </w:rPr>
              <w:t>(N=14)</w:t>
            </w:r>
          </w:p>
        </w:tc>
        <w:tc>
          <w:tcPr>
            <w:tcW w:w="1111" w:type="pct"/>
          </w:tcPr>
          <w:p w14:paraId="62647087" w14:textId="77777777" w:rsidR="00B677ED" w:rsidRPr="00831A0A" w:rsidRDefault="00B677ED" w:rsidP="00F01544">
            <w:pPr>
              <w:keepNext/>
              <w:keepLines/>
              <w:widowControl/>
              <w:jc w:val="center"/>
              <w:rPr>
                <w:rFonts w:ascii="Arial Narrow" w:hAnsi="Arial Narrow" w:cstheme="minorBidi"/>
                <w:b/>
                <w:sz w:val="20"/>
                <w:szCs w:val="20"/>
                <w:lang w:eastAsia="zh-CN"/>
              </w:rPr>
            </w:pPr>
            <w:r w:rsidRPr="00831A0A">
              <w:rPr>
                <w:rFonts w:ascii="Arial Narrow" w:hAnsi="Arial Narrow" w:cstheme="minorBidi"/>
                <w:b/>
                <w:sz w:val="20"/>
                <w:szCs w:val="20"/>
                <w:lang w:eastAsia="zh-CN"/>
              </w:rPr>
              <w:t>Placebo</w:t>
            </w:r>
            <w:r w:rsidR="00F01544" w:rsidRPr="00831A0A">
              <w:rPr>
                <w:rFonts w:ascii="Arial Narrow" w:hAnsi="Arial Narrow" w:cstheme="minorBidi"/>
                <w:b/>
                <w:sz w:val="20"/>
                <w:szCs w:val="20"/>
                <w:lang w:eastAsia="zh-CN"/>
              </w:rPr>
              <w:t xml:space="preserve"> </w:t>
            </w:r>
            <w:r w:rsidRPr="00831A0A">
              <w:rPr>
                <w:rFonts w:ascii="Arial Narrow" w:hAnsi="Arial Narrow" w:cstheme="minorBidi"/>
                <w:b/>
                <w:sz w:val="20"/>
                <w:szCs w:val="20"/>
                <w:lang w:eastAsia="zh-CN"/>
              </w:rPr>
              <w:t>(N=8)</w:t>
            </w:r>
          </w:p>
        </w:tc>
      </w:tr>
      <w:tr w:rsidR="00E330FE" w:rsidRPr="00831A0A" w14:paraId="3B3AF8CF" w14:textId="77777777" w:rsidTr="0044536A">
        <w:tc>
          <w:tcPr>
            <w:tcW w:w="5000" w:type="pct"/>
            <w:gridSpan w:val="3"/>
            <w:shd w:val="clear" w:color="auto" w:fill="auto"/>
          </w:tcPr>
          <w:p w14:paraId="57B0F885" w14:textId="77777777" w:rsidR="00E330FE" w:rsidRPr="00831A0A" w:rsidRDefault="00E330FE" w:rsidP="00DA7AAC">
            <w:pPr>
              <w:keepNext/>
              <w:keepLines/>
              <w:widowControl/>
              <w:rPr>
                <w:rFonts w:ascii="Arial Narrow" w:hAnsi="Arial Narrow" w:cstheme="minorBidi"/>
                <w:sz w:val="20"/>
                <w:szCs w:val="20"/>
                <w:lang w:eastAsia="zh-CN"/>
              </w:rPr>
            </w:pPr>
            <w:r w:rsidRPr="00831A0A">
              <w:rPr>
                <w:rFonts w:ascii="Arial Narrow" w:hAnsi="Arial Narrow" w:cstheme="minorBidi"/>
                <w:b/>
                <w:sz w:val="20"/>
                <w:szCs w:val="20"/>
                <w:lang w:eastAsia="zh-CN"/>
              </w:rPr>
              <w:t>Change from baseline in MFM32 Total Score at Month 12</w:t>
            </w:r>
          </w:p>
        </w:tc>
      </w:tr>
      <w:tr w:rsidR="00B677ED" w:rsidRPr="00831A0A" w14:paraId="094A2FC2" w14:textId="77777777" w:rsidTr="0044536A">
        <w:tc>
          <w:tcPr>
            <w:tcW w:w="2771" w:type="pct"/>
            <w:shd w:val="clear" w:color="auto" w:fill="auto"/>
          </w:tcPr>
          <w:p w14:paraId="6067E5A7" w14:textId="77777777" w:rsidR="00B677ED" w:rsidRPr="00831A0A" w:rsidRDefault="00B677ED" w:rsidP="00DA7AAC">
            <w:pPr>
              <w:keepNext/>
              <w:keepLines/>
              <w:widowControl/>
              <w:jc w:val="left"/>
              <w:rPr>
                <w:rFonts w:ascii="Arial Narrow" w:hAnsi="Arial Narrow" w:cstheme="minorBidi"/>
                <w:sz w:val="20"/>
                <w:szCs w:val="20"/>
                <w:lang w:eastAsia="zh-CN"/>
              </w:rPr>
            </w:pPr>
            <w:r w:rsidRPr="00831A0A">
              <w:rPr>
                <w:rFonts w:ascii="Arial Narrow" w:hAnsi="Arial Narrow" w:cstheme="minorBidi"/>
                <w:sz w:val="20"/>
                <w:szCs w:val="20"/>
                <w:lang w:eastAsia="zh-CN"/>
              </w:rPr>
              <w:t>Number of patients at baseline</w:t>
            </w:r>
          </w:p>
        </w:tc>
        <w:tc>
          <w:tcPr>
            <w:tcW w:w="1118" w:type="pct"/>
            <w:shd w:val="clear" w:color="auto" w:fill="FFFFFF" w:themeFill="background1"/>
          </w:tcPr>
          <w:p w14:paraId="0CE22A50"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14</w:t>
            </w:r>
          </w:p>
        </w:tc>
        <w:tc>
          <w:tcPr>
            <w:tcW w:w="1111" w:type="pct"/>
            <w:shd w:val="clear" w:color="auto" w:fill="FFFFFF" w:themeFill="background1"/>
          </w:tcPr>
          <w:p w14:paraId="5B7DEF17"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8</w:t>
            </w:r>
          </w:p>
        </w:tc>
      </w:tr>
      <w:tr w:rsidR="00B677ED" w:rsidRPr="00831A0A" w14:paraId="708490CE" w14:textId="77777777" w:rsidTr="0044536A">
        <w:tc>
          <w:tcPr>
            <w:tcW w:w="2771" w:type="pct"/>
            <w:shd w:val="clear" w:color="auto" w:fill="auto"/>
          </w:tcPr>
          <w:p w14:paraId="7E16D640" w14:textId="77777777" w:rsidR="00B677ED" w:rsidRPr="00831A0A" w:rsidRDefault="00B677ED" w:rsidP="00DA7AAC">
            <w:pPr>
              <w:keepNext/>
              <w:keepLines/>
              <w:widowControl/>
              <w:jc w:val="left"/>
              <w:rPr>
                <w:rFonts w:ascii="Arial Narrow" w:hAnsi="Arial Narrow" w:cstheme="minorBidi"/>
                <w:sz w:val="20"/>
                <w:szCs w:val="20"/>
                <w:lang w:eastAsia="zh-CN"/>
              </w:rPr>
            </w:pPr>
            <w:r w:rsidRPr="00831A0A">
              <w:rPr>
                <w:rFonts w:ascii="Arial Narrow" w:hAnsi="Arial Narrow" w:cstheme="minorBidi"/>
                <w:sz w:val="20"/>
                <w:szCs w:val="20"/>
                <w:lang w:eastAsia="zh-CN"/>
              </w:rPr>
              <w:t>Mean MFM32 at baseline (SD)</w:t>
            </w:r>
          </w:p>
        </w:tc>
        <w:tc>
          <w:tcPr>
            <w:tcW w:w="1118" w:type="pct"/>
          </w:tcPr>
          <w:p w14:paraId="4D265EF8"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40.25 (10.75)</w:t>
            </w:r>
          </w:p>
        </w:tc>
        <w:tc>
          <w:tcPr>
            <w:tcW w:w="1111" w:type="pct"/>
          </w:tcPr>
          <w:p w14:paraId="54162489"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48.96 (13.86)</w:t>
            </w:r>
          </w:p>
        </w:tc>
      </w:tr>
      <w:tr w:rsidR="00B677ED" w:rsidRPr="00831A0A" w14:paraId="3DA1E3E5" w14:textId="77777777" w:rsidTr="0044536A">
        <w:tc>
          <w:tcPr>
            <w:tcW w:w="2771" w:type="pct"/>
            <w:shd w:val="clear" w:color="auto" w:fill="auto"/>
          </w:tcPr>
          <w:p w14:paraId="28B42466" w14:textId="77777777" w:rsidR="00B677ED" w:rsidRPr="00831A0A" w:rsidRDefault="00B677ED" w:rsidP="00DA7AAC">
            <w:pPr>
              <w:keepNext/>
              <w:keepLines/>
              <w:widowControl/>
              <w:jc w:val="left"/>
              <w:rPr>
                <w:rFonts w:ascii="Arial Narrow" w:hAnsi="Arial Narrow" w:cstheme="minorBidi"/>
                <w:sz w:val="20"/>
                <w:szCs w:val="20"/>
                <w:lang w:eastAsia="zh-CN"/>
              </w:rPr>
            </w:pPr>
            <w:r w:rsidRPr="00831A0A">
              <w:rPr>
                <w:rFonts w:ascii="Arial Narrow" w:hAnsi="Arial Narrow" w:cstheme="minorBidi"/>
                <w:sz w:val="20"/>
                <w:szCs w:val="20"/>
                <w:lang w:eastAsia="zh-CN"/>
              </w:rPr>
              <w:t>MFM32 MMRM change from baseline at Week 52</w:t>
            </w:r>
            <w:r w:rsidRPr="00831A0A">
              <w:rPr>
                <w:rFonts w:ascii="Arial Narrow" w:hAnsi="Arial Narrow" w:cstheme="minorBidi"/>
                <w:sz w:val="20"/>
                <w:szCs w:val="20"/>
                <w:vertAlign w:val="superscript"/>
                <w:lang w:eastAsia="zh-CN"/>
              </w:rPr>
              <w:t xml:space="preserve"> a </w:t>
            </w:r>
            <w:r w:rsidRPr="00831A0A">
              <w:rPr>
                <w:rFonts w:ascii="Arial Narrow" w:hAnsi="Arial Narrow" w:cstheme="minorBidi"/>
                <w:sz w:val="20"/>
                <w:szCs w:val="20"/>
                <w:lang w:eastAsia="zh-CN"/>
              </w:rPr>
              <w:t>(SE)</w:t>
            </w:r>
          </w:p>
        </w:tc>
        <w:tc>
          <w:tcPr>
            <w:tcW w:w="1118" w:type="pct"/>
          </w:tcPr>
          <w:p w14:paraId="21E536BF" w14:textId="77777777" w:rsidR="00B677ED" w:rsidRPr="00831A0A" w:rsidRDefault="00B677ED" w:rsidP="00DA7AAC">
            <w:pPr>
              <w:keepNext/>
              <w:keepLines/>
              <w:widowControl/>
              <w:jc w:val="center"/>
              <w:rPr>
                <w:rFonts w:ascii="Arial Narrow" w:hAnsi="Arial Narrow" w:cs="Calibri"/>
                <w:bCs/>
                <w:sz w:val="20"/>
                <w:szCs w:val="20"/>
                <w:lang w:eastAsia="zh-CN"/>
              </w:rPr>
            </w:pPr>
            <w:r w:rsidRPr="00831A0A">
              <w:rPr>
                <w:rFonts w:ascii="Arial Narrow" w:hAnsi="Arial Narrow" w:cs="Calibri"/>
                <w:bCs/>
                <w:sz w:val="20"/>
                <w:szCs w:val="20"/>
                <w:lang w:eastAsia="zh-CN"/>
              </w:rPr>
              <w:t>-1.01 (1.04)</w:t>
            </w:r>
          </w:p>
        </w:tc>
        <w:tc>
          <w:tcPr>
            <w:tcW w:w="1111" w:type="pct"/>
          </w:tcPr>
          <w:p w14:paraId="7172011F"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Calibri"/>
                <w:bCs/>
                <w:sz w:val="20"/>
                <w:szCs w:val="20"/>
                <w:lang w:eastAsia="zh-CN"/>
              </w:rPr>
              <w:t>-0.36 (1.36)</w:t>
            </w:r>
          </w:p>
        </w:tc>
      </w:tr>
      <w:tr w:rsidR="00B677ED" w:rsidRPr="00831A0A" w14:paraId="45EB4481" w14:textId="77777777" w:rsidTr="0044536A">
        <w:tc>
          <w:tcPr>
            <w:tcW w:w="2771" w:type="pct"/>
            <w:shd w:val="clear" w:color="auto" w:fill="auto"/>
          </w:tcPr>
          <w:p w14:paraId="06B095BF" w14:textId="77777777" w:rsidR="00B677ED" w:rsidRPr="00831A0A" w:rsidRDefault="00B677ED" w:rsidP="00DA7AAC">
            <w:pPr>
              <w:keepNext/>
              <w:keepLines/>
              <w:widowControl/>
              <w:ind w:firstLine="174"/>
              <w:jc w:val="left"/>
              <w:rPr>
                <w:rFonts w:ascii="Arial Narrow" w:hAnsi="Arial Narrow" w:cstheme="minorBidi"/>
                <w:sz w:val="20"/>
                <w:szCs w:val="20"/>
                <w:lang w:eastAsia="zh-CN"/>
              </w:rPr>
            </w:pPr>
            <w:r w:rsidRPr="00831A0A">
              <w:rPr>
                <w:rFonts w:ascii="Arial Narrow" w:hAnsi="Arial Narrow" w:cstheme="minorBidi"/>
                <w:sz w:val="20"/>
                <w:szCs w:val="20"/>
                <w:lang w:eastAsia="zh-CN"/>
              </w:rPr>
              <w:t>95% CI</w:t>
            </w:r>
          </w:p>
        </w:tc>
        <w:tc>
          <w:tcPr>
            <w:tcW w:w="1118" w:type="pct"/>
          </w:tcPr>
          <w:p w14:paraId="3F6D73CA" w14:textId="77777777" w:rsidR="00B677ED" w:rsidRPr="00831A0A" w:rsidRDefault="00B677ED" w:rsidP="00DA7AAC">
            <w:pPr>
              <w:keepNext/>
              <w:keepLines/>
              <w:widowControl/>
              <w:jc w:val="center"/>
              <w:rPr>
                <w:rFonts w:ascii="Arial Narrow" w:hAnsi="Arial Narrow" w:cs="Calibri"/>
                <w:bCs/>
                <w:sz w:val="20"/>
                <w:szCs w:val="20"/>
                <w:lang w:eastAsia="zh-CN"/>
              </w:rPr>
            </w:pPr>
            <w:r w:rsidRPr="00831A0A">
              <w:rPr>
                <w:rFonts w:ascii="Arial Narrow" w:hAnsi="Arial Narrow" w:cs="Calibri"/>
                <w:bCs/>
                <w:sz w:val="20"/>
                <w:szCs w:val="20"/>
                <w:lang w:eastAsia="zh-CN"/>
              </w:rPr>
              <w:t>(-3.06, 1.04)</w:t>
            </w:r>
          </w:p>
        </w:tc>
        <w:tc>
          <w:tcPr>
            <w:tcW w:w="1111" w:type="pct"/>
          </w:tcPr>
          <w:p w14:paraId="64FFD716"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Calibri"/>
                <w:sz w:val="20"/>
                <w:szCs w:val="20"/>
                <w:lang w:eastAsia="zh-CN"/>
              </w:rPr>
              <w:t>(-3.04, 2.32)</w:t>
            </w:r>
          </w:p>
        </w:tc>
      </w:tr>
      <w:tr w:rsidR="00B677ED" w:rsidRPr="00831A0A" w14:paraId="0B9641D9" w14:textId="77777777" w:rsidTr="0044536A">
        <w:tc>
          <w:tcPr>
            <w:tcW w:w="2771" w:type="pct"/>
            <w:shd w:val="clear" w:color="auto" w:fill="auto"/>
          </w:tcPr>
          <w:p w14:paraId="6DAFD6B6" w14:textId="77777777" w:rsidR="00B677ED" w:rsidRPr="00831A0A" w:rsidRDefault="00B677ED" w:rsidP="00DA7AAC">
            <w:pPr>
              <w:keepNext/>
              <w:keepLines/>
              <w:widowControl/>
              <w:jc w:val="left"/>
              <w:rPr>
                <w:rFonts w:ascii="Arial Narrow" w:hAnsi="Arial Narrow" w:cstheme="minorBidi"/>
                <w:sz w:val="20"/>
                <w:szCs w:val="20"/>
                <w:lang w:eastAsia="zh-CN"/>
              </w:rPr>
            </w:pPr>
            <w:r w:rsidRPr="00831A0A">
              <w:rPr>
                <w:rFonts w:ascii="Arial Narrow" w:hAnsi="Arial Narrow" w:cstheme="minorBidi"/>
                <w:sz w:val="20"/>
                <w:szCs w:val="20"/>
                <w:lang w:eastAsia="zh-CN"/>
              </w:rPr>
              <w:t>MMRM difference (SE)</w:t>
            </w:r>
          </w:p>
        </w:tc>
        <w:tc>
          <w:tcPr>
            <w:tcW w:w="2229" w:type="pct"/>
            <w:gridSpan w:val="2"/>
            <w:vAlign w:val="center"/>
          </w:tcPr>
          <w:p w14:paraId="0DCCF9C2" w14:textId="77777777" w:rsidR="00B677ED" w:rsidRPr="00831A0A" w:rsidRDefault="00B677ED" w:rsidP="00DA7AAC">
            <w:pPr>
              <w:keepNext/>
              <w:keepLines/>
              <w:widowControl/>
              <w:jc w:val="center"/>
              <w:rPr>
                <w:rFonts w:ascii="Arial Narrow" w:hAnsi="Arial Narrow" w:cs="Calibri"/>
                <w:bCs/>
                <w:sz w:val="20"/>
                <w:szCs w:val="20"/>
                <w:lang w:eastAsia="zh-CN"/>
              </w:rPr>
            </w:pPr>
            <w:r w:rsidRPr="00831A0A">
              <w:rPr>
                <w:rFonts w:ascii="Arial Narrow" w:hAnsi="Arial Narrow" w:cs="Calibri"/>
                <w:bCs/>
                <w:sz w:val="20"/>
                <w:szCs w:val="20"/>
                <w:lang w:eastAsia="zh-CN"/>
              </w:rPr>
              <w:t>-0.65 (1.71)</w:t>
            </w:r>
          </w:p>
        </w:tc>
      </w:tr>
      <w:tr w:rsidR="00B677ED" w:rsidRPr="00831A0A" w14:paraId="24B3D506" w14:textId="77777777" w:rsidTr="0044536A">
        <w:tc>
          <w:tcPr>
            <w:tcW w:w="2771" w:type="pct"/>
            <w:shd w:val="clear" w:color="auto" w:fill="auto"/>
          </w:tcPr>
          <w:p w14:paraId="1E68E86B" w14:textId="77777777" w:rsidR="00B677ED" w:rsidRPr="00831A0A" w:rsidRDefault="00B677ED" w:rsidP="00DA7AAC">
            <w:pPr>
              <w:keepNext/>
              <w:keepLines/>
              <w:widowControl/>
              <w:ind w:firstLine="168"/>
              <w:jc w:val="left"/>
              <w:rPr>
                <w:rFonts w:ascii="Arial Narrow" w:hAnsi="Arial Narrow" w:cstheme="minorBidi"/>
                <w:sz w:val="20"/>
                <w:szCs w:val="20"/>
                <w:lang w:eastAsia="zh-CN"/>
              </w:rPr>
            </w:pPr>
            <w:r w:rsidRPr="00831A0A">
              <w:rPr>
                <w:rFonts w:ascii="Arial Narrow" w:hAnsi="Arial Narrow" w:cstheme="minorBidi"/>
                <w:sz w:val="20"/>
                <w:szCs w:val="20"/>
                <w:lang w:eastAsia="zh-CN"/>
              </w:rPr>
              <w:t>95% CI</w:t>
            </w:r>
          </w:p>
        </w:tc>
        <w:tc>
          <w:tcPr>
            <w:tcW w:w="2229" w:type="pct"/>
            <w:gridSpan w:val="2"/>
            <w:vAlign w:val="center"/>
          </w:tcPr>
          <w:p w14:paraId="39A90865"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Calibri"/>
                <w:bCs/>
                <w:sz w:val="20"/>
                <w:szCs w:val="20"/>
                <w:lang w:eastAsia="zh-CN"/>
              </w:rPr>
              <w:t>(-4.03, 2.74)</w:t>
            </w:r>
          </w:p>
        </w:tc>
      </w:tr>
      <w:tr w:rsidR="00B677ED" w:rsidRPr="00831A0A" w14:paraId="299E1849" w14:textId="77777777" w:rsidTr="0044536A">
        <w:tc>
          <w:tcPr>
            <w:tcW w:w="2771" w:type="pct"/>
            <w:shd w:val="clear" w:color="auto" w:fill="auto"/>
          </w:tcPr>
          <w:p w14:paraId="220001DA" w14:textId="77777777" w:rsidR="00B677ED" w:rsidRPr="00831A0A" w:rsidRDefault="00B677ED" w:rsidP="00DA7AAC">
            <w:pPr>
              <w:keepNext/>
              <w:keepLines/>
              <w:widowControl/>
              <w:ind w:firstLine="168"/>
              <w:jc w:val="left"/>
              <w:rPr>
                <w:rFonts w:ascii="Arial Narrow" w:hAnsi="Arial Narrow" w:cstheme="minorBidi"/>
                <w:sz w:val="20"/>
                <w:szCs w:val="20"/>
                <w:lang w:eastAsia="zh-CN"/>
              </w:rPr>
            </w:pPr>
            <w:r w:rsidRPr="00831A0A">
              <w:rPr>
                <w:rFonts w:ascii="Arial Narrow" w:hAnsi="Arial Narrow" w:cstheme="minorBidi"/>
                <w:sz w:val="20"/>
                <w:szCs w:val="20"/>
                <w:lang w:eastAsia="zh-CN"/>
              </w:rPr>
              <w:t>p-value</w:t>
            </w:r>
          </w:p>
        </w:tc>
        <w:tc>
          <w:tcPr>
            <w:tcW w:w="2229" w:type="pct"/>
            <w:gridSpan w:val="2"/>
            <w:vAlign w:val="center"/>
          </w:tcPr>
          <w:p w14:paraId="7553C449"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Calibri"/>
                <w:bCs/>
                <w:sz w:val="20"/>
                <w:szCs w:val="20"/>
                <w:lang w:eastAsia="zh-CN"/>
              </w:rPr>
              <w:t>0.7072</w:t>
            </w:r>
          </w:p>
        </w:tc>
      </w:tr>
      <w:tr w:rsidR="00B677ED" w:rsidRPr="00831A0A" w14:paraId="457D2D26" w14:textId="77777777" w:rsidTr="0044536A">
        <w:tc>
          <w:tcPr>
            <w:tcW w:w="5000" w:type="pct"/>
            <w:gridSpan w:val="3"/>
            <w:shd w:val="clear" w:color="auto" w:fill="auto"/>
          </w:tcPr>
          <w:p w14:paraId="3116746C" w14:textId="77777777" w:rsidR="00B677ED" w:rsidRPr="00831A0A" w:rsidRDefault="00B677ED" w:rsidP="00DA7AAC">
            <w:pPr>
              <w:keepNext/>
              <w:keepLines/>
              <w:widowControl/>
              <w:jc w:val="left"/>
              <w:rPr>
                <w:rFonts w:ascii="Arial Narrow" w:hAnsi="Arial Narrow" w:cstheme="minorBidi"/>
                <w:sz w:val="20"/>
                <w:szCs w:val="20"/>
                <w:lang w:eastAsia="zh-CN"/>
              </w:rPr>
            </w:pPr>
            <w:r w:rsidRPr="00831A0A">
              <w:rPr>
                <w:rFonts w:ascii="Arial Narrow" w:hAnsi="Arial Narrow" w:cstheme="minorBidi"/>
                <w:b/>
                <w:sz w:val="20"/>
                <w:szCs w:val="20"/>
                <w:lang w:eastAsia="zh-CN"/>
              </w:rPr>
              <w:t>Proportion of MFM32 Responders at Month 12</w:t>
            </w:r>
          </w:p>
        </w:tc>
      </w:tr>
      <w:tr w:rsidR="00B677ED" w:rsidRPr="00831A0A" w14:paraId="332F5752" w14:textId="77777777" w:rsidTr="0044536A">
        <w:tc>
          <w:tcPr>
            <w:tcW w:w="2771" w:type="pct"/>
            <w:shd w:val="clear" w:color="auto" w:fill="auto"/>
          </w:tcPr>
          <w:p w14:paraId="6E39E371" w14:textId="77777777" w:rsidR="00B677ED" w:rsidRPr="00831A0A" w:rsidRDefault="00B677ED" w:rsidP="00DA7AAC">
            <w:pPr>
              <w:keepNext/>
              <w:keepLines/>
              <w:widowControl/>
              <w:ind w:firstLine="168"/>
              <w:jc w:val="left"/>
              <w:rPr>
                <w:rFonts w:ascii="Arial Narrow" w:hAnsi="Arial Narrow" w:cstheme="minorBidi"/>
                <w:sz w:val="20"/>
                <w:szCs w:val="20"/>
                <w:lang w:eastAsia="zh-CN"/>
              </w:rPr>
            </w:pPr>
            <w:r w:rsidRPr="00831A0A">
              <w:rPr>
                <w:rFonts w:ascii="Arial Narrow" w:hAnsi="Arial Narrow" w:cstheme="minorBidi"/>
                <w:sz w:val="20"/>
                <w:szCs w:val="20"/>
                <w:lang w:eastAsia="zh-CN"/>
              </w:rPr>
              <w:t>Number of patients at baseline</w:t>
            </w:r>
          </w:p>
        </w:tc>
        <w:tc>
          <w:tcPr>
            <w:tcW w:w="1118" w:type="pct"/>
          </w:tcPr>
          <w:p w14:paraId="3DD761AF"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14</w:t>
            </w:r>
          </w:p>
        </w:tc>
        <w:tc>
          <w:tcPr>
            <w:tcW w:w="1111" w:type="pct"/>
          </w:tcPr>
          <w:p w14:paraId="0ACB4554"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8</w:t>
            </w:r>
          </w:p>
        </w:tc>
      </w:tr>
      <w:tr w:rsidR="00B677ED" w:rsidRPr="00831A0A" w14:paraId="619090FC" w14:textId="77777777" w:rsidTr="0044536A">
        <w:tc>
          <w:tcPr>
            <w:tcW w:w="2771" w:type="pct"/>
            <w:shd w:val="clear" w:color="auto" w:fill="auto"/>
          </w:tcPr>
          <w:p w14:paraId="3A35BA48" w14:textId="77777777" w:rsidR="00B677ED" w:rsidRPr="00831A0A" w:rsidRDefault="00B677ED" w:rsidP="00DA7AAC">
            <w:pPr>
              <w:keepNext/>
              <w:keepLines/>
              <w:widowControl/>
              <w:ind w:firstLine="168"/>
              <w:jc w:val="left"/>
              <w:rPr>
                <w:rFonts w:ascii="Arial Narrow" w:hAnsi="Arial Narrow" w:cstheme="minorBidi"/>
                <w:sz w:val="20"/>
                <w:szCs w:val="20"/>
                <w:lang w:eastAsia="zh-CN"/>
              </w:rPr>
            </w:pPr>
            <w:r w:rsidRPr="00831A0A">
              <w:rPr>
                <w:rFonts w:ascii="Arial Narrow" w:hAnsi="Arial Narrow" w:cstheme="minorBidi"/>
                <w:sz w:val="20"/>
                <w:szCs w:val="20"/>
                <w:lang w:eastAsia="zh-CN"/>
              </w:rPr>
              <w:t xml:space="preserve">Responders (MFM32 change </w:t>
            </w:r>
            <w:r w:rsidRPr="00831A0A">
              <w:rPr>
                <w:rFonts w:ascii="Arial Narrow" w:hAnsi="Arial Narrow" w:cs="Calibri"/>
                <w:sz w:val="20"/>
                <w:szCs w:val="20"/>
                <w:lang w:eastAsia="zh-CN"/>
              </w:rPr>
              <w:t>≥</w:t>
            </w:r>
            <w:r w:rsidRPr="00831A0A">
              <w:rPr>
                <w:rFonts w:ascii="Arial Narrow" w:hAnsi="Arial Narrow" w:cstheme="minorBidi"/>
                <w:sz w:val="20"/>
                <w:szCs w:val="20"/>
                <w:lang w:eastAsia="zh-CN"/>
              </w:rPr>
              <w:t>0)</w:t>
            </w:r>
          </w:p>
        </w:tc>
        <w:tc>
          <w:tcPr>
            <w:tcW w:w="1118" w:type="pct"/>
          </w:tcPr>
          <w:p w14:paraId="3A383FA9"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8 (57.1%)</w:t>
            </w:r>
          </w:p>
        </w:tc>
        <w:tc>
          <w:tcPr>
            <w:tcW w:w="1111" w:type="pct"/>
          </w:tcPr>
          <w:p w14:paraId="1AEF18A1" w14:textId="77777777" w:rsidR="00B677ED" w:rsidRPr="00831A0A" w:rsidRDefault="00CD6578"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 xml:space="preserve">3 </w:t>
            </w:r>
            <w:r w:rsidR="00B677ED" w:rsidRPr="00831A0A">
              <w:rPr>
                <w:rFonts w:ascii="Arial Narrow" w:hAnsi="Arial Narrow" w:cstheme="minorBidi"/>
                <w:sz w:val="20"/>
                <w:szCs w:val="20"/>
                <w:lang w:eastAsia="zh-CN"/>
              </w:rPr>
              <w:t>(37.5%)</w:t>
            </w:r>
          </w:p>
        </w:tc>
      </w:tr>
      <w:tr w:rsidR="00B677ED" w:rsidRPr="00831A0A" w14:paraId="78E6ED02" w14:textId="77777777" w:rsidTr="0044536A">
        <w:tc>
          <w:tcPr>
            <w:tcW w:w="2771" w:type="pct"/>
            <w:shd w:val="clear" w:color="auto" w:fill="auto"/>
          </w:tcPr>
          <w:p w14:paraId="0216EBBE" w14:textId="77777777" w:rsidR="00B677ED" w:rsidRPr="00831A0A" w:rsidRDefault="00B677ED" w:rsidP="00DA7AAC">
            <w:pPr>
              <w:keepNext/>
              <w:keepLines/>
              <w:widowControl/>
              <w:ind w:firstLine="168"/>
              <w:jc w:val="left"/>
              <w:rPr>
                <w:rFonts w:ascii="Arial Narrow" w:hAnsi="Arial Narrow" w:cstheme="minorBidi"/>
                <w:sz w:val="20"/>
                <w:szCs w:val="20"/>
                <w:lang w:eastAsia="zh-CN"/>
              </w:rPr>
            </w:pPr>
            <w:r w:rsidRPr="00831A0A">
              <w:rPr>
                <w:rFonts w:ascii="Arial Narrow" w:hAnsi="Arial Narrow" w:cstheme="minorBidi"/>
                <w:sz w:val="20"/>
                <w:szCs w:val="20"/>
                <w:lang w:eastAsia="zh-CN"/>
              </w:rPr>
              <w:t>Odds ratio for overall response (95% CI)</w:t>
            </w:r>
          </w:p>
        </w:tc>
        <w:tc>
          <w:tcPr>
            <w:tcW w:w="2229" w:type="pct"/>
            <w:gridSpan w:val="2"/>
          </w:tcPr>
          <w:p w14:paraId="445E837B"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2.12 (0.35, 12.81)</w:t>
            </w:r>
          </w:p>
        </w:tc>
      </w:tr>
      <w:tr w:rsidR="00B677ED" w:rsidRPr="00831A0A" w14:paraId="24DE8A06" w14:textId="77777777" w:rsidTr="0044536A">
        <w:tc>
          <w:tcPr>
            <w:tcW w:w="2771" w:type="pct"/>
            <w:shd w:val="clear" w:color="auto" w:fill="auto"/>
          </w:tcPr>
          <w:p w14:paraId="4E1F6913" w14:textId="77777777" w:rsidR="00B677ED" w:rsidRPr="00831A0A" w:rsidRDefault="00B677ED" w:rsidP="00DA7AAC">
            <w:pPr>
              <w:keepNext/>
              <w:keepLines/>
              <w:widowControl/>
              <w:ind w:firstLine="168"/>
              <w:jc w:val="left"/>
              <w:rPr>
                <w:rFonts w:ascii="Arial Narrow" w:hAnsi="Arial Narrow" w:cstheme="minorBidi"/>
                <w:sz w:val="20"/>
                <w:szCs w:val="20"/>
                <w:lang w:eastAsia="zh-CN"/>
              </w:rPr>
            </w:pPr>
            <w:r w:rsidRPr="00831A0A">
              <w:rPr>
                <w:rFonts w:ascii="Arial Narrow" w:hAnsi="Arial Narrow" w:cstheme="minorBidi"/>
                <w:sz w:val="20"/>
                <w:szCs w:val="20"/>
                <w:lang w:eastAsia="zh-CN"/>
              </w:rPr>
              <w:t>p-Value</w:t>
            </w:r>
          </w:p>
        </w:tc>
        <w:tc>
          <w:tcPr>
            <w:tcW w:w="2229" w:type="pct"/>
            <w:gridSpan w:val="2"/>
          </w:tcPr>
          <w:p w14:paraId="260EE7C7"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0.4118</w:t>
            </w:r>
          </w:p>
        </w:tc>
      </w:tr>
      <w:tr w:rsidR="00B677ED" w:rsidRPr="00831A0A" w14:paraId="2868EDB4" w14:textId="77777777" w:rsidTr="0044536A">
        <w:tc>
          <w:tcPr>
            <w:tcW w:w="5000" w:type="pct"/>
            <w:gridSpan w:val="3"/>
            <w:shd w:val="clear" w:color="auto" w:fill="auto"/>
          </w:tcPr>
          <w:p w14:paraId="0861BBA9" w14:textId="77777777" w:rsidR="00B677ED" w:rsidRPr="00831A0A" w:rsidRDefault="00B677ED" w:rsidP="00DA7AAC">
            <w:pPr>
              <w:keepNext/>
              <w:keepLines/>
              <w:widowControl/>
              <w:jc w:val="left"/>
              <w:rPr>
                <w:rFonts w:ascii="Arial Narrow" w:hAnsi="Arial Narrow" w:cstheme="minorBidi"/>
                <w:sz w:val="20"/>
                <w:szCs w:val="20"/>
                <w:lang w:eastAsia="zh-CN"/>
              </w:rPr>
            </w:pPr>
            <w:r w:rsidRPr="00831A0A">
              <w:rPr>
                <w:rFonts w:ascii="Arial Narrow" w:hAnsi="Arial Narrow" w:cstheme="minorBidi"/>
                <w:b/>
                <w:sz w:val="20"/>
                <w:szCs w:val="20"/>
                <w:lang w:eastAsia="zh-CN"/>
              </w:rPr>
              <w:t>Change from baseline in RULM Total Score at Month 12</w:t>
            </w:r>
          </w:p>
        </w:tc>
      </w:tr>
      <w:tr w:rsidR="00B677ED" w:rsidRPr="00831A0A" w14:paraId="19D60F8A" w14:textId="77777777" w:rsidTr="0044536A">
        <w:tc>
          <w:tcPr>
            <w:tcW w:w="2771" w:type="pct"/>
            <w:shd w:val="clear" w:color="auto" w:fill="auto"/>
          </w:tcPr>
          <w:p w14:paraId="5C73EBC7" w14:textId="77777777" w:rsidR="00B677ED" w:rsidRPr="00831A0A" w:rsidRDefault="00B677ED" w:rsidP="00DA7AAC">
            <w:pPr>
              <w:keepNext/>
              <w:keepLines/>
              <w:widowControl/>
              <w:ind w:firstLine="168"/>
              <w:jc w:val="left"/>
              <w:rPr>
                <w:rFonts w:ascii="Arial Narrow" w:hAnsi="Arial Narrow" w:cstheme="minorBidi"/>
                <w:sz w:val="20"/>
                <w:szCs w:val="20"/>
                <w:lang w:eastAsia="zh-CN"/>
              </w:rPr>
            </w:pPr>
            <w:r w:rsidRPr="00831A0A">
              <w:rPr>
                <w:rFonts w:ascii="Arial Narrow" w:hAnsi="Arial Narrow" w:cstheme="minorBidi"/>
                <w:sz w:val="20"/>
                <w:szCs w:val="20"/>
                <w:lang w:eastAsia="zh-CN"/>
              </w:rPr>
              <w:t>Number of patients at baseline</w:t>
            </w:r>
          </w:p>
        </w:tc>
        <w:tc>
          <w:tcPr>
            <w:tcW w:w="1118" w:type="pct"/>
          </w:tcPr>
          <w:p w14:paraId="662925E1"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14</w:t>
            </w:r>
          </w:p>
        </w:tc>
        <w:tc>
          <w:tcPr>
            <w:tcW w:w="1111" w:type="pct"/>
          </w:tcPr>
          <w:p w14:paraId="539F1ADA"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8</w:t>
            </w:r>
          </w:p>
        </w:tc>
      </w:tr>
      <w:tr w:rsidR="00B677ED" w:rsidRPr="00831A0A" w14:paraId="037AB5C9" w14:textId="77777777" w:rsidTr="0044536A">
        <w:tc>
          <w:tcPr>
            <w:tcW w:w="2771" w:type="pct"/>
            <w:shd w:val="clear" w:color="auto" w:fill="auto"/>
          </w:tcPr>
          <w:p w14:paraId="441EDBA7" w14:textId="77777777" w:rsidR="00B677ED" w:rsidRPr="00831A0A" w:rsidRDefault="00B677ED" w:rsidP="00DA7AAC">
            <w:pPr>
              <w:keepNext/>
              <w:keepLines/>
              <w:widowControl/>
              <w:ind w:firstLine="168"/>
              <w:jc w:val="left"/>
              <w:rPr>
                <w:rFonts w:ascii="Arial Narrow" w:hAnsi="Arial Narrow" w:cstheme="minorBidi"/>
                <w:sz w:val="20"/>
                <w:szCs w:val="20"/>
                <w:lang w:eastAsia="zh-CN"/>
              </w:rPr>
            </w:pPr>
            <w:r w:rsidRPr="00831A0A">
              <w:rPr>
                <w:rFonts w:ascii="Arial Narrow" w:hAnsi="Arial Narrow" w:cstheme="minorBidi"/>
                <w:sz w:val="20"/>
                <w:szCs w:val="20"/>
                <w:lang w:eastAsia="zh-CN"/>
              </w:rPr>
              <w:t>Mean RULM at baseline (SD)</w:t>
            </w:r>
          </w:p>
        </w:tc>
        <w:tc>
          <w:tcPr>
            <w:tcW w:w="1118" w:type="pct"/>
          </w:tcPr>
          <w:p w14:paraId="6EDD6A2F"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18.36 (6.82)</w:t>
            </w:r>
          </w:p>
        </w:tc>
        <w:tc>
          <w:tcPr>
            <w:tcW w:w="1111" w:type="pct"/>
          </w:tcPr>
          <w:p w14:paraId="3F3F8915"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21.63 (9.72)</w:t>
            </w:r>
          </w:p>
        </w:tc>
      </w:tr>
      <w:tr w:rsidR="00B677ED" w:rsidRPr="00831A0A" w14:paraId="54761858" w14:textId="77777777" w:rsidTr="0044536A">
        <w:tc>
          <w:tcPr>
            <w:tcW w:w="2771" w:type="pct"/>
            <w:shd w:val="clear" w:color="auto" w:fill="auto"/>
          </w:tcPr>
          <w:p w14:paraId="159C9A9E" w14:textId="77777777" w:rsidR="00B677ED" w:rsidRPr="00831A0A" w:rsidRDefault="00B677ED" w:rsidP="00DA7AAC">
            <w:pPr>
              <w:keepNext/>
              <w:keepLines/>
              <w:widowControl/>
              <w:ind w:firstLine="168"/>
              <w:jc w:val="left"/>
              <w:rPr>
                <w:rFonts w:ascii="Arial Narrow" w:hAnsi="Arial Narrow" w:cstheme="minorBidi"/>
                <w:sz w:val="20"/>
                <w:szCs w:val="20"/>
                <w:lang w:eastAsia="zh-CN"/>
              </w:rPr>
            </w:pPr>
            <w:r w:rsidRPr="00831A0A">
              <w:rPr>
                <w:rFonts w:ascii="Arial Narrow" w:hAnsi="Arial Narrow" w:cstheme="minorBidi"/>
                <w:sz w:val="20"/>
                <w:szCs w:val="20"/>
                <w:lang w:eastAsia="zh-CN"/>
              </w:rPr>
              <w:t>RULM MMRM change from baseline at Week 52</w:t>
            </w:r>
            <w:r w:rsidRPr="00831A0A">
              <w:rPr>
                <w:rFonts w:ascii="Arial Narrow" w:hAnsi="Arial Narrow" w:cstheme="minorBidi"/>
                <w:sz w:val="20"/>
                <w:szCs w:val="20"/>
                <w:vertAlign w:val="superscript"/>
                <w:lang w:eastAsia="zh-CN"/>
              </w:rPr>
              <w:t xml:space="preserve"> a </w:t>
            </w:r>
            <w:r w:rsidRPr="00831A0A">
              <w:rPr>
                <w:rFonts w:ascii="Arial Narrow" w:hAnsi="Arial Narrow" w:cstheme="minorBidi"/>
                <w:sz w:val="20"/>
                <w:szCs w:val="20"/>
                <w:lang w:eastAsia="zh-CN"/>
              </w:rPr>
              <w:t>(SE)</w:t>
            </w:r>
          </w:p>
        </w:tc>
        <w:tc>
          <w:tcPr>
            <w:tcW w:w="1118" w:type="pct"/>
          </w:tcPr>
          <w:p w14:paraId="33E45486"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1.06 (0.85)</w:t>
            </w:r>
          </w:p>
        </w:tc>
        <w:tc>
          <w:tcPr>
            <w:tcW w:w="1111" w:type="pct"/>
          </w:tcPr>
          <w:p w14:paraId="598B6A33"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-0.68 (1.13)</w:t>
            </w:r>
          </w:p>
        </w:tc>
      </w:tr>
      <w:tr w:rsidR="00B677ED" w:rsidRPr="00831A0A" w14:paraId="629DA384" w14:textId="77777777" w:rsidTr="0044536A">
        <w:tc>
          <w:tcPr>
            <w:tcW w:w="2771" w:type="pct"/>
            <w:shd w:val="clear" w:color="auto" w:fill="auto"/>
          </w:tcPr>
          <w:p w14:paraId="5190BE6F" w14:textId="77777777" w:rsidR="00B677ED" w:rsidRPr="00831A0A" w:rsidRDefault="00B677ED" w:rsidP="00DA7AAC">
            <w:pPr>
              <w:keepNext/>
              <w:keepLines/>
              <w:widowControl/>
              <w:ind w:firstLine="316"/>
              <w:jc w:val="left"/>
              <w:rPr>
                <w:rFonts w:ascii="Arial Narrow" w:hAnsi="Arial Narrow" w:cstheme="minorBidi"/>
                <w:sz w:val="20"/>
                <w:szCs w:val="20"/>
                <w:lang w:eastAsia="zh-CN"/>
              </w:rPr>
            </w:pPr>
            <w:r w:rsidRPr="00831A0A">
              <w:rPr>
                <w:rFonts w:ascii="Arial Narrow" w:hAnsi="Arial Narrow" w:cstheme="minorBidi"/>
                <w:sz w:val="20"/>
                <w:szCs w:val="20"/>
                <w:lang w:eastAsia="zh-CN"/>
              </w:rPr>
              <w:t>95% CI</w:t>
            </w:r>
          </w:p>
        </w:tc>
        <w:tc>
          <w:tcPr>
            <w:tcW w:w="1118" w:type="pct"/>
          </w:tcPr>
          <w:p w14:paraId="38E699B1"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(-0.63, 2.74)</w:t>
            </w:r>
          </w:p>
        </w:tc>
        <w:tc>
          <w:tcPr>
            <w:tcW w:w="1111" w:type="pct"/>
          </w:tcPr>
          <w:p w14:paraId="01A2EE53"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(-2.90, 1.55)</w:t>
            </w:r>
          </w:p>
        </w:tc>
      </w:tr>
      <w:tr w:rsidR="00B677ED" w:rsidRPr="00831A0A" w14:paraId="440B2AB9" w14:textId="77777777" w:rsidTr="0044536A">
        <w:tc>
          <w:tcPr>
            <w:tcW w:w="2771" w:type="pct"/>
            <w:shd w:val="clear" w:color="auto" w:fill="auto"/>
          </w:tcPr>
          <w:p w14:paraId="5496F617" w14:textId="77777777" w:rsidR="00B677ED" w:rsidRPr="00831A0A" w:rsidRDefault="00B677ED" w:rsidP="00DA7AAC">
            <w:pPr>
              <w:keepNext/>
              <w:keepLines/>
              <w:widowControl/>
              <w:ind w:firstLine="168"/>
              <w:jc w:val="left"/>
              <w:rPr>
                <w:rFonts w:ascii="Arial Narrow" w:hAnsi="Arial Narrow" w:cstheme="minorBidi"/>
                <w:sz w:val="20"/>
                <w:szCs w:val="20"/>
                <w:lang w:eastAsia="zh-CN"/>
              </w:rPr>
            </w:pPr>
            <w:r w:rsidRPr="00831A0A">
              <w:rPr>
                <w:rFonts w:ascii="Arial Narrow" w:hAnsi="Arial Narrow" w:cstheme="minorBidi"/>
                <w:sz w:val="20"/>
                <w:szCs w:val="20"/>
                <w:lang w:eastAsia="zh-CN"/>
              </w:rPr>
              <w:t>MMRM difference (SE)</w:t>
            </w:r>
          </w:p>
        </w:tc>
        <w:tc>
          <w:tcPr>
            <w:tcW w:w="2229" w:type="pct"/>
            <w:gridSpan w:val="2"/>
          </w:tcPr>
          <w:p w14:paraId="3E6BAE51"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1.74 (1.41)</w:t>
            </w:r>
          </w:p>
        </w:tc>
      </w:tr>
      <w:tr w:rsidR="00B677ED" w:rsidRPr="00831A0A" w14:paraId="6382A4E3" w14:textId="77777777" w:rsidTr="0044536A">
        <w:tc>
          <w:tcPr>
            <w:tcW w:w="2771" w:type="pct"/>
            <w:shd w:val="clear" w:color="auto" w:fill="auto"/>
          </w:tcPr>
          <w:p w14:paraId="7B72D81D" w14:textId="77777777" w:rsidR="00B677ED" w:rsidRPr="00831A0A" w:rsidRDefault="00B677ED" w:rsidP="00DA7AAC">
            <w:pPr>
              <w:keepNext/>
              <w:keepLines/>
              <w:widowControl/>
              <w:ind w:firstLine="316"/>
              <w:jc w:val="left"/>
              <w:rPr>
                <w:rFonts w:ascii="Arial Narrow" w:hAnsi="Arial Narrow" w:cstheme="minorBidi"/>
                <w:sz w:val="20"/>
                <w:szCs w:val="20"/>
                <w:lang w:eastAsia="zh-CN"/>
              </w:rPr>
            </w:pPr>
            <w:r w:rsidRPr="00831A0A">
              <w:rPr>
                <w:rFonts w:ascii="Arial Narrow" w:hAnsi="Arial Narrow" w:cstheme="minorBidi"/>
                <w:sz w:val="20"/>
                <w:szCs w:val="20"/>
                <w:lang w:eastAsia="zh-CN"/>
              </w:rPr>
              <w:t>95% CI</w:t>
            </w:r>
          </w:p>
        </w:tc>
        <w:tc>
          <w:tcPr>
            <w:tcW w:w="2229" w:type="pct"/>
            <w:gridSpan w:val="2"/>
          </w:tcPr>
          <w:p w14:paraId="7FD9D9BA"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(-1.06, 4.53)</w:t>
            </w:r>
          </w:p>
        </w:tc>
      </w:tr>
      <w:tr w:rsidR="00B677ED" w:rsidRPr="00831A0A" w14:paraId="5F3B725F" w14:textId="77777777" w:rsidTr="0044536A">
        <w:tc>
          <w:tcPr>
            <w:tcW w:w="2771" w:type="pct"/>
            <w:shd w:val="clear" w:color="auto" w:fill="auto"/>
          </w:tcPr>
          <w:p w14:paraId="25FC7D18" w14:textId="77777777" w:rsidR="00B677ED" w:rsidRPr="00831A0A" w:rsidRDefault="00B677ED" w:rsidP="00DA7AAC">
            <w:pPr>
              <w:keepNext/>
              <w:keepLines/>
              <w:widowControl/>
              <w:ind w:firstLine="316"/>
              <w:jc w:val="left"/>
              <w:rPr>
                <w:rFonts w:ascii="Arial Narrow" w:hAnsi="Arial Narrow" w:cstheme="minorBidi"/>
                <w:sz w:val="20"/>
                <w:szCs w:val="20"/>
                <w:lang w:eastAsia="zh-CN"/>
              </w:rPr>
            </w:pPr>
            <w:r w:rsidRPr="00831A0A">
              <w:rPr>
                <w:rFonts w:ascii="Arial Narrow" w:hAnsi="Arial Narrow" w:cstheme="minorBidi"/>
                <w:sz w:val="20"/>
                <w:szCs w:val="20"/>
                <w:lang w:eastAsia="zh-CN"/>
              </w:rPr>
              <w:t>p-value</w:t>
            </w:r>
          </w:p>
        </w:tc>
        <w:tc>
          <w:tcPr>
            <w:tcW w:w="2229" w:type="pct"/>
            <w:gridSpan w:val="2"/>
          </w:tcPr>
          <w:p w14:paraId="6257D962"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0.2219</w:t>
            </w:r>
          </w:p>
        </w:tc>
      </w:tr>
      <w:tr w:rsidR="00B677ED" w:rsidRPr="00831A0A" w14:paraId="30A42784" w14:textId="77777777" w:rsidTr="0044536A">
        <w:tc>
          <w:tcPr>
            <w:tcW w:w="5000" w:type="pct"/>
            <w:gridSpan w:val="3"/>
            <w:shd w:val="clear" w:color="auto" w:fill="auto"/>
          </w:tcPr>
          <w:p w14:paraId="069F8453" w14:textId="77777777" w:rsidR="00B677ED" w:rsidRPr="00831A0A" w:rsidRDefault="00B677ED" w:rsidP="00DA7AAC">
            <w:pPr>
              <w:keepNext/>
              <w:keepLines/>
              <w:widowControl/>
              <w:jc w:val="left"/>
              <w:rPr>
                <w:rFonts w:ascii="Arial Narrow" w:hAnsi="Arial Narrow" w:cstheme="minorBidi"/>
                <w:sz w:val="20"/>
                <w:szCs w:val="20"/>
                <w:lang w:eastAsia="zh-CN"/>
              </w:rPr>
            </w:pPr>
            <w:r w:rsidRPr="00831A0A">
              <w:rPr>
                <w:rFonts w:ascii="Arial Narrow" w:hAnsi="Arial Narrow" w:cstheme="minorBidi"/>
                <w:b/>
                <w:sz w:val="20"/>
                <w:szCs w:val="20"/>
                <w:lang w:eastAsia="zh-CN"/>
              </w:rPr>
              <w:t>Proportion of RULM Responders at Month 12</w:t>
            </w:r>
          </w:p>
        </w:tc>
      </w:tr>
      <w:tr w:rsidR="00B677ED" w:rsidRPr="00831A0A" w14:paraId="359FBA5E" w14:textId="77777777" w:rsidTr="0044536A">
        <w:tc>
          <w:tcPr>
            <w:tcW w:w="2771" w:type="pct"/>
            <w:shd w:val="clear" w:color="auto" w:fill="auto"/>
          </w:tcPr>
          <w:p w14:paraId="248CB1BF" w14:textId="77777777" w:rsidR="00B677ED" w:rsidRPr="00831A0A" w:rsidRDefault="00B677ED" w:rsidP="00DA7AAC">
            <w:pPr>
              <w:keepNext/>
              <w:keepLines/>
              <w:widowControl/>
              <w:ind w:firstLine="168"/>
              <w:jc w:val="left"/>
              <w:rPr>
                <w:rFonts w:ascii="Arial Narrow" w:hAnsi="Arial Narrow" w:cstheme="minorBidi"/>
                <w:sz w:val="20"/>
                <w:szCs w:val="20"/>
                <w:lang w:eastAsia="zh-CN"/>
              </w:rPr>
            </w:pPr>
            <w:r w:rsidRPr="00831A0A">
              <w:rPr>
                <w:rFonts w:ascii="Arial Narrow" w:hAnsi="Arial Narrow" w:cstheme="minorBidi"/>
                <w:sz w:val="20"/>
                <w:szCs w:val="20"/>
                <w:lang w:eastAsia="zh-CN"/>
              </w:rPr>
              <w:t>Number of patients at baseline</w:t>
            </w:r>
          </w:p>
        </w:tc>
        <w:tc>
          <w:tcPr>
            <w:tcW w:w="1118" w:type="pct"/>
          </w:tcPr>
          <w:p w14:paraId="448BA81B"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14</w:t>
            </w:r>
          </w:p>
        </w:tc>
        <w:tc>
          <w:tcPr>
            <w:tcW w:w="1111" w:type="pct"/>
          </w:tcPr>
          <w:p w14:paraId="3CBCE4BB"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8</w:t>
            </w:r>
          </w:p>
        </w:tc>
      </w:tr>
      <w:tr w:rsidR="00B677ED" w:rsidRPr="00831A0A" w14:paraId="5C14C5D1" w14:textId="77777777" w:rsidTr="0044536A">
        <w:tc>
          <w:tcPr>
            <w:tcW w:w="2771" w:type="pct"/>
            <w:shd w:val="clear" w:color="auto" w:fill="auto"/>
          </w:tcPr>
          <w:p w14:paraId="4BBD7938" w14:textId="77777777" w:rsidR="00B677ED" w:rsidRPr="00831A0A" w:rsidRDefault="00B677ED" w:rsidP="00DA7AAC">
            <w:pPr>
              <w:keepNext/>
              <w:keepLines/>
              <w:widowControl/>
              <w:ind w:firstLine="168"/>
              <w:jc w:val="left"/>
              <w:rPr>
                <w:rFonts w:ascii="Arial Narrow" w:hAnsi="Arial Narrow" w:cstheme="minorBidi"/>
                <w:sz w:val="20"/>
                <w:szCs w:val="20"/>
                <w:lang w:eastAsia="zh-CN"/>
              </w:rPr>
            </w:pPr>
            <w:r w:rsidRPr="00831A0A">
              <w:rPr>
                <w:rFonts w:ascii="Arial Narrow" w:hAnsi="Arial Narrow" w:cstheme="minorBidi"/>
                <w:sz w:val="20"/>
                <w:szCs w:val="20"/>
                <w:lang w:eastAsia="zh-CN"/>
              </w:rPr>
              <w:t xml:space="preserve">Responders (RULM change </w:t>
            </w:r>
            <w:r w:rsidRPr="00831A0A">
              <w:rPr>
                <w:rFonts w:ascii="Arial Narrow" w:hAnsi="Arial Narrow" w:cs="Calibri"/>
                <w:sz w:val="20"/>
                <w:szCs w:val="20"/>
                <w:lang w:eastAsia="zh-CN"/>
              </w:rPr>
              <w:t>≥</w:t>
            </w:r>
            <w:r w:rsidRPr="00831A0A">
              <w:rPr>
                <w:rFonts w:ascii="Arial Narrow" w:hAnsi="Arial Narrow" w:cstheme="minorBidi"/>
                <w:sz w:val="20"/>
                <w:szCs w:val="20"/>
                <w:lang w:eastAsia="zh-CN"/>
              </w:rPr>
              <w:t>0)</w:t>
            </w:r>
          </w:p>
        </w:tc>
        <w:tc>
          <w:tcPr>
            <w:tcW w:w="1118" w:type="pct"/>
          </w:tcPr>
          <w:p w14:paraId="3EE047B7"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11 (78.6%)</w:t>
            </w:r>
          </w:p>
        </w:tc>
        <w:tc>
          <w:tcPr>
            <w:tcW w:w="1111" w:type="pct"/>
          </w:tcPr>
          <w:p w14:paraId="3D2C0050"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3 (37.5%)</w:t>
            </w:r>
          </w:p>
        </w:tc>
      </w:tr>
      <w:tr w:rsidR="00B677ED" w:rsidRPr="00831A0A" w14:paraId="6EE777E1" w14:textId="77777777" w:rsidTr="0044536A">
        <w:tc>
          <w:tcPr>
            <w:tcW w:w="2771" w:type="pct"/>
            <w:shd w:val="clear" w:color="auto" w:fill="auto"/>
          </w:tcPr>
          <w:p w14:paraId="23F5CB14" w14:textId="77777777" w:rsidR="00B677ED" w:rsidRPr="00831A0A" w:rsidRDefault="00B677ED" w:rsidP="00DA7AAC">
            <w:pPr>
              <w:keepNext/>
              <w:keepLines/>
              <w:widowControl/>
              <w:ind w:firstLine="168"/>
              <w:jc w:val="left"/>
              <w:rPr>
                <w:rFonts w:ascii="Arial Narrow" w:hAnsi="Arial Narrow" w:cstheme="minorBidi"/>
                <w:sz w:val="20"/>
                <w:szCs w:val="20"/>
                <w:lang w:eastAsia="zh-CN"/>
              </w:rPr>
            </w:pPr>
            <w:r w:rsidRPr="00831A0A">
              <w:rPr>
                <w:rFonts w:ascii="Arial Narrow" w:hAnsi="Arial Narrow" w:cstheme="minorBidi"/>
                <w:sz w:val="20"/>
                <w:szCs w:val="20"/>
                <w:lang w:eastAsia="zh-CN"/>
              </w:rPr>
              <w:t>Odds ratio for overall response (95% CI)</w:t>
            </w:r>
          </w:p>
        </w:tc>
        <w:tc>
          <w:tcPr>
            <w:tcW w:w="2229" w:type="pct"/>
            <w:gridSpan w:val="2"/>
          </w:tcPr>
          <w:p w14:paraId="277C842D"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5.79 (0.84, 39.72)</w:t>
            </w:r>
          </w:p>
        </w:tc>
      </w:tr>
      <w:tr w:rsidR="00B677ED" w:rsidRPr="00831A0A" w14:paraId="34027176" w14:textId="77777777" w:rsidTr="0044536A">
        <w:tc>
          <w:tcPr>
            <w:tcW w:w="2771" w:type="pct"/>
            <w:shd w:val="clear" w:color="auto" w:fill="auto"/>
          </w:tcPr>
          <w:p w14:paraId="40EEE228" w14:textId="77777777" w:rsidR="00B677ED" w:rsidRPr="00831A0A" w:rsidRDefault="00B677ED" w:rsidP="00DA7AAC">
            <w:pPr>
              <w:keepNext/>
              <w:keepLines/>
              <w:widowControl/>
              <w:ind w:firstLine="168"/>
              <w:jc w:val="left"/>
              <w:rPr>
                <w:rFonts w:ascii="Arial Narrow" w:hAnsi="Arial Narrow" w:cstheme="minorBidi"/>
                <w:sz w:val="20"/>
                <w:szCs w:val="20"/>
                <w:lang w:eastAsia="zh-CN"/>
              </w:rPr>
            </w:pPr>
            <w:r w:rsidRPr="00831A0A">
              <w:rPr>
                <w:rFonts w:ascii="Arial Narrow" w:hAnsi="Arial Narrow" w:cstheme="minorBidi"/>
                <w:sz w:val="20"/>
                <w:szCs w:val="20"/>
                <w:lang w:eastAsia="zh-CN"/>
              </w:rPr>
              <w:t>p-Value</w:t>
            </w:r>
          </w:p>
        </w:tc>
        <w:tc>
          <w:tcPr>
            <w:tcW w:w="2229" w:type="pct"/>
            <w:gridSpan w:val="2"/>
          </w:tcPr>
          <w:p w14:paraId="2766F645"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0.0740</w:t>
            </w:r>
          </w:p>
        </w:tc>
      </w:tr>
      <w:tr w:rsidR="00B677ED" w:rsidRPr="00831A0A" w14:paraId="6C5779FF" w14:textId="77777777" w:rsidTr="0044536A">
        <w:tc>
          <w:tcPr>
            <w:tcW w:w="5000" w:type="pct"/>
            <w:gridSpan w:val="3"/>
            <w:shd w:val="clear" w:color="auto" w:fill="auto"/>
          </w:tcPr>
          <w:p w14:paraId="5CC77EC7" w14:textId="77777777" w:rsidR="00B677ED" w:rsidRPr="00831A0A" w:rsidRDefault="00B677ED" w:rsidP="00DA7AAC">
            <w:pPr>
              <w:keepNext/>
              <w:keepLines/>
              <w:widowControl/>
              <w:jc w:val="left"/>
              <w:rPr>
                <w:rFonts w:ascii="Arial Narrow" w:hAnsi="Arial Narrow" w:cstheme="minorBidi"/>
                <w:sz w:val="20"/>
                <w:szCs w:val="20"/>
                <w:lang w:eastAsia="zh-CN"/>
              </w:rPr>
            </w:pPr>
            <w:r w:rsidRPr="00831A0A">
              <w:rPr>
                <w:rFonts w:ascii="Arial Narrow" w:hAnsi="Arial Narrow" w:cstheme="minorBidi"/>
                <w:b/>
                <w:sz w:val="20"/>
                <w:szCs w:val="20"/>
                <w:lang w:eastAsia="zh-CN"/>
              </w:rPr>
              <w:t>Change from baseline in SMAIS Caregiver Reported Total Score at Month 12</w:t>
            </w:r>
          </w:p>
        </w:tc>
      </w:tr>
      <w:tr w:rsidR="00B677ED" w:rsidRPr="00831A0A" w14:paraId="6E25C9F6" w14:textId="77777777" w:rsidTr="0044536A">
        <w:tc>
          <w:tcPr>
            <w:tcW w:w="2771" w:type="pct"/>
          </w:tcPr>
          <w:p w14:paraId="72F02671" w14:textId="77777777" w:rsidR="00B677ED" w:rsidRPr="00831A0A" w:rsidRDefault="00B677ED" w:rsidP="00DA7AAC">
            <w:pPr>
              <w:keepNext/>
              <w:keepLines/>
              <w:widowControl/>
              <w:ind w:firstLine="175"/>
              <w:jc w:val="left"/>
              <w:rPr>
                <w:rFonts w:ascii="Arial Narrow" w:hAnsi="Arial Narrow" w:cstheme="minorBidi"/>
                <w:sz w:val="20"/>
                <w:szCs w:val="20"/>
                <w:lang w:eastAsia="zh-CN"/>
              </w:rPr>
            </w:pPr>
            <w:r w:rsidRPr="00831A0A">
              <w:rPr>
                <w:rFonts w:ascii="Arial Narrow" w:hAnsi="Arial Narrow" w:cstheme="minorBidi"/>
                <w:sz w:val="20"/>
                <w:szCs w:val="20"/>
                <w:lang w:eastAsia="zh-CN"/>
              </w:rPr>
              <w:t>Number of patients at baseline</w:t>
            </w:r>
          </w:p>
        </w:tc>
        <w:tc>
          <w:tcPr>
            <w:tcW w:w="1118" w:type="pct"/>
          </w:tcPr>
          <w:p w14:paraId="01FFB22B"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13</w:t>
            </w:r>
          </w:p>
        </w:tc>
        <w:tc>
          <w:tcPr>
            <w:tcW w:w="1111" w:type="pct"/>
          </w:tcPr>
          <w:p w14:paraId="4962CB80"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8</w:t>
            </w:r>
          </w:p>
        </w:tc>
      </w:tr>
      <w:tr w:rsidR="00B677ED" w:rsidRPr="00831A0A" w14:paraId="5B41ADE3" w14:textId="77777777" w:rsidTr="0044536A">
        <w:tc>
          <w:tcPr>
            <w:tcW w:w="2771" w:type="pct"/>
          </w:tcPr>
          <w:p w14:paraId="3AC1D8C1" w14:textId="77777777" w:rsidR="00B677ED" w:rsidRPr="00831A0A" w:rsidRDefault="00B677ED" w:rsidP="00DA7AAC">
            <w:pPr>
              <w:keepNext/>
              <w:keepLines/>
              <w:widowControl/>
              <w:ind w:firstLine="175"/>
              <w:jc w:val="left"/>
              <w:rPr>
                <w:rFonts w:ascii="Arial Narrow" w:hAnsi="Arial Narrow" w:cstheme="minorBidi"/>
                <w:sz w:val="20"/>
                <w:szCs w:val="20"/>
                <w:lang w:eastAsia="zh-CN"/>
              </w:rPr>
            </w:pPr>
            <w:r w:rsidRPr="00831A0A">
              <w:rPr>
                <w:rFonts w:ascii="Arial Narrow" w:hAnsi="Arial Narrow" w:cstheme="minorBidi"/>
                <w:sz w:val="20"/>
                <w:szCs w:val="20"/>
                <w:lang w:eastAsia="zh-CN"/>
              </w:rPr>
              <w:t>Mean SMAIS at baseline (SD)</w:t>
            </w:r>
          </w:p>
        </w:tc>
        <w:tc>
          <w:tcPr>
            <w:tcW w:w="1118" w:type="pct"/>
          </w:tcPr>
          <w:p w14:paraId="39A53DA7"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27.00 (10.24)</w:t>
            </w:r>
          </w:p>
        </w:tc>
        <w:tc>
          <w:tcPr>
            <w:tcW w:w="1111" w:type="pct"/>
          </w:tcPr>
          <w:p w14:paraId="133B0BD5"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29.63 (12.95)</w:t>
            </w:r>
          </w:p>
        </w:tc>
      </w:tr>
      <w:tr w:rsidR="00B677ED" w:rsidRPr="00831A0A" w14:paraId="42BD6B76" w14:textId="77777777" w:rsidTr="0044536A">
        <w:tc>
          <w:tcPr>
            <w:tcW w:w="2771" w:type="pct"/>
          </w:tcPr>
          <w:p w14:paraId="01B8D08F" w14:textId="77777777" w:rsidR="00B677ED" w:rsidRPr="00831A0A" w:rsidRDefault="00B677ED" w:rsidP="00DA7AAC">
            <w:pPr>
              <w:keepNext/>
              <w:keepLines/>
              <w:widowControl/>
              <w:ind w:firstLine="175"/>
              <w:jc w:val="left"/>
              <w:rPr>
                <w:rFonts w:ascii="Arial Narrow" w:hAnsi="Arial Narrow" w:cstheme="minorBidi"/>
                <w:sz w:val="20"/>
                <w:szCs w:val="20"/>
                <w:lang w:eastAsia="zh-CN"/>
              </w:rPr>
            </w:pPr>
            <w:r w:rsidRPr="00831A0A">
              <w:rPr>
                <w:rFonts w:ascii="Arial Narrow" w:hAnsi="Arial Narrow" w:cstheme="minorBidi"/>
                <w:sz w:val="20"/>
                <w:szCs w:val="20"/>
                <w:lang w:eastAsia="zh-CN"/>
              </w:rPr>
              <w:t>Number of patients at Week 52</w:t>
            </w:r>
          </w:p>
        </w:tc>
        <w:tc>
          <w:tcPr>
            <w:tcW w:w="1118" w:type="pct"/>
          </w:tcPr>
          <w:p w14:paraId="2A25B16D"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13</w:t>
            </w:r>
          </w:p>
        </w:tc>
        <w:tc>
          <w:tcPr>
            <w:tcW w:w="1111" w:type="pct"/>
          </w:tcPr>
          <w:p w14:paraId="03147447"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8</w:t>
            </w:r>
          </w:p>
        </w:tc>
      </w:tr>
      <w:tr w:rsidR="00B677ED" w:rsidRPr="00831A0A" w14:paraId="24A10E7A" w14:textId="77777777" w:rsidTr="0044536A">
        <w:tc>
          <w:tcPr>
            <w:tcW w:w="2771" w:type="pct"/>
          </w:tcPr>
          <w:p w14:paraId="77D05306" w14:textId="77777777" w:rsidR="00B677ED" w:rsidRPr="00831A0A" w:rsidRDefault="00B677ED" w:rsidP="00DA7AAC">
            <w:pPr>
              <w:keepNext/>
              <w:keepLines/>
              <w:widowControl/>
              <w:ind w:firstLine="175"/>
              <w:jc w:val="left"/>
              <w:rPr>
                <w:rFonts w:ascii="Arial Narrow" w:hAnsi="Arial Narrow" w:cstheme="minorBidi"/>
                <w:sz w:val="20"/>
                <w:szCs w:val="20"/>
                <w:lang w:eastAsia="zh-CN"/>
              </w:rPr>
            </w:pPr>
            <w:r w:rsidRPr="00831A0A">
              <w:rPr>
                <w:rFonts w:ascii="Arial Narrow" w:hAnsi="Arial Narrow" w:cstheme="minorBidi"/>
                <w:sz w:val="20"/>
                <w:szCs w:val="20"/>
                <w:lang w:eastAsia="zh-CN"/>
              </w:rPr>
              <w:t>Mean SMAIS at week 52 (SD)</w:t>
            </w:r>
          </w:p>
        </w:tc>
        <w:tc>
          <w:tcPr>
            <w:tcW w:w="1118" w:type="pct"/>
          </w:tcPr>
          <w:p w14:paraId="0E0E1720"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26.77 (9.34)</w:t>
            </w:r>
          </w:p>
        </w:tc>
        <w:tc>
          <w:tcPr>
            <w:tcW w:w="1111" w:type="pct"/>
          </w:tcPr>
          <w:p w14:paraId="4D99E989"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26.25 (12.58)</w:t>
            </w:r>
          </w:p>
        </w:tc>
      </w:tr>
      <w:tr w:rsidR="00B677ED" w:rsidRPr="00831A0A" w14:paraId="4AEBCDCD" w14:textId="77777777" w:rsidTr="0044536A">
        <w:tc>
          <w:tcPr>
            <w:tcW w:w="2771" w:type="pct"/>
          </w:tcPr>
          <w:p w14:paraId="51B532C4" w14:textId="77777777" w:rsidR="00B677ED" w:rsidRPr="00831A0A" w:rsidRDefault="00B677ED" w:rsidP="00DA7AAC">
            <w:pPr>
              <w:keepNext/>
              <w:keepLines/>
              <w:widowControl/>
              <w:ind w:firstLine="175"/>
              <w:jc w:val="left"/>
              <w:rPr>
                <w:rFonts w:ascii="Arial Narrow" w:hAnsi="Arial Narrow" w:cstheme="minorBidi"/>
                <w:sz w:val="20"/>
                <w:szCs w:val="20"/>
                <w:lang w:eastAsia="zh-CN"/>
              </w:rPr>
            </w:pPr>
            <w:r w:rsidRPr="00831A0A">
              <w:rPr>
                <w:rFonts w:ascii="Arial Narrow" w:hAnsi="Arial Narrow" w:cstheme="minorBidi"/>
                <w:sz w:val="20"/>
                <w:szCs w:val="20"/>
                <w:lang w:eastAsia="zh-CN"/>
              </w:rPr>
              <w:t>SMAIS mean change from baseline at Week 52</w:t>
            </w:r>
            <w:r w:rsidRPr="00831A0A">
              <w:rPr>
                <w:rFonts w:ascii="Arial Narrow" w:hAnsi="Arial Narrow" w:cstheme="minorBidi"/>
                <w:sz w:val="20"/>
                <w:szCs w:val="20"/>
                <w:vertAlign w:val="superscript"/>
                <w:lang w:eastAsia="zh-CN"/>
              </w:rPr>
              <w:t xml:space="preserve">  </w:t>
            </w:r>
            <w:r w:rsidRPr="00831A0A">
              <w:rPr>
                <w:rFonts w:ascii="Arial Narrow" w:hAnsi="Arial Narrow" w:cstheme="minorBidi"/>
                <w:sz w:val="20"/>
                <w:szCs w:val="20"/>
                <w:lang w:eastAsia="zh-CN"/>
              </w:rPr>
              <w:t>(SD)</w:t>
            </w:r>
          </w:p>
        </w:tc>
        <w:tc>
          <w:tcPr>
            <w:tcW w:w="1118" w:type="pct"/>
          </w:tcPr>
          <w:p w14:paraId="2F6957E1"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-0.23 (3.72)</w:t>
            </w:r>
          </w:p>
        </w:tc>
        <w:tc>
          <w:tcPr>
            <w:tcW w:w="1111" w:type="pct"/>
          </w:tcPr>
          <w:p w14:paraId="775D21EF"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-3.38 (1.41)</w:t>
            </w:r>
          </w:p>
        </w:tc>
      </w:tr>
      <w:tr w:rsidR="00B677ED" w:rsidRPr="00831A0A" w14:paraId="0339CD4F" w14:textId="77777777" w:rsidTr="0044536A">
        <w:tc>
          <w:tcPr>
            <w:tcW w:w="2771" w:type="pct"/>
          </w:tcPr>
          <w:p w14:paraId="5343149A" w14:textId="77777777" w:rsidR="00B677ED" w:rsidRPr="00831A0A" w:rsidRDefault="00B677ED" w:rsidP="00DA7AAC">
            <w:pPr>
              <w:keepNext/>
              <w:keepLines/>
              <w:widowControl/>
              <w:ind w:firstLine="599"/>
              <w:jc w:val="left"/>
              <w:rPr>
                <w:rFonts w:ascii="Arial Narrow" w:hAnsi="Arial Narrow" w:cstheme="minorBidi"/>
                <w:sz w:val="20"/>
                <w:szCs w:val="20"/>
                <w:lang w:eastAsia="zh-CN"/>
              </w:rPr>
            </w:pPr>
            <w:r w:rsidRPr="00831A0A">
              <w:rPr>
                <w:rFonts w:ascii="Arial Narrow" w:hAnsi="Arial Narrow" w:cstheme="minorBidi"/>
                <w:sz w:val="20"/>
                <w:szCs w:val="20"/>
                <w:lang w:eastAsia="zh-CN"/>
              </w:rPr>
              <w:t>95% CI</w:t>
            </w:r>
          </w:p>
        </w:tc>
        <w:tc>
          <w:tcPr>
            <w:tcW w:w="1118" w:type="pct"/>
          </w:tcPr>
          <w:p w14:paraId="4F7A3DB3"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(-2.48, 2.02)</w:t>
            </w:r>
          </w:p>
        </w:tc>
        <w:tc>
          <w:tcPr>
            <w:tcW w:w="1111" w:type="pct"/>
          </w:tcPr>
          <w:p w14:paraId="1F9DC922"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(-4.55, -2.20)</w:t>
            </w:r>
          </w:p>
        </w:tc>
      </w:tr>
      <w:tr w:rsidR="00B677ED" w:rsidRPr="00831A0A" w14:paraId="052D4D38" w14:textId="77777777" w:rsidTr="0044536A">
        <w:tc>
          <w:tcPr>
            <w:tcW w:w="2771" w:type="pct"/>
          </w:tcPr>
          <w:p w14:paraId="5B860CC4" w14:textId="77777777" w:rsidR="00B677ED" w:rsidRPr="00831A0A" w:rsidRDefault="00B677ED" w:rsidP="00DA7AAC">
            <w:pPr>
              <w:keepNext/>
              <w:keepLines/>
              <w:widowControl/>
              <w:ind w:firstLine="169"/>
              <w:jc w:val="left"/>
              <w:rPr>
                <w:rFonts w:ascii="Arial Narrow" w:hAnsi="Arial Narrow" w:cstheme="minorBidi"/>
                <w:sz w:val="20"/>
                <w:szCs w:val="20"/>
                <w:lang w:eastAsia="zh-CN"/>
              </w:rPr>
            </w:pPr>
            <w:r w:rsidRPr="00831A0A">
              <w:rPr>
                <w:rFonts w:ascii="Arial Narrow" w:hAnsi="Arial Narrow" w:cstheme="minorBidi"/>
                <w:sz w:val="20"/>
                <w:szCs w:val="20"/>
                <w:lang w:eastAsia="zh-CN"/>
              </w:rPr>
              <w:t xml:space="preserve">Mean difference (95%CI) </w:t>
            </w:r>
            <w:r w:rsidRPr="00831A0A">
              <w:rPr>
                <w:rFonts w:ascii="Arial Narrow" w:hAnsi="Arial Narrow" w:cstheme="minorBidi"/>
                <w:sz w:val="20"/>
                <w:szCs w:val="20"/>
                <w:vertAlign w:val="superscript"/>
                <w:lang w:eastAsia="zh-CN"/>
              </w:rPr>
              <w:t>a</w:t>
            </w:r>
          </w:p>
        </w:tc>
        <w:tc>
          <w:tcPr>
            <w:tcW w:w="2229" w:type="pct"/>
            <w:gridSpan w:val="2"/>
          </w:tcPr>
          <w:p w14:paraId="40A49678" w14:textId="77777777" w:rsidR="00B677ED" w:rsidRPr="00831A0A" w:rsidRDefault="00B677ED" w:rsidP="00DA7AAC">
            <w:pPr>
              <w:keepNext/>
              <w:keepLines/>
              <w:widowControl/>
              <w:jc w:val="center"/>
              <w:rPr>
                <w:rFonts w:ascii="Arial Narrow" w:hAnsi="Arial Narrow" w:cstheme="minorBidi"/>
                <w:sz w:val="20"/>
                <w:szCs w:val="20"/>
                <w:vertAlign w:val="superscript"/>
                <w:lang w:eastAsia="zh-CN"/>
              </w:rPr>
            </w:pPr>
            <w:r w:rsidRPr="00831A0A">
              <w:rPr>
                <w:rFonts w:ascii="Arial Narrow" w:hAnsi="Arial Narrow" w:cstheme="minorBidi"/>
                <w:sz w:val="20"/>
                <w:szCs w:val="20"/>
                <w:lang w:eastAsia="zh-CN"/>
              </w:rPr>
              <w:t>3.15 (0.44, 5.86)</w:t>
            </w:r>
            <w:r w:rsidR="00F03482" w:rsidRPr="00831A0A">
              <w:rPr>
                <w:rFonts w:ascii="Arial Narrow" w:hAnsi="Arial Narrow" w:cstheme="minorBidi"/>
                <w:sz w:val="20"/>
                <w:szCs w:val="20"/>
                <w:lang w:eastAsia="zh-CN"/>
              </w:rPr>
              <w:t xml:space="preserve"> </w:t>
            </w:r>
            <w:r w:rsidR="00F03482" w:rsidRPr="00831A0A">
              <w:rPr>
                <w:rFonts w:ascii="Arial Narrow" w:hAnsi="Arial Narrow" w:cstheme="minorBidi"/>
                <w:sz w:val="20"/>
                <w:szCs w:val="20"/>
                <w:vertAlign w:val="superscript"/>
                <w:lang w:eastAsia="zh-CN"/>
              </w:rPr>
              <w:t>b</w:t>
            </w:r>
          </w:p>
        </w:tc>
      </w:tr>
      <w:tr w:rsidR="00B677ED" w:rsidRPr="00831A0A" w14:paraId="0700AD1B" w14:textId="77777777" w:rsidTr="0044536A">
        <w:tc>
          <w:tcPr>
            <w:tcW w:w="5000" w:type="pct"/>
            <w:gridSpan w:val="3"/>
            <w:shd w:val="clear" w:color="auto" w:fill="auto"/>
          </w:tcPr>
          <w:p w14:paraId="35F805BB" w14:textId="77777777" w:rsidR="00B677ED" w:rsidRPr="00831A0A" w:rsidRDefault="00B677ED" w:rsidP="00DA7AAC">
            <w:pPr>
              <w:keepNext/>
              <w:keepLines/>
              <w:widowControl/>
              <w:jc w:val="left"/>
              <w:rPr>
                <w:rFonts w:ascii="Arial Narrow" w:hAnsi="Arial Narrow" w:cstheme="minorBidi"/>
                <w:sz w:val="20"/>
                <w:szCs w:val="20"/>
                <w:lang w:eastAsia="zh-CN"/>
              </w:rPr>
            </w:pPr>
            <w:r w:rsidRPr="00831A0A">
              <w:rPr>
                <w:rFonts w:ascii="Arial Narrow" w:hAnsi="Arial Narrow" w:cstheme="minorBidi"/>
                <w:b/>
                <w:sz w:val="20"/>
                <w:szCs w:val="20"/>
                <w:lang w:eastAsia="zh-CN"/>
              </w:rPr>
              <w:t>Change from baseline in SMAIS Patient Reported Total Score at Month 12</w:t>
            </w:r>
          </w:p>
        </w:tc>
      </w:tr>
      <w:tr w:rsidR="00B677ED" w:rsidRPr="00831A0A" w14:paraId="65FB1157" w14:textId="77777777" w:rsidTr="0044536A">
        <w:tc>
          <w:tcPr>
            <w:tcW w:w="2771" w:type="pct"/>
          </w:tcPr>
          <w:p w14:paraId="3FFD93F0" w14:textId="77777777" w:rsidR="00B677ED" w:rsidRPr="00831A0A" w:rsidRDefault="00B677ED" w:rsidP="00DA7AAC">
            <w:pPr>
              <w:keepNext/>
              <w:keepLines/>
              <w:widowControl/>
              <w:ind w:firstLine="175"/>
              <w:jc w:val="left"/>
              <w:rPr>
                <w:rFonts w:ascii="Arial Narrow" w:hAnsi="Arial Narrow" w:cstheme="minorBidi"/>
                <w:sz w:val="20"/>
                <w:szCs w:val="20"/>
                <w:lang w:eastAsia="zh-CN"/>
              </w:rPr>
            </w:pPr>
            <w:r w:rsidRPr="00831A0A">
              <w:rPr>
                <w:rFonts w:ascii="Arial Narrow" w:hAnsi="Arial Narrow" w:cstheme="minorBidi"/>
                <w:sz w:val="20"/>
                <w:szCs w:val="20"/>
                <w:lang w:eastAsia="zh-CN"/>
              </w:rPr>
              <w:t>Number of patients at baseline</w:t>
            </w:r>
          </w:p>
        </w:tc>
        <w:tc>
          <w:tcPr>
            <w:tcW w:w="1118" w:type="pct"/>
          </w:tcPr>
          <w:p w14:paraId="7E2141B0"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14</w:t>
            </w:r>
          </w:p>
        </w:tc>
        <w:tc>
          <w:tcPr>
            <w:tcW w:w="1111" w:type="pct"/>
          </w:tcPr>
          <w:p w14:paraId="5CE20588"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8</w:t>
            </w:r>
          </w:p>
        </w:tc>
      </w:tr>
      <w:tr w:rsidR="00B677ED" w:rsidRPr="00831A0A" w14:paraId="3652BC18" w14:textId="77777777" w:rsidTr="0044536A">
        <w:tc>
          <w:tcPr>
            <w:tcW w:w="2771" w:type="pct"/>
          </w:tcPr>
          <w:p w14:paraId="6BD515C3" w14:textId="77777777" w:rsidR="00B677ED" w:rsidRPr="00831A0A" w:rsidRDefault="00B677ED" w:rsidP="00DA7AAC">
            <w:pPr>
              <w:keepNext/>
              <w:keepLines/>
              <w:widowControl/>
              <w:ind w:firstLine="175"/>
              <w:jc w:val="left"/>
              <w:rPr>
                <w:rFonts w:ascii="Arial Narrow" w:hAnsi="Arial Narrow" w:cstheme="minorBidi"/>
                <w:sz w:val="20"/>
                <w:szCs w:val="20"/>
                <w:lang w:eastAsia="zh-CN"/>
              </w:rPr>
            </w:pPr>
            <w:r w:rsidRPr="00831A0A">
              <w:rPr>
                <w:rFonts w:ascii="Arial Narrow" w:hAnsi="Arial Narrow" w:cstheme="minorBidi"/>
                <w:sz w:val="20"/>
                <w:szCs w:val="20"/>
                <w:lang w:eastAsia="zh-CN"/>
              </w:rPr>
              <w:t>Mean SMAIS at baseline (SD)</w:t>
            </w:r>
          </w:p>
        </w:tc>
        <w:tc>
          <w:tcPr>
            <w:tcW w:w="1118" w:type="pct"/>
          </w:tcPr>
          <w:p w14:paraId="68B0CDE7"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28.79 (8.29)</w:t>
            </w:r>
          </w:p>
        </w:tc>
        <w:tc>
          <w:tcPr>
            <w:tcW w:w="1111" w:type="pct"/>
          </w:tcPr>
          <w:p w14:paraId="61D7FEB1"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32.00 (11.05)</w:t>
            </w:r>
          </w:p>
        </w:tc>
      </w:tr>
      <w:tr w:rsidR="00B677ED" w:rsidRPr="00831A0A" w14:paraId="073CED35" w14:textId="77777777" w:rsidTr="0044536A">
        <w:tc>
          <w:tcPr>
            <w:tcW w:w="2771" w:type="pct"/>
          </w:tcPr>
          <w:p w14:paraId="1F06BEDC" w14:textId="77777777" w:rsidR="00B677ED" w:rsidRPr="00831A0A" w:rsidRDefault="00B677ED" w:rsidP="00DA7AAC">
            <w:pPr>
              <w:keepNext/>
              <w:keepLines/>
              <w:widowControl/>
              <w:ind w:firstLine="175"/>
              <w:jc w:val="left"/>
              <w:rPr>
                <w:rFonts w:ascii="Arial Narrow" w:hAnsi="Arial Narrow" w:cstheme="minorBidi"/>
                <w:sz w:val="20"/>
                <w:szCs w:val="20"/>
                <w:lang w:eastAsia="zh-CN"/>
              </w:rPr>
            </w:pPr>
            <w:r w:rsidRPr="00831A0A">
              <w:rPr>
                <w:rFonts w:ascii="Arial Narrow" w:hAnsi="Arial Narrow" w:cstheme="minorBidi"/>
                <w:sz w:val="20"/>
                <w:szCs w:val="20"/>
                <w:lang w:eastAsia="zh-CN"/>
              </w:rPr>
              <w:t>Number of patients at Week 52</w:t>
            </w:r>
          </w:p>
        </w:tc>
        <w:tc>
          <w:tcPr>
            <w:tcW w:w="1118" w:type="pct"/>
          </w:tcPr>
          <w:p w14:paraId="60D4C51A"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14</w:t>
            </w:r>
          </w:p>
        </w:tc>
        <w:tc>
          <w:tcPr>
            <w:tcW w:w="1111" w:type="pct"/>
          </w:tcPr>
          <w:p w14:paraId="5D9A65B6"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8</w:t>
            </w:r>
          </w:p>
        </w:tc>
      </w:tr>
      <w:tr w:rsidR="00B677ED" w:rsidRPr="00831A0A" w14:paraId="550AA3D4" w14:textId="77777777" w:rsidTr="0044536A">
        <w:tc>
          <w:tcPr>
            <w:tcW w:w="2771" w:type="pct"/>
          </w:tcPr>
          <w:p w14:paraId="4764C7EB" w14:textId="77777777" w:rsidR="00B677ED" w:rsidRPr="00831A0A" w:rsidRDefault="00B677ED" w:rsidP="00DA7AAC">
            <w:pPr>
              <w:keepNext/>
              <w:keepLines/>
              <w:widowControl/>
              <w:ind w:firstLine="175"/>
              <w:jc w:val="left"/>
              <w:rPr>
                <w:rFonts w:ascii="Arial Narrow" w:hAnsi="Arial Narrow" w:cstheme="minorBidi"/>
                <w:sz w:val="20"/>
                <w:szCs w:val="20"/>
                <w:lang w:eastAsia="zh-CN"/>
              </w:rPr>
            </w:pPr>
            <w:r w:rsidRPr="00831A0A">
              <w:rPr>
                <w:rFonts w:ascii="Arial Narrow" w:hAnsi="Arial Narrow" w:cstheme="minorBidi"/>
                <w:sz w:val="20"/>
                <w:szCs w:val="20"/>
                <w:lang w:eastAsia="zh-CN"/>
              </w:rPr>
              <w:t>Mean SMAIS at week 52 (SD)</w:t>
            </w:r>
          </w:p>
        </w:tc>
        <w:tc>
          <w:tcPr>
            <w:tcW w:w="1118" w:type="pct"/>
          </w:tcPr>
          <w:p w14:paraId="00566F05"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29.21 (9.73)</w:t>
            </w:r>
          </w:p>
        </w:tc>
        <w:tc>
          <w:tcPr>
            <w:tcW w:w="1111" w:type="pct"/>
          </w:tcPr>
          <w:p w14:paraId="0EEDD4D5"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30.88 (12.14)</w:t>
            </w:r>
          </w:p>
        </w:tc>
      </w:tr>
      <w:tr w:rsidR="00B677ED" w:rsidRPr="00831A0A" w14:paraId="708EFDA3" w14:textId="77777777" w:rsidTr="0044536A">
        <w:tc>
          <w:tcPr>
            <w:tcW w:w="2771" w:type="pct"/>
          </w:tcPr>
          <w:p w14:paraId="143BE9EB" w14:textId="77777777" w:rsidR="00B677ED" w:rsidRPr="00831A0A" w:rsidRDefault="00B677ED" w:rsidP="00DA7AAC">
            <w:pPr>
              <w:keepNext/>
              <w:keepLines/>
              <w:widowControl/>
              <w:ind w:firstLine="175"/>
              <w:jc w:val="left"/>
              <w:rPr>
                <w:rFonts w:ascii="Arial Narrow" w:hAnsi="Arial Narrow" w:cstheme="minorBidi"/>
                <w:sz w:val="20"/>
                <w:szCs w:val="20"/>
                <w:lang w:eastAsia="zh-CN"/>
              </w:rPr>
            </w:pPr>
            <w:r w:rsidRPr="00831A0A">
              <w:rPr>
                <w:rFonts w:ascii="Arial Narrow" w:hAnsi="Arial Narrow" w:cstheme="minorBidi"/>
                <w:sz w:val="20"/>
                <w:szCs w:val="20"/>
                <w:lang w:eastAsia="zh-CN"/>
              </w:rPr>
              <w:t>SMAIS mean change from baseline at Week 52</w:t>
            </w:r>
            <w:r w:rsidRPr="00831A0A">
              <w:rPr>
                <w:rFonts w:ascii="Arial Narrow" w:hAnsi="Arial Narrow" w:cstheme="minorBidi"/>
                <w:sz w:val="20"/>
                <w:szCs w:val="20"/>
                <w:vertAlign w:val="superscript"/>
                <w:lang w:eastAsia="zh-CN"/>
              </w:rPr>
              <w:t xml:space="preserve">  </w:t>
            </w:r>
            <w:r w:rsidRPr="00831A0A">
              <w:rPr>
                <w:rFonts w:ascii="Arial Narrow" w:hAnsi="Arial Narrow" w:cstheme="minorBidi"/>
                <w:sz w:val="20"/>
                <w:szCs w:val="20"/>
                <w:lang w:eastAsia="zh-CN"/>
              </w:rPr>
              <w:t>(SD)</w:t>
            </w:r>
          </w:p>
        </w:tc>
        <w:tc>
          <w:tcPr>
            <w:tcW w:w="1118" w:type="pct"/>
          </w:tcPr>
          <w:p w14:paraId="5989A99F"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0.43 (3.13)</w:t>
            </w:r>
          </w:p>
        </w:tc>
        <w:tc>
          <w:tcPr>
            <w:tcW w:w="1111" w:type="pct"/>
          </w:tcPr>
          <w:p w14:paraId="113D1D05"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-1.13 (3.83)</w:t>
            </w:r>
          </w:p>
        </w:tc>
      </w:tr>
      <w:tr w:rsidR="00B677ED" w:rsidRPr="00831A0A" w14:paraId="3AC19992" w14:textId="77777777" w:rsidTr="0044536A">
        <w:tc>
          <w:tcPr>
            <w:tcW w:w="2771" w:type="pct"/>
          </w:tcPr>
          <w:p w14:paraId="38A55897" w14:textId="77777777" w:rsidR="00B677ED" w:rsidRPr="00831A0A" w:rsidRDefault="00B677ED" w:rsidP="00DA7AAC">
            <w:pPr>
              <w:keepNext/>
              <w:keepLines/>
              <w:widowControl/>
              <w:ind w:firstLine="599"/>
              <w:jc w:val="left"/>
              <w:rPr>
                <w:rFonts w:ascii="Arial Narrow" w:hAnsi="Arial Narrow" w:cstheme="minorBidi"/>
                <w:sz w:val="20"/>
                <w:szCs w:val="20"/>
                <w:lang w:eastAsia="zh-CN"/>
              </w:rPr>
            </w:pPr>
            <w:r w:rsidRPr="00831A0A">
              <w:rPr>
                <w:rFonts w:ascii="Arial Narrow" w:hAnsi="Arial Narrow" w:cstheme="minorBidi"/>
                <w:sz w:val="20"/>
                <w:szCs w:val="20"/>
                <w:lang w:eastAsia="zh-CN"/>
              </w:rPr>
              <w:t>95% CI</w:t>
            </w:r>
          </w:p>
        </w:tc>
        <w:tc>
          <w:tcPr>
            <w:tcW w:w="1118" w:type="pct"/>
          </w:tcPr>
          <w:p w14:paraId="3A4474CB"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(-1.38, 2.24)</w:t>
            </w:r>
          </w:p>
        </w:tc>
        <w:tc>
          <w:tcPr>
            <w:tcW w:w="1111" w:type="pct"/>
          </w:tcPr>
          <w:p w14:paraId="6F4164B6"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(-4.33, 2.08)</w:t>
            </w:r>
          </w:p>
        </w:tc>
      </w:tr>
      <w:tr w:rsidR="00B677ED" w:rsidRPr="00831A0A" w14:paraId="13669711" w14:textId="77777777" w:rsidTr="0044536A">
        <w:tc>
          <w:tcPr>
            <w:tcW w:w="2771" w:type="pct"/>
          </w:tcPr>
          <w:p w14:paraId="302D4ED5" w14:textId="77777777" w:rsidR="00B677ED" w:rsidRPr="00831A0A" w:rsidRDefault="00B677ED" w:rsidP="00DA7AAC">
            <w:pPr>
              <w:keepNext/>
              <w:keepLines/>
              <w:widowControl/>
              <w:ind w:firstLine="169"/>
              <w:jc w:val="left"/>
              <w:rPr>
                <w:rFonts w:ascii="Arial Narrow" w:hAnsi="Arial Narrow" w:cstheme="minorBidi"/>
                <w:sz w:val="20"/>
                <w:szCs w:val="20"/>
                <w:vertAlign w:val="superscript"/>
                <w:lang w:eastAsia="zh-CN"/>
              </w:rPr>
            </w:pPr>
            <w:r w:rsidRPr="00831A0A">
              <w:rPr>
                <w:rFonts w:ascii="Arial Narrow" w:hAnsi="Arial Narrow" w:cstheme="minorBidi"/>
                <w:sz w:val="20"/>
                <w:szCs w:val="20"/>
                <w:lang w:eastAsia="zh-CN"/>
              </w:rPr>
              <w:t xml:space="preserve">Mean difference (95%CI) </w:t>
            </w:r>
            <w:r w:rsidRPr="00831A0A">
              <w:rPr>
                <w:rFonts w:ascii="Arial Narrow" w:hAnsi="Arial Narrow" w:cstheme="minorBidi"/>
                <w:sz w:val="20"/>
                <w:szCs w:val="20"/>
                <w:vertAlign w:val="superscript"/>
                <w:lang w:eastAsia="zh-CN"/>
              </w:rPr>
              <w:t>a</w:t>
            </w:r>
          </w:p>
        </w:tc>
        <w:tc>
          <w:tcPr>
            <w:tcW w:w="2229" w:type="pct"/>
            <w:gridSpan w:val="2"/>
          </w:tcPr>
          <w:p w14:paraId="5535FE38"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1.56 (-1.39, 4.51)</w:t>
            </w:r>
          </w:p>
        </w:tc>
      </w:tr>
      <w:tr w:rsidR="00B677ED" w:rsidRPr="00831A0A" w14:paraId="584A4539" w14:textId="77777777" w:rsidTr="0044536A">
        <w:tc>
          <w:tcPr>
            <w:tcW w:w="5000" w:type="pct"/>
            <w:gridSpan w:val="3"/>
          </w:tcPr>
          <w:p w14:paraId="61BE3027" w14:textId="77777777" w:rsidR="00B677ED" w:rsidRPr="00831A0A" w:rsidRDefault="00B677ED" w:rsidP="00DA7AAC">
            <w:pPr>
              <w:keepNext/>
              <w:keepLines/>
              <w:widowControl/>
              <w:jc w:val="left"/>
              <w:rPr>
                <w:rFonts w:ascii="Arial Narrow" w:hAnsi="Arial Narrow" w:cstheme="minorBidi"/>
                <w:b/>
                <w:sz w:val="20"/>
                <w:szCs w:val="20"/>
                <w:lang w:eastAsia="zh-CN"/>
              </w:rPr>
            </w:pPr>
            <w:r w:rsidRPr="00831A0A">
              <w:rPr>
                <w:rFonts w:ascii="Arial Narrow" w:hAnsi="Arial Narrow" w:cstheme="minorBidi"/>
                <w:b/>
                <w:sz w:val="20"/>
                <w:szCs w:val="20"/>
                <w:lang w:eastAsia="zh-CN"/>
              </w:rPr>
              <w:t>Change from baseline in HFMSE total score at Month 12</w:t>
            </w:r>
          </w:p>
        </w:tc>
      </w:tr>
      <w:tr w:rsidR="00B677ED" w:rsidRPr="00831A0A" w14:paraId="251447C3" w14:textId="77777777" w:rsidTr="0044536A">
        <w:tc>
          <w:tcPr>
            <w:tcW w:w="2771" w:type="pct"/>
          </w:tcPr>
          <w:p w14:paraId="344E7B9E" w14:textId="77777777" w:rsidR="00B677ED" w:rsidRPr="00831A0A" w:rsidRDefault="00B677ED" w:rsidP="00DA7AAC">
            <w:pPr>
              <w:keepNext/>
              <w:keepLines/>
              <w:widowControl/>
              <w:ind w:firstLine="169"/>
              <w:jc w:val="left"/>
              <w:rPr>
                <w:rFonts w:ascii="Arial Narrow" w:hAnsi="Arial Narrow" w:cstheme="minorBidi"/>
                <w:sz w:val="20"/>
                <w:szCs w:val="20"/>
                <w:lang w:eastAsia="zh-CN"/>
              </w:rPr>
            </w:pPr>
            <w:r w:rsidRPr="00831A0A">
              <w:rPr>
                <w:rFonts w:ascii="Arial Narrow" w:hAnsi="Arial Narrow" w:cstheme="minorBidi"/>
                <w:sz w:val="20"/>
                <w:szCs w:val="20"/>
                <w:lang w:eastAsia="zh-CN"/>
              </w:rPr>
              <w:t>Number of patients at baseline</w:t>
            </w:r>
          </w:p>
        </w:tc>
        <w:tc>
          <w:tcPr>
            <w:tcW w:w="1118" w:type="pct"/>
          </w:tcPr>
          <w:p w14:paraId="41E9230E"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14</w:t>
            </w:r>
          </w:p>
        </w:tc>
        <w:tc>
          <w:tcPr>
            <w:tcW w:w="1111" w:type="pct"/>
          </w:tcPr>
          <w:p w14:paraId="27F2B4F1"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8</w:t>
            </w:r>
          </w:p>
        </w:tc>
      </w:tr>
      <w:tr w:rsidR="00B677ED" w:rsidRPr="00831A0A" w14:paraId="4C9BBCA9" w14:textId="77777777" w:rsidTr="0044536A">
        <w:tc>
          <w:tcPr>
            <w:tcW w:w="2771" w:type="pct"/>
          </w:tcPr>
          <w:p w14:paraId="1611BEE3" w14:textId="77777777" w:rsidR="00B677ED" w:rsidRPr="00831A0A" w:rsidRDefault="00B677ED" w:rsidP="00DA7AAC">
            <w:pPr>
              <w:keepNext/>
              <w:keepLines/>
              <w:widowControl/>
              <w:ind w:firstLine="169"/>
              <w:jc w:val="left"/>
              <w:rPr>
                <w:rFonts w:ascii="Arial Narrow" w:hAnsi="Arial Narrow" w:cstheme="minorBidi"/>
                <w:sz w:val="20"/>
                <w:szCs w:val="20"/>
                <w:lang w:eastAsia="zh-CN"/>
              </w:rPr>
            </w:pPr>
            <w:r w:rsidRPr="00831A0A">
              <w:rPr>
                <w:rFonts w:ascii="Arial Narrow" w:hAnsi="Arial Narrow" w:cstheme="minorBidi"/>
                <w:sz w:val="20"/>
                <w:szCs w:val="20"/>
                <w:lang w:eastAsia="zh-CN"/>
              </w:rPr>
              <w:t>Mean HFMSE at baseline (SD)</w:t>
            </w:r>
          </w:p>
        </w:tc>
        <w:tc>
          <w:tcPr>
            <w:tcW w:w="1118" w:type="pct"/>
          </w:tcPr>
          <w:p w14:paraId="41D4C309"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9.79 (9.45)</w:t>
            </w:r>
          </w:p>
        </w:tc>
        <w:tc>
          <w:tcPr>
            <w:tcW w:w="1111" w:type="pct"/>
          </w:tcPr>
          <w:p w14:paraId="1A4B0F6E"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16.88 (15.61)</w:t>
            </w:r>
          </w:p>
        </w:tc>
      </w:tr>
      <w:tr w:rsidR="00B677ED" w:rsidRPr="00831A0A" w14:paraId="5FA56F48" w14:textId="77777777" w:rsidTr="0044536A">
        <w:tc>
          <w:tcPr>
            <w:tcW w:w="2771" w:type="pct"/>
          </w:tcPr>
          <w:p w14:paraId="0DA18719" w14:textId="77777777" w:rsidR="00B677ED" w:rsidRPr="00831A0A" w:rsidRDefault="00B677ED" w:rsidP="00DA7AAC">
            <w:pPr>
              <w:keepNext/>
              <w:keepLines/>
              <w:widowControl/>
              <w:ind w:firstLine="169"/>
              <w:jc w:val="left"/>
              <w:rPr>
                <w:rFonts w:ascii="Arial Narrow" w:hAnsi="Arial Narrow" w:cstheme="minorBidi"/>
                <w:sz w:val="20"/>
                <w:szCs w:val="20"/>
                <w:lang w:eastAsia="zh-CN"/>
              </w:rPr>
            </w:pPr>
            <w:r w:rsidRPr="00831A0A">
              <w:rPr>
                <w:rFonts w:ascii="Arial Narrow" w:hAnsi="Arial Narrow" w:cstheme="minorBidi"/>
                <w:sz w:val="20"/>
                <w:szCs w:val="20"/>
                <w:lang w:eastAsia="zh-CN"/>
              </w:rPr>
              <w:t>Number of patients at Week 52</w:t>
            </w:r>
          </w:p>
        </w:tc>
        <w:tc>
          <w:tcPr>
            <w:tcW w:w="1118" w:type="pct"/>
          </w:tcPr>
          <w:p w14:paraId="08C88C8C"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14</w:t>
            </w:r>
          </w:p>
        </w:tc>
        <w:tc>
          <w:tcPr>
            <w:tcW w:w="1111" w:type="pct"/>
          </w:tcPr>
          <w:p w14:paraId="10C48EC2"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8</w:t>
            </w:r>
          </w:p>
        </w:tc>
      </w:tr>
      <w:tr w:rsidR="00B677ED" w:rsidRPr="00831A0A" w14:paraId="44EC9A1A" w14:textId="77777777" w:rsidTr="0044536A">
        <w:tc>
          <w:tcPr>
            <w:tcW w:w="2771" w:type="pct"/>
          </w:tcPr>
          <w:p w14:paraId="68AB0FF2" w14:textId="77777777" w:rsidR="00B677ED" w:rsidRPr="00831A0A" w:rsidRDefault="00B677ED" w:rsidP="00013B63">
            <w:pPr>
              <w:keepNext/>
              <w:keepLines/>
              <w:widowControl/>
              <w:ind w:firstLine="169"/>
              <w:jc w:val="left"/>
              <w:rPr>
                <w:rFonts w:ascii="Arial Narrow" w:hAnsi="Arial Narrow" w:cstheme="minorBidi"/>
                <w:sz w:val="20"/>
                <w:szCs w:val="20"/>
                <w:lang w:eastAsia="zh-CN"/>
              </w:rPr>
            </w:pPr>
            <w:r w:rsidRPr="00831A0A">
              <w:rPr>
                <w:rFonts w:ascii="Arial Narrow" w:hAnsi="Arial Narrow" w:cstheme="minorBidi"/>
                <w:sz w:val="20"/>
                <w:szCs w:val="20"/>
                <w:lang w:eastAsia="zh-CN"/>
              </w:rPr>
              <w:t xml:space="preserve">Mean </w:t>
            </w:r>
            <w:r w:rsidR="00013B63" w:rsidRPr="007B3DA4">
              <w:rPr>
                <w:rFonts w:ascii="Arial Narrow" w:hAnsi="Arial Narrow" w:cstheme="minorBidi"/>
                <w:sz w:val="20"/>
                <w:szCs w:val="20"/>
                <w:lang w:eastAsia="zh-CN"/>
              </w:rPr>
              <w:t>HFMSE</w:t>
            </w:r>
            <w:r w:rsidR="007B3DA4">
              <w:rPr>
                <w:rFonts w:ascii="Arial Narrow" w:hAnsi="Arial Narrow" w:cstheme="minorBidi"/>
                <w:sz w:val="20"/>
                <w:szCs w:val="20"/>
                <w:lang w:eastAsia="zh-CN"/>
              </w:rPr>
              <w:t>*</w:t>
            </w:r>
            <w:r w:rsidR="00013B63" w:rsidRPr="00831A0A">
              <w:rPr>
                <w:rFonts w:ascii="Arial Narrow" w:hAnsi="Arial Narrow" w:cstheme="minorBidi"/>
                <w:sz w:val="20"/>
                <w:szCs w:val="20"/>
                <w:lang w:eastAsia="zh-CN"/>
              </w:rPr>
              <w:t xml:space="preserve"> </w:t>
            </w:r>
            <w:r w:rsidRPr="00831A0A">
              <w:rPr>
                <w:rFonts w:ascii="Arial Narrow" w:hAnsi="Arial Narrow" w:cstheme="minorBidi"/>
                <w:sz w:val="20"/>
                <w:szCs w:val="20"/>
                <w:lang w:eastAsia="zh-CN"/>
              </w:rPr>
              <w:t>at week 52 (SD)</w:t>
            </w:r>
          </w:p>
        </w:tc>
        <w:tc>
          <w:tcPr>
            <w:tcW w:w="1118" w:type="pct"/>
          </w:tcPr>
          <w:p w14:paraId="058F9B3F"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9.14 (9.55)</w:t>
            </w:r>
          </w:p>
        </w:tc>
        <w:tc>
          <w:tcPr>
            <w:tcW w:w="1111" w:type="pct"/>
          </w:tcPr>
          <w:p w14:paraId="71437BAD"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16.38 (15.27)</w:t>
            </w:r>
          </w:p>
        </w:tc>
      </w:tr>
      <w:tr w:rsidR="00B677ED" w:rsidRPr="00831A0A" w14:paraId="2F5F60EC" w14:textId="77777777" w:rsidTr="0044536A">
        <w:tc>
          <w:tcPr>
            <w:tcW w:w="2771" w:type="pct"/>
          </w:tcPr>
          <w:p w14:paraId="43E0B3D5" w14:textId="77777777" w:rsidR="00B677ED" w:rsidRPr="00831A0A" w:rsidRDefault="00013B63" w:rsidP="00DA7AAC">
            <w:pPr>
              <w:keepNext/>
              <w:keepLines/>
              <w:widowControl/>
              <w:ind w:left="169"/>
              <w:jc w:val="left"/>
              <w:rPr>
                <w:rFonts w:ascii="Arial Narrow" w:hAnsi="Arial Narrow" w:cstheme="minorBidi"/>
                <w:sz w:val="20"/>
                <w:szCs w:val="20"/>
                <w:lang w:eastAsia="zh-CN"/>
              </w:rPr>
            </w:pPr>
            <w:r w:rsidRPr="007B3DA4">
              <w:rPr>
                <w:rFonts w:ascii="Arial Narrow" w:hAnsi="Arial Narrow" w:cstheme="minorBidi"/>
                <w:sz w:val="20"/>
                <w:szCs w:val="20"/>
                <w:lang w:eastAsia="zh-CN"/>
              </w:rPr>
              <w:t>HFMSE</w:t>
            </w:r>
            <w:r w:rsidR="007B3DA4" w:rsidRPr="007B3DA4">
              <w:rPr>
                <w:rFonts w:ascii="Arial Narrow" w:hAnsi="Arial Narrow" w:cstheme="minorBidi"/>
                <w:sz w:val="20"/>
                <w:szCs w:val="20"/>
                <w:lang w:eastAsia="zh-CN"/>
              </w:rPr>
              <w:t>*</w:t>
            </w:r>
            <w:r w:rsidRPr="00831A0A">
              <w:rPr>
                <w:rFonts w:ascii="Arial Narrow" w:hAnsi="Arial Narrow" w:cstheme="minorBidi"/>
                <w:sz w:val="20"/>
                <w:szCs w:val="20"/>
                <w:lang w:eastAsia="zh-CN"/>
              </w:rPr>
              <w:t xml:space="preserve"> </w:t>
            </w:r>
            <w:r w:rsidR="00B677ED" w:rsidRPr="00831A0A">
              <w:rPr>
                <w:rFonts w:ascii="Arial Narrow" w:hAnsi="Arial Narrow" w:cstheme="minorBidi"/>
                <w:sz w:val="20"/>
                <w:szCs w:val="20"/>
                <w:lang w:eastAsia="zh-CN"/>
              </w:rPr>
              <w:t>mean change from baseline at Week 52</w:t>
            </w:r>
            <w:r w:rsidR="00B677ED" w:rsidRPr="00831A0A">
              <w:rPr>
                <w:rFonts w:ascii="Arial Narrow" w:hAnsi="Arial Narrow" w:cstheme="minorBidi"/>
                <w:sz w:val="20"/>
                <w:szCs w:val="20"/>
                <w:vertAlign w:val="superscript"/>
                <w:lang w:eastAsia="zh-CN"/>
              </w:rPr>
              <w:t xml:space="preserve">  </w:t>
            </w:r>
            <w:r w:rsidR="00B677ED" w:rsidRPr="00831A0A">
              <w:rPr>
                <w:rFonts w:ascii="Arial Narrow" w:hAnsi="Arial Narrow" w:cstheme="minorBidi"/>
                <w:sz w:val="20"/>
                <w:szCs w:val="20"/>
                <w:lang w:eastAsia="zh-CN"/>
              </w:rPr>
              <w:t>(SD)</w:t>
            </w:r>
          </w:p>
        </w:tc>
        <w:tc>
          <w:tcPr>
            <w:tcW w:w="1118" w:type="pct"/>
          </w:tcPr>
          <w:p w14:paraId="1E5FCACC"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-0.64 (1.69)</w:t>
            </w:r>
          </w:p>
        </w:tc>
        <w:tc>
          <w:tcPr>
            <w:tcW w:w="1111" w:type="pct"/>
          </w:tcPr>
          <w:p w14:paraId="5BF3B479"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-0.50 (0.76)</w:t>
            </w:r>
          </w:p>
        </w:tc>
      </w:tr>
      <w:tr w:rsidR="00B677ED" w:rsidRPr="00831A0A" w14:paraId="0FA936C8" w14:textId="77777777" w:rsidTr="0044536A">
        <w:tc>
          <w:tcPr>
            <w:tcW w:w="2771" w:type="pct"/>
          </w:tcPr>
          <w:p w14:paraId="791604D7" w14:textId="77777777" w:rsidR="00B677ED" w:rsidRPr="00831A0A" w:rsidRDefault="00B677ED" w:rsidP="00DA7AAC">
            <w:pPr>
              <w:keepNext/>
              <w:keepLines/>
              <w:widowControl/>
              <w:ind w:firstLine="599"/>
              <w:jc w:val="left"/>
              <w:rPr>
                <w:rFonts w:ascii="Arial Narrow" w:hAnsi="Arial Narrow" w:cstheme="minorBidi"/>
                <w:sz w:val="20"/>
                <w:szCs w:val="20"/>
                <w:lang w:eastAsia="zh-CN"/>
              </w:rPr>
            </w:pPr>
            <w:r w:rsidRPr="00831A0A">
              <w:rPr>
                <w:rFonts w:ascii="Arial Narrow" w:hAnsi="Arial Narrow" w:cstheme="minorBidi"/>
                <w:sz w:val="20"/>
                <w:szCs w:val="20"/>
                <w:lang w:eastAsia="zh-CN"/>
              </w:rPr>
              <w:t>95% CI</w:t>
            </w:r>
          </w:p>
        </w:tc>
        <w:tc>
          <w:tcPr>
            <w:tcW w:w="1118" w:type="pct"/>
          </w:tcPr>
          <w:p w14:paraId="5CC49467"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(-1.62, 0.33)</w:t>
            </w:r>
          </w:p>
        </w:tc>
        <w:tc>
          <w:tcPr>
            <w:tcW w:w="1111" w:type="pct"/>
          </w:tcPr>
          <w:p w14:paraId="7C7E2D9F"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(-1.13, 0.13)</w:t>
            </w:r>
          </w:p>
        </w:tc>
      </w:tr>
      <w:tr w:rsidR="00B677ED" w:rsidRPr="00831A0A" w14:paraId="7FCAF2C4" w14:textId="77777777" w:rsidTr="0044536A">
        <w:tc>
          <w:tcPr>
            <w:tcW w:w="2771" w:type="pct"/>
          </w:tcPr>
          <w:p w14:paraId="69A7609C" w14:textId="77777777" w:rsidR="00B677ED" w:rsidRPr="00831A0A" w:rsidRDefault="00B677ED" w:rsidP="00DA7AAC">
            <w:pPr>
              <w:keepNext/>
              <w:keepLines/>
              <w:widowControl/>
              <w:ind w:left="169"/>
              <w:jc w:val="left"/>
              <w:rPr>
                <w:rFonts w:ascii="Arial Narrow" w:hAnsi="Arial Narrow" w:cstheme="minorBidi"/>
                <w:sz w:val="20"/>
                <w:szCs w:val="20"/>
                <w:vertAlign w:val="superscript"/>
                <w:lang w:eastAsia="zh-CN"/>
              </w:rPr>
            </w:pPr>
            <w:r w:rsidRPr="00831A0A">
              <w:rPr>
                <w:rFonts w:ascii="Arial Narrow" w:hAnsi="Arial Narrow" w:cstheme="minorBidi"/>
                <w:sz w:val="20"/>
                <w:szCs w:val="20"/>
                <w:lang w:eastAsia="zh-CN"/>
              </w:rPr>
              <w:t xml:space="preserve">Mean difference (95%CI) </w:t>
            </w:r>
            <w:r w:rsidRPr="00831A0A">
              <w:rPr>
                <w:rFonts w:ascii="Arial Narrow" w:hAnsi="Arial Narrow" w:cstheme="minorBidi"/>
                <w:sz w:val="20"/>
                <w:szCs w:val="20"/>
                <w:vertAlign w:val="superscript"/>
                <w:lang w:eastAsia="zh-CN"/>
              </w:rPr>
              <w:t>a</w:t>
            </w:r>
          </w:p>
        </w:tc>
        <w:tc>
          <w:tcPr>
            <w:tcW w:w="2229" w:type="pct"/>
            <w:gridSpan w:val="2"/>
          </w:tcPr>
          <w:p w14:paraId="5532253A" w14:textId="77777777" w:rsidR="00B677ED" w:rsidRPr="00831A0A" w:rsidRDefault="00B677ED" w:rsidP="00DA7AAC">
            <w:pPr>
              <w:keepNext/>
              <w:keepLines/>
              <w:widowControl/>
              <w:jc w:val="center"/>
              <w:rPr>
                <w:rFonts w:ascii="Arial Narrow" w:hAnsi="Arial Narrow" w:cstheme="minorBidi"/>
                <w:sz w:val="20"/>
                <w:szCs w:val="20"/>
                <w:lang w:eastAsia="zh-CN"/>
              </w:rPr>
            </w:pPr>
            <w:r w:rsidRPr="00831A0A">
              <w:rPr>
                <w:rFonts w:ascii="Arial Narrow" w:hAnsi="Arial Narrow" w:cstheme="minorBidi"/>
                <w:sz w:val="20"/>
                <w:szCs w:val="20"/>
                <w:lang w:eastAsia="zh-CN"/>
              </w:rPr>
              <w:t>-0.14 (-1.38, 1.11)</w:t>
            </w:r>
          </w:p>
        </w:tc>
      </w:tr>
    </w:tbl>
    <w:p w14:paraId="27D03B19" w14:textId="77777777" w:rsidR="00B677ED" w:rsidRDefault="00B677ED" w:rsidP="00B677ED">
      <w:pPr>
        <w:keepNext/>
        <w:keepLines/>
        <w:widowControl/>
        <w:tabs>
          <w:tab w:val="left" w:pos="1100"/>
        </w:tabs>
        <w:jc w:val="left"/>
        <w:rPr>
          <w:rFonts w:ascii="Arial Narrow" w:eastAsiaTheme="minorEastAsia" w:hAnsi="Arial Narrow" w:cstheme="minorBidi"/>
          <w:snapToGrid/>
          <w:sz w:val="18"/>
          <w:szCs w:val="18"/>
        </w:rPr>
      </w:pPr>
      <w:r w:rsidRPr="00384B63">
        <w:rPr>
          <w:rFonts w:ascii="Arial Narrow" w:eastAsiaTheme="minorEastAsia" w:hAnsi="Arial Narrow" w:cstheme="minorBidi"/>
          <w:snapToGrid/>
          <w:sz w:val="18"/>
          <w:szCs w:val="18"/>
        </w:rPr>
        <w:lastRenderedPageBreak/>
        <w:t>CI=confidence interval; MFM32=motor function measure - 32 items; MMRM=mixed model repeated measures; RULM=revised upper limb module; SD= standard deviation; SE=standard error; SMAIS= SMA independence scale</w:t>
      </w:r>
    </w:p>
    <w:p w14:paraId="7A77E527" w14:textId="77777777" w:rsidR="00B677ED" w:rsidRDefault="007B3DA4" w:rsidP="00B677ED">
      <w:pPr>
        <w:keepNext/>
        <w:keepLines/>
        <w:widowControl/>
        <w:tabs>
          <w:tab w:val="left" w:pos="1100"/>
        </w:tabs>
        <w:jc w:val="left"/>
        <w:rPr>
          <w:rFonts w:ascii="Arial Narrow" w:eastAsiaTheme="minorEastAsia" w:hAnsi="Arial Narrow" w:cstheme="minorBidi"/>
          <w:snapToGrid/>
          <w:sz w:val="18"/>
          <w:szCs w:val="18"/>
        </w:rPr>
      </w:pPr>
      <w:r>
        <w:rPr>
          <w:rFonts w:ascii="Arial Narrow" w:eastAsiaTheme="minorEastAsia" w:hAnsi="Arial Narrow" w:cstheme="minorBidi"/>
          <w:snapToGrid/>
          <w:sz w:val="18"/>
          <w:szCs w:val="18"/>
        </w:rPr>
        <w:t xml:space="preserve">* Text </w:t>
      </w:r>
      <w:r w:rsidR="00B677ED">
        <w:rPr>
          <w:rFonts w:ascii="Arial Narrow" w:eastAsiaTheme="minorEastAsia" w:hAnsi="Arial Narrow" w:cstheme="minorBidi"/>
          <w:snapToGrid/>
          <w:sz w:val="18"/>
          <w:szCs w:val="18"/>
        </w:rPr>
        <w:t>indicate</w:t>
      </w:r>
      <w:r>
        <w:rPr>
          <w:rFonts w:ascii="Arial Narrow" w:eastAsiaTheme="minorEastAsia" w:hAnsi="Arial Narrow" w:cstheme="minorBidi"/>
          <w:snapToGrid/>
          <w:sz w:val="18"/>
          <w:szCs w:val="18"/>
        </w:rPr>
        <w:t>s</w:t>
      </w:r>
      <w:r w:rsidR="00B677ED">
        <w:rPr>
          <w:rFonts w:ascii="Arial Narrow" w:eastAsiaTheme="minorEastAsia" w:hAnsi="Arial Narrow" w:cstheme="minorBidi"/>
          <w:snapToGrid/>
          <w:sz w:val="18"/>
          <w:szCs w:val="18"/>
        </w:rPr>
        <w:t xml:space="preserve"> values extracted or calculated during evaluation</w:t>
      </w:r>
    </w:p>
    <w:p w14:paraId="649EF669" w14:textId="77777777" w:rsidR="00B677ED" w:rsidRDefault="00B677ED" w:rsidP="00B677ED">
      <w:pPr>
        <w:keepNext/>
        <w:keepLines/>
        <w:widowControl/>
        <w:tabs>
          <w:tab w:val="left" w:pos="1100"/>
        </w:tabs>
        <w:jc w:val="left"/>
        <w:rPr>
          <w:rFonts w:ascii="Arial Narrow" w:eastAsiaTheme="minorEastAsia" w:hAnsi="Arial Narrow" w:cstheme="minorBidi"/>
          <w:snapToGrid/>
          <w:sz w:val="18"/>
          <w:szCs w:val="18"/>
        </w:rPr>
      </w:pPr>
      <w:r>
        <w:rPr>
          <w:rFonts w:ascii="Arial Narrow" w:eastAsiaTheme="minorEastAsia" w:hAnsi="Arial Narrow" w:cstheme="minorBidi"/>
          <w:snapToGrid/>
          <w:sz w:val="18"/>
          <w:szCs w:val="18"/>
          <w:vertAlign w:val="superscript"/>
        </w:rPr>
        <w:t>a</w:t>
      </w:r>
      <w:r>
        <w:rPr>
          <w:rFonts w:ascii="Arial Narrow" w:eastAsiaTheme="minorEastAsia" w:hAnsi="Arial Narrow" w:cstheme="minorBidi"/>
          <w:snapToGrid/>
          <w:sz w:val="18"/>
          <w:szCs w:val="18"/>
        </w:rPr>
        <w:t xml:space="preserve"> Calculated during evaluation using </w:t>
      </w:r>
      <w:r w:rsidR="00D84035">
        <w:rPr>
          <w:rFonts w:ascii="Arial Narrow" w:eastAsiaTheme="minorEastAsia" w:hAnsi="Arial Narrow" w:cstheme="minorBidi"/>
          <w:snapToGrid/>
          <w:sz w:val="18"/>
          <w:szCs w:val="18"/>
        </w:rPr>
        <w:t>StatsDirect</w:t>
      </w:r>
      <w:r>
        <w:rPr>
          <w:rFonts w:ascii="Arial Narrow" w:eastAsiaTheme="minorEastAsia" w:hAnsi="Arial Narrow" w:cstheme="minorBidi"/>
          <w:snapToGrid/>
          <w:sz w:val="18"/>
          <w:szCs w:val="18"/>
        </w:rPr>
        <w:t xml:space="preserve"> v3.3.4</w:t>
      </w:r>
    </w:p>
    <w:p w14:paraId="4160140E" w14:textId="77777777" w:rsidR="00F03482" w:rsidRPr="00F03482" w:rsidRDefault="00F03482" w:rsidP="00B677ED">
      <w:pPr>
        <w:keepNext/>
        <w:keepLines/>
        <w:widowControl/>
        <w:tabs>
          <w:tab w:val="left" w:pos="1100"/>
        </w:tabs>
        <w:jc w:val="left"/>
        <w:rPr>
          <w:rFonts w:ascii="Arial Narrow" w:eastAsiaTheme="minorEastAsia" w:hAnsi="Arial Narrow" w:cstheme="minorBidi"/>
          <w:snapToGrid/>
          <w:sz w:val="18"/>
          <w:szCs w:val="18"/>
        </w:rPr>
      </w:pPr>
      <w:r>
        <w:rPr>
          <w:rFonts w:ascii="Arial Narrow" w:eastAsiaTheme="minorEastAsia" w:hAnsi="Arial Narrow" w:cstheme="minorBidi"/>
          <w:snapToGrid/>
          <w:sz w:val="18"/>
          <w:szCs w:val="18"/>
          <w:vertAlign w:val="superscript"/>
        </w:rPr>
        <w:t>b</w:t>
      </w:r>
      <w:r>
        <w:rPr>
          <w:rFonts w:ascii="Arial Narrow" w:eastAsiaTheme="minorEastAsia" w:hAnsi="Arial Narrow" w:cstheme="minorBidi"/>
          <w:snapToGrid/>
          <w:sz w:val="18"/>
          <w:szCs w:val="18"/>
        </w:rPr>
        <w:t xml:space="preserve"> Likely to not be statistically significant after adjusting for multiple testing in SUNFISH Part 2</w:t>
      </w:r>
    </w:p>
    <w:p w14:paraId="1DEE24DF" w14:textId="77777777" w:rsidR="00B677ED" w:rsidRPr="00384B63" w:rsidRDefault="00B677ED" w:rsidP="00E330FE">
      <w:pPr>
        <w:keepNext/>
        <w:keepLines/>
        <w:spacing w:after="160"/>
        <w:rPr>
          <w:rFonts w:ascii="Arial Narrow" w:hAnsi="Arial Narrow"/>
          <w:sz w:val="18"/>
          <w:szCs w:val="18"/>
        </w:rPr>
      </w:pPr>
      <w:r w:rsidRPr="00384B63">
        <w:rPr>
          <w:rFonts w:ascii="Arial Narrow" w:hAnsi="Arial Narrow"/>
          <w:sz w:val="18"/>
          <w:szCs w:val="18"/>
        </w:rPr>
        <w:t>Source: Table 2.64, pp157-158 of the submission</w:t>
      </w:r>
      <w:r>
        <w:rPr>
          <w:rFonts w:ascii="Arial Narrow" w:hAnsi="Arial Narrow"/>
          <w:sz w:val="18"/>
          <w:szCs w:val="18"/>
        </w:rPr>
        <w:t xml:space="preserve">, p685, Primary SUNFISH CSR. </w:t>
      </w:r>
    </w:p>
    <w:p w14:paraId="540932F0" w14:textId="77777777" w:rsidR="008F44DD" w:rsidRDefault="008F44DD" w:rsidP="004422FA">
      <w:pPr>
        <w:pStyle w:val="ListParagraph"/>
        <w:widowControl/>
        <w:numPr>
          <w:ilvl w:val="1"/>
          <w:numId w:val="2"/>
        </w:numPr>
      </w:pPr>
      <w:bookmarkStart w:id="31" w:name="_Ref58777130"/>
      <w:r>
        <w:t>A statistically significant difference</w:t>
      </w:r>
      <w:r w:rsidR="00F01544">
        <w:t xml:space="preserve"> (based on lower 95% confidence interval of mean difference exceeding </w:t>
      </w:r>
      <w:r w:rsidR="00E330FE">
        <w:t>zero</w:t>
      </w:r>
      <w:r w:rsidR="00F01544">
        <w:t>)</w:t>
      </w:r>
      <w:r>
        <w:t xml:space="preserve"> was </w:t>
      </w:r>
      <w:r w:rsidR="00F01544">
        <w:t xml:space="preserve">reported only </w:t>
      </w:r>
      <w:r>
        <w:t>for the outcome o</w:t>
      </w:r>
      <w:r w:rsidR="009B0BC1">
        <w:t>f SMAIS caregiver</w:t>
      </w:r>
      <w:r>
        <w:t xml:space="preserve"> reported change in total score,</w:t>
      </w:r>
      <w:r w:rsidR="00F03482">
        <w:t xml:space="preserve"> which favoured treatment with risdiplam</w:t>
      </w:r>
      <w:r w:rsidR="00F03482" w:rsidRPr="00831A0A">
        <w:t xml:space="preserve">. </w:t>
      </w:r>
      <w:r w:rsidR="00BD487E">
        <w:t>A</w:t>
      </w:r>
      <w:r w:rsidR="00B30A99" w:rsidRPr="00831A0A">
        <w:t>fter adjusting for multiple testing,</w:t>
      </w:r>
      <w:r w:rsidR="00F03482" w:rsidRPr="00831A0A">
        <w:t xml:space="preserve"> it was likely that the result for caregiver reported SMAIS was not statistically significantly different between treatment arms in the subgroup of patients aged 18-25 </w:t>
      </w:r>
      <w:r w:rsidR="009B5C78" w:rsidRPr="00831A0A">
        <w:t xml:space="preserve">years </w:t>
      </w:r>
      <w:r w:rsidR="00F03482" w:rsidRPr="00831A0A">
        <w:t>in SUNFISH Part 2, as was observed for the ITT population</w:t>
      </w:r>
      <w:r w:rsidR="00B30A99" w:rsidRPr="00831A0A">
        <w:t>.</w:t>
      </w:r>
      <w:r w:rsidR="00B30A99" w:rsidRPr="007B3DA4">
        <w:t xml:space="preserve"> </w:t>
      </w:r>
      <w:r w:rsidR="00B30A99">
        <w:t>No other motor score outcome appeared to be statistically significantly different between treatment arms, even before adjustment for multiple testing.</w:t>
      </w:r>
      <w:bookmarkEnd w:id="31"/>
      <w:r w:rsidR="00B30A99">
        <w:t xml:space="preserve"> </w:t>
      </w:r>
      <w:r>
        <w:t xml:space="preserve"> </w:t>
      </w:r>
    </w:p>
    <w:p w14:paraId="7FF3F64D" w14:textId="77777777" w:rsidR="001E48F0" w:rsidRPr="00831A0A" w:rsidRDefault="00783AA7" w:rsidP="000B5A76">
      <w:pPr>
        <w:pStyle w:val="ListParagraph"/>
        <w:widowControl/>
        <w:numPr>
          <w:ilvl w:val="1"/>
          <w:numId w:val="2"/>
        </w:numPr>
        <w:spacing w:after="0"/>
      </w:pPr>
      <w:r w:rsidRPr="007B3DA4">
        <w:t xml:space="preserve">The </w:t>
      </w:r>
      <w:r w:rsidR="00163CAF">
        <w:t>PBAC</w:t>
      </w:r>
      <w:r w:rsidR="00163CAF" w:rsidRPr="007B3DA4">
        <w:t xml:space="preserve"> </w:t>
      </w:r>
      <w:r w:rsidRPr="007B3DA4">
        <w:t xml:space="preserve">noted that </w:t>
      </w:r>
      <w:r>
        <w:t>t</w:t>
      </w:r>
      <w:r w:rsidR="001E48F0" w:rsidRPr="00831A0A">
        <w:t>he results from the submission’s subgroup analysis may not be representative of the efficacy of risdiplam in population 3 for the following reasons:</w:t>
      </w:r>
    </w:p>
    <w:p w14:paraId="4D3CF55D" w14:textId="77777777" w:rsidR="001E48F0" w:rsidRPr="00831A0A" w:rsidRDefault="000B5A76" w:rsidP="006C5CF2">
      <w:pPr>
        <w:pStyle w:val="ListParagraph"/>
        <w:widowControl/>
        <w:numPr>
          <w:ilvl w:val="1"/>
          <w:numId w:val="7"/>
        </w:numPr>
        <w:spacing w:after="0"/>
        <w:ind w:left="993" w:hanging="284"/>
      </w:pPr>
      <w:r w:rsidRPr="00831A0A">
        <w:t>p</w:t>
      </w:r>
      <w:r w:rsidR="00B30A99" w:rsidRPr="00831A0A">
        <w:t>atients aged 18 years we</w:t>
      </w:r>
      <w:r w:rsidR="001E48F0" w:rsidRPr="00831A0A">
        <w:t xml:space="preserve">re </w:t>
      </w:r>
      <w:r w:rsidR="00F8385A" w:rsidRPr="00831A0A">
        <w:t xml:space="preserve">included in the analysis but are </w:t>
      </w:r>
      <w:r w:rsidR="001E48F0" w:rsidRPr="00831A0A">
        <w:t>not part of population</w:t>
      </w:r>
      <w:r w:rsidR="008F44DD" w:rsidRPr="00831A0A">
        <w:t xml:space="preserve"> 3</w:t>
      </w:r>
      <w:r w:rsidR="001E48F0" w:rsidRPr="00831A0A">
        <w:t>,</w:t>
      </w:r>
    </w:p>
    <w:p w14:paraId="369DC155" w14:textId="77777777" w:rsidR="001E48F0" w:rsidRPr="00831A0A" w:rsidRDefault="00F8385A" w:rsidP="006C5CF2">
      <w:pPr>
        <w:pStyle w:val="ListParagraph"/>
        <w:widowControl/>
        <w:numPr>
          <w:ilvl w:val="1"/>
          <w:numId w:val="7"/>
        </w:numPr>
        <w:spacing w:after="0"/>
        <w:ind w:left="993" w:hanging="284"/>
      </w:pPr>
      <w:r w:rsidRPr="00831A0A">
        <w:t xml:space="preserve">no patients </w:t>
      </w:r>
      <w:r w:rsidR="009B5C78" w:rsidRPr="00831A0A">
        <w:t xml:space="preserve">aged </w:t>
      </w:r>
      <w:r w:rsidRPr="00831A0A">
        <w:t xml:space="preserve">&gt;25 years were included in the analysis but </w:t>
      </w:r>
      <w:r w:rsidR="000B5A76" w:rsidRPr="00831A0A">
        <w:t>p</w:t>
      </w:r>
      <w:r w:rsidR="001E48F0" w:rsidRPr="00831A0A">
        <w:t xml:space="preserve">atients who are older than 25 years of age may be treated under the proposed restriction (e.g. JEWELFISH enrolled patients up </w:t>
      </w:r>
      <w:r w:rsidR="00FA0A27" w:rsidRPr="00831A0A">
        <w:t>to 60 years of age</w:t>
      </w:r>
      <w:r w:rsidR="00BD487E">
        <w:t xml:space="preserve"> and a number of patients who submitted consumer comments reported that they were aged 50 or over</w:t>
      </w:r>
      <w:r w:rsidR="00FA0A27" w:rsidRPr="00831A0A">
        <w:t>);</w:t>
      </w:r>
      <w:r w:rsidR="001E48F0" w:rsidRPr="00831A0A">
        <w:t xml:space="preserve"> and </w:t>
      </w:r>
    </w:p>
    <w:p w14:paraId="5D0EBDD5" w14:textId="77777777" w:rsidR="0019343F" w:rsidRPr="00831A0A" w:rsidRDefault="000B5A76" w:rsidP="006C5CF2">
      <w:pPr>
        <w:pStyle w:val="ListParagraph"/>
        <w:widowControl/>
        <w:numPr>
          <w:ilvl w:val="1"/>
          <w:numId w:val="7"/>
        </w:numPr>
        <w:ind w:left="993" w:hanging="284"/>
      </w:pPr>
      <w:r w:rsidRPr="00831A0A">
        <w:t>t</w:t>
      </w:r>
      <w:r w:rsidR="001E48F0" w:rsidRPr="00831A0A">
        <w:t>here were no patients with SMA Type 1</w:t>
      </w:r>
      <w:r w:rsidR="00F01544" w:rsidRPr="00831A0A">
        <w:t xml:space="preserve"> or Type 3 (ambulant)</w:t>
      </w:r>
      <w:r w:rsidR="001E48F0" w:rsidRPr="00831A0A">
        <w:t xml:space="preserve"> enrolled in SUNFISH Part 2, though it is unlikely that patients with SMA Type 1</w:t>
      </w:r>
      <w:r w:rsidR="002F3D61" w:rsidRPr="00831A0A">
        <w:t xml:space="preserve"> who have not had access to disease modifying treatment</w:t>
      </w:r>
      <w:r w:rsidR="001E48F0" w:rsidRPr="00831A0A">
        <w:t xml:space="preserve"> survive until 18 years of age.</w:t>
      </w:r>
    </w:p>
    <w:p w14:paraId="19957A0F" w14:textId="77777777" w:rsidR="00C060C6" w:rsidRDefault="005E047F" w:rsidP="005E047F">
      <w:pPr>
        <w:pStyle w:val="ListParagraph"/>
        <w:widowControl/>
        <w:numPr>
          <w:ilvl w:val="1"/>
          <w:numId w:val="2"/>
        </w:numPr>
      </w:pPr>
      <w:r w:rsidRPr="007B3DA4">
        <w:rPr>
          <w:iCs/>
        </w:rPr>
        <w:t>The PSCR identified that there were 4 patients aged 18 in the 18-25 year cohort and all were in the risdiplam arm</w:t>
      </w:r>
      <w:r w:rsidR="00BD487E">
        <w:rPr>
          <w:iCs/>
        </w:rPr>
        <w:t xml:space="preserve"> and </w:t>
      </w:r>
      <w:r w:rsidR="008363BE">
        <w:rPr>
          <w:iCs/>
        </w:rPr>
        <w:t xml:space="preserve">also </w:t>
      </w:r>
      <w:r w:rsidR="00BD487E">
        <w:rPr>
          <w:iCs/>
        </w:rPr>
        <w:t xml:space="preserve">noted that </w:t>
      </w:r>
      <w:bookmarkStart w:id="32" w:name="_Toc61959935"/>
      <w:r w:rsidR="00C060C6" w:rsidRPr="007B3DA4">
        <w:t xml:space="preserve">at baseline, no patients were in the “standing” state and a single patient in the placebo arm was in the “walking” state. </w:t>
      </w:r>
    </w:p>
    <w:p w14:paraId="16785796" w14:textId="77777777" w:rsidR="00B60939" w:rsidRPr="003A44F8" w:rsidRDefault="00B60939" w:rsidP="0037240C">
      <w:pPr>
        <w:pStyle w:val="4-SubsectionHeading"/>
      </w:pPr>
      <w:r w:rsidRPr="003A44F8">
        <w:t>Comparative harms</w:t>
      </w:r>
      <w:bookmarkEnd w:id="32"/>
    </w:p>
    <w:p w14:paraId="21C4C992" w14:textId="77777777" w:rsidR="00E16834" w:rsidRDefault="00E16834" w:rsidP="00E16834">
      <w:pPr>
        <w:pStyle w:val="ListParagraph"/>
        <w:widowControl/>
        <w:numPr>
          <w:ilvl w:val="1"/>
          <w:numId w:val="2"/>
        </w:numPr>
      </w:pPr>
      <w:r>
        <w:t>No head to head clinical trials for risdiplam and nusinersen w</w:t>
      </w:r>
      <w:r w:rsidR="009A143D">
        <w:t>ere</w:t>
      </w:r>
      <w:r>
        <w:t xml:space="preserve"> identified. As such, there was limited information on the comparative harms for risdiplam and nusinersen. The submission presented </w:t>
      </w:r>
      <w:r w:rsidR="0088473D">
        <w:t xml:space="preserve">a </w:t>
      </w:r>
      <w:r w:rsidRPr="00E16834">
        <w:t>MAIC and network meta-analysis</w:t>
      </w:r>
      <w:r w:rsidR="006D0C3A">
        <w:t xml:space="preserve"> (NMA)</w:t>
      </w:r>
      <w:r w:rsidRPr="00E16834">
        <w:t xml:space="preserve"> on the </w:t>
      </w:r>
      <w:r>
        <w:t xml:space="preserve">broad </w:t>
      </w:r>
      <w:r w:rsidRPr="00E16834">
        <w:t>safety outcomes for ‘Any adverse event’, ‘Any adverse event leading to discontinuation’ and ‘Any serious adverse event’ in FIREFISH and ENDEAR</w:t>
      </w:r>
      <w:r w:rsidR="00EC340E">
        <w:t xml:space="preserve"> (at up to 6 months)</w:t>
      </w:r>
      <w:r w:rsidRPr="00E16834">
        <w:t xml:space="preserve">, </w:t>
      </w:r>
      <w:r>
        <w:t xml:space="preserve">as well as </w:t>
      </w:r>
      <w:r w:rsidRPr="00E16834">
        <w:t>an indirect comparison and NMA for the outcome of ‘serious adverse events’ in SUNFISH Part 2 and CHERISH</w:t>
      </w:r>
      <w:r>
        <w:t xml:space="preserve">. </w:t>
      </w:r>
    </w:p>
    <w:p w14:paraId="1575A2BC" w14:textId="77777777" w:rsidR="00EC340E" w:rsidRPr="009A143D" w:rsidRDefault="00761095" w:rsidP="006D0C3A">
      <w:pPr>
        <w:pStyle w:val="ListParagraph"/>
        <w:widowControl/>
        <w:numPr>
          <w:ilvl w:val="1"/>
          <w:numId w:val="2"/>
        </w:numPr>
        <w:rPr>
          <w:iCs/>
        </w:rPr>
      </w:pPr>
      <w:bookmarkStart w:id="33" w:name="_Ref58784538"/>
      <w:r w:rsidRPr="003A44F8">
        <w:t xml:space="preserve">For the FIREFISH versus ENDEAR </w:t>
      </w:r>
      <w:r>
        <w:t xml:space="preserve">indirect </w:t>
      </w:r>
      <w:r w:rsidRPr="003A44F8">
        <w:t>comparison</w:t>
      </w:r>
      <w:r>
        <w:t xml:space="preserve"> for safety</w:t>
      </w:r>
      <w:r w:rsidRPr="003A44F8">
        <w:t>, the base case analysis suggested that risdiplam may be associated with fewer AEs leading to discontinuation and any serious adverse events compared to nusinersen in both the naïve comparison and MAIC analysis</w:t>
      </w:r>
      <w:r w:rsidR="00EC340E" w:rsidRPr="00831A0A">
        <w:t xml:space="preserve">. </w:t>
      </w:r>
      <w:r w:rsidRPr="00831A0A">
        <w:t xml:space="preserve">However, this was not a reliable comparison as the indirect comparisons also implausibly concluded that treatment with risdiplam was associated </w:t>
      </w:r>
      <w:r w:rsidRPr="00831A0A">
        <w:lastRenderedPageBreak/>
        <w:t>with fewer AEs leading to discontinuation and any serious adverse events compared to treatment with sham-control</w:t>
      </w:r>
      <w:r w:rsidR="005072D4" w:rsidRPr="00831A0A">
        <w:t xml:space="preserve"> </w:t>
      </w:r>
      <w:r w:rsidR="009F2DBC" w:rsidRPr="00831A0A">
        <w:t xml:space="preserve">in ENDEAR </w:t>
      </w:r>
      <w:r w:rsidR="005072D4" w:rsidRPr="00831A0A">
        <w:t xml:space="preserve">(which was a </w:t>
      </w:r>
      <w:r w:rsidR="002D0F78" w:rsidRPr="00831A0A">
        <w:t xml:space="preserve">small </w:t>
      </w:r>
      <w:r w:rsidR="005072D4" w:rsidRPr="00831A0A">
        <w:t xml:space="preserve">needle prick as described in paragraph </w:t>
      </w:r>
      <w:r w:rsidR="009825B3">
        <w:t>6.14</w:t>
      </w:r>
      <w:r w:rsidR="005072D4" w:rsidRPr="00831A0A">
        <w:t>)</w:t>
      </w:r>
      <w:r w:rsidRPr="00831A0A">
        <w:t>.</w:t>
      </w:r>
      <w:r w:rsidR="001E7B40" w:rsidRPr="00831A0A">
        <w:t xml:space="preserve"> </w:t>
      </w:r>
      <w:r w:rsidR="006D0C3A" w:rsidRPr="00831A0A">
        <w:t>The difference observed between FIREFISH and ENDEAR may instead be due to the difference in trial design between FIREFISH (single arm open label) and ENDEAR (double blinded RCT), or heterogeneity in the patients enrolled.</w:t>
      </w:r>
      <w:bookmarkEnd w:id="33"/>
    </w:p>
    <w:p w14:paraId="5CF0BEB7" w14:textId="77777777" w:rsidR="001D7688" w:rsidRPr="00831A0A" w:rsidRDefault="001E7B40" w:rsidP="00EC340E">
      <w:pPr>
        <w:pStyle w:val="ListParagraph"/>
        <w:widowControl/>
        <w:numPr>
          <w:ilvl w:val="1"/>
          <w:numId w:val="2"/>
        </w:numPr>
        <w:rPr>
          <w:iCs/>
        </w:rPr>
      </w:pPr>
      <w:r w:rsidRPr="003A44F8">
        <w:t xml:space="preserve">For the SUNFISH versus CHERISH safety comparison, </w:t>
      </w:r>
      <w:r>
        <w:t xml:space="preserve">in </w:t>
      </w:r>
      <w:r w:rsidRPr="003A44F8">
        <w:t xml:space="preserve">the Bucher ITC, Bayesian NMA and the anchored MAIC, the reporting of serious AEs was higher for risdiplam treated patients in a comparable SUNFISH Part 2 subset, compared to nusinersen treated patients in CHERISH. However, as the 95% confidence intervals for the ORs included values &lt;1, </w:t>
      </w:r>
      <w:r w:rsidR="00FA0A27">
        <w:t xml:space="preserve">it was </w:t>
      </w:r>
      <w:r w:rsidRPr="003A44F8">
        <w:t>concluded that the analyses could not differentiate between the two treatments.</w:t>
      </w:r>
      <w:r w:rsidR="00EC340E">
        <w:t xml:space="preserve"> </w:t>
      </w:r>
      <w:r w:rsidRPr="00831A0A">
        <w:t xml:space="preserve">Given the transitivity issues between SUNFISH and CHERISH described in paragraph </w:t>
      </w:r>
      <w:r w:rsidR="009825B3">
        <w:t>6.35</w:t>
      </w:r>
      <w:r w:rsidRPr="00831A0A">
        <w:t xml:space="preserve">, the results of the ITC for safety </w:t>
      </w:r>
      <w:r w:rsidR="001D7688" w:rsidRPr="00831A0A">
        <w:t>were also likely to be unreliable.</w:t>
      </w:r>
      <w:r w:rsidR="006D0C3A" w:rsidRPr="00831A0A">
        <w:t xml:space="preserve"> However</w:t>
      </w:r>
      <w:r w:rsidR="0012625D" w:rsidRPr="00831A0A">
        <w:t>,</w:t>
      </w:r>
      <w:r w:rsidR="006D0C3A" w:rsidRPr="00831A0A">
        <w:t xml:space="preserve"> it was noted that the safety results from the indirect comparison between SUNFISH and CHERISH do not support the safety results of FIREFISH and ENDEAR as described in paragraph </w:t>
      </w:r>
      <w:r w:rsidR="009825B3">
        <w:t>6.45</w:t>
      </w:r>
      <w:r w:rsidR="006D0C3A" w:rsidRPr="00831A0A">
        <w:t>.</w:t>
      </w:r>
    </w:p>
    <w:p w14:paraId="1AD16A12" w14:textId="77777777" w:rsidR="00EC340E" w:rsidRPr="00831A0A" w:rsidRDefault="001D7688" w:rsidP="001D7688">
      <w:pPr>
        <w:pStyle w:val="ListParagraph"/>
        <w:widowControl/>
        <w:numPr>
          <w:ilvl w:val="1"/>
          <w:numId w:val="2"/>
        </w:numPr>
        <w:rPr>
          <w:iCs/>
        </w:rPr>
      </w:pPr>
      <w:r w:rsidRPr="00831A0A">
        <w:t xml:space="preserve">Overall, the indirect comparisons for safety outcomes between risdiplam and nusinersen </w:t>
      </w:r>
      <w:r w:rsidR="009F2DBC">
        <w:t>were</w:t>
      </w:r>
      <w:r w:rsidRPr="00831A0A">
        <w:t xml:space="preserve"> inconclusive and subject to a high degree of bias (in unknown directions) and uncertainty. Nonetheless, given the less invasive route of administration of risdiplam compared to nusinersen, </w:t>
      </w:r>
      <w:r w:rsidR="009F2DBC" w:rsidRPr="007B3DA4">
        <w:t xml:space="preserve">the </w:t>
      </w:r>
      <w:r w:rsidR="00163CAF">
        <w:t>PBAC</w:t>
      </w:r>
      <w:r w:rsidR="009F2DBC" w:rsidRPr="007B3DA4">
        <w:t xml:space="preserve"> </w:t>
      </w:r>
      <w:r w:rsidR="008363BE">
        <w:t>considered</w:t>
      </w:r>
      <w:r w:rsidR="009F2DBC" w:rsidRPr="007B3DA4">
        <w:t xml:space="preserve"> that </w:t>
      </w:r>
      <w:r w:rsidRPr="00831A0A">
        <w:t>the conclusion that risdiplam has a favourable safety profile in some patients may be reasonable</w:t>
      </w:r>
      <w:r w:rsidR="009F2DBC">
        <w:t xml:space="preserve">, </w:t>
      </w:r>
      <w:r w:rsidR="009F2DBC" w:rsidRPr="007B3DA4">
        <w:t>noting that the safety profiles are different</w:t>
      </w:r>
      <w:r w:rsidRPr="00831A0A">
        <w:t xml:space="preserve">. </w:t>
      </w:r>
    </w:p>
    <w:p w14:paraId="6EDEE41E" w14:textId="77777777" w:rsidR="00274694" w:rsidRDefault="001D7688" w:rsidP="001D7688">
      <w:pPr>
        <w:pStyle w:val="ListParagraph"/>
        <w:widowControl/>
        <w:numPr>
          <w:ilvl w:val="1"/>
          <w:numId w:val="2"/>
        </w:numPr>
      </w:pPr>
      <w:r>
        <w:t xml:space="preserve">Direct head to head safety data for risdiplam compared to BSC was available from SUNFISH Part 2. </w:t>
      </w:r>
      <w:r w:rsidR="00274694">
        <w:t>In SUNFISH Part 2, r</w:t>
      </w:r>
      <w:r w:rsidR="00311512" w:rsidRPr="00B75ACC">
        <w:t xml:space="preserve">isdiplam had </w:t>
      </w:r>
      <w:r w:rsidR="009F2DBC">
        <w:t xml:space="preserve">a </w:t>
      </w:r>
      <w:r w:rsidR="00311512" w:rsidRPr="00B75ACC">
        <w:t>higher rate of diarrhoea compared with placebo (16.7% and 8.3% respectively)</w:t>
      </w:r>
      <w:r>
        <w:t xml:space="preserve"> which </w:t>
      </w:r>
      <w:r w:rsidR="00311512" w:rsidRPr="00B75ACC">
        <w:t xml:space="preserve">was not statistically significant. </w:t>
      </w:r>
      <w:r w:rsidR="00274694">
        <w:t>T</w:t>
      </w:r>
      <w:r w:rsidR="00274694" w:rsidRPr="00623D57">
        <w:t xml:space="preserve">he incidence of </w:t>
      </w:r>
      <w:r w:rsidR="00274694">
        <w:t>serious adverse events</w:t>
      </w:r>
      <w:r w:rsidR="00274694" w:rsidRPr="00623D57">
        <w:t xml:space="preserve"> </w:t>
      </w:r>
      <w:r w:rsidR="00274694">
        <w:t xml:space="preserve">(SAE) </w:t>
      </w:r>
      <w:r w:rsidR="00274694" w:rsidRPr="00623D57">
        <w:t>was comparable between treatment arms in SUNFISH (risdiplam, 20%; placebo, 18.3%). The most common SAE in SUNFISH was pneumonia (risdiplam 7.5% vs placebo, 1.7%)</w:t>
      </w:r>
      <w:r w:rsidR="008A02F8">
        <w:t xml:space="preserve"> which was not statistically significantly different between treatment arms.</w:t>
      </w:r>
      <w:r w:rsidR="00274694" w:rsidRPr="00623D57">
        <w:t xml:space="preserve"> </w:t>
      </w:r>
      <w:r w:rsidR="008A02F8">
        <w:t xml:space="preserve">The </w:t>
      </w:r>
      <w:r w:rsidR="00274694" w:rsidRPr="00623D57">
        <w:t xml:space="preserve">submission </w:t>
      </w:r>
      <w:r w:rsidR="008A02F8">
        <w:t xml:space="preserve">noted </w:t>
      </w:r>
      <w:r w:rsidR="00274694" w:rsidRPr="00623D57">
        <w:t xml:space="preserve">that all </w:t>
      </w:r>
      <w:r w:rsidR="008A02F8">
        <w:t xml:space="preserve">pneumonia </w:t>
      </w:r>
      <w:r w:rsidR="00274694" w:rsidRPr="00623D57">
        <w:t>cases resolved despite ongoing treatment with risdiplam after 4-21 days and were considered as unrelated to risdiplam</w:t>
      </w:r>
      <w:r w:rsidR="00274694" w:rsidRPr="00831A0A">
        <w:t>.</w:t>
      </w:r>
      <w:r w:rsidR="005D7B55" w:rsidRPr="00831A0A">
        <w:t xml:space="preserve"> The </w:t>
      </w:r>
      <w:r w:rsidR="008363BE">
        <w:t xml:space="preserve">PBAC considered the </w:t>
      </w:r>
      <w:r w:rsidR="005D7B55" w:rsidRPr="00831A0A">
        <w:t xml:space="preserve">submission’s claim of inferior but manageable adverse events with risdiplam versus </w:t>
      </w:r>
      <w:r w:rsidRPr="00831A0A">
        <w:t>BSC</w:t>
      </w:r>
      <w:r w:rsidR="005D7B55" w:rsidRPr="00831A0A">
        <w:t xml:space="preserve"> was supported by </w:t>
      </w:r>
      <w:r w:rsidR="008A02F8" w:rsidRPr="00831A0A">
        <w:t xml:space="preserve">the direct head to head </w:t>
      </w:r>
      <w:r w:rsidR="005D7B55" w:rsidRPr="00831A0A">
        <w:t>results</w:t>
      </w:r>
      <w:r w:rsidR="008A02F8" w:rsidRPr="00831A0A">
        <w:t xml:space="preserve"> for SUNFISH Part 2</w:t>
      </w:r>
      <w:r w:rsidR="005D7B55" w:rsidRPr="00831A0A">
        <w:t>.</w:t>
      </w:r>
    </w:p>
    <w:p w14:paraId="77E239D9" w14:textId="77777777" w:rsidR="007F1017" w:rsidRPr="003A44F8" w:rsidRDefault="007F1017" w:rsidP="0037240C">
      <w:pPr>
        <w:pStyle w:val="4-SubsectionHeading"/>
      </w:pPr>
      <w:bookmarkStart w:id="34" w:name="_Toc61959936"/>
      <w:r w:rsidRPr="003A44F8">
        <w:t>Benefits/harms</w:t>
      </w:r>
      <w:bookmarkEnd w:id="34"/>
    </w:p>
    <w:p w14:paraId="3CD229DA" w14:textId="77777777" w:rsidR="00F63F58" w:rsidRDefault="00E926A5" w:rsidP="004422FA">
      <w:pPr>
        <w:pStyle w:val="ListParagraph"/>
        <w:widowControl/>
        <w:numPr>
          <w:ilvl w:val="1"/>
          <w:numId w:val="2"/>
        </w:numPr>
        <w:rPr>
          <w:rFonts w:cs="Calibri"/>
          <w:snapToGrid/>
          <w:szCs w:val="24"/>
          <w:lang w:eastAsia="en-AU"/>
        </w:rPr>
      </w:pPr>
      <w:r w:rsidRPr="003A44F8">
        <w:rPr>
          <w:rFonts w:cs="Calibri"/>
          <w:snapToGrid/>
          <w:szCs w:val="24"/>
          <w:lang w:eastAsia="en-AU"/>
        </w:rPr>
        <w:t>The comparison</w:t>
      </w:r>
      <w:r w:rsidR="004F55ED">
        <w:rPr>
          <w:rFonts w:cs="Calibri"/>
          <w:snapToGrid/>
          <w:szCs w:val="24"/>
          <w:lang w:eastAsia="en-AU"/>
        </w:rPr>
        <w:t>s</w:t>
      </w:r>
      <w:r w:rsidRPr="003A44F8">
        <w:rPr>
          <w:rFonts w:cs="Calibri"/>
          <w:snapToGrid/>
          <w:szCs w:val="24"/>
          <w:lang w:eastAsia="en-AU"/>
        </w:rPr>
        <w:t xml:space="preserve"> presented in the submission did not allow for a </w:t>
      </w:r>
      <w:r w:rsidR="0085309D" w:rsidRPr="003A44F8">
        <w:rPr>
          <w:rFonts w:cs="Calibri"/>
          <w:snapToGrid/>
          <w:szCs w:val="24"/>
          <w:lang w:eastAsia="en-AU"/>
        </w:rPr>
        <w:t xml:space="preserve">quantitative </w:t>
      </w:r>
      <w:r w:rsidRPr="003A44F8">
        <w:rPr>
          <w:rFonts w:cs="Calibri"/>
          <w:snapToGrid/>
          <w:szCs w:val="24"/>
          <w:lang w:eastAsia="en-AU"/>
        </w:rPr>
        <w:t>comparison of the benefits and harm</w:t>
      </w:r>
      <w:r w:rsidR="004F55ED">
        <w:rPr>
          <w:rFonts w:cs="Calibri"/>
          <w:snapToGrid/>
          <w:szCs w:val="24"/>
          <w:lang w:eastAsia="en-AU"/>
        </w:rPr>
        <w:t xml:space="preserve">s of risdiplam and nusinersen or of risdiplam and </w:t>
      </w:r>
      <w:r w:rsidR="002D0F78">
        <w:rPr>
          <w:rFonts w:cs="Calibri"/>
          <w:snapToGrid/>
          <w:szCs w:val="24"/>
          <w:lang w:eastAsia="en-AU"/>
        </w:rPr>
        <w:t>BSC</w:t>
      </w:r>
      <w:r w:rsidRPr="003A44F8">
        <w:rPr>
          <w:rFonts w:cs="Calibri"/>
          <w:snapToGrid/>
          <w:szCs w:val="24"/>
          <w:lang w:eastAsia="en-AU"/>
        </w:rPr>
        <w:t>. Accordingly, a benefits/harms table has not been presented.</w:t>
      </w:r>
    </w:p>
    <w:p w14:paraId="659C58F3" w14:textId="77777777" w:rsidR="007F1017" w:rsidRPr="00F63F58" w:rsidRDefault="00F63F58" w:rsidP="00F63F58">
      <w:pPr>
        <w:widowControl/>
        <w:jc w:val="left"/>
        <w:rPr>
          <w:rFonts w:cs="Calibri"/>
          <w:snapToGrid/>
          <w:szCs w:val="24"/>
          <w:lang w:eastAsia="en-AU"/>
        </w:rPr>
      </w:pPr>
      <w:r>
        <w:rPr>
          <w:rFonts w:cs="Calibri"/>
          <w:snapToGrid/>
          <w:szCs w:val="24"/>
          <w:lang w:eastAsia="en-AU"/>
        </w:rPr>
        <w:br w:type="page"/>
      </w:r>
    </w:p>
    <w:p w14:paraId="3A0D4A6E" w14:textId="77777777" w:rsidR="00B60939" w:rsidRPr="003A44F8" w:rsidRDefault="00B60939" w:rsidP="0037240C">
      <w:pPr>
        <w:pStyle w:val="4-SubsectionHeading"/>
      </w:pPr>
      <w:bookmarkStart w:id="35" w:name="_Toc61959937"/>
      <w:r w:rsidRPr="003A44F8">
        <w:lastRenderedPageBreak/>
        <w:t>Clinical claim</w:t>
      </w:r>
      <w:bookmarkEnd w:id="35"/>
    </w:p>
    <w:p w14:paraId="2AED23DF" w14:textId="77777777" w:rsidR="005072D4" w:rsidRDefault="00C17F0F" w:rsidP="0037240C">
      <w:pPr>
        <w:pStyle w:val="5-Subsectionsubheading"/>
      </w:pPr>
      <w:r w:rsidRPr="00701FDF">
        <w:t>Population 1</w:t>
      </w:r>
    </w:p>
    <w:p w14:paraId="6685E78B" w14:textId="77777777" w:rsidR="00240B13" w:rsidRDefault="00240B13" w:rsidP="00240B13">
      <w:pPr>
        <w:pStyle w:val="3-BodyText"/>
      </w:pPr>
      <w:r>
        <w:t>For</w:t>
      </w:r>
      <w:r w:rsidR="000F6202">
        <w:t xml:space="preserve"> population 1, </w:t>
      </w:r>
      <w:r w:rsidR="00A52B0C">
        <w:t xml:space="preserve">the submission claimed that risdiplam is non-inferior to </w:t>
      </w:r>
      <w:r w:rsidR="00A3799F">
        <w:t xml:space="preserve">nusinersen </w:t>
      </w:r>
      <w:r w:rsidR="00A52B0C">
        <w:t xml:space="preserve">in terms of efficacy and </w:t>
      </w:r>
      <w:r w:rsidR="00470587">
        <w:t>safety, with a favourable safety profile in some patients due to differences in administration (oral v</w:t>
      </w:r>
      <w:r w:rsidR="0012625D">
        <w:t>ersus</w:t>
      </w:r>
      <w:r w:rsidR="00470587">
        <w:t xml:space="preserve"> intrathecal). </w:t>
      </w:r>
    </w:p>
    <w:p w14:paraId="3A10AEEA" w14:textId="77777777" w:rsidR="005F4A8F" w:rsidRPr="00831A0A" w:rsidRDefault="005F4A8F" w:rsidP="006C5CF2">
      <w:pPr>
        <w:pStyle w:val="ListParagraph"/>
        <w:widowControl/>
        <w:numPr>
          <w:ilvl w:val="1"/>
          <w:numId w:val="6"/>
        </w:numPr>
        <w:ind w:left="993" w:hanging="284"/>
      </w:pPr>
      <w:r w:rsidRPr="00240B13">
        <w:t xml:space="preserve">For </w:t>
      </w:r>
      <w:r w:rsidR="00A3799F" w:rsidRPr="00240B13">
        <w:t xml:space="preserve">patients </w:t>
      </w:r>
      <w:r w:rsidR="0016231E" w:rsidRPr="00240B13">
        <w:t xml:space="preserve">with </w:t>
      </w:r>
      <w:r w:rsidRPr="00240B13">
        <w:t>SMA Type 1, while the results of the MAIC and naïve ITC were considered to be highly uncertain, the results for OS and EFS strongly favoured risdiplam over nusinersen, and therefore the claim may be reasonable, despite no non-inferiority margins being proposed, and the uncertainties identified in the ITC.</w:t>
      </w:r>
      <w:r w:rsidR="00D97D70" w:rsidRPr="00240B13">
        <w:t xml:space="preserve"> </w:t>
      </w:r>
      <w:r w:rsidR="00D97D70" w:rsidRPr="007B3DA4">
        <w:t xml:space="preserve">The </w:t>
      </w:r>
      <w:r w:rsidR="00163686">
        <w:t>PBAC</w:t>
      </w:r>
      <w:r w:rsidR="00163686" w:rsidRPr="007B3DA4">
        <w:t xml:space="preserve"> </w:t>
      </w:r>
      <w:r w:rsidR="008363BE">
        <w:t>considered</w:t>
      </w:r>
      <w:r w:rsidR="00D97D70" w:rsidRPr="007B3DA4">
        <w:t xml:space="preserve"> that</w:t>
      </w:r>
      <w:r w:rsidR="00240B13" w:rsidRPr="007B3DA4">
        <w:t xml:space="preserve"> the claim of</w:t>
      </w:r>
      <w:r w:rsidR="00D97D70" w:rsidRPr="007B3DA4">
        <w:t xml:space="preserve"> non-inferior efficacy </w:t>
      </w:r>
      <w:r w:rsidR="00240B13" w:rsidRPr="007B3DA4">
        <w:t>in this population was reasonable</w:t>
      </w:r>
      <w:r w:rsidR="00D97D70" w:rsidRPr="007B3DA4">
        <w:t xml:space="preserve"> based on the evidence. </w:t>
      </w:r>
    </w:p>
    <w:p w14:paraId="2D1324AB" w14:textId="77777777" w:rsidR="00F24C49" w:rsidRPr="00831A0A" w:rsidRDefault="00240B13" w:rsidP="006C5CF2">
      <w:pPr>
        <w:pStyle w:val="ListParagraph"/>
        <w:widowControl/>
        <w:numPr>
          <w:ilvl w:val="1"/>
          <w:numId w:val="6"/>
        </w:numPr>
        <w:ind w:left="993" w:hanging="284"/>
      </w:pPr>
      <w:r w:rsidRPr="00240B13">
        <w:t>F</w:t>
      </w:r>
      <w:r w:rsidR="00D97D70" w:rsidRPr="00240B13">
        <w:t>or</w:t>
      </w:r>
      <w:r w:rsidR="005F4A8F" w:rsidRPr="00831A0A">
        <w:t xml:space="preserve"> </w:t>
      </w:r>
      <w:r w:rsidR="00A3799F" w:rsidRPr="00831A0A">
        <w:t>patient</w:t>
      </w:r>
      <w:r w:rsidR="00C473A5" w:rsidRPr="00831A0A">
        <w:t>s</w:t>
      </w:r>
      <w:r w:rsidR="00A3799F" w:rsidRPr="00831A0A">
        <w:t xml:space="preserve"> with </w:t>
      </w:r>
      <w:r w:rsidR="005F4A8F" w:rsidRPr="00831A0A">
        <w:t xml:space="preserve">SMA Type 2 and 3a, </w:t>
      </w:r>
      <w:r w:rsidR="00F24C49" w:rsidRPr="007B3DA4">
        <w:t xml:space="preserve">the </w:t>
      </w:r>
      <w:r w:rsidRPr="007B3DA4">
        <w:t>commentary considered</w:t>
      </w:r>
      <w:r>
        <w:t xml:space="preserve"> the </w:t>
      </w:r>
      <w:r w:rsidR="00F24C49" w:rsidRPr="00831A0A">
        <w:t xml:space="preserve">claim </w:t>
      </w:r>
      <w:r w:rsidR="00A3799F" w:rsidRPr="00831A0A">
        <w:t>of non-inferior efficacy was not supported</w:t>
      </w:r>
      <w:r w:rsidR="00D97D70">
        <w:t>,</w:t>
      </w:r>
      <w:r w:rsidR="00A3799F" w:rsidRPr="00831A0A">
        <w:t xml:space="preserve"> as non-inferiority could not be concluded based on the </w:t>
      </w:r>
      <w:r w:rsidR="0016231E" w:rsidRPr="00831A0A">
        <w:t xml:space="preserve">various </w:t>
      </w:r>
      <w:r w:rsidR="00A3799F" w:rsidRPr="00831A0A">
        <w:t>indirect comparison</w:t>
      </w:r>
      <w:r w:rsidR="0016231E" w:rsidRPr="00831A0A">
        <w:t>s</w:t>
      </w:r>
      <w:r w:rsidR="00A3799F" w:rsidRPr="00831A0A">
        <w:t xml:space="preserve"> of SUNFISH and CHERISH. </w:t>
      </w:r>
      <w:r w:rsidR="00F24C49" w:rsidRPr="00831A0A">
        <w:t xml:space="preserve">Additionally, there were significant issues with the MAIC between SUNFISH Part 2 and CHERISH presented, suggesting that the comparison presented had a high degree of uncertainty. </w:t>
      </w:r>
      <w:r w:rsidRPr="007B3DA4">
        <w:t xml:space="preserve">Noting these issues with the MAIC and the limited data available, the </w:t>
      </w:r>
      <w:r w:rsidR="00163686">
        <w:t>PBAC agreed with the ESC that</w:t>
      </w:r>
      <w:r w:rsidRPr="007B3DA4">
        <w:t xml:space="preserve"> the claim of non-inferiority was not well-supported by the evidence in this population</w:t>
      </w:r>
      <w:r w:rsidR="00163686">
        <w:t>, however PBAC considered that</w:t>
      </w:r>
      <w:r w:rsidR="008363BE">
        <w:t>,</w:t>
      </w:r>
      <w:r w:rsidR="00163686">
        <w:t xml:space="preserve"> on balance</w:t>
      </w:r>
      <w:r w:rsidR="008363BE">
        <w:t>,</w:t>
      </w:r>
      <w:r w:rsidR="00163686">
        <w:t xml:space="preserve"> risdiplam is likely to have </w:t>
      </w:r>
      <w:r w:rsidR="00991AA5">
        <w:t>efficacy that is comparable to nusinersen</w:t>
      </w:r>
      <w:r w:rsidR="00163686">
        <w:t xml:space="preserve"> for patients with SMA Type 2 and 3a</w:t>
      </w:r>
      <w:r w:rsidRPr="007B3DA4">
        <w:t xml:space="preserve">. </w:t>
      </w:r>
      <w:r w:rsidR="002D53EB" w:rsidRPr="007B3DA4">
        <w:t xml:space="preserve">  </w:t>
      </w:r>
      <w:r w:rsidR="00F24C49" w:rsidRPr="00831A0A">
        <w:t xml:space="preserve"> </w:t>
      </w:r>
    </w:p>
    <w:p w14:paraId="52728FE8" w14:textId="77777777" w:rsidR="005F4A8F" w:rsidRPr="00831A0A" w:rsidRDefault="00A3799F" w:rsidP="00A3799F">
      <w:pPr>
        <w:pStyle w:val="ListParagraph"/>
        <w:widowControl/>
        <w:numPr>
          <w:ilvl w:val="1"/>
          <w:numId w:val="2"/>
        </w:numPr>
        <w:rPr>
          <w:iCs/>
        </w:rPr>
      </w:pPr>
      <w:r w:rsidRPr="00831A0A">
        <w:t xml:space="preserve">With regards to </w:t>
      </w:r>
      <w:r w:rsidR="0016231E" w:rsidRPr="00831A0A">
        <w:t xml:space="preserve">comparative </w:t>
      </w:r>
      <w:r w:rsidR="00F24C49" w:rsidRPr="00831A0A">
        <w:t xml:space="preserve">safety, the ITCs for safety outcomes between risdiplam and nusinersen </w:t>
      </w:r>
      <w:r w:rsidR="00F72186" w:rsidRPr="00831A0A">
        <w:t>were</w:t>
      </w:r>
      <w:r w:rsidR="00F24C49" w:rsidRPr="00831A0A">
        <w:t xml:space="preserve"> inconclusive and subject to a high degree of bias (in unknown directions) and uncertainty. Nonetheless, given the less invasive route of administration of risdiplam compared to nusinersen the </w:t>
      </w:r>
      <w:r w:rsidR="00991AA5">
        <w:t xml:space="preserve">PBAC considered that the </w:t>
      </w:r>
      <w:r w:rsidR="00F24C49" w:rsidRPr="00831A0A">
        <w:t xml:space="preserve">conclusion that risdiplam has a favourable safety profile in some patients </w:t>
      </w:r>
      <w:r w:rsidR="00991AA5">
        <w:t>was</w:t>
      </w:r>
      <w:r w:rsidR="00F24C49" w:rsidRPr="00831A0A">
        <w:t xml:space="preserve"> reasonable</w:t>
      </w:r>
      <w:r w:rsidR="0012625D" w:rsidRPr="00831A0A">
        <w:t>.</w:t>
      </w:r>
      <w:r w:rsidR="00D97D70">
        <w:t xml:space="preserve"> </w:t>
      </w:r>
    </w:p>
    <w:p w14:paraId="1007A4AE" w14:textId="77777777" w:rsidR="005072D4" w:rsidRDefault="00C17F0F" w:rsidP="0037240C">
      <w:pPr>
        <w:pStyle w:val="5-Subsectionsubheading"/>
      </w:pPr>
      <w:bookmarkStart w:id="36" w:name="_Ref58776991"/>
      <w:r w:rsidRPr="00701FDF">
        <w:t>Population</w:t>
      </w:r>
      <w:r w:rsidR="00341B60">
        <w:t>s</w:t>
      </w:r>
      <w:r w:rsidRPr="00701FDF">
        <w:t xml:space="preserve"> 2</w:t>
      </w:r>
      <w:r w:rsidR="00F1611C" w:rsidRPr="00701FDF">
        <w:t xml:space="preserve"> and 3</w:t>
      </w:r>
    </w:p>
    <w:p w14:paraId="1045622F" w14:textId="77777777" w:rsidR="00F1611C" w:rsidRPr="00F1611C" w:rsidRDefault="00991AA5" w:rsidP="004422FA">
      <w:pPr>
        <w:pStyle w:val="ListParagraph"/>
        <w:widowControl/>
        <w:numPr>
          <w:ilvl w:val="1"/>
          <w:numId w:val="2"/>
        </w:numPr>
      </w:pPr>
      <w:bookmarkStart w:id="37" w:name="_Ref63930481"/>
      <w:r>
        <w:t>For</w:t>
      </w:r>
      <w:r w:rsidR="000F6202" w:rsidRPr="000F6202">
        <w:t xml:space="preserve"> patients </w:t>
      </w:r>
      <w:r>
        <w:t>in</w:t>
      </w:r>
      <w:r w:rsidR="000F6202" w:rsidRPr="000F6202">
        <w:t xml:space="preserve"> populations 2 and 3, </w:t>
      </w:r>
      <w:r w:rsidR="00F1611C">
        <w:t xml:space="preserve">the submission claimed that </w:t>
      </w:r>
      <w:r w:rsidR="00F1611C" w:rsidRPr="000F6202">
        <w:t xml:space="preserve">risdiplam is superior to </w:t>
      </w:r>
      <w:r w:rsidR="0016231E" w:rsidRPr="000F6202">
        <w:t>BSC</w:t>
      </w:r>
      <w:r w:rsidR="00F1611C" w:rsidRPr="000F6202">
        <w:t xml:space="preserve"> in terms of efficacy, and inferior</w:t>
      </w:r>
      <w:r w:rsidR="00F1611C" w:rsidRPr="003A44F8">
        <w:rPr>
          <w:rFonts w:eastAsiaTheme="minorEastAsia" w:cstheme="minorBidi"/>
          <w:snapToGrid/>
          <w:szCs w:val="24"/>
          <w:lang w:eastAsia="zh-CN"/>
        </w:rPr>
        <w:t xml:space="preserve"> in terms of safety, with minimal treatment-related adverse events that are clinically manageable</w:t>
      </w:r>
      <w:r w:rsidR="00F1611C">
        <w:rPr>
          <w:rFonts w:eastAsiaTheme="minorEastAsia" w:cstheme="minorBidi"/>
          <w:snapToGrid/>
          <w:szCs w:val="24"/>
          <w:lang w:eastAsia="zh-CN"/>
        </w:rPr>
        <w:t>.</w:t>
      </w:r>
      <w:bookmarkEnd w:id="36"/>
      <w:bookmarkEnd w:id="37"/>
      <w:r w:rsidR="00F1611C">
        <w:rPr>
          <w:rFonts w:eastAsiaTheme="minorEastAsia" w:cstheme="minorBidi"/>
          <w:snapToGrid/>
          <w:szCs w:val="24"/>
          <w:lang w:eastAsia="zh-CN"/>
        </w:rPr>
        <w:t xml:space="preserve"> </w:t>
      </w:r>
    </w:p>
    <w:p w14:paraId="50D456AD" w14:textId="77777777" w:rsidR="00C17F0F" w:rsidRPr="00831A0A" w:rsidRDefault="00F1611C" w:rsidP="006C5CF2">
      <w:pPr>
        <w:pStyle w:val="ListParagraph"/>
        <w:widowControl/>
        <w:numPr>
          <w:ilvl w:val="1"/>
          <w:numId w:val="6"/>
        </w:numPr>
        <w:ind w:left="993" w:hanging="284"/>
      </w:pPr>
      <w:r w:rsidRPr="00831A0A">
        <w:rPr>
          <w:rFonts w:eastAsiaTheme="minorEastAsia" w:cstheme="minorBidi"/>
          <w:snapToGrid/>
          <w:szCs w:val="24"/>
          <w:lang w:eastAsia="zh-CN"/>
        </w:rPr>
        <w:t>For population 2,</w:t>
      </w:r>
      <w:r w:rsidR="00D97D70">
        <w:rPr>
          <w:rFonts w:eastAsiaTheme="minorEastAsia" w:cstheme="minorBidi"/>
          <w:snapToGrid/>
          <w:szCs w:val="24"/>
          <w:lang w:eastAsia="zh-CN"/>
        </w:rPr>
        <w:t xml:space="preserve"> </w:t>
      </w:r>
      <w:r w:rsidR="00D97D70" w:rsidRPr="007B3DA4">
        <w:rPr>
          <w:rFonts w:eastAsiaTheme="minorEastAsia" w:cstheme="minorBidi"/>
          <w:snapToGrid/>
          <w:szCs w:val="24"/>
          <w:lang w:eastAsia="zh-CN"/>
        </w:rPr>
        <w:t xml:space="preserve">the </w:t>
      </w:r>
      <w:r w:rsidR="00991AA5">
        <w:rPr>
          <w:rFonts w:eastAsiaTheme="minorEastAsia" w:cstheme="minorBidi"/>
          <w:snapToGrid/>
          <w:szCs w:val="24"/>
          <w:lang w:eastAsia="zh-CN"/>
        </w:rPr>
        <w:t>PBAC considered</w:t>
      </w:r>
      <w:r w:rsidR="00D97D70" w:rsidRPr="007B3DA4">
        <w:rPr>
          <w:rFonts w:eastAsiaTheme="minorEastAsia" w:cstheme="minorBidi"/>
          <w:snapToGrid/>
          <w:szCs w:val="24"/>
          <w:lang w:eastAsia="zh-CN"/>
        </w:rPr>
        <w:t xml:space="preserve"> that</w:t>
      </w:r>
      <w:r w:rsidRPr="00831A0A">
        <w:rPr>
          <w:rFonts w:eastAsiaTheme="minorEastAsia" w:cstheme="minorBidi"/>
          <w:snapToGrid/>
          <w:szCs w:val="24"/>
          <w:lang w:eastAsia="zh-CN"/>
        </w:rPr>
        <w:t xml:space="preserve"> the claim </w:t>
      </w:r>
      <w:r w:rsidR="00991AA5">
        <w:rPr>
          <w:rFonts w:eastAsiaTheme="minorEastAsia" w:cstheme="minorBidi"/>
          <w:snapToGrid/>
          <w:szCs w:val="24"/>
          <w:lang w:eastAsia="zh-CN"/>
        </w:rPr>
        <w:t>of superior comparative effectiveness versus BSC</w:t>
      </w:r>
      <w:r w:rsidR="00991AA5" w:rsidRPr="00831A0A">
        <w:rPr>
          <w:rFonts w:eastAsiaTheme="minorEastAsia" w:cstheme="minorBidi"/>
          <w:snapToGrid/>
          <w:szCs w:val="24"/>
          <w:lang w:eastAsia="zh-CN"/>
        </w:rPr>
        <w:t xml:space="preserve"> </w:t>
      </w:r>
      <w:r w:rsidRPr="00831A0A">
        <w:rPr>
          <w:rFonts w:eastAsiaTheme="minorEastAsia" w:cstheme="minorBidi"/>
          <w:snapToGrid/>
          <w:szCs w:val="24"/>
          <w:lang w:eastAsia="zh-CN"/>
        </w:rPr>
        <w:t xml:space="preserve">was not adequately supported as the submission did not present any data to demonstrate the efficacy and safety versus </w:t>
      </w:r>
      <w:r w:rsidR="0016231E" w:rsidRPr="00831A0A">
        <w:rPr>
          <w:rFonts w:eastAsiaTheme="minorEastAsia" w:cstheme="minorBidi"/>
          <w:snapToGrid/>
          <w:szCs w:val="24"/>
          <w:lang w:eastAsia="zh-CN"/>
        </w:rPr>
        <w:t xml:space="preserve">BSC </w:t>
      </w:r>
      <w:r w:rsidRPr="00831A0A">
        <w:t>specifically</w:t>
      </w:r>
      <w:r w:rsidRPr="00831A0A">
        <w:rPr>
          <w:rFonts w:eastAsiaTheme="minorEastAsia" w:cstheme="minorBidi"/>
          <w:snapToGrid/>
          <w:szCs w:val="24"/>
          <w:lang w:eastAsia="zh-CN"/>
        </w:rPr>
        <w:t xml:space="preserve"> for patients with SMA Type 3b. </w:t>
      </w:r>
    </w:p>
    <w:p w14:paraId="7D0E0E20" w14:textId="77777777" w:rsidR="00991AA5" w:rsidRPr="00991AA5" w:rsidRDefault="00F1611C" w:rsidP="006C5CF2">
      <w:pPr>
        <w:pStyle w:val="ListParagraph"/>
        <w:widowControl/>
        <w:numPr>
          <w:ilvl w:val="1"/>
          <w:numId w:val="6"/>
        </w:numPr>
        <w:ind w:left="993" w:hanging="284"/>
      </w:pPr>
      <w:r w:rsidRPr="00831A0A">
        <w:rPr>
          <w:rFonts w:eastAsiaTheme="minorEastAsia" w:cstheme="minorBidi"/>
          <w:snapToGrid/>
          <w:szCs w:val="24"/>
          <w:lang w:eastAsia="zh-CN"/>
        </w:rPr>
        <w:t>For population 3, t</w:t>
      </w:r>
      <w:r w:rsidR="006917B0" w:rsidRPr="00831A0A">
        <w:rPr>
          <w:rFonts w:eastAsiaTheme="minorEastAsia" w:cstheme="minorBidi"/>
          <w:snapToGrid/>
          <w:szCs w:val="24"/>
          <w:lang w:eastAsia="zh-CN"/>
        </w:rPr>
        <w:t xml:space="preserve">he </w:t>
      </w:r>
      <w:r w:rsidR="00991AA5">
        <w:rPr>
          <w:rFonts w:eastAsiaTheme="minorEastAsia" w:cstheme="minorBidi"/>
          <w:snapToGrid/>
          <w:szCs w:val="24"/>
          <w:lang w:eastAsia="zh-CN"/>
        </w:rPr>
        <w:t xml:space="preserve">PBAC considered that the </w:t>
      </w:r>
      <w:r w:rsidR="006917B0" w:rsidRPr="00831A0A">
        <w:rPr>
          <w:rFonts w:eastAsiaTheme="minorEastAsia" w:cstheme="minorBidi"/>
          <w:snapToGrid/>
          <w:szCs w:val="24"/>
          <w:lang w:eastAsia="zh-CN"/>
        </w:rPr>
        <w:t xml:space="preserve">claim </w:t>
      </w:r>
      <w:r w:rsidR="00991AA5">
        <w:rPr>
          <w:rFonts w:eastAsiaTheme="minorEastAsia" w:cstheme="minorBidi"/>
          <w:snapToGrid/>
          <w:szCs w:val="24"/>
          <w:lang w:eastAsia="zh-CN"/>
        </w:rPr>
        <w:t>of superior comparative effectiveness versus BSC</w:t>
      </w:r>
      <w:r w:rsidR="00991AA5" w:rsidRPr="00831A0A">
        <w:rPr>
          <w:rFonts w:eastAsiaTheme="minorEastAsia" w:cstheme="minorBidi"/>
          <w:snapToGrid/>
          <w:szCs w:val="24"/>
          <w:lang w:eastAsia="zh-CN"/>
        </w:rPr>
        <w:t xml:space="preserve"> </w:t>
      </w:r>
      <w:r w:rsidR="006917B0" w:rsidRPr="00831A0A">
        <w:rPr>
          <w:rFonts w:eastAsiaTheme="minorEastAsia" w:cstheme="minorBidi"/>
          <w:snapToGrid/>
          <w:szCs w:val="24"/>
          <w:lang w:eastAsia="zh-CN"/>
        </w:rPr>
        <w:t xml:space="preserve">was </w:t>
      </w:r>
      <w:r w:rsidR="00991AA5">
        <w:rPr>
          <w:rFonts w:eastAsiaTheme="minorEastAsia" w:cstheme="minorBidi"/>
          <w:snapToGrid/>
          <w:szCs w:val="24"/>
          <w:lang w:eastAsia="zh-CN"/>
        </w:rPr>
        <w:t xml:space="preserve">not </w:t>
      </w:r>
      <w:r w:rsidR="00991AA5" w:rsidRPr="00831A0A">
        <w:rPr>
          <w:rFonts w:eastAsiaTheme="minorEastAsia" w:cstheme="minorBidi"/>
          <w:snapToGrid/>
          <w:szCs w:val="24"/>
          <w:lang w:eastAsia="zh-CN"/>
        </w:rPr>
        <w:t xml:space="preserve">adequately </w:t>
      </w:r>
      <w:r w:rsidR="006917B0" w:rsidRPr="00831A0A">
        <w:rPr>
          <w:rFonts w:eastAsiaTheme="minorEastAsia" w:cstheme="minorBidi"/>
          <w:snapToGrid/>
          <w:szCs w:val="24"/>
          <w:lang w:eastAsia="zh-CN"/>
        </w:rPr>
        <w:t xml:space="preserve">supported as the evidence showed that there were no statistically significant differences for any of the efficacy </w:t>
      </w:r>
      <w:r w:rsidR="006917B0" w:rsidRPr="00831A0A">
        <w:rPr>
          <w:rFonts w:eastAsiaTheme="minorEastAsia" w:cstheme="minorBidi"/>
          <w:snapToGrid/>
          <w:szCs w:val="24"/>
          <w:lang w:eastAsia="zh-CN"/>
        </w:rPr>
        <w:lastRenderedPageBreak/>
        <w:t xml:space="preserve">outcomes, except for caregiver reported SMAIS </w:t>
      </w:r>
      <w:r w:rsidR="009976F2" w:rsidRPr="00831A0A">
        <w:rPr>
          <w:rFonts w:eastAsiaTheme="minorEastAsia" w:cstheme="minorBidi"/>
          <w:snapToGrid/>
          <w:szCs w:val="24"/>
          <w:lang w:eastAsia="zh-CN"/>
        </w:rPr>
        <w:t xml:space="preserve">in the SUNFISH Part 2 trial of risdiplam versus BSC </w:t>
      </w:r>
      <w:r w:rsidR="0016231E" w:rsidRPr="00831A0A">
        <w:rPr>
          <w:rFonts w:eastAsiaTheme="minorEastAsia" w:cstheme="minorBidi"/>
          <w:snapToGrid/>
          <w:szCs w:val="24"/>
          <w:lang w:eastAsia="zh-CN"/>
        </w:rPr>
        <w:t xml:space="preserve">(which </w:t>
      </w:r>
      <w:r w:rsidR="00751454" w:rsidRPr="007B3DA4">
        <w:rPr>
          <w:rFonts w:eastAsiaTheme="minorEastAsia" w:cstheme="minorBidi"/>
          <w:snapToGrid/>
          <w:szCs w:val="24"/>
          <w:lang w:eastAsia="zh-CN"/>
        </w:rPr>
        <w:t>was unlikely to</w:t>
      </w:r>
      <w:r w:rsidR="0016231E" w:rsidRPr="007B3DA4">
        <w:rPr>
          <w:rFonts w:eastAsiaTheme="minorEastAsia" w:cstheme="minorBidi"/>
          <w:snapToGrid/>
          <w:szCs w:val="24"/>
          <w:lang w:eastAsia="zh-CN"/>
        </w:rPr>
        <w:t xml:space="preserve"> </w:t>
      </w:r>
      <w:r w:rsidR="0016231E" w:rsidRPr="00831A0A">
        <w:rPr>
          <w:rFonts w:eastAsiaTheme="minorEastAsia" w:cstheme="minorBidi"/>
          <w:snapToGrid/>
          <w:szCs w:val="24"/>
          <w:lang w:eastAsia="zh-CN"/>
        </w:rPr>
        <w:t>be statistically significant on</w:t>
      </w:r>
      <w:r w:rsidR="0012625D" w:rsidRPr="00831A0A">
        <w:rPr>
          <w:rFonts w:eastAsiaTheme="minorEastAsia" w:cstheme="minorBidi"/>
          <w:snapToGrid/>
          <w:szCs w:val="24"/>
          <w:lang w:eastAsia="zh-CN"/>
        </w:rPr>
        <w:t>c</w:t>
      </w:r>
      <w:r w:rsidR="0016231E" w:rsidRPr="00831A0A">
        <w:rPr>
          <w:rFonts w:eastAsiaTheme="minorEastAsia" w:cstheme="minorBidi"/>
          <w:snapToGrid/>
          <w:szCs w:val="24"/>
          <w:lang w:eastAsia="zh-CN"/>
        </w:rPr>
        <w:t xml:space="preserve">e multiple testing was adjusted for) </w:t>
      </w:r>
      <w:r w:rsidR="009976F2" w:rsidRPr="00831A0A">
        <w:rPr>
          <w:rFonts w:eastAsiaTheme="minorEastAsia" w:cstheme="minorBidi"/>
          <w:snapToGrid/>
          <w:szCs w:val="24"/>
          <w:lang w:eastAsia="zh-CN"/>
        </w:rPr>
        <w:t xml:space="preserve">in the subgroup of patients aged 18 to 25 years </w:t>
      </w:r>
      <w:r w:rsidR="0016231E" w:rsidRPr="00831A0A">
        <w:rPr>
          <w:rFonts w:eastAsiaTheme="minorEastAsia" w:cstheme="minorBidi"/>
          <w:snapToGrid/>
          <w:szCs w:val="24"/>
          <w:lang w:eastAsia="zh-CN"/>
        </w:rPr>
        <w:t>from SUNFISH Part 2</w:t>
      </w:r>
      <w:r w:rsidR="009976F2" w:rsidRPr="00831A0A">
        <w:rPr>
          <w:rFonts w:eastAsiaTheme="minorEastAsia" w:cstheme="minorBidi"/>
          <w:snapToGrid/>
          <w:szCs w:val="24"/>
          <w:lang w:eastAsia="zh-CN"/>
        </w:rPr>
        <w:t xml:space="preserve">. The data presented </w:t>
      </w:r>
      <w:r w:rsidR="0086788A" w:rsidRPr="00831A0A">
        <w:rPr>
          <w:rFonts w:eastAsiaTheme="minorEastAsia" w:cstheme="minorBidi"/>
          <w:snapToGrid/>
          <w:szCs w:val="24"/>
          <w:lang w:eastAsia="zh-CN"/>
        </w:rPr>
        <w:t xml:space="preserve">to support efficacy in population 3 </w:t>
      </w:r>
      <w:r w:rsidR="00991AA5">
        <w:rPr>
          <w:rFonts w:eastAsiaTheme="minorEastAsia" w:cstheme="minorBidi"/>
          <w:snapToGrid/>
          <w:szCs w:val="24"/>
          <w:lang w:eastAsia="zh-CN"/>
        </w:rPr>
        <w:t xml:space="preserve">was also not entirely applicable to the requested population due to differences in age. </w:t>
      </w:r>
    </w:p>
    <w:p w14:paraId="1F40D551" w14:textId="77777777" w:rsidR="00A8621F" w:rsidRPr="00414B4D" w:rsidRDefault="009976F2" w:rsidP="006C5CF2">
      <w:pPr>
        <w:pStyle w:val="ListParagraph"/>
        <w:widowControl/>
        <w:numPr>
          <w:ilvl w:val="1"/>
          <w:numId w:val="6"/>
        </w:numPr>
        <w:ind w:left="993" w:hanging="284"/>
      </w:pPr>
      <w:r w:rsidRPr="00831A0A">
        <w:rPr>
          <w:rFonts w:eastAsiaTheme="minorEastAsia" w:cstheme="minorBidi"/>
          <w:snapToGrid/>
          <w:szCs w:val="24"/>
          <w:lang w:eastAsia="zh-CN"/>
        </w:rPr>
        <w:t xml:space="preserve">The </w:t>
      </w:r>
      <w:r w:rsidR="00367F26">
        <w:rPr>
          <w:rFonts w:eastAsiaTheme="minorEastAsia" w:cstheme="minorBidi"/>
          <w:snapToGrid/>
          <w:szCs w:val="24"/>
          <w:lang w:eastAsia="zh-CN"/>
        </w:rPr>
        <w:t>PBAC</w:t>
      </w:r>
      <w:r w:rsidR="00367F26" w:rsidRPr="007B3DA4">
        <w:rPr>
          <w:rFonts w:eastAsiaTheme="minorEastAsia" w:cstheme="minorBidi"/>
          <w:snapToGrid/>
          <w:szCs w:val="24"/>
          <w:lang w:eastAsia="zh-CN"/>
        </w:rPr>
        <w:t xml:space="preserve"> </w:t>
      </w:r>
      <w:r w:rsidR="00991AA5">
        <w:rPr>
          <w:rFonts w:eastAsiaTheme="minorEastAsia" w:cstheme="minorBidi"/>
          <w:snapToGrid/>
          <w:szCs w:val="24"/>
          <w:lang w:eastAsia="zh-CN"/>
        </w:rPr>
        <w:t>considered</w:t>
      </w:r>
      <w:r w:rsidR="00115229" w:rsidRPr="007B3DA4">
        <w:rPr>
          <w:rFonts w:eastAsiaTheme="minorEastAsia" w:cstheme="minorBidi"/>
          <w:snapToGrid/>
          <w:szCs w:val="24"/>
          <w:lang w:eastAsia="zh-CN"/>
        </w:rPr>
        <w:t xml:space="preserve"> that the </w:t>
      </w:r>
      <w:r w:rsidRPr="00831A0A">
        <w:rPr>
          <w:rFonts w:eastAsiaTheme="minorEastAsia" w:cstheme="minorBidi"/>
          <w:snapToGrid/>
          <w:szCs w:val="24"/>
          <w:lang w:eastAsia="zh-CN"/>
        </w:rPr>
        <w:t xml:space="preserve">claim of inferior but manageable adverse events with risdiplam </w:t>
      </w:r>
      <w:r w:rsidR="00DB1117" w:rsidRPr="00831A0A">
        <w:rPr>
          <w:rFonts w:eastAsiaTheme="minorEastAsia" w:cstheme="minorBidi"/>
          <w:snapToGrid/>
          <w:szCs w:val="24"/>
          <w:lang w:eastAsia="zh-CN"/>
        </w:rPr>
        <w:t xml:space="preserve">compared to BSC </w:t>
      </w:r>
      <w:r w:rsidRPr="00831A0A">
        <w:rPr>
          <w:rFonts w:eastAsiaTheme="minorEastAsia" w:cstheme="minorBidi"/>
          <w:snapToGrid/>
          <w:szCs w:val="24"/>
          <w:lang w:eastAsia="zh-CN"/>
        </w:rPr>
        <w:t xml:space="preserve">was supported by the </w:t>
      </w:r>
      <w:r w:rsidR="0086788A" w:rsidRPr="00831A0A">
        <w:rPr>
          <w:rFonts w:eastAsiaTheme="minorEastAsia" w:cstheme="minorBidi"/>
          <w:snapToGrid/>
          <w:szCs w:val="24"/>
          <w:lang w:eastAsia="zh-CN"/>
        </w:rPr>
        <w:t xml:space="preserve">safety </w:t>
      </w:r>
      <w:r w:rsidRPr="00831A0A">
        <w:rPr>
          <w:rFonts w:eastAsiaTheme="minorEastAsia" w:cstheme="minorBidi"/>
          <w:snapToGrid/>
          <w:szCs w:val="24"/>
          <w:lang w:eastAsia="zh-CN"/>
        </w:rPr>
        <w:t xml:space="preserve">results of </w:t>
      </w:r>
      <w:r w:rsidR="0086788A" w:rsidRPr="00831A0A">
        <w:rPr>
          <w:rFonts w:eastAsiaTheme="minorEastAsia" w:cstheme="minorBidi"/>
          <w:snapToGrid/>
          <w:szCs w:val="24"/>
          <w:lang w:eastAsia="zh-CN"/>
        </w:rPr>
        <w:t xml:space="preserve">the ITT population in </w:t>
      </w:r>
      <w:r w:rsidRPr="00831A0A">
        <w:rPr>
          <w:rFonts w:eastAsiaTheme="minorEastAsia" w:cstheme="minorBidi"/>
          <w:snapToGrid/>
          <w:szCs w:val="24"/>
          <w:lang w:eastAsia="zh-CN"/>
        </w:rPr>
        <w:t>SUNFISH Part 2</w:t>
      </w:r>
      <w:r w:rsidR="00F1611C" w:rsidRPr="00831A0A">
        <w:rPr>
          <w:rFonts w:eastAsiaTheme="minorEastAsia" w:cstheme="minorBidi"/>
          <w:snapToGrid/>
          <w:szCs w:val="24"/>
          <w:lang w:eastAsia="zh-CN"/>
        </w:rPr>
        <w:t xml:space="preserve"> for patients in populations 2 and 3</w:t>
      </w:r>
      <w:r w:rsidRPr="00831A0A">
        <w:rPr>
          <w:rFonts w:eastAsiaTheme="minorEastAsia" w:cstheme="minorBidi"/>
          <w:snapToGrid/>
          <w:szCs w:val="24"/>
          <w:lang w:eastAsia="zh-CN"/>
        </w:rPr>
        <w:t>.</w:t>
      </w:r>
    </w:p>
    <w:p w14:paraId="1544494A" w14:textId="77777777" w:rsidR="00414B4D" w:rsidRPr="00831A0A" w:rsidRDefault="00414B4D" w:rsidP="00414B4D">
      <w:pPr>
        <w:widowControl/>
        <w:ind w:left="709"/>
      </w:pPr>
      <w:r w:rsidRPr="00C33D30">
        <w:rPr>
          <w:rFonts w:asciiTheme="minorHAnsi" w:hAnsiTheme="minorHAnsi"/>
          <w:i/>
        </w:rPr>
        <w:t>For more detail on PBAC’s view, see section 7 PBAC outcome.</w:t>
      </w:r>
    </w:p>
    <w:p w14:paraId="77BC4C95" w14:textId="77777777" w:rsidR="00B60939" w:rsidRPr="003A44F8" w:rsidRDefault="00B60939" w:rsidP="0037240C">
      <w:pPr>
        <w:pStyle w:val="4-SubsectionHeading"/>
      </w:pPr>
      <w:bookmarkStart w:id="38" w:name="_Toc61959938"/>
      <w:r w:rsidRPr="003A44F8">
        <w:t>Economic analysis</w:t>
      </w:r>
      <w:bookmarkEnd w:id="38"/>
      <w:r w:rsidR="00491B3A" w:rsidRPr="003A44F8">
        <w:t xml:space="preserve"> </w:t>
      </w:r>
    </w:p>
    <w:p w14:paraId="0DD2F2E2" w14:textId="77777777" w:rsidR="001E139E" w:rsidRPr="00831A0A" w:rsidRDefault="001E139E" w:rsidP="003D5DD8">
      <w:pPr>
        <w:pStyle w:val="ListParagraph"/>
        <w:widowControl/>
        <w:numPr>
          <w:ilvl w:val="1"/>
          <w:numId w:val="2"/>
        </w:numPr>
      </w:pPr>
      <w:r w:rsidRPr="001E139E">
        <w:t xml:space="preserve">The submission presented a cost-utility analysis of </w:t>
      </w:r>
      <w:r w:rsidR="005726A4">
        <w:t xml:space="preserve"> risdiplam</w:t>
      </w:r>
      <w:r w:rsidRPr="001E139E">
        <w:t xml:space="preserve"> versus BSC for patients in population 3, and a cost-minimisation analysis of risdiplam versus nusinersen for patients in population 1.</w:t>
      </w:r>
      <w:r>
        <w:t xml:space="preserve"> </w:t>
      </w:r>
      <w:r w:rsidRPr="001E139E">
        <w:t>An economic evaluation was not specifically presente</w:t>
      </w:r>
      <w:r>
        <w:t>d for patients in population 2</w:t>
      </w:r>
      <w:r w:rsidRPr="001E139E">
        <w:t>, for whom the nominated comparator was BSC</w:t>
      </w:r>
      <w:r w:rsidR="003D5DD8">
        <w:t xml:space="preserve">, but the submission claimed that the </w:t>
      </w:r>
      <w:r w:rsidR="000F6202">
        <w:t xml:space="preserve">cost minimisation in population 1 and the </w:t>
      </w:r>
      <w:r w:rsidR="003D5DD8">
        <w:t>cost effectiveness in population 3 would apply to population 2</w:t>
      </w:r>
      <w:r w:rsidRPr="00831A0A">
        <w:t>.</w:t>
      </w:r>
      <w:r w:rsidR="003D5DD8" w:rsidRPr="00831A0A">
        <w:t xml:space="preserve"> </w:t>
      </w:r>
      <w:r w:rsidR="00052ED3" w:rsidRPr="007B3DA4">
        <w:t xml:space="preserve">The </w:t>
      </w:r>
      <w:r w:rsidR="00163CAF">
        <w:t>PBAC</w:t>
      </w:r>
      <w:r w:rsidR="00163CAF" w:rsidRPr="007B3DA4">
        <w:t xml:space="preserve"> </w:t>
      </w:r>
      <w:r w:rsidR="00991AA5">
        <w:t>considered</w:t>
      </w:r>
      <w:r w:rsidR="00052ED3" w:rsidRPr="007B3DA4">
        <w:t xml:space="preserve"> that </w:t>
      </w:r>
      <w:r w:rsidR="00052ED3">
        <w:t>t</w:t>
      </w:r>
      <w:r w:rsidR="003D5DD8" w:rsidRPr="00831A0A">
        <w:t xml:space="preserve">his was not sufficiently justified, as the disease progression of patients with Type 3b SMA (population 2) would be significantly different to those with </w:t>
      </w:r>
      <w:r w:rsidR="000F6202" w:rsidRPr="00831A0A">
        <w:t>Type 1 or 2 SMA aged under 18 years (parts of population 1) and Type 1 or</w:t>
      </w:r>
      <w:r w:rsidR="003D5DD8" w:rsidRPr="00831A0A">
        <w:t xml:space="preserve"> 2 SMA who were aged over 18 years (</w:t>
      </w:r>
      <w:r w:rsidR="000F6202" w:rsidRPr="00831A0A">
        <w:t xml:space="preserve">parts of </w:t>
      </w:r>
      <w:r w:rsidR="003D5DD8" w:rsidRPr="00831A0A">
        <w:t>population 3).</w:t>
      </w:r>
      <w:r w:rsidR="0005779A">
        <w:t xml:space="preserve"> </w:t>
      </w:r>
    </w:p>
    <w:p w14:paraId="70BC7A3A" w14:textId="77777777" w:rsidR="00837666" w:rsidDel="00837666" w:rsidRDefault="00837666" w:rsidP="0037240C">
      <w:pPr>
        <w:pStyle w:val="5-Subsectionsubheading"/>
      </w:pPr>
      <w:r w:rsidDel="00837666">
        <w:t>Cost utility analysis (population 3)</w:t>
      </w:r>
    </w:p>
    <w:p w14:paraId="09A9F0C5" w14:textId="77777777" w:rsidR="00D2708A" w:rsidRPr="00831A0A" w:rsidRDefault="00913C86" w:rsidP="001357C8">
      <w:pPr>
        <w:pStyle w:val="ListParagraph"/>
        <w:widowControl/>
        <w:numPr>
          <w:ilvl w:val="1"/>
          <w:numId w:val="2"/>
        </w:numPr>
        <w:rPr>
          <w:iCs/>
        </w:rPr>
      </w:pPr>
      <w:r>
        <w:t>As t</w:t>
      </w:r>
      <w:r w:rsidR="001425DF" w:rsidRPr="007B3DA4">
        <w:t xml:space="preserve">he </w:t>
      </w:r>
      <w:r w:rsidR="00163CAF">
        <w:t>PBAC</w:t>
      </w:r>
      <w:r w:rsidR="00163CAF" w:rsidRPr="007B3DA4">
        <w:t xml:space="preserve"> </w:t>
      </w:r>
      <w:r>
        <w:t xml:space="preserve">considered </w:t>
      </w:r>
      <w:r w:rsidR="00D2708A" w:rsidRPr="00831A0A">
        <w:t xml:space="preserve">the claim for superior efficacy of risdiplam over BSC in population 3 </w:t>
      </w:r>
      <w:r w:rsidR="00F21DBA">
        <w:t>was</w:t>
      </w:r>
      <w:r w:rsidR="00F21DBA" w:rsidRPr="00831A0A">
        <w:t xml:space="preserve"> </w:t>
      </w:r>
      <w:r w:rsidR="00D2708A" w:rsidRPr="00831A0A">
        <w:t xml:space="preserve">not supported by the clinical evidence, </w:t>
      </w:r>
      <w:r w:rsidR="0052266A">
        <w:t>the</w:t>
      </w:r>
      <w:r w:rsidR="00D2708A" w:rsidRPr="00831A0A">
        <w:t xml:space="preserve"> cost</w:t>
      </w:r>
      <w:r w:rsidR="00DB1117" w:rsidRPr="00831A0A">
        <w:t>-</w:t>
      </w:r>
      <w:r w:rsidR="00D2708A" w:rsidRPr="00831A0A">
        <w:t>utility analysis in this population</w:t>
      </w:r>
      <w:r w:rsidR="0052266A">
        <w:t xml:space="preserve"> was not considered to be informative</w:t>
      </w:r>
      <w:r w:rsidR="00D2708A" w:rsidRPr="00831A0A">
        <w:t xml:space="preserve">. </w:t>
      </w:r>
    </w:p>
    <w:p w14:paraId="5786660B" w14:textId="77777777" w:rsidR="00275C5A" w:rsidRPr="003D5DD8" w:rsidRDefault="00D33BC8" w:rsidP="004422FA">
      <w:pPr>
        <w:pStyle w:val="ListParagraph"/>
        <w:widowControl/>
        <w:numPr>
          <w:ilvl w:val="1"/>
          <w:numId w:val="2"/>
        </w:numPr>
      </w:pPr>
      <w:r w:rsidRPr="003D5DD8">
        <w:rPr>
          <w:rFonts w:cs="Calibri"/>
          <w:snapToGrid/>
          <w:szCs w:val="24"/>
          <w:lang w:eastAsia="en-AU"/>
        </w:rPr>
        <w:t xml:space="preserve">A summary of the </w:t>
      </w:r>
      <w:r w:rsidR="003D5DD8" w:rsidRPr="003D5DD8">
        <w:rPr>
          <w:rFonts w:cs="Calibri"/>
          <w:snapToGrid/>
          <w:szCs w:val="24"/>
          <w:lang w:eastAsia="en-AU"/>
        </w:rPr>
        <w:t xml:space="preserve">key components of the </w:t>
      </w:r>
      <w:r w:rsidRPr="003D5DD8">
        <w:rPr>
          <w:rFonts w:cs="Calibri"/>
          <w:snapToGrid/>
          <w:szCs w:val="24"/>
          <w:lang w:eastAsia="en-AU"/>
        </w:rPr>
        <w:t xml:space="preserve">economic </w:t>
      </w:r>
      <w:r w:rsidR="003D5DD8" w:rsidRPr="003D5DD8">
        <w:rPr>
          <w:rFonts w:cs="Calibri"/>
          <w:snapToGrid/>
          <w:szCs w:val="24"/>
          <w:lang w:eastAsia="en-AU"/>
        </w:rPr>
        <w:t>model for population 3</w:t>
      </w:r>
      <w:r w:rsidR="003D5DD8">
        <w:rPr>
          <w:rFonts w:cs="Calibri"/>
          <w:snapToGrid/>
          <w:szCs w:val="24"/>
          <w:lang w:eastAsia="en-AU"/>
        </w:rPr>
        <w:t xml:space="preserve"> </w:t>
      </w:r>
      <w:r w:rsidR="003D5DD8" w:rsidRPr="003D5DD8">
        <w:rPr>
          <w:rFonts w:cs="Calibri"/>
          <w:snapToGrid/>
          <w:szCs w:val="24"/>
          <w:lang w:eastAsia="en-AU"/>
        </w:rPr>
        <w:t>is present</w:t>
      </w:r>
      <w:r w:rsidR="00DB1117">
        <w:rPr>
          <w:rFonts w:cs="Calibri"/>
          <w:snapToGrid/>
          <w:szCs w:val="24"/>
          <w:lang w:eastAsia="en-AU"/>
        </w:rPr>
        <w:t>ed</w:t>
      </w:r>
      <w:r w:rsidR="003D5DD8" w:rsidRPr="003D5DD8">
        <w:rPr>
          <w:rFonts w:cs="Calibri"/>
          <w:snapToGrid/>
          <w:szCs w:val="24"/>
          <w:lang w:eastAsia="en-AU"/>
        </w:rPr>
        <w:t xml:space="preserve"> in </w:t>
      </w:r>
      <w:r w:rsidR="009825B3" w:rsidRPr="009825B3">
        <w:rPr>
          <w:rFonts w:cs="Calibri"/>
          <w:snapToGrid/>
          <w:szCs w:val="24"/>
          <w:lang w:eastAsia="en-AU"/>
        </w:rPr>
        <w:t>Table 12</w:t>
      </w:r>
      <w:r w:rsidR="003D5DD8">
        <w:rPr>
          <w:rFonts w:cs="Calibri"/>
          <w:snapToGrid/>
          <w:szCs w:val="24"/>
          <w:lang w:eastAsia="en-AU"/>
        </w:rPr>
        <w:t>.</w:t>
      </w:r>
    </w:p>
    <w:p w14:paraId="5A05A1D7" w14:textId="77777777" w:rsidR="003D5DD8" w:rsidRPr="00BC142F" w:rsidRDefault="00FC7FD4" w:rsidP="00FC7FD4">
      <w:pPr>
        <w:keepNext/>
        <w:keepLines/>
        <w:rPr>
          <w:rStyle w:val="CommentReference"/>
        </w:rPr>
      </w:pPr>
      <w:bookmarkStart w:id="39" w:name="_Ref61517781"/>
      <w:r w:rsidRPr="00BC142F">
        <w:rPr>
          <w:rStyle w:val="CommentReference"/>
        </w:rPr>
        <w:lastRenderedPageBreak/>
        <w:t xml:space="preserve">Table </w:t>
      </w:r>
      <w:r w:rsidR="009825B3">
        <w:rPr>
          <w:rStyle w:val="CommentReference"/>
          <w:noProof/>
        </w:rPr>
        <w:t>12</w:t>
      </w:r>
      <w:bookmarkEnd w:id="39"/>
      <w:r w:rsidR="003D5DD8" w:rsidRPr="00BC142F">
        <w:rPr>
          <w:rStyle w:val="CommentReference"/>
        </w:rPr>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1984"/>
        <w:gridCol w:w="5619"/>
      </w:tblGrid>
      <w:tr w:rsidR="003D5DD8" w:rsidRPr="003A44F8" w14:paraId="7A6ED3ED" w14:textId="77777777" w:rsidTr="00312FEB">
        <w:tc>
          <w:tcPr>
            <w:tcW w:w="784" w:type="pct"/>
            <w:vAlign w:val="center"/>
          </w:tcPr>
          <w:p w14:paraId="251E99E3" w14:textId="77777777" w:rsidR="003D5DD8" w:rsidRPr="003A44F8" w:rsidRDefault="003D5DD8" w:rsidP="003D5DD8">
            <w:pPr>
              <w:keepNext/>
              <w:keepLines/>
              <w:widowControl/>
              <w:jc w:val="left"/>
              <w:rPr>
                <w:rFonts w:ascii="Arial Narrow" w:hAnsi="Arial Narrow" w:cs="Times New Roman"/>
                <w:b/>
                <w:snapToGrid/>
                <w:sz w:val="20"/>
              </w:rPr>
            </w:pPr>
            <w:r w:rsidRPr="003A44F8">
              <w:rPr>
                <w:rFonts w:ascii="Arial Narrow" w:hAnsi="Arial Narrow" w:cs="Times New Roman"/>
                <w:b/>
                <w:snapToGrid/>
                <w:sz w:val="20"/>
              </w:rPr>
              <w:t>Component</w:t>
            </w:r>
          </w:p>
        </w:tc>
        <w:tc>
          <w:tcPr>
            <w:tcW w:w="1100" w:type="pct"/>
          </w:tcPr>
          <w:p w14:paraId="220258B5" w14:textId="77777777" w:rsidR="003D5DD8" w:rsidRPr="003A44F8" w:rsidRDefault="003D5DD8" w:rsidP="003D5DD8">
            <w:pPr>
              <w:keepNext/>
              <w:keepLines/>
              <w:widowControl/>
              <w:jc w:val="center"/>
              <w:rPr>
                <w:rFonts w:ascii="Arial Narrow" w:hAnsi="Arial Narrow" w:cs="Times New Roman"/>
                <w:b/>
                <w:snapToGrid/>
                <w:sz w:val="20"/>
              </w:rPr>
            </w:pPr>
            <w:r w:rsidRPr="003A44F8">
              <w:rPr>
                <w:rFonts w:ascii="Arial Narrow" w:hAnsi="Arial Narrow" w:cs="Times New Roman"/>
                <w:b/>
                <w:snapToGrid/>
                <w:sz w:val="20"/>
              </w:rPr>
              <w:t>Description</w:t>
            </w:r>
          </w:p>
        </w:tc>
        <w:tc>
          <w:tcPr>
            <w:tcW w:w="3116" w:type="pct"/>
            <w:vAlign w:val="center"/>
          </w:tcPr>
          <w:p w14:paraId="4F11D6EB" w14:textId="77777777" w:rsidR="003D5DD8" w:rsidRPr="00831A0A" w:rsidRDefault="003D5DD8" w:rsidP="003D5DD8">
            <w:pPr>
              <w:keepNext/>
              <w:keepLines/>
              <w:widowControl/>
              <w:jc w:val="center"/>
              <w:rPr>
                <w:rFonts w:ascii="Arial Narrow" w:hAnsi="Arial Narrow" w:cs="Times New Roman"/>
                <w:b/>
                <w:snapToGrid/>
                <w:sz w:val="20"/>
              </w:rPr>
            </w:pPr>
            <w:r w:rsidRPr="00831A0A">
              <w:rPr>
                <w:rFonts w:ascii="Arial Narrow" w:hAnsi="Arial Narrow" w:cs="Times New Roman"/>
                <w:b/>
                <w:snapToGrid/>
                <w:sz w:val="20"/>
              </w:rPr>
              <w:t>Justification/comments</w:t>
            </w:r>
          </w:p>
        </w:tc>
      </w:tr>
      <w:tr w:rsidR="003D5DD8" w:rsidRPr="003A44F8" w14:paraId="4BC59DEC" w14:textId="77777777" w:rsidTr="00312FEB">
        <w:tc>
          <w:tcPr>
            <w:tcW w:w="784" w:type="pct"/>
            <w:vAlign w:val="center"/>
          </w:tcPr>
          <w:p w14:paraId="08C53425"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Type of analysis</w:t>
            </w:r>
          </w:p>
        </w:tc>
        <w:tc>
          <w:tcPr>
            <w:tcW w:w="1100" w:type="pct"/>
            <w:vAlign w:val="center"/>
          </w:tcPr>
          <w:p w14:paraId="106E2B76" w14:textId="77777777" w:rsidR="003D5DD8" w:rsidRPr="003A44F8" w:rsidRDefault="00FA0A27" w:rsidP="00FA0A27">
            <w:pPr>
              <w:keepNext/>
              <w:keepLines/>
              <w:widowControl/>
              <w:jc w:val="left"/>
              <w:rPr>
                <w:rFonts w:ascii="Arial Narrow" w:hAnsi="Arial Narrow" w:cs="Times New Roman"/>
                <w:snapToGrid/>
                <w:sz w:val="20"/>
              </w:rPr>
            </w:pPr>
            <w:r>
              <w:rPr>
                <w:rFonts w:ascii="Arial Narrow" w:hAnsi="Arial Narrow" w:cs="Times New Roman"/>
                <w:snapToGrid/>
                <w:sz w:val="20"/>
              </w:rPr>
              <w:t>Stepped c</w:t>
            </w:r>
            <w:r w:rsidR="003D5DD8" w:rsidRPr="003A44F8">
              <w:rPr>
                <w:rFonts w:ascii="Arial Narrow" w:hAnsi="Arial Narrow" w:cs="Times New Roman"/>
                <w:snapToGrid/>
                <w:sz w:val="20"/>
              </w:rPr>
              <w:t>ost-utility analysis</w:t>
            </w:r>
          </w:p>
        </w:tc>
        <w:tc>
          <w:tcPr>
            <w:tcW w:w="3116" w:type="pct"/>
            <w:vAlign w:val="center"/>
          </w:tcPr>
          <w:p w14:paraId="6D86144C" w14:textId="77777777" w:rsidR="003D5DD8" w:rsidRPr="00831A0A" w:rsidRDefault="00312FEB" w:rsidP="00312FEB">
            <w:pPr>
              <w:keepNext/>
              <w:keepLines/>
              <w:widowControl/>
              <w:jc w:val="left"/>
              <w:rPr>
                <w:rFonts w:ascii="Arial Narrow" w:hAnsi="Arial Narrow" w:cs="Times New Roman"/>
                <w:snapToGrid/>
                <w:sz w:val="20"/>
              </w:rPr>
            </w:pPr>
            <w:r>
              <w:rPr>
                <w:rFonts w:ascii="Arial Narrow" w:hAnsi="Arial Narrow" w:cs="Times New Roman"/>
                <w:snapToGrid/>
                <w:sz w:val="20"/>
              </w:rPr>
              <w:t>The PBAC considered the</w:t>
            </w:r>
            <w:r w:rsidR="003D5DD8" w:rsidRPr="00831A0A">
              <w:rPr>
                <w:rFonts w:ascii="Arial Narrow" w:hAnsi="Arial Narrow" w:cs="Times New Roman"/>
                <w:snapToGrid/>
                <w:sz w:val="20"/>
              </w:rPr>
              <w:t xml:space="preserve"> claim of superior efficacy </w:t>
            </w:r>
            <w:r w:rsidR="00405BE8" w:rsidRPr="00831A0A">
              <w:rPr>
                <w:rFonts w:ascii="Arial Narrow" w:hAnsi="Arial Narrow" w:cs="Times New Roman"/>
                <w:snapToGrid/>
                <w:sz w:val="20"/>
              </w:rPr>
              <w:t xml:space="preserve">in population 3 </w:t>
            </w:r>
            <w:r>
              <w:rPr>
                <w:rFonts w:ascii="Arial Narrow" w:hAnsi="Arial Narrow" w:cs="Times New Roman"/>
                <w:snapToGrid/>
                <w:sz w:val="20"/>
              </w:rPr>
              <w:t>was</w:t>
            </w:r>
            <w:r w:rsidRPr="00831A0A">
              <w:rPr>
                <w:rFonts w:ascii="Arial Narrow" w:hAnsi="Arial Narrow" w:cs="Times New Roman"/>
                <w:snapToGrid/>
                <w:sz w:val="20"/>
              </w:rPr>
              <w:t xml:space="preserve"> </w:t>
            </w:r>
            <w:r w:rsidR="003D5DD8" w:rsidRPr="00831A0A">
              <w:rPr>
                <w:rFonts w:ascii="Arial Narrow" w:hAnsi="Arial Narrow" w:cs="Times New Roman"/>
                <w:snapToGrid/>
                <w:sz w:val="20"/>
              </w:rPr>
              <w:t>not suppo</w:t>
            </w:r>
            <w:r w:rsidR="00405BE8" w:rsidRPr="00831A0A">
              <w:rPr>
                <w:rFonts w:ascii="Arial Narrow" w:hAnsi="Arial Narrow" w:cs="Times New Roman"/>
                <w:snapToGrid/>
                <w:sz w:val="20"/>
              </w:rPr>
              <w:t>rted by the evidence</w:t>
            </w:r>
            <w:r w:rsidR="003D5DD8" w:rsidRPr="00831A0A">
              <w:rPr>
                <w:rFonts w:ascii="Arial Narrow" w:hAnsi="Arial Narrow" w:cs="Times New Roman"/>
                <w:snapToGrid/>
                <w:sz w:val="20"/>
              </w:rPr>
              <w:t>.</w:t>
            </w:r>
          </w:p>
        </w:tc>
      </w:tr>
      <w:tr w:rsidR="00FA0A27" w:rsidRPr="003A44F8" w14:paraId="71D53A8E" w14:textId="77777777" w:rsidTr="00312FEB">
        <w:tc>
          <w:tcPr>
            <w:tcW w:w="784" w:type="pct"/>
            <w:vAlign w:val="center"/>
          </w:tcPr>
          <w:p w14:paraId="77483961" w14:textId="77777777" w:rsidR="00FA0A27" w:rsidRPr="003A44F8" w:rsidRDefault="00FA0A27" w:rsidP="003D5DD8">
            <w:pPr>
              <w:keepNext/>
              <w:keepLines/>
              <w:widowControl/>
              <w:jc w:val="left"/>
              <w:rPr>
                <w:rFonts w:ascii="Arial Narrow" w:hAnsi="Arial Narrow" w:cs="Times New Roman"/>
                <w:snapToGrid/>
                <w:sz w:val="20"/>
              </w:rPr>
            </w:pPr>
            <w:r>
              <w:rPr>
                <w:rFonts w:ascii="Arial Narrow" w:hAnsi="Arial Narrow" w:cs="Times New Roman"/>
                <w:snapToGrid/>
                <w:sz w:val="20"/>
              </w:rPr>
              <w:t>Steps</w:t>
            </w:r>
          </w:p>
        </w:tc>
        <w:tc>
          <w:tcPr>
            <w:tcW w:w="1100" w:type="pct"/>
            <w:vAlign w:val="center"/>
          </w:tcPr>
          <w:p w14:paraId="28CE257E" w14:textId="77777777" w:rsidR="00FA0A27" w:rsidRDefault="00FA0A27" w:rsidP="00FA0A27">
            <w:pPr>
              <w:keepNext/>
              <w:keepLines/>
              <w:widowControl/>
              <w:jc w:val="left"/>
              <w:rPr>
                <w:rFonts w:ascii="Arial Narrow" w:hAnsi="Arial Narrow" w:cs="Times New Roman"/>
                <w:snapToGrid/>
                <w:sz w:val="20"/>
              </w:rPr>
            </w:pPr>
            <w:r>
              <w:rPr>
                <w:rFonts w:ascii="Arial Narrow" w:hAnsi="Arial Narrow" w:cs="Times New Roman"/>
                <w:snapToGrid/>
                <w:sz w:val="20"/>
              </w:rPr>
              <w:t>1. Trial based (12 mths)</w:t>
            </w:r>
          </w:p>
          <w:p w14:paraId="078111F1" w14:textId="77777777" w:rsidR="00FA0A27" w:rsidRDefault="00FA0A27" w:rsidP="00FA0A27">
            <w:pPr>
              <w:keepNext/>
              <w:keepLines/>
              <w:widowControl/>
              <w:jc w:val="left"/>
              <w:rPr>
                <w:rFonts w:ascii="Arial Narrow" w:hAnsi="Arial Narrow" w:cs="Times New Roman"/>
                <w:snapToGrid/>
                <w:sz w:val="20"/>
              </w:rPr>
            </w:pPr>
            <w:r>
              <w:rPr>
                <w:rFonts w:ascii="Arial Narrow" w:hAnsi="Arial Narrow" w:cs="Times New Roman"/>
                <w:snapToGrid/>
                <w:sz w:val="20"/>
              </w:rPr>
              <w:t>2. Extrapolate to lifetime</w:t>
            </w:r>
          </w:p>
          <w:p w14:paraId="7D9A02BE" w14:textId="77777777" w:rsidR="00FA0A27" w:rsidRDefault="00FA0A27" w:rsidP="00FA0A27">
            <w:pPr>
              <w:keepNext/>
              <w:keepLines/>
              <w:widowControl/>
              <w:jc w:val="left"/>
              <w:rPr>
                <w:rFonts w:ascii="Arial Narrow" w:hAnsi="Arial Narrow" w:cs="Times New Roman"/>
                <w:snapToGrid/>
                <w:sz w:val="20"/>
              </w:rPr>
            </w:pPr>
            <w:r>
              <w:rPr>
                <w:rFonts w:ascii="Arial Narrow" w:hAnsi="Arial Narrow" w:cs="Times New Roman"/>
                <w:snapToGrid/>
                <w:sz w:val="20"/>
              </w:rPr>
              <w:t>3. Incorporate MRU</w:t>
            </w:r>
          </w:p>
        </w:tc>
        <w:tc>
          <w:tcPr>
            <w:tcW w:w="3116" w:type="pct"/>
            <w:vAlign w:val="center"/>
          </w:tcPr>
          <w:p w14:paraId="18683C12" w14:textId="77777777" w:rsidR="00FA0A27" w:rsidRPr="00831A0A" w:rsidRDefault="00312FEB" w:rsidP="00405BE8">
            <w:pPr>
              <w:keepNext/>
              <w:keepLines/>
              <w:widowControl/>
              <w:jc w:val="left"/>
              <w:rPr>
                <w:rFonts w:ascii="Arial Narrow" w:hAnsi="Arial Narrow" w:cs="Times New Roman"/>
                <w:snapToGrid/>
                <w:sz w:val="20"/>
              </w:rPr>
            </w:pPr>
            <w:r>
              <w:rPr>
                <w:rFonts w:ascii="Arial Narrow" w:hAnsi="Arial Narrow" w:cs="Times New Roman"/>
                <w:snapToGrid/>
                <w:sz w:val="20"/>
              </w:rPr>
              <w:t>The s</w:t>
            </w:r>
            <w:r w:rsidR="00FA0A27" w:rsidRPr="00831A0A">
              <w:rPr>
                <w:rFonts w:ascii="Arial Narrow" w:hAnsi="Arial Narrow" w:cs="Times New Roman"/>
                <w:snapToGrid/>
                <w:sz w:val="20"/>
              </w:rPr>
              <w:t xml:space="preserve">ubmission also included two extra steps (incorporate adverse event costs and convert to utility) but were unnecessary as no adverse event costs were considered and utility was used as the outcome from </w:t>
            </w:r>
            <w:r w:rsidR="0012625D" w:rsidRPr="00831A0A">
              <w:rPr>
                <w:rFonts w:ascii="Arial Narrow" w:hAnsi="Arial Narrow" w:cs="Times New Roman"/>
                <w:snapToGrid/>
                <w:sz w:val="20"/>
              </w:rPr>
              <w:t>S</w:t>
            </w:r>
            <w:r w:rsidR="00FA0A27" w:rsidRPr="00831A0A">
              <w:rPr>
                <w:rFonts w:ascii="Arial Narrow" w:hAnsi="Arial Narrow" w:cs="Times New Roman"/>
                <w:snapToGrid/>
                <w:sz w:val="20"/>
              </w:rPr>
              <w:t>tep 1.</w:t>
            </w:r>
          </w:p>
        </w:tc>
      </w:tr>
      <w:tr w:rsidR="003D5DD8" w:rsidRPr="003A44F8" w14:paraId="6CA1A807" w14:textId="77777777" w:rsidTr="00312FEB">
        <w:tc>
          <w:tcPr>
            <w:tcW w:w="784" w:type="pct"/>
            <w:vAlign w:val="center"/>
          </w:tcPr>
          <w:p w14:paraId="1C344662"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Outcomes</w:t>
            </w:r>
          </w:p>
        </w:tc>
        <w:tc>
          <w:tcPr>
            <w:tcW w:w="1100" w:type="pct"/>
            <w:vAlign w:val="center"/>
          </w:tcPr>
          <w:p w14:paraId="1C7CED8D"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Life years gained and cost per quality-adjusted life years</w:t>
            </w:r>
          </w:p>
        </w:tc>
        <w:tc>
          <w:tcPr>
            <w:tcW w:w="3116" w:type="pct"/>
            <w:vAlign w:val="center"/>
          </w:tcPr>
          <w:p w14:paraId="7FB20CCA" w14:textId="77777777" w:rsidR="003D5DD8" w:rsidRPr="00831A0A" w:rsidRDefault="003D5DD8" w:rsidP="003D5DD8">
            <w:pPr>
              <w:keepNext/>
              <w:keepLines/>
              <w:widowControl/>
              <w:jc w:val="left"/>
              <w:rPr>
                <w:rFonts w:ascii="Arial Narrow" w:hAnsi="Arial Narrow" w:cs="Times New Roman"/>
                <w:snapToGrid/>
                <w:sz w:val="20"/>
              </w:rPr>
            </w:pPr>
          </w:p>
        </w:tc>
      </w:tr>
      <w:tr w:rsidR="003D5DD8" w:rsidRPr="003A44F8" w14:paraId="11A7A7FD" w14:textId="77777777" w:rsidTr="00312FEB">
        <w:tc>
          <w:tcPr>
            <w:tcW w:w="784" w:type="pct"/>
            <w:vAlign w:val="center"/>
          </w:tcPr>
          <w:p w14:paraId="10B7FE1F"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Time horizon</w:t>
            </w:r>
          </w:p>
        </w:tc>
        <w:tc>
          <w:tcPr>
            <w:tcW w:w="1100" w:type="pct"/>
            <w:vAlign w:val="center"/>
          </w:tcPr>
          <w:p w14:paraId="7D9C9C30"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Lifetime (62 years)</w:t>
            </w:r>
          </w:p>
        </w:tc>
        <w:tc>
          <w:tcPr>
            <w:tcW w:w="3116" w:type="pct"/>
            <w:vAlign w:val="center"/>
          </w:tcPr>
          <w:p w14:paraId="7C20CEBA" w14:textId="77777777" w:rsidR="003D5DD8" w:rsidRPr="00831A0A" w:rsidRDefault="00601E72" w:rsidP="00601E72">
            <w:pPr>
              <w:keepNext/>
              <w:keepLines/>
              <w:widowControl/>
              <w:jc w:val="left"/>
              <w:rPr>
                <w:rFonts w:ascii="Arial Narrow" w:hAnsi="Arial Narrow" w:cs="Times New Roman"/>
                <w:snapToGrid/>
                <w:sz w:val="20"/>
              </w:rPr>
            </w:pPr>
            <w:r>
              <w:rPr>
                <w:rFonts w:ascii="Arial Narrow" w:hAnsi="Arial Narrow" w:cs="Times New Roman"/>
                <w:snapToGrid/>
                <w:sz w:val="20"/>
              </w:rPr>
              <w:t>The s</w:t>
            </w:r>
            <w:r w:rsidR="003D5DD8" w:rsidRPr="00831A0A">
              <w:rPr>
                <w:rFonts w:ascii="Arial Narrow" w:hAnsi="Arial Narrow" w:cs="Times New Roman"/>
                <w:snapToGrid/>
                <w:sz w:val="20"/>
              </w:rPr>
              <w:t xml:space="preserve">ubmission claimed this was consistent with published economic evaluations. </w:t>
            </w:r>
          </w:p>
        </w:tc>
      </w:tr>
      <w:tr w:rsidR="003D5DD8" w:rsidRPr="003A44F8" w14:paraId="6FD3E3A7" w14:textId="77777777" w:rsidTr="00312FEB">
        <w:tc>
          <w:tcPr>
            <w:tcW w:w="784" w:type="pct"/>
            <w:vAlign w:val="center"/>
          </w:tcPr>
          <w:p w14:paraId="67E45678"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Methods used to generate results</w:t>
            </w:r>
          </w:p>
        </w:tc>
        <w:tc>
          <w:tcPr>
            <w:tcW w:w="1100" w:type="pct"/>
            <w:vAlign w:val="center"/>
          </w:tcPr>
          <w:p w14:paraId="3DD63753"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Markov</w:t>
            </w:r>
          </w:p>
        </w:tc>
        <w:tc>
          <w:tcPr>
            <w:tcW w:w="3116" w:type="pct"/>
            <w:vAlign w:val="center"/>
          </w:tcPr>
          <w:p w14:paraId="5E153D0C" w14:textId="77777777" w:rsidR="003D5DD8" w:rsidRPr="00831A0A" w:rsidRDefault="003D5DD8" w:rsidP="003D5DD8">
            <w:pPr>
              <w:keepNext/>
              <w:keepLines/>
              <w:widowControl/>
              <w:jc w:val="left"/>
              <w:rPr>
                <w:rFonts w:ascii="Arial Narrow" w:hAnsi="Arial Narrow" w:cs="Times New Roman"/>
                <w:snapToGrid/>
                <w:sz w:val="20"/>
              </w:rPr>
            </w:pPr>
          </w:p>
        </w:tc>
      </w:tr>
      <w:tr w:rsidR="003D5DD8" w:rsidRPr="003A44F8" w14:paraId="7886385F" w14:textId="77777777" w:rsidTr="00312FEB">
        <w:tc>
          <w:tcPr>
            <w:tcW w:w="784" w:type="pct"/>
            <w:vAlign w:val="center"/>
          </w:tcPr>
          <w:p w14:paraId="2ED165E5"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Health states</w:t>
            </w:r>
          </w:p>
        </w:tc>
        <w:tc>
          <w:tcPr>
            <w:tcW w:w="1100" w:type="pct"/>
            <w:vAlign w:val="center"/>
          </w:tcPr>
          <w:p w14:paraId="323ECF25"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6 health states:</w:t>
            </w:r>
          </w:p>
          <w:p w14:paraId="2E9D86D3"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Non-sitting</w:t>
            </w:r>
          </w:p>
          <w:p w14:paraId="6C4A11F5"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Sitting supported</w:t>
            </w:r>
          </w:p>
          <w:p w14:paraId="709FE4E1"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Sitting unsupported</w:t>
            </w:r>
          </w:p>
          <w:p w14:paraId="411C75C3"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Standing</w:t>
            </w:r>
          </w:p>
          <w:p w14:paraId="7BDE9493"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Walking</w:t>
            </w:r>
          </w:p>
          <w:p w14:paraId="24F6CA55"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Death</w:t>
            </w:r>
          </w:p>
        </w:tc>
        <w:tc>
          <w:tcPr>
            <w:tcW w:w="3116" w:type="pct"/>
            <w:vAlign w:val="center"/>
          </w:tcPr>
          <w:p w14:paraId="2ABCED55" w14:textId="77777777" w:rsidR="003D5DD8" w:rsidRDefault="00F21DBA" w:rsidP="003D5DD8">
            <w:pPr>
              <w:keepNext/>
              <w:keepLines/>
              <w:widowControl/>
              <w:jc w:val="left"/>
              <w:rPr>
                <w:rFonts w:ascii="Arial Narrow" w:hAnsi="Arial Narrow" w:cs="Times New Roman"/>
                <w:snapToGrid/>
                <w:sz w:val="20"/>
              </w:rPr>
            </w:pPr>
            <w:r w:rsidRPr="007B3DA4">
              <w:rPr>
                <w:rFonts w:ascii="Arial Narrow" w:hAnsi="Arial Narrow" w:cs="Times New Roman"/>
                <w:snapToGrid/>
                <w:sz w:val="20"/>
              </w:rPr>
              <w:t>T</w:t>
            </w:r>
            <w:r w:rsidR="008F49F1" w:rsidRPr="007B3DA4">
              <w:rPr>
                <w:rFonts w:ascii="Arial Narrow" w:hAnsi="Arial Narrow" w:cs="Times New Roman"/>
                <w:snapToGrid/>
                <w:sz w:val="20"/>
              </w:rPr>
              <w:t xml:space="preserve">he ESC noted that </w:t>
            </w:r>
            <w:r w:rsidR="003D5DD8" w:rsidRPr="00831A0A">
              <w:rPr>
                <w:rFonts w:ascii="Arial Narrow" w:hAnsi="Arial Narrow" w:cs="Times New Roman"/>
                <w:snapToGrid/>
                <w:sz w:val="20"/>
              </w:rPr>
              <w:t xml:space="preserve">it was unclear whether the data from SUNFISH </w:t>
            </w:r>
            <w:r w:rsidR="0012625D" w:rsidRPr="00831A0A">
              <w:rPr>
                <w:rFonts w:ascii="Arial Narrow" w:hAnsi="Arial Narrow" w:cs="Times New Roman"/>
                <w:snapToGrid/>
                <w:sz w:val="20"/>
              </w:rPr>
              <w:t>P</w:t>
            </w:r>
            <w:r w:rsidR="003D5DD8" w:rsidRPr="00831A0A">
              <w:rPr>
                <w:rFonts w:ascii="Arial Narrow" w:hAnsi="Arial Narrow" w:cs="Times New Roman"/>
                <w:snapToGrid/>
                <w:sz w:val="20"/>
              </w:rPr>
              <w:t>art 2 c</w:t>
            </w:r>
            <w:r w:rsidR="0012625D" w:rsidRPr="00831A0A">
              <w:rPr>
                <w:rFonts w:ascii="Arial Narrow" w:hAnsi="Arial Narrow" w:cs="Times New Roman"/>
                <w:snapToGrid/>
                <w:sz w:val="20"/>
              </w:rPr>
              <w:t xml:space="preserve">ould </w:t>
            </w:r>
            <w:r w:rsidR="003D5DD8" w:rsidRPr="00831A0A">
              <w:rPr>
                <w:rFonts w:ascii="Arial Narrow" w:hAnsi="Arial Narrow" w:cs="Times New Roman"/>
                <w:snapToGrid/>
                <w:sz w:val="20"/>
              </w:rPr>
              <w:t>inform these health states appropriately</w:t>
            </w:r>
            <w:r w:rsidR="0012625D" w:rsidRPr="00831A0A">
              <w:rPr>
                <w:rFonts w:ascii="Arial Narrow" w:hAnsi="Arial Narrow" w:cs="Times New Roman"/>
                <w:snapToGrid/>
                <w:sz w:val="20"/>
              </w:rPr>
              <w:t>.</w:t>
            </w:r>
          </w:p>
          <w:p w14:paraId="2CE9902D" w14:textId="77777777" w:rsidR="008F49F1" w:rsidRPr="007B3DA4" w:rsidRDefault="008F49F1" w:rsidP="003D5DD8">
            <w:pPr>
              <w:keepNext/>
              <w:keepLines/>
              <w:widowControl/>
              <w:jc w:val="left"/>
              <w:rPr>
                <w:rFonts w:ascii="Arial Narrow" w:hAnsi="Arial Narrow" w:cs="Times New Roman"/>
                <w:snapToGrid/>
                <w:sz w:val="20"/>
              </w:rPr>
            </w:pPr>
          </w:p>
          <w:p w14:paraId="174CCDF7" w14:textId="77777777" w:rsidR="008F49F1" w:rsidRPr="008F49F1" w:rsidRDefault="008F49F1" w:rsidP="003D5DD8">
            <w:pPr>
              <w:keepNext/>
              <w:keepLines/>
              <w:widowControl/>
              <w:jc w:val="left"/>
              <w:rPr>
                <w:rFonts w:ascii="Arial Narrow" w:hAnsi="Arial Narrow" w:cs="Times New Roman"/>
                <w:i/>
                <w:snapToGrid/>
                <w:sz w:val="20"/>
              </w:rPr>
            </w:pPr>
          </w:p>
        </w:tc>
      </w:tr>
      <w:tr w:rsidR="003D5DD8" w:rsidRPr="003A44F8" w14:paraId="5D291A3A" w14:textId="77777777" w:rsidTr="00312FEB">
        <w:tc>
          <w:tcPr>
            <w:tcW w:w="784" w:type="pct"/>
            <w:vAlign w:val="center"/>
          </w:tcPr>
          <w:p w14:paraId="502D84D4"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Cycle length</w:t>
            </w:r>
          </w:p>
        </w:tc>
        <w:tc>
          <w:tcPr>
            <w:tcW w:w="1100" w:type="pct"/>
            <w:vAlign w:val="center"/>
          </w:tcPr>
          <w:p w14:paraId="7D4D9DA4"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Monthly</w:t>
            </w:r>
          </w:p>
        </w:tc>
        <w:tc>
          <w:tcPr>
            <w:tcW w:w="3116" w:type="pct"/>
            <w:vAlign w:val="center"/>
          </w:tcPr>
          <w:p w14:paraId="25A59A9C" w14:textId="77777777" w:rsidR="003D5DD8" w:rsidRPr="00831A0A" w:rsidRDefault="003D5DD8" w:rsidP="003D5DD8">
            <w:pPr>
              <w:keepNext/>
              <w:keepLines/>
              <w:widowControl/>
              <w:jc w:val="left"/>
              <w:rPr>
                <w:rFonts w:ascii="Arial Narrow" w:hAnsi="Arial Narrow" w:cs="Times New Roman"/>
                <w:snapToGrid/>
                <w:sz w:val="20"/>
              </w:rPr>
            </w:pPr>
            <w:r w:rsidRPr="00831A0A">
              <w:rPr>
                <w:rFonts w:ascii="Arial Narrow" w:hAnsi="Arial Narrow" w:cs="Times New Roman"/>
                <w:snapToGrid/>
                <w:sz w:val="20"/>
              </w:rPr>
              <w:t xml:space="preserve">Given that MFM32 was assessed every 4 months in SUNFISH, this may not be appropriate, but </w:t>
            </w:r>
            <w:r w:rsidR="00312FEB">
              <w:rPr>
                <w:rFonts w:ascii="Arial Narrow" w:hAnsi="Arial Narrow" w:cs="Times New Roman"/>
                <w:snapToGrid/>
                <w:sz w:val="20"/>
              </w:rPr>
              <w:t xml:space="preserve">is </w:t>
            </w:r>
            <w:r w:rsidRPr="00831A0A">
              <w:rPr>
                <w:rFonts w:ascii="Arial Narrow" w:hAnsi="Arial Narrow" w:cs="Times New Roman"/>
                <w:snapToGrid/>
                <w:sz w:val="20"/>
              </w:rPr>
              <w:t xml:space="preserve">unlikely to have a large impact. </w:t>
            </w:r>
          </w:p>
        </w:tc>
      </w:tr>
      <w:tr w:rsidR="003D5DD8" w:rsidRPr="003A44F8" w14:paraId="086D149E" w14:textId="77777777" w:rsidTr="00312FEB">
        <w:tc>
          <w:tcPr>
            <w:tcW w:w="784" w:type="pct"/>
            <w:vAlign w:val="center"/>
          </w:tcPr>
          <w:p w14:paraId="0CE00ED2"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Transition probabilities</w:t>
            </w:r>
          </w:p>
        </w:tc>
        <w:tc>
          <w:tcPr>
            <w:tcW w:w="1100" w:type="pct"/>
            <w:vAlign w:val="center"/>
          </w:tcPr>
          <w:p w14:paraId="0AA54969" w14:textId="77777777" w:rsidR="003D5DD8" w:rsidRPr="003A44F8" w:rsidRDefault="003D5DD8" w:rsidP="00F21DBA">
            <w:pPr>
              <w:keepNext/>
              <w:keepLines/>
              <w:widowControl/>
              <w:jc w:val="left"/>
              <w:rPr>
                <w:rFonts w:ascii="Arial Narrow" w:hAnsi="Arial Narrow" w:cs="Times New Roman"/>
                <w:snapToGrid/>
                <w:sz w:val="20"/>
              </w:rPr>
            </w:pPr>
            <w:r w:rsidRPr="003A44F8">
              <w:rPr>
                <w:rFonts w:ascii="Arial Narrow" w:hAnsi="Arial Narrow" w:cs="Times New Roman"/>
                <w:snapToGrid/>
                <w:sz w:val="20"/>
              </w:rPr>
              <w:t>RC</w:t>
            </w:r>
            <w:r w:rsidRPr="00E117A0">
              <w:rPr>
                <w:rFonts w:ascii="Arial Narrow" w:hAnsi="Arial Narrow" w:cs="Times New Roman"/>
                <w:snapToGrid/>
                <w:sz w:val="20"/>
              </w:rPr>
              <w:t xml:space="preserve">T data from SUNFISH Part 2 </w:t>
            </w:r>
          </w:p>
        </w:tc>
        <w:tc>
          <w:tcPr>
            <w:tcW w:w="3116" w:type="pct"/>
            <w:vAlign w:val="center"/>
          </w:tcPr>
          <w:p w14:paraId="01FE00B0" w14:textId="77777777" w:rsidR="003D5DD8" w:rsidRPr="00831A0A" w:rsidRDefault="00312FEB" w:rsidP="00312FEB">
            <w:pPr>
              <w:keepNext/>
              <w:keepLines/>
              <w:widowControl/>
              <w:jc w:val="left"/>
              <w:rPr>
                <w:rFonts w:ascii="Arial Narrow" w:hAnsi="Arial Narrow" w:cs="Times New Roman"/>
                <w:snapToGrid/>
                <w:sz w:val="20"/>
              </w:rPr>
            </w:pPr>
            <w:r w:rsidRPr="007B3DA4">
              <w:rPr>
                <w:rFonts w:ascii="Arial Narrow" w:hAnsi="Arial Narrow" w:cs="Times New Roman"/>
                <w:snapToGrid/>
                <w:sz w:val="20"/>
              </w:rPr>
              <w:t xml:space="preserve">The ESC noted that the transition probabilities between the health states were highly uncertain due to the very small patient numbers in SUNFISH Part 2 for the 18-25 year age group cohort (n=22). </w:t>
            </w:r>
            <w:r w:rsidR="008F49F1" w:rsidRPr="007B3DA4">
              <w:rPr>
                <w:rFonts w:ascii="Arial Narrow" w:hAnsi="Arial Narrow" w:cs="Times New Roman"/>
                <w:snapToGrid/>
                <w:sz w:val="20"/>
              </w:rPr>
              <w:t xml:space="preserve">The ESC </w:t>
            </w:r>
            <w:r>
              <w:rPr>
                <w:rFonts w:ascii="Arial Narrow" w:hAnsi="Arial Narrow" w:cs="Times New Roman"/>
                <w:snapToGrid/>
                <w:sz w:val="20"/>
              </w:rPr>
              <w:t xml:space="preserve">considered </w:t>
            </w:r>
            <w:r w:rsidR="008F49F1" w:rsidRPr="007B3DA4">
              <w:rPr>
                <w:rFonts w:ascii="Arial Narrow" w:hAnsi="Arial Narrow" w:cs="Times New Roman"/>
                <w:snapToGrid/>
                <w:sz w:val="20"/>
              </w:rPr>
              <w:t xml:space="preserve">that the transition probabilities </w:t>
            </w:r>
            <w:r w:rsidR="008F49F1">
              <w:rPr>
                <w:rFonts w:ascii="Arial Narrow" w:hAnsi="Arial Narrow" w:cs="Times New Roman"/>
                <w:snapToGrid/>
                <w:sz w:val="20"/>
              </w:rPr>
              <w:t>m</w:t>
            </w:r>
            <w:r w:rsidR="003D5DD8" w:rsidRPr="00831A0A">
              <w:rPr>
                <w:rFonts w:ascii="Arial Narrow" w:hAnsi="Arial Narrow" w:cs="Times New Roman"/>
                <w:snapToGrid/>
                <w:sz w:val="20"/>
              </w:rPr>
              <w:t xml:space="preserve">ay be inappropriate as there did not appear to be statistically significantly differences observed in SUNFISH regarding the MFM32 items between treatment arms. </w:t>
            </w:r>
          </w:p>
        </w:tc>
      </w:tr>
      <w:tr w:rsidR="003D5DD8" w:rsidRPr="003A44F8" w14:paraId="11255F77" w14:textId="77777777" w:rsidTr="00312FEB">
        <w:tc>
          <w:tcPr>
            <w:tcW w:w="784" w:type="pct"/>
            <w:vAlign w:val="center"/>
          </w:tcPr>
          <w:p w14:paraId="5BBC991D"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Software package</w:t>
            </w:r>
          </w:p>
        </w:tc>
        <w:tc>
          <w:tcPr>
            <w:tcW w:w="1100" w:type="pct"/>
            <w:vAlign w:val="center"/>
          </w:tcPr>
          <w:p w14:paraId="6D4AC258" w14:textId="77777777" w:rsidR="003D5DD8" w:rsidRPr="003A44F8" w:rsidRDefault="003D5DD8" w:rsidP="003D5DD8">
            <w:pPr>
              <w:keepNext/>
              <w:keepLines/>
              <w:widowControl/>
              <w:jc w:val="left"/>
              <w:rPr>
                <w:rFonts w:ascii="Arial Narrow" w:hAnsi="Arial Narrow" w:cs="Times New Roman"/>
                <w:snapToGrid/>
                <w:sz w:val="20"/>
              </w:rPr>
            </w:pPr>
            <w:r w:rsidRPr="003A44F8">
              <w:rPr>
                <w:rFonts w:ascii="Arial Narrow" w:hAnsi="Arial Narrow" w:cs="Times New Roman"/>
                <w:snapToGrid/>
                <w:sz w:val="20"/>
              </w:rPr>
              <w:t>Excel 2016</w:t>
            </w:r>
          </w:p>
        </w:tc>
        <w:tc>
          <w:tcPr>
            <w:tcW w:w="3116" w:type="pct"/>
            <w:vAlign w:val="center"/>
          </w:tcPr>
          <w:p w14:paraId="680E8C33" w14:textId="77777777" w:rsidR="003D5DD8" w:rsidRPr="00831A0A" w:rsidRDefault="003D5DD8" w:rsidP="00312FEB">
            <w:pPr>
              <w:keepNext/>
              <w:keepLines/>
              <w:widowControl/>
              <w:jc w:val="left"/>
              <w:rPr>
                <w:rFonts w:ascii="Arial Narrow" w:hAnsi="Arial Narrow" w:cs="Times New Roman"/>
                <w:snapToGrid/>
                <w:sz w:val="20"/>
              </w:rPr>
            </w:pPr>
          </w:p>
        </w:tc>
      </w:tr>
    </w:tbl>
    <w:p w14:paraId="61CC1106" w14:textId="77777777" w:rsidR="00FA0A27" w:rsidRDefault="00FA0A27" w:rsidP="003D5DD8">
      <w:pPr>
        <w:keepNext/>
        <w:keepLines/>
        <w:rPr>
          <w:rFonts w:ascii="Arial Narrow" w:hAnsi="Arial Narrow"/>
          <w:sz w:val="18"/>
        </w:rPr>
      </w:pPr>
      <w:r>
        <w:rPr>
          <w:rFonts w:ascii="Arial Narrow" w:hAnsi="Arial Narrow"/>
          <w:sz w:val="18"/>
        </w:rPr>
        <w:t>MRU = medical resource use</w:t>
      </w:r>
      <w:r w:rsidR="000F6202">
        <w:rPr>
          <w:rFonts w:ascii="Arial Narrow" w:hAnsi="Arial Narrow"/>
          <w:sz w:val="18"/>
        </w:rPr>
        <w:t>, mths = months</w:t>
      </w:r>
    </w:p>
    <w:p w14:paraId="6CB6073E" w14:textId="77777777" w:rsidR="003D5DD8" w:rsidRPr="003A44F8" w:rsidRDefault="00A224AA" w:rsidP="003D5DD8">
      <w:pPr>
        <w:keepNext/>
        <w:keepLines/>
        <w:rPr>
          <w:rFonts w:ascii="Arial Narrow" w:hAnsi="Arial Narrow"/>
          <w:sz w:val="20"/>
        </w:rPr>
      </w:pPr>
      <w:r>
        <w:rPr>
          <w:rFonts w:ascii="Arial Narrow" w:hAnsi="Arial Narrow"/>
          <w:sz w:val="18"/>
        </w:rPr>
        <w:t>Source: Table 3.</w:t>
      </w:r>
      <w:r w:rsidR="003D5DD8" w:rsidRPr="003A44F8">
        <w:rPr>
          <w:rFonts w:ascii="Arial Narrow" w:hAnsi="Arial Narrow"/>
          <w:sz w:val="18"/>
        </w:rPr>
        <w:t xml:space="preserve">2, p197 </w:t>
      </w:r>
      <w:r>
        <w:rPr>
          <w:rFonts w:ascii="Arial Narrow" w:hAnsi="Arial Narrow"/>
          <w:sz w:val="18"/>
        </w:rPr>
        <w:t xml:space="preserve">ant Table 3.3, p198 </w:t>
      </w:r>
      <w:r w:rsidR="003D5DD8" w:rsidRPr="003A44F8">
        <w:rPr>
          <w:rFonts w:ascii="Arial Narrow" w:hAnsi="Arial Narrow"/>
          <w:sz w:val="18"/>
        </w:rPr>
        <w:t xml:space="preserve">of the submission. </w:t>
      </w:r>
    </w:p>
    <w:p w14:paraId="1E40BD3A" w14:textId="77777777" w:rsidR="00275C5A" w:rsidRPr="003A44F8" w:rsidRDefault="00275C5A" w:rsidP="0023209F"/>
    <w:p w14:paraId="34A81C88" w14:textId="77777777" w:rsidR="003D5DD8" w:rsidRDefault="003D5DD8" w:rsidP="004422FA">
      <w:pPr>
        <w:pStyle w:val="ListParagraph"/>
        <w:widowControl/>
        <w:numPr>
          <w:ilvl w:val="1"/>
          <w:numId w:val="2"/>
        </w:numPr>
      </w:pPr>
      <w:r>
        <w:t xml:space="preserve">The structure of the economic model is presented in </w:t>
      </w:r>
      <w:r w:rsidR="009825B3" w:rsidRPr="009825B3">
        <w:t>Figure 3</w:t>
      </w:r>
      <w:r>
        <w:t>.</w:t>
      </w:r>
    </w:p>
    <w:p w14:paraId="305B6BAB" w14:textId="77777777" w:rsidR="003D5DD8" w:rsidRPr="003A44F8" w:rsidRDefault="00FC7FD4" w:rsidP="00FC7FD4">
      <w:pPr>
        <w:keepNext/>
        <w:keepLines/>
        <w:rPr>
          <w:rFonts w:ascii="Arial Narrow" w:hAnsi="Arial Narrow"/>
          <w:b/>
          <w:sz w:val="20"/>
          <w:szCs w:val="20"/>
        </w:rPr>
      </w:pPr>
      <w:bookmarkStart w:id="40" w:name="_Ref61517860"/>
      <w:r w:rsidRPr="00FC7FD4">
        <w:rPr>
          <w:rFonts w:ascii="Arial Narrow" w:hAnsi="Arial Narrow"/>
          <w:b/>
          <w:sz w:val="20"/>
          <w:szCs w:val="20"/>
        </w:rPr>
        <w:t xml:space="preserve">Figure </w:t>
      </w:r>
      <w:r w:rsidR="009825B3">
        <w:rPr>
          <w:rFonts w:ascii="Arial Narrow" w:hAnsi="Arial Narrow"/>
          <w:b/>
          <w:noProof/>
          <w:sz w:val="20"/>
          <w:szCs w:val="20"/>
        </w:rPr>
        <w:t>3</w:t>
      </w:r>
      <w:bookmarkEnd w:id="40"/>
      <w:r>
        <w:rPr>
          <w:rFonts w:ascii="Arial Narrow" w:hAnsi="Arial Narrow"/>
          <w:b/>
          <w:sz w:val="20"/>
          <w:szCs w:val="20"/>
        </w:rPr>
        <w:t>:</w:t>
      </w:r>
      <w:r w:rsidR="003D5DD8">
        <w:rPr>
          <w:rFonts w:ascii="Arial Narrow" w:hAnsi="Arial Narrow"/>
          <w:b/>
          <w:sz w:val="20"/>
          <w:szCs w:val="20"/>
        </w:rPr>
        <w:t xml:space="preserve"> </w:t>
      </w:r>
      <w:r w:rsidR="003D5DD8" w:rsidRPr="003A44F8">
        <w:rPr>
          <w:rFonts w:ascii="Arial Narrow" w:hAnsi="Arial Narrow"/>
          <w:b/>
          <w:sz w:val="20"/>
          <w:szCs w:val="20"/>
        </w:rPr>
        <w:t>Structure of economic model</w:t>
      </w:r>
    </w:p>
    <w:p w14:paraId="3E3E45EE" w14:textId="77777777" w:rsidR="003D5DD8" w:rsidRPr="003A44F8" w:rsidRDefault="003D5DD8" w:rsidP="003D5DD8">
      <w:pPr>
        <w:keepNext/>
        <w:keepLines/>
        <w:rPr>
          <w:rFonts w:ascii="Arial Narrow" w:hAnsi="Arial Narrow"/>
          <w:sz w:val="20"/>
          <w:szCs w:val="20"/>
        </w:rPr>
      </w:pPr>
      <w:r w:rsidRPr="003A44F8">
        <w:rPr>
          <w:rFonts w:ascii="Arial Narrow" w:hAnsi="Arial Narrow"/>
          <w:noProof/>
          <w:sz w:val="20"/>
          <w:szCs w:val="20"/>
          <w:lang w:eastAsia="en-AU"/>
        </w:rPr>
        <w:drawing>
          <wp:inline distT="0" distB="0" distL="0" distR="0" wp14:anchorId="1CF02455" wp14:editId="43AE9789">
            <wp:extent cx="5732145" cy="2323589"/>
            <wp:effectExtent l="0" t="0" r="0" b="635"/>
            <wp:docPr id="14" name="Picture 14" title="Figure 3: Structure of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2145" cy="2323589"/>
                    </a:xfrm>
                    <a:prstGeom prst="rect">
                      <a:avLst/>
                    </a:prstGeom>
                    <a:noFill/>
                  </pic:spPr>
                </pic:pic>
              </a:graphicData>
            </a:graphic>
          </wp:inline>
        </w:drawing>
      </w:r>
    </w:p>
    <w:p w14:paraId="760D87E3" w14:textId="77777777" w:rsidR="003D5DD8" w:rsidRPr="0012625D" w:rsidRDefault="003D5DD8" w:rsidP="003D5DD8">
      <w:pPr>
        <w:keepNext/>
        <w:keepLines/>
        <w:rPr>
          <w:rFonts w:ascii="Arial Narrow" w:hAnsi="Arial Narrow"/>
          <w:sz w:val="18"/>
          <w:szCs w:val="18"/>
        </w:rPr>
      </w:pPr>
      <w:r w:rsidRPr="0012625D">
        <w:rPr>
          <w:rFonts w:ascii="Arial Narrow" w:hAnsi="Arial Narrow"/>
          <w:sz w:val="18"/>
          <w:szCs w:val="18"/>
        </w:rPr>
        <w:t>Source: Figure 3.1, p201 of the submission</w:t>
      </w:r>
    </w:p>
    <w:p w14:paraId="0022F3CC" w14:textId="77777777" w:rsidR="003D5DD8" w:rsidRDefault="003D5DD8" w:rsidP="003D5DD8">
      <w:pPr>
        <w:pStyle w:val="ListParagraph"/>
        <w:widowControl/>
      </w:pPr>
    </w:p>
    <w:p w14:paraId="57EF94FA" w14:textId="77777777" w:rsidR="00E532A9" w:rsidRPr="003A44F8" w:rsidRDefault="00E532A9" w:rsidP="00E532A9">
      <w:pPr>
        <w:pStyle w:val="ListParagraph"/>
        <w:numPr>
          <w:ilvl w:val="1"/>
          <w:numId w:val="2"/>
        </w:numPr>
        <w:spacing w:after="0"/>
      </w:pPr>
      <w:r>
        <w:lastRenderedPageBreak/>
        <w:t>T</w:t>
      </w:r>
      <w:r w:rsidRPr="003A44F8">
        <w:t xml:space="preserve">he health states used in the economic model were determined by the scores from the </w:t>
      </w:r>
      <w:r w:rsidRPr="00D15F79">
        <w:t xml:space="preserve">motor function measure 32 </w:t>
      </w:r>
      <w:r>
        <w:t>(</w:t>
      </w:r>
      <w:r w:rsidRPr="003A44F8">
        <w:t>MFM32</w:t>
      </w:r>
      <w:r>
        <w:t>)</w:t>
      </w:r>
      <w:r w:rsidRPr="003A44F8">
        <w:t xml:space="preserve"> or </w:t>
      </w:r>
      <w:r w:rsidRPr="00D15F79">
        <w:t xml:space="preserve">Hammersmith functional motor scale expanded </w:t>
      </w:r>
      <w:r>
        <w:t>(</w:t>
      </w:r>
      <w:r w:rsidRPr="003A44F8">
        <w:t>HFMSE</w:t>
      </w:r>
      <w:r>
        <w:t>)</w:t>
      </w:r>
      <w:r w:rsidRPr="003A44F8">
        <w:t xml:space="preserve"> in SUNFISH Part</w:t>
      </w:r>
      <w:r>
        <w:t> </w:t>
      </w:r>
      <w:r w:rsidRPr="003A44F8">
        <w:t>2, based on the following:</w:t>
      </w:r>
    </w:p>
    <w:p w14:paraId="1D3319AF" w14:textId="77777777" w:rsidR="00E532A9" w:rsidRPr="003A44F8" w:rsidRDefault="00E532A9" w:rsidP="00E532A9">
      <w:pPr>
        <w:numPr>
          <w:ilvl w:val="0"/>
          <w:numId w:val="1"/>
        </w:numPr>
        <w:ind w:left="1134"/>
      </w:pPr>
      <w:r w:rsidRPr="003A44F8">
        <w:t>Not sitting – MFM32 Item 9 score = 0</w:t>
      </w:r>
    </w:p>
    <w:p w14:paraId="4C6D0ECA" w14:textId="77777777" w:rsidR="00E532A9" w:rsidRPr="003A44F8" w:rsidRDefault="00E532A9" w:rsidP="00E532A9">
      <w:pPr>
        <w:numPr>
          <w:ilvl w:val="0"/>
          <w:numId w:val="1"/>
        </w:numPr>
        <w:ind w:left="1134"/>
      </w:pPr>
      <w:r w:rsidRPr="003A44F8">
        <w:t>Sitting supported – MFM32 item 9 score = 1</w:t>
      </w:r>
    </w:p>
    <w:p w14:paraId="0EDD286A" w14:textId="77777777" w:rsidR="00E532A9" w:rsidRPr="003A44F8" w:rsidRDefault="00E532A9" w:rsidP="00E532A9">
      <w:pPr>
        <w:numPr>
          <w:ilvl w:val="0"/>
          <w:numId w:val="1"/>
        </w:numPr>
        <w:ind w:left="1134"/>
      </w:pPr>
      <w:r w:rsidRPr="003A44F8">
        <w:t>Sitting unsupported – MFM32 item 9 score = 2 or 3</w:t>
      </w:r>
    </w:p>
    <w:p w14:paraId="5564137E" w14:textId="77777777" w:rsidR="00E532A9" w:rsidRPr="003A44F8" w:rsidRDefault="00E532A9" w:rsidP="00E532A9">
      <w:pPr>
        <w:numPr>
          <w:ilvl w:val="0"/>
          <w:numId w:val="1"/>
        </w:numPr>
        <w:ind w:left="1134"/>
      </w:pPr>
      <w:r w:rsidRPr="003A44F8">
        <w:t>Standing – MFM32 item 25 score = 1-3</w:t>
      </w:r>
    </w:p>
    <w:p w14:paraId="7B4CB052" w14:textId="77777777" w:rsidR="00E532A9" w:rsidRPr="003A44F8" w:rsidRDefault="00E532A9" w:rsidP="00E532A9">
      <w:pPr>
        <w:numPr>
          <w:ilvl w:val="0"/>
          <w:numId w:val="1"/>
        </w:numPr>
        <w:spacing w:after="160"/>
        <w:ind w:left="1134" w:hanging="357"/>
      </w:pPr>
      <w:r w:rsidRPr="003A44F8">
        <w:t>Walking – HFSME form – highest level of independent mobility (item unknown)</w:t>
      </w:r>
    </w:p>
    <w:p w14:paraId="48153B0A" w14:textId="77777777" w:rsidR="00E532A9" w:rsidRPr="003A44F8" w:rsidRDefault="0038515C" w:rsidP="009D10E5">
      <w:pPr>
        <w:pStyle w:val="ListParagraph"/>
        <w:widowControl/>
        <w:numPr>
          <w:ilvl w:val="1"/>
          <w:numId w:val="2"/>
        </w:numPr>
      </w:pPr>
      <w:r w:rsidRPr="00831A0A">
        <w:t xml:space="preserve">A continuous time multi state model (MSM) using raw data from the </w:t>
      </w:r>
      <w:r w:rsidRPr="00831A0A">
        <w:rPr>
          <w:rFonts w:cs="Calibri"/>
        </w:rPr>
        <w:t>≥</w:t>
      </w:r>
      <w:r w:rsidRPr="00831A0A">
        <w:t xml:space="preserve">12 year old subgroup in SUNFISH Part 2 was used by the submission to calculate the probability of moving between health states each cycle (month). </w:t>
      </w:r>
    </w:p>
    <w:p w14:paraId="7186D535" w14:textId="77777777" w:rsidR="003D5DD8" w:rsidRPr="00831A0A" w:rsidRDefault="003D5DD8" w:rsidP="003D5DD8">
      <w:pPr>
        <w:pStyle w:val="ListParagraph"/>
        <w:widowControl/>
        <w:numPr>
          <w:ilvl w:val="1"/>
          <w:numId w:val="2"/>
        </w:numPr>
      </w:pPr>
      <w:r w:rsidRPr="003D5DD8">
        <w:t>Patients</w:t>
      </w:r>
      <w:r w:rsidR="00BC777E">
        <w:t xml:space="preserve"> </w:t>
      </w:r>
      <w:r w:rsidRPr="003D5DD8">
        <w:t>start</w:t>
      </w:r>
      <w:r w:rsidR="00BC777E">
        <w:t>ed</w:t>
      </w:r>
      <w:r w:rsidRPr="003D5DD8">
        <w:t xml:space="preserve"> in any health state except non-sitting, based on the baseline distribution of MFM32 scores of the subgroup of patients aged ≥12 </w:t>
      </w:r>
      <w:r w:rsidR="00AF36C4">
        <w:t xml:space="preserve">years </w:t>
      </w:r>
      <w:r w:rsidRPr="003D5DD8">
        <w:t xml:space="preserve">in SUNFISH. </w:t>
      </w:r>
      <w:r w:rsidRPr="00831A0A">
        <w:t xml:space="preserve">In each monthly cycle, patients </w:t>
      </w:r>
      <w:r w:rsidR="00BC777E" w:rsidRPr="00831A0A">
        <w:t xml:space="preserve">could </w:t>
      </w:r>
      <w:r w:rsidRPr="00831A0A">
        <w:t xml:space="preserve">die (based on pooling of six natural history studies for SMA Type 2 and Australian lifetables for SMA Type </w:t>
      </w:r>
      <w:r w:rsidR="00BC777E" w:rsidRPr="00831A0A">
        <w:t>3) and if they survive</w:t>
      </w:r>
      <w:r w:rsidR="0012625D" w:rsidRPr="00831A0A">
        <w:t>d</w:t>
      </w:r>
      <w:r w:rsidR="00BC777E" w:rsidRPr="00831A0A">
        <w:t>, they could</w:t>
      </w:r>
      <w:r w:rsidRPr="00831A0A">
        <w:t xml:space="preserve"> improve, worsen or remain in the same health state based on probabilities estimated by a continuous time multi-state model (MSM) fitted to data from SUNFISH.</w:t>
      </w:r>
      <w:r w:rsidR="00190EA3" w:rsidRPr="00831A0A">
        <w:t xml:space="preserve"> The </w:t>
      </w:r>
      <w:r w:rsidR="00E71B69" w:rsidRPr="007B3DA4">
        <w:t xml:space="preserve">ESC noted that the </w:t>
      </w:r>
      <w:r w:rsidR="00190EA3" w:rsidRPr="00831A0A">
        <w:t>probability</w:t>
      </w:r>
      <w:r w:rsidR="00BC777E" w:rsidRPr="00831A0A">
        <w:t xml:space="preserve"> of death wa</w:t>
      </w:r>
      <w:r w:rsidR="00190EA3" w:rsidRPr="00831A0A">
        <w:t>s the same in both treatment arms in the model, but the transition probabilit</w:t>
      </w:r>
      <w:r w:rsidR="00682BB2">
        <w:t>ies</w:t>
      </w:r>
      <w:r w:rsidR="00190EA3" w:rsidRPr="00831A0A">
        <w:t xml:space="preserve"> between other health states were dependent on the treatment arm. </w:t>
      </w:r>
    </w:p>
    <w:p w14:paraId="5CAE45A4" w14:textId="77777777" w:rsidR="00190EA3" w:rsidRPr="00831A0A" w:rsidRDefault="00190EA3" w:rsidP="00190EA3">
      <w:pPr>
        <w:pStyle w:val="ListParagraph"/>
        <w:widowControl/>
        <w:numPr>
          <w:ilvl w:val="1"/>
          <w:numId w:val="2"/>
        </w:numPr>
      </w:pPr>
      <w:r w:rsidRPr="00831A0A">
        <w:t>Patients in the risdiplam arm were assumed to remain on risdiplam until death in the base case, and accrue</w:t>
      </w:r>
      <w:r w:rsidR="00BC777E" w:rsidRPr="00831A0A">
        <w:t>d</w:t>
      </w:r>
      <w:r w:rsidRPr="00831A0A">
        <w:t xml:space="preserve"> the related drug costs each cycle. Patients in the BSC arm d</w:t>
      </w:r>
      <w:r w:rsidR="0012625D" w:rsidRPr="00831A0A">
        <w:t>id</w:t>
      </w:r>
      <w:r w:rsidRPr="00831A0A">
        <w:t xml:space="preserve"> not receive any intervention costs, but there were costs associated with each health state that were derived from a combination of a UK burden of illness conducted by the Sponsor and Chambers 2020.  </w:t>
      </w:r>
    </w:p>
    <w:p w14:paraId="24B29A4B" w14:textId="77777777" w:rsidR="00D2708A" w:rsidRPr="00831A0A" w:rsidRDefault="00312FEB" w:rsidP="00D2708A">
      <w:pPr>
        <w:pStyle w:val="ListParagraph"/>
        <w:widowControl/>
        <w:numPr>
          <w:ilvl w:val="1"/>
          <w:numId w:val="2"/>
        </w:numPr>
      </w:pPr>
      <w:r>
        <w:t>T</w:t>
      </w:r>
      <w:r w:rsidR="00D2708A" w:rsidRPr="00831A0A">
        <w:t xml:space="preserve">here were no patients who started in the ‘not sitting’ health state in either the placebo or risdiplam arm, and only </w:t>
      </w:r>
      <w:r w:rsidR="00B802D1" w:rsidRPr="00831A0A">
        <w:t>one</w:t>
      </w:r>
      <w:r w:rsidR="00D2708A" w:rsidRPr="00831A0A">
        <w:t xml:space="preserve"> patient in the ‘standing’ health state in the risdiplam arm who did not transition to any state, so the reliability of the MSM for any probabilities from the </w:t>
      </w:r>
      <w:r w:rsidR="00B802D1" w:rsidRPr="00831A0A">
        <w:t>‘</w:t>
      </w:r>
      <w:r w:rsidR="00D2708A" w:rsidRPr="00831A0A">
        <w:t>not sitting</w:t>
      </w:r>
      <w:r w:rsidR="00B802D1" w:rsidRPr="00831A0A">
        <w:t>’</w:t>
      </w:r>
      <w:r w:rsidR="00D2708A" w:rsidRPr="00831A0A">
        <w:t xml:space="preserve"> or </w:t>
      </w:r>
      <w:r w:rsidR="00B802D1" w:rsidRPr="00831A0A">
        <w:t>‘</w:t>
      </w:r>
      <w:r w:rsidR="00D2708A" w:rsidRPr="00831A0A">
        <w:t>standing</w:t>
      </w:r>
      <w:r w:rsidR="00B802D1" w:rsidRPr="00831A0A">
        <w:t>’</w:t>
      </w:r>
      <w:r w:rsidR="00D2708A" w:rsidRPr="00831A0A">
        <w:t xml:space="preserve"> health states were highly uncertain. Additionally, there were </w:t>
      </w:r>
      <w:r w:rsidR="00B952C1" w:rsidRPr="00831A0A">
        <w:t xml:space="preserve">very </w:t>
      </w:r>
      <w:r w:rsidR="00D2708A" w:rsidRPr="00831A0A">
        <w:t>few patients to inform the MSM to begin with, adding more uncertainty. None of the transition intensity hazard ratios for risdiplam v</w:t>
      </w:r>
      <w:r w:rsidR="00B802D1" w:rsidRPr="00831A0A">
        <w:t>ersu</w:t>
      </w:r>
      <w:r w:rsidR="00D2708A" w:rsidRPr="00831A0A">
        <w:t>s placebo were statistically significantly different (</w:t>
      </w:r>
      <w:r w:rsidR="00A01163">
        <w:t>consistent with</w:t>
      </w:r>
      <w:r w:rsidR="00D2708A" w:rsidRPr="00831A0A">
        <w:t xml:space="preserve"> the clinical evidence described in </w:t>
      </w:r>
      <w:r w:rsidR="00B802D1" w:rsidRPr="00831A0A">
        <w:t>T</w:t>
      </w:r>
      <w:r w:rsidR="00D2708A" w:rsidRPr="00831A0A">
        <w:t xml:space="preserve">able 11), therefore it may </w:t>
      </w:r>
      <w:r w:rsidR="00B802D1" w:rsidRPr="00831A0A">
        <w:t xml:space="preserve">not </w:t>
      </w:r>
      <w:r w:rsidR="00D2708A" w:rsidRPr="00831A0A">
        <w:t xml:space="preserve">have been appropriate to have assumed any differences for transition between health states between the two treatment arms. </w:t>
      </w:r>
    </w:p>
    <w:p w14:paraId="72D5F06E" w14:textId="77777777" w:rsidR="00405BE8" w:rsidRPr="00831A0A" w:rsidRDefault="00A01163" w:rsidP="004422FA">
      <w:pPr>
        <w:pStyle w:val="ListParagraph"/>
        <w:widowControl/>
        <w:numPr>
          <w:ilvl w:val="1"/>
          <w:numId w:val="2"/>
        </w:numPr>
      </w:pPr>
      <w:r>
        <w:t>T</w:t>
      </w:r>
      <w:r w:rsidR="00D2708A" w:rsidRPr="00831A0A">
        <w:t xml:space="preserve">he </w:t>
      </w:r>
      <w:r w:rsidR="00E71B69" w:rsidRPr="007B3DA4">
        <w:t xml:space="preserve">ESC noted that the </w:t>
      </w:r>
      <w:r w:rsidR="00D2708A" w:rsidRPr="00831A0A">
        <w:t>magnitude of difference in transition probabilities between treatment arms was minor (&lt;6% in all transitions, and &lt;2% in most cases), which partly explains the high ICER in the model</w:t>
      </w:r>
      <w:r>
        <w:t>,</w:t>
      </w:r>
      <w:r w:rsidR="00D2708A" w:rsidRPr="00831A0A">
        <w:t xml:space="preserve"> as treatment with risdiplam did not result in significant </w:t>
      </w:r>
      <w:r w:rsidR="00405BE8" w:rsidRPr="00831A0A">
        <w:t xml:space="preserve">improvement </w:t>
      </w:r>
      <w:r w:rsidR="00D2708A" w:rsidRPr="00831A0A">
        <w:t xml:space="preserve">in </w:t>
      </w:r>
      <w:r w:rsidR="00405BE8" w:rsidRPr="00831A0A">
        <w:t xml:space="preserve">patient </w:t>
      </w:r>
      <w:r w:rsidR="00D2708A" w:rsidRPr="00831A0A">
        <w:t>outcome</w:t>
      </w:r>
      <w:r w:rsidR="00B952C1" w:rsidRPr="00831A0A">
        <w:t>s</w:t>
      </w:r>
      <w:r w:rsidR="00D2708A" w:rsidRPr="00831A0A">
        <w:t>, and treatment with risdiplam</w:t>
      </w:r>
      <w:r w:rsidR="00405BE8" w:rsidRPr="00831A0A">
        <w:t xml:space="preserve"> was not always beneficial.</w:t>
      </w:r>
    </w:p>
    <w:p w14:paraId="1475AD37" w14:textId="77777777" w:rsidR="00667BD9" w:rsidRPr="00831A0A" w:rsidRDefault="00667BD9" w:rsidP="00667BD9">
      <w:pPr>
        <w:pStyle w:val="ListParagraph"/>
        <w:widowControl/>
        <w:numPr>
          <w:ilvl w:val="1"/>
          <w:numId w:val="2"/>
        </w:numPr>
      </w:pPr>
      <w:r w:rsidRPr="00831A0A">
        <w:lastRenderedPageBreak/>
        <w:t xml:space="preserve">Health state utilities were informed by results from </w:t>
      </w:r>
      <w:r>
        <w:t xml:space="preserve">the </w:t>
      </w:r>
      <w:r w:rsidRPr="00831A0A">
        <w:t xml:space="preserve">EQ-5D </w:t>
      </w:r>
      <w:r>
        <w:t xml:space="preserve">from </w:t>
      </w:r>
      <w:r w:rsidRPr="00831A0A">
        <w:t xml:space="preserve">SUNFISH Part 1 and 2. Additionally, in the submission’s base case, a carer utility was included which was derived from Baranello 2019, a discrete choice experiment (DCE) of UK caregivers commissioned by the Sponsor. </w:t>
      </w:r>
      <w:r>
        <w:t>T</w:t>
      </w:r>
      <w:r w:rsidRPr="00831A0A">
        <w:t>he</w:t>
      </w:r>
      <w:r w:rsidR="00160F36">
        <w:t xml:space="preserve"> PBAC guidelines v5 (p65) state</w:t>
      </w:r>
      <w:r w:rsidRPr="00831A0A">
        <w:t xml:space="preserve"> that consideration beyond the patient should be presented as a supplementary analysis in addition to the base case, which should include outcomes that are associated with the patient (only). </w:t>
      </w:r>
      <w:r w:rsidRPr="007B3DA4">
        <w:t>The ESC noted that the evaluation appropriately excluded</w:t>
      </w:r>
      <w:r w:rsidRPr="00831A0A">
        <w:t xml:space="preserve"> caregiver utilities in the base case ICERs (unless otherwise specified). Both costs and utility were discounted at 5% per annum, though inappropriately</w:t>
      </w:r>
      <w:r>
        <w:t>,</w:t>
      </w:r>
      <w:r w:rsidRPr="00831A0A">
        <w:t xml:space="preserve"> discounting was applied from cycle 2 onwards as opposed to after the first year of the model. </w:t>
      </w:r>
    </w:p>
    <w:p w14:paraId="0182D733" w14:textId="77777777" w:rsidR="00405BE8" w:rsidRPr="00405BE8" w:rsidRDefault="00405BE8" w:rsidP="004422FA">
      <w:pPr>
        <w:pStyle w:val="ListParagraph"/>
        <w:widowControl/>
        <w:numPr>
          <w:ilvl w:val="1"/>
          <w:numId w:val="2"/>
        </w:numPr>
      </w:pPr>
      <w:r>
        <w:t xml:space="preserve">The submission identified a range of possible utility values which may have informed the economic evaluation. These are presented in </w:t>
      </w:r>
      <w:r w:rsidR="009825B3" w:rsidRPr="009825B3">
        <w:t>Table 13</w:t>
      </w:r>
      <w:r>
        <w:t xml:space="preserve">. </w:t>
      </w:r>
    </w:p>
    <w:p w14:paraId="13866632" w14:textId="77777777" w:rsidR="00405BE8" w:rsidRPr="003A44F8" w:rsidRDefault="002B0201" w:rsidP="002B0201">
      <w:pPr>
        <w:keepNext/>
        <w:keepLines/>
        <w:rPr>
          <w:rFonts w:ascii="Arial Narrow" w:hAnsi="Arial Narrow"/>
          <w:b/>
          <w:sz w:val="20"/>
          <w:szCs w:val="16"/>
        </w:rPr>
      </w:pPr>
      <w:bookmarkStart w:id="41" w:name="_Ref61520211"/>
      <w:r w:rsidRPr="002B0201">
        <w:rPr>
          <w:rFonts w:ascii="Arial Narrow" w:hAnsi="Arial Narrow"/>
          <w:b/>
          <w:sz w:val="20"/>
          <w:szCs w:val="16"/>
        </w:rPr>
        <w:t xml:space="preserve">Table </w:t>
      </w:r>
      <w:r w:rsidR="009825B3">
        <w:rPr>
          <w:rFonts w:ascii="Arial Narrow" w:hAnsi="Arial Narrow"/>
          <w:b/>
          <w:noProof/>
          <w:sz w:val="20"/>
          <w:szCs w:val="16"/>
        </w:rPr>
        <w:t>13</w:t>
      </w:r>
      <w:bookmarkEnd w:id="41"/>
      <w:r w:rsidR="00405BE8" w:rsidRPr="003A44F8">
        <w:rPr>
          <w:rFonts w:ascii="Arial Narrow" w:hAnsi="Arial Narrow"/>
          <w:b/>
          <w:sz w:val="20"/>
          <w:szCs w:val="16"/>
        </w:rPr>
        <w:t>: Utility values used in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113"/>
        <w:gridCol w:w="1551"/>
        <w:gridCol w:w="988"/>
        <w:gridCol w:w="1268"/>
        <w:gridCol w:w="1127"/>
      </w:tblGrid>
      <w:tr w:rsidR="00405BE8" w:rsidRPr="00831A0A" w14:paraId="53C63BA2" w14:textId="77777777" w:rsidTr="00D217A8">
        <w:trPr>
          <w:tblHeader/>
        </w:trPr>
        <w:tc>
          <w:tcPr>
            <w:tcW w:w="1092" w:type="pct"/>
            <w:vMerge w:val="restart"/>
            <w:vAlign w:val="center"/>
          </w:tcPr>
          <w:p w14:paraId="260B3527" w14:textId="77777777" w:rsidR="00405BE8" w:rsidRPr="00831A0A" w:rsidRDefault="00405BE8" w:rsidP="00405BE8">
            <w:pPr>
              <w:keepNext/>
              <w:keepLines/>
              <w:widowControl/>
              <w:jc w:val="left"/>
              <w:rPr>
                <w:rFonts w:ascii="Arial Narrow" w:hAnsi="Arial Narrow" w:cs="Times New Roman"/>
                <w:b/>
                <w:snapToGrid/>
                <w:sz w:val="20"/>
              </w:rPr>
            </w:pPr>
            <w:r w:rsidRPr="00831A0A">
              <w:rPr>
                <w:rFonts w:ascii="Arial Narrow" w:hAnsi="Arial Narrow" w:cs="Times New Roman"/>
                <w:b/>
                <w:snapToGrid/>
                <w:sz w:val="20"/>
              </w:rPr>
              <w:t>Health state</w:t>
            </w:r>
          </w:p>
        </w:tc>
        <w:tc>
          <w:tcPr>
            <w:tcW w:w="1172" w:type="pct"/>
            <w:vAlign w:val="center"/>
          </w:tcPr>
          <w:p w14:paraId="1702E5DC" w14:textId="77777777" w:rsidR="00405BE8" w:rsidRPr="00831A0A" w:rsidRDefault="00405BE8" w:rsidP="00405BE8">
            <w:pPr>
              <w:keepNext/>
              <w:keepLines/>
              <w:widowControl/>
              <w:jc w:val="center"/>
              <w:rPr>
                <w:rFonts w:ascii="Arial Narrow" w:hAnsi="Arial Narrow" w:cs="Times New Roman"/>
                <w:b/>
                <w:snapToGrid/>
                <w:sz w:val="20"/>
              </w:rPr>
            </w:pPr>
            <w:r w:rsidRPr="00831A0A">
              <w:rPr>
                <w:rFonts w:ascii="Arial Narrow" w:hAnsi="Arial Narrow" w:cs="Times New Roman"/>
                <w:b/>
                <w:snapToGrid/>
                <w:sz w:val="20"/>
              </w:rPr>
              <w:t>Base case</w:t>
            </w:r>
          </w:p>
        </w:tc>
        <w:tc>
          <w:tcPr>
            <w:tcW w:w="2736" w:type="pct"/>
            <w:gridSpan w:val="4"/>
            <w:vAlign w:val="center"/>
          </w:tcPr>
          <w:p w14:paraId="6538EC18" w14:textId="77777777" w:rsidR="00405BE8" w:rsidRPr="00831A0A" w:rsidRDefault="00405BE8" w:rsidP="00405BE8">
            <w:pPr>
              <w:keepNext/>
              <w:keepLines/>
              <w:widowControl/>
              <w:jc w:val="center"/>
              <w:rPr>
                <w:rFonts w:ascii="Arial Narrow" w:hAnsi="Arial Narrow" w:cs="Times New Roman"/>
                <w:b/>
                <w:snapToGrid/>
                <w:sz w:val="20"/>
              </w:rPr>
            </w:pPr>
            <w:r w:rsidRPr="00831A0A">
              <w:rPr>
                <w:rFonts w:ascii="Arial Narrow" w:hAnsi="Arial Narrow" w:cs="Times New Roman"/>
                <w:b/>
                <w:snapToGrid/>
                <w:sz w:val="20"/>
              </w:rPr>
              <w:t>Alternative sources of utility</w:t>
            </w:r>
          </w:p>
        </w:tc>
      </w:tr>
      <w:tr w:rsidR="00405BE8" w:rsidRPr="00831A0A" w14:paraId="4355F682" w14:textId="77777777" w:rsidTr="00D217A8">
        <w:trPr>
          <w:tblHeader/>
        </w:trPr>
        <w:tc>
          <w:tcPr>
            <w:tcW w:w="1092" w:type="pct"/>
            <w:vMerge/>
            <w:vAlign w:val="center"/>
          </w:tcPr>
          <w:p w14:paraId="76EA8F03" w14:textId="77777777" w:rsidR="00405BE8" w:rsidRPr="00831A0A" w:rsidRDefault="00405BE8" w:rsidP="00405BE8">
            <w:pPr>
              <w:keepNext/>
              <w:keepLines/>
              <w:widowControl/>
              <w:jc w:val="left"/>
              <w:rPr>
                <w:rFonts w:ascii="Arial Narrow" w:hAnsi="Arial Narrow" w:cs="Times New Roman"/>
                <w:snapToGrid/>
                <w:sz w:val="20"/>
              </w:rPr>
            </w:pPr>
          </w:p>
        </w:tc>
        <w:tc>
          <w:tcPr>
            <w:tcW w:w="1172" w:type="pct"/>
            <w:vAlign w:val="center"/>
          </w:tcPr>
          <w:p w14:paraId="1F7D6C24" w14:textId="77777777" w:rsidR="00405BE8" w:rsidRPr="00831A0A" w:rsidRDefault="00405BE8" w:rsidP="00405BE8">
            <w:pPr>
              <w:keepNext/>
              <w:keepLines/>
              <w:widowControl/>
              <w:jc w:val="left"/>
              <w:rPr>
                <w:rFonts w:ascii="Arial Narrow" w:hAnsi="Arial Narrow" w:cs="Times New Roman"/>
                <w:snapToGrid/>
                <w:sz w:val="20"/>
              </w:rPr>
            </w:pPr>
            <w:r w:rsidRPr="00831A0A">
              <w:rPr>
                <w:rFonts w:ascii="Arial Narrow" w:hAnsi="Arial Narrow" w:cs="Times New Roman"/>
                <w:snapToGrid/>
                <w:sz w:val="20"/>
              </w:rPr>
              <w:t xml:space="preserve">SUNFISH Part 1 and 2 pooled EQ-5D AU tariff </w:t>
            </w:r>
            <w:r w:rsidRPr="00831A0A">
              <w:rPr>
                <w:rFonts w:ascii="Arial Narrow" w:hAnsi="Arial Narrow" w:cs="Times New Roman"/>
                <w:snapToGrid/>
                <w:sz w:val="20"/>
                <w:vertAlign w:val="superscript"/>
              </w:rPr>
              <w:t>a</w:t>
            </w:r>
          </w:p>
        </w:tc>
        <w:tc>
          <w:tcPr>
            <w:tcW w:w="860" w:type="pct"/>
            <w:vAlign w:val="center"/>
          </w:tcPr>
          <w:p w14:paraId="29AA52E8" w14:textId="77777777" w:rsidR="00405BE8" w:rsidRPr="00831A0A" w:rsidRDefault="00405BE8" w:rsidP="00405BE8">
            <w:pPr>
              <w:keepNext/>
              <w:keepLines/>
              <w:widowControl/>
              <w:jc w:val="left"/>
              <w:rPr>
                <w:rFonts w:ascii="Arial Narrow" w:hAnsi="Arial Narrow" w:cs="Times New Roman"/>
                <w:snapToGrid/>
                <w:sz w:val="20"/>
                <w:vertAlign w:val="superscript"/>
              </w:rPr>
            </w:pPr>
            <w:r w:rsidRPr="00831A0A">
              <w:rPr>
                <w:rFonts w:ascii="Arial Narrow" w:hAnsi="Arial Narrow" w:cs="Times New Roman"/>
                <w:snapToGrid/>
                <w:sz w:val="20"/>
              </w:rPr>
              <w:t xml:space="preserve">SUNFISH part 2 EQ-5D AU tariff </w:t>
            </w:r>
            <w:r w:rsidRPr="00831A0A">
              <w:rPr>
                <w:rFonts w:ascii="Arial Narrow" w:hAnsi="Arial Narrow" w:cs="Times New Roman"/>
                <w:snapToGrid/>
                <w:sz w:val="20"/>
                <w:vertAlign w:val="superscript"/>
              </w:rPr>
              <w:t>a</w:t>
            </w:r>
          </w:p>
        </w:tc>
        <w:tc>
          <w:tcPr>
            <w:tcW w:w="548" w:type="pct"/>
            <w:vAlign w:val="center"/>
          </w:tcPr>
          <w:p w14:paraId="063B601B"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Lloyd 2019</w:t>
            </w:r>
          </w:p>
        </w:tc>
        <w:tc>
          <w:tcPr>
            <w:tcW w:w="703" w:type="pct"/>
            <w:vAlign w:val="center"/>
          </w:tcPr>
          <w:p w14:paraId="2EE2ACC6"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NICE ERG TA588</w:t>
            </w:r>
          </w:p>
        </w:tc>
        <w:tc>
          <w:tcPr>
            <w:tcW w:w="625" w:type="pct"/>
            <w:vAlign w:val="center"/>
          </w:tcPr>
          <w:p w14:paraId="490AEDEA"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HUI NatHis data</w:t>
            </w:r>
          </w:p>
        </w:tc>
      </w:tr>
      <w:tr w:rsidR="00405BE8" w:rsidRPr="00831A0A" w14:paraId="67C838E4" w14:textId="77777777" w:rsidTr="00D217A8">
        <w:tc>
          <w:tcPr>
            <w:tcW w:w="1092" w:type="pct"/>
            <w:vAlign w:val="center"/>
          </w:tcPr>
          <w:p w14:paraId="53DEC486" w14:textId="77777777" w:rsidR="00405BE8" w:rsidRPr="00831A0A" w:rsidRDefault="00405BE8" w:rsidP="00405BE8">
            <w:pPr>
              <w:keepNext/>
              <w:keepLines/>
              <w:widowControl/>
              <w:jc w:val="left"/>
              <w:rPr>
                <w:rFonts w:ascii="Arial Narrow" w:hAnsi="Arial Narrow" w:cs="Times New Roman"/>
                <w:snapToGrid/>
                <w:sz w:val="20"/>
              </w:rPr>
            </w:pPr>
            <w:r w:rsidRPr="00831A0A">
              <w:rPr>
                <w:rFonts w:ascii="Arial Narrow" w:hAnsi="Arial Narrow" w:cs="Times New Roman"/>
                <w:snapToGrid/>
                <w:sz w:val="20"/>
              </w:rPr>
              <w:t>Not sitting</w:t>
            </w:r>
          </w:p>
        </w:tc>
        <w:tc>
          <w:tcPr>
            <w:tcW w:w="1172" w:type="pct"/>
            <w:shd w:val="clear" w:color="auto" w:fill="D9D9D9" w:themeFill="background1" w:themeFillShade="D9"/>
            <w:vAlign w:val="center"/>
          </w:tcPr>
          <w:p w14:paraId="242626B7" w14:textId="77777777" w:rsidR="00405BE8" w:rsidRPr="00831A0A" w:rsidRDefault="00405BE8" w:rsidP="00405BE8">
            <w:pPr>
              <w:keepNext/>
              <w:keepLines/>
              <w:widowControl/>
              <w:jc w:val="center"/>
              <w:rPr>
                <w:rFonts w:ascii="Arial Narrow" w:hAnsi="Arial Narrow" w:cs="Times New Roman"/>
                <w:snapToGrid/>
                <w:sz w:val="20"/>
                <w:vertAlign w:val="superscript"/>
              </w:rPr>
            </w:pPr>
            <w:r w:rsidRPr="00831A0A">
              <w:rPr>
                <w:rFonts w:ascii="Arial Narrow" w:hAnsi="Arial Narrow" w:cs="Times New Roman"/>
                <w:snapToGrid/>
                <w:sz w:val="20"/>
              </w:rPr>
              <w:t xml:space="preserve">0.273 </w:t>
            </w:r>
            <w:r w:rsidRPr="00831A0A">
              <w:rPr>
                <w:rFonts w:ascii="Arial Narrow" w:hAnsi="Arial Narrow" w:cs="Times New Roman"/>
                <w:snapToGrid/>
                <w:sz w:val="20"/>
                <w:vertAlign w:val="superscript"/>
              </w:rPr>
              <w:t>b</w:t>
            </w:r>
          </w:p>
        </w:tc>
        <w:tc>
          <w:tcPr>
            <w:tcW w:w="860" w:type="pct"/>
            <w:vAlign w:val="center"/>
          </w:tcPr>
          <w:p w14:paraId="66A812BE" w14:textId="77777777" w:rsidR="00405BE8" w:rsidRPr="00831A0A" w:rsidRDefault="00405BE8" w:rsidP="00405BE8">
            <w:pPr>
              <w:keepNext/>
              <w:keepLines/>
              <w:widowControl/>
              <w:jc w:val="center"/>
              <w:rPr>
                <w:rFonts w:ascii="Arial Narrow" w:hAnsi="Arial Narrow" w:cs="Times New Roman"/>
                <w:snapToGrid/>
                <w:sz w:val="20"/>
                <w:vertAlign w:val="superscript"/>
              </w:rPr>
            </w:pPr>
            <w:r w:rsidRPr="00831A0A">
              <w:rPr>
                <w:rFonts w:ascii="Arial Narrow" w:hAnsi="Arial Narrow" w:cs="Times New Roman"/>
                <w:snapToGrid/>
                <w:sz w:val="20"/>
              </w:rPr>
              <w:t xml:space="preserve">0.302 </w:t>
            </w:r>
            <w:r w:rsidRPr="00831A0A">
              <w:rPr>
                <w:rFonts w:ascii="Arial Narrow" w:hAnsi="Arial Narrow" w:cs="Times New Roman"/>
                <w:snapToGrid/>
                <w:sz w:val="20"/>
                <w:vertAlign w:val="superscript"/>
              </w:rPr>
              <w:t>b</w:t>
            </w:r>
          </w:p>
        </w:tc>
        <w:tc>
          <w:tcPr>
            <w:tcW w:w="548" w:type="pct"/>
            <w:vAlign w:val="center"/>
          </w:tcPr>
          <w:p w14:paraId="58E4022D"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0.080</w:t>
            </w:r>
          </w:p>
        </w:tc>
        <w:tc>
          <w:tcPr>
            <w:tcW w:w="703" w:type="pct"/>
            <w:vAlign w:val="center"/>
          </w:tcPr>
          <w:p w14:paraId="3E345B8E"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0.040</w:t>
            </w:r>
          </w:p>
        </w:tc>
        <w:tc>
          <w:tcPr>
            <w:tcW w:w="625" w:type="pct"/>
            <w:vAlign w:val="center"/>
          </w:tcPr>
          <w:p w14:paraId="79A91CF1"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0.4877</w:t>
            </w:r>
          </w:p>
        </w:tc>
      </w:tr>
      <w:tr w:rsidR="00405BE8" w:rsidRPr="00831A0A" w14:paraId="73034DD9" w14:textId="77777777" w:rsidTr="00D217A8">
        <w:tc>
          <w:tcPr>
            <w:tcW w:w="1092" w:type="pct"/>
            <w:vAlign w:val="center"/>
          </w:tcPr>
          <w:p w14:paraId="073B8009" w14:textId="77777777" w:rsidR="00405BE8" w:rsidRPr="00831A0A" w:rsidRDefault="00405BE8" w:rsidP="00405BE8">
            <w:pPr>
              <w:keepNext/>
              <w:keepLines/>
              <w:widowControl/>
              <w:jc w:val="left"/>
              <w:rPr>
                <w:rFonts w:ascii="Arial Narrow" w:hAnsi="Arial Narrow" w:cs="Times New Roman"/>
                <w:snapToGrid/>
                <w:sz w:val="20"/>
              </w:rPr>
            </w:pPr>
            <w:r w:rsidRPr="00831A0A">
              <w:rPr>
                <w:rFonts w:ascii="Arial Narrow" w:hAnsi="Arial Narrow" w:cs="Times New Roman"/>
                <w:snapToGrid/>
                <w:sz w:val="20"/>
              </w:rPr>
              <w:t>Sitting (supported)</w:t>
            </w:r>
          </w:p>
        </w:tc>
        <w:tc>
          <w:tcPr>
            <w:tcW w:w="1172" w:type="pct"/>
            <w:shd w:val="clear" w:color="auto" w:fill="D9D9D9" w:themeFill="background1" w:themeFillShade="D9"/>
            <w:vAlign w:val="center"/>
          </w:tcPr>
          <w:p w14:paraId="10ABA0C1" w14:textId="77777777" w:rsidR="00405BE8" w:rsidRPr="00831A0A" w:rsidRDefault="00405BE8" w:rsidP="00405BE8">
            <w:pPr>
              <w:keepNext/>
              <w:keepLines/>
              <w:widowControl/>
              <w:jc w:val="center"/>
              <w:rPr>
                <w:rFonts w:ascii="Arial Narrow" w:hAnsi="Arial Narrow" w:cs="Times New Roman"/>
                <w:snapToGrid/>
                <w:sz w:val="20"/>
                <w:vertAlign w:val="superscript"/>
              </w:rPr>
            </w:pPr>
            <w:r w:rsidRPr="00831A0A">
              <w:rPr>
                <w:rFonts w:ascii="Arial Narrow" w:hAnsi="Arial Narrow" w:cs="Times New Roman"/>
                <w:snapToGrid/>
                <w:sz w:val="20"/>
              </w:rPr>
              <w:t xml:space="preserve">0.273 </w:t>
            </w:r>
            <w:r w:rsidRPr="00831A0A">
              <w:rPr>
                <w:rFonts w:ascii="Arial Narrow" w:hAnsi="Arial Narrow" w:cs="Times New Roman"/>
                <w:snapToGrid/>
                <w:sz w:val="20"/>
                <w:vertAlign w:val="superscript"/>
              </w:rPr>
              <w:t>b</w:t>
            </w:r>
          </w:p>
        </w:tc>
        <w:tc>
          <w:tcPr>
            <w:tcW w:w="860" w:type="pct"/>
            <w:vAlign w:val="center"/>
          </w:tcPr>
          <w:p w14:paraId="2342CA88" w14:textId="77777777" w:rsidR="00405BE8" w:rsidRPr="00831A0A" w:rsidRDefault="00405BE8" w:rsidP="00405BE8">
            <w:pPr>
              <w:keepNext/>
              <w:keepLines/>
              <w:widowControl/>
              <w:jc w:val="center"/>
              <w:rPr>
                <w:rFonts w:ascii="Arial Narrow" w:hAnsi="Arial Narrow" w:cs="Times New Roman"/>
                <w:snapToGrid/>
                <w:sz w:val="20"/>
                <w:vertAlign w:val="superscript"/>
              </w:rPr>
            </w:pPr>
            <w:r w:rsidRPr="00831A0A">
              <w:rPr>
                <w:rFonts w:ascii="Arial Narrow" w:hAnsi="Arial Narrow" w:cs="Times New Roman"/>
                <w:snapToGrid/>
                <w:sz w:val="20"/>
              </w:rPr>
              <w:t xml:space="preserve">0.302 </w:t>
            </w:r>
            <w:r w:rsidRPr="00831A0A">
              <w:rPr>
                <w:rFonts w:ascii="Arial Narrow" w:hAnsi="Arial Narrow" w:cs="Times New Roman"/>
                <w:snapToGrid/>
                <w:sz w:val="20"/>
                <w:vertAlign w:val="superscript"/>
              </w:rPr>
              <w:t>b</w:t>
            </w:r>
          </w:p>
        </w:tc>
        <w:tc>
          <w:tcPr>
            <w:tcW w:w="548" w:type="pct"/>
            <w:vAlign w:val="center"/>
          </w:tcPr>
          <w:p w14:paraId="546082A5"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0.080</w:t>
            </w:r>
          </w:p>
        </w:tc>
        <w:tc>
          <w:tcPr>
            <w:tcW w:w="703" w:type="pct"/>
            <w:vAlign w:val="center"/>
          </w:tcPr>
          <w:p w14:paraId="1580D979"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0.040</w:t>
            </w:r>
          </w:p>
        </w:tc>
        <w:tc>
          <w:tcPr>
            <w:tcW w:w="625" w:type="pct"/>
            <w:vAlign w:val="center"/>
          </w:tcPr>
          <w:p w14:paraId="0B23AF28"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0.5389</w:t>
            </w:r>
          </w:p>
        </w:tc>
      </w:tr>
      <w:tr w:rsidR="00405BE8" w:rsidRPr="00831A0A" w14:paraId="37BA297F" w14:textId="77777777" w:rsidTr="00D217A8">
        <w:tc>
          <w:tcPr>
            <w:tcW w:w="1092" w:type="pct"/>
            <w:vAlign w:val="center"/>
          </w:tcPr>
          <w:p w14:paraId="60CE6023" w14:textId="77777777" w:rsidR="00405BE8" w:rsidRPr="00831A0A" w:rsidRDefault="00405BE8" w:rsidP="00405BE8">
            <w:pPr>
              <w:keepNext/>
              <w:keepLines/>
              <w:widowControl/>
              <w:jc w:val="left"/>
              <w:rPr>
                <w:rFonts w:ascii="Arial Narrow" w:hAnsi="Arial Narrow" w:cs="Times New Roman"/>
                <w:snapToGrid/>
                <w:sz w:val="20"/>
              </w:rPr>
            </w:pPr>
            <w:r w:rsidRPr="00831A0A">
              <w:rPr>
                <w:rFonts w:ascii="Arial Narrow" w:hAnsi="Arial Narrow" w:cs="Times New Roman"/>
                <w:snapToGrid/>
                <w:sz w:val="20"/>
              </w:rPr>
              <w:t xml:space="preserve">Sitting (unsupported </w:t>
            </w:r>
          </w:p>
        </w:tc>
        <w:tc>
          <w:tcPr>
            <w:tcW w:w="1172" w:type="pct"/>
            <w:shd w:val="clear" w:color="auto" w:fill="D9D9D9" w:themeFill="background1" w:themeFillShade="D9"/>
            <w:vAlign w:val="center"/>
          </w:tcPr>
          <w:p w14:paraId="684B048A"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0.341</w:t>
            </w:r>
          </w:p>
        </w:tc>
        <w:tc>
          <w:tcPr>
            <w:tcW w:w="860" w:type="pct"/>
            <w:vAlign w:val="center"/>
          </w:tcPr>
          <w:p w14:paraId="20FA1C91"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0.358</w:t>
            </w:r>
          </w:p>
        </w:tc>
        <w:tc>
          <w:tcPr>
            <w:tcW w:w="548" w:type="pct"/>
            <w:vAlign w:val="center"/>
          </w:tcPr>
          <w:p w14:paraId="3626B8DF"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0.140</w:t>
            </w:r>
          </w:p>
        </w:tc>
        <w:tc>
          <w:tcPr>
            <w:tcW w:w="703" w:type="pct"/>
            <w:vAlign w:val="center"/>
          </w:tcPr>
          <w:p w14:paraId="068F26D2"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0.100</w:t>
            </w:r>
          </w:p>
        </w:tc>
        <w:tc>
          <w:tcPr>
            <w:tcW w:w="625" w:type="pct"/>
            <w:vAlign w:val="center"/>
          </w:tcPr>
          <w:p w14:paraId="3CD0F7AB"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0.5389</w:t>
            </w:r>
          </w:p>
        </w:tc>
      </w:tr>
      <w:tr w:rsidR="00405BE8" w:rsidRPr="00831A0A" w14:paraId="6A7C668D" w14:textId="77777777" w:rsidTr="00D217A8">
        <w:tc>
          <w:tcPr>
            <w:tcW w:w="1092" w:type="pct"/>
            <w:vAlign w:val="center"/>
          </w:tcPr>
          <w:p w14:paraId="7BD6C6D3" w14:textId="77777777" w:rsidR="00405BE8" w:rsidRPr="00831A0A" w:rsidRDefault="00405BE8" w:rsidP="00405BE8">
            <w:pPr>
              <w:keepNext/>
              <w:keepLines/>
              <w:widowControl/>
              <w:jc w:val="left"/>
              <w:rPr>
                <w:rFonts w:ascii="Arial Narrow" w:hAnsi="Arial Narrow" w:cs="Times New Roman"/>
                <w:snapToGrid/>
                <w:sz w:val="20"/>
              </w:rPr>
            </w:pPr>
            <w:r w:rsidRPr="00831A0A">
              <w:rPr>
                <w:rFonts w:ascii="Arial Narrow" w:hAnsi="Arial Narrow" w:cs="Times New Roman"/>
                <w:snapToGrid/>
                <w:sz w:val="20"/>
              </w:rPr>
              <w:t>Standing</w:t>
            </w:r>
          </w:p>
        </w:tc>
        <w:tc>
          <w:tcPr>
            <w:tcW w:w="1172" w:type="pct"/>
            <w:shd w:val="clear" w:color="auto" w:fill="D9D9D9" w:themeFill="background1" w:themeFillShade="D9"/>
            <w:vAlign w:val="center"/>
          </w:tcPr>
          <w:p w14:paraId="799676BF"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0.427</w:t>
            </w:r>
          </w:p>
        </w:tc>
        <w:tc>
          <w:tcPr>
            <w:tcW w:w="860" w:type="pct"/>
            <w:vAlign w:val="center"/>
          </w:tcPr>
          <w:p w14:paraId="1C568562" w14:textId="77777777" w:rsidR="00405BE8" w:rsidRPr="00831A0A" w:rsidRDefault="00405BE8" w:rsidP="00405BE8">
            <w:pPr>
              <w:keepNext/>
              <w:keepLines/>
              <w:widowControl/>
              <w:jc w:val="center"/>
              <w:rPr>
                <w:rFonts w:ascii="Arial Narrow" w:hAnsi="Arial Narrow" w:cs="Times New Roman"/>
                <w:snapToGrid/>
                <w:sz w:val="20"/>
                <w:vertAlign w:val="superscript"/>
              </w:rPr>
            </w:pPr>
            <w:r w:rsidRPr="00831A0A">
              <w:rPr>
                <w:rFonts w:ascii="Arial Narrow" w:hAnsi="Arial Narrow" w:cs="Times New Roman"/>
                <w:snapToGrid/>
                <w:sz w:val="20"/>
              </w:rPr>
              <w:t xml:space="preserve">0.415 </w:t>
            </w:r>
            <w:r w:rsidRPr="00831A0A">
              <w:rPr>
                <w:rFonts w:ascii="Arial Narrow" w:hAnsi="Arial Narrow" w:cs="Times New Roman"/>
                <w:snapToGrid/>
                <w:sz w:val="20"/>
                <w:vertAlign w:val="superscript"/>
              </w:rPr>
              <w:t>c</w:t>
            </w:r>
          </w:p>
        </w:tc>
        <w:tc>
          <w:tcPr>
            <w:tcW w:w="548" w:type="pct"/>
            <w:vAlign w:val="center"/>
          </w:tcPr>
          <w:p w14:paraId="3E47CE27"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0.390</w:t>
            </w:r>
          </w:p>
        </w:tc>
        <w:tc>
          <w:tcPr>
            <w:tcW w:w="703" w:type="pct"/>
            <w:vAlign w:val="center"/>
          </w:tcPr>
          <w:p w14:paraId="63BC87EE"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0.390</w:t>
            </w:r>
          </w:p>
        </w:tc>
        <w:tc>
          <w:tcPr>
            <w:tcW w:w="625" w:type="pct"/>
            <w:vAlign w:val="center"/>
          </w:tcPr>
          <w:p w14:paraId="52B7A687"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0.5646</w:t>
            </w:r>
          </w:p>
        </w:tc>
      </w:tr>
      <w:tr w:rsidR="00405BE8" w:rsidRPr="00831A0A" w14:paraId="79A8212C" w14:textId="77777777" w:rsidTr="00D217A8">
        <w:tc>
          <w:tcPr>
            <w:tcW w:w="1092" w:type="pct"/>
            <w:vAlign w:val="center"/>
          </w:tcPr>
          <w:p w14:paraId="41772370" w14:textId="77777777" w:rsidR="00405BE8" w:rsidRPr="00831A0A" w:rsidRDefault="00405BE8" w:rsidP="00405BE8">
            <w:pPr>
              <w:keepNext/>
              <w:keepLines/>
              <w:widowControl/>
              <w:jc w:val="left"/>
              <w:rPr>
                <w:rFonts w:ascii="Arial Narrow" w:hAnsi="Arial Narrow" w:cs="Times New Roman"/>
                <w:snapToGrid/>
                <w:sz w:val="20"/>
              </w:rPr>
            </w:pPr>
            <w:r w:rsidRPr="00831A0A">
              <w:rPr>
                <w:rFonts w:ascii="Arial Narrow" w:hAnsi="Arial Narrow" w:cs="Times New Roman"/>
                <w:snapToGrid/>
                <w:sz w:val="20"/>
              </w:rPr>
              <w:t>Walking</w:t>
            </w:r>
          </w:p>
        </w:tc>
        <w:tc>
          <w:tcPr>
            <w:tcW w:w="1172" w:type="pct"/>
            <w:shd w:val="clear" w:color="auto" w:fill="D9D9D9" w:themeFill="background1" w:themeFillShade="D9"/>
            <w:vAlign w:val="center"/>
          </w:tcPr>
          <w:p w14:paraId="12974EF7"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0.493</w:t>
            </w:r>
          </w:p>
        </w:tc>
        <w:tc>
          <w:tcPr>
            <w:tcW w:w="860" w:type="pct"/>
            <w:vAlign w:val="center"/>
          </w:tcPr>
          <w:p w14:paraId="51BD13F3" w14:textId="77777777" w:rsidR="00405BE8" w:rsidRPr="00831A0A" w:rsidRDefault="00405BE8" w:rsidP="00405BE8">
            <w:pPr>
              <w:keepNext/>
              <w:keepLines/>
              <w:widowControl/>
              <w:jc w:val="center"/>
              <w:rPr>
                <w:rFonts w:ascii="Arial Narrow" w:hAnsi="Arial Narrow" w:cs="Times New Roman"/>
                <w:snapToGrid/>
                <w:sz w:val="20"/>
                <w:vertAlign w:val="superscript"/>
              </w:rPr>
            </w:pPr>
            <w:r w:rsidRPr="00831A0A">
              <w:rPr>
                <w:rFonts w:ascii="Arial Narrow" w:hAnsi="Arial Narrow" w:cs="Times New Roman"/>
                <w:snapToGrid/>
                <w:sz w:val="20"/>
              </w:rPr>
              <w:t xml:space="preserve">0.415 </w:t>
            </w:r>
            <w:r w:rsidRPr="00831A0A">
              <w:rPr>
                <w:rFonts w:ascii="Arial Narrow" w:hAnsi="Arial Narrow" w:cs="Times New Roman"/>
                <w:snapToGrid/>
                <w:sz w:val="20"/>
                <w:vertAlign w:val="superscript"/>
              </w:rPr>
              <w:t>c</w:t>
            </w:r>
          </w:p>
        </w:tc>
        <w:tc>
          <w:tcPr>
            <w:tcW w:w="548" w:type="pct"/>
            <w:vAlign w:val="center"/>
          </w:tcPr>
          <w:p w14:paraId="5DB33049"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0.720</w:t>
            </w:r>
          </w:p>
        </w:tc>
        <w:tc>
          <w:tcPr>
            <w:tcW w:w="703" w:type="pct"/>
            <w:vAlign w:val="center"/>
          </w:tcPr>
          <w:p w14:paraId="3E5046A6"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0.720</w:t>
            </w:r>
          </w:p>
        </w:tc>
        <w:tc>
          <w:tcPr>
            <w:tcW w:w="625" w:type="pct"/>
            <w:vAlign w:val="center"/>
          </w:tcPr>
          <w:p w14:paraId="28B317E3" w14:textId="77777777" w:rsidR="00405BE8" w:rsidRPr="00831A0A" w:rsidRDefault="00405BE8" w:rsidP="00405BE8">
            <w:pPr>
              <w:keepNext/>
              <w:keepLines/>
              <w:widowControl/>
              <w:jc w:val="center"/>
              <w:rPr>
                <w:rFonts w:ascii="Arial Narrow" w:hAnsi="Arial Narrow" w:cs="Times New Roman"/>
                <w:snapToGrid/>
                <w:sz w:val="20"/>
              </w:rPr>
            </w:pPr>
            <w:r w:rsidRPr="00831A0A">
              <w:rPr>
                <w:rFonts w:ascii="Arial Narrow" w:hAnsi="Arial Narrow" w:cs="Times New Roman"/>
                <w:snapToGrid/>
                <w:sz w:val="20"/>
              </w:rPr>
              <w:t>0.8373</w:t>
            </w:r>
          </w:p>
        </w:tc>
      </w:tr>
    </w:tbl>
    <w:p w14:paraId="420DA0A7" w14:textId="77777777" w:rsidR="00405BE8" w:rsidRPr="003A44F8" w:rsidRDefault="00405BE8" w:rsidP="00405BE8">
      <w:pPr>
        <w:keepNext/>
        <w:keepLines/>
        <w:rPr>
          <w:rFonts w:ascii="Arial Narrow" w:hAnsi="Arial Narrow"/>
          <w:sz w:val="18"/>
        </w:rPr>
      </w:pPr>
      <w:r w:rsidRPr="003A44F8">
        <w:rPr>
          <w:rFonts w:ascii="Arial Narrow" w:hAnsi="Arial Narrow"/>
          <w:sz w:val="18"/>
          <w:vertAlign w:val="superscript"/>
        </w:rPr>
        <w:t>a</w:t>
      </w:r>
      <w:r w:rsidRPr="003A44F8">
        <w:rPr>
          <w:rFonts w:ascii="Arial Narrow" w:hAnsi="Arial Narrow"/>
          <w:sz w:val="18"/>
        </w:rPr>
        <w:t xml:space="preserve"> Utility from SUNFISH includes health state utility from the trial plus baseline utility which was added to all patients aged &gt;12 years i.e. the whole cohort </w:t>
      </w:r>
    </w:p>
    <w:p w14:paraId="1FD8F053" w14:textId="77777777" w:rsidR="00405BE8" w:rsidRPr="003A44F8" w:rsidRDefault="00405BE8" w:rsidP="00405BE8">
      <w:pPr>
        <w:keepNext/>
        <w:keepLines/>
        <w:rPr>
          <w:rFonts w:ascii="Arial Narrow" w:hAnsi="Arial Narrow"/>
          <w:sz w:val="18"/>
        </w:rPr>
      </w:pPr>
      <w:r w:rsidRPr="003A44F8">
        <w:rPr>
          <w:rFonts w:ascii="Arial Narrow" w:hAnsi="Arial Narrow"/>
          <w:sz w:val="18"/>
          <w:vertAlign w:val="superscript"/>
        </w:rPr>
        <w:t>b</w:t>
      </w:r>
      <w:r w:rsidRPr="003A44F8">
        <w:rPr>
          <w:rFonts w:ascii="Arial Narrow" w:hAnsi="Arial Narrow"/>
          <w:sz w:val="18"/>
        </w:rPr>
        <w:t xml:space="preserve"> Not sitting and sitting supported pooled due to small sample size</w:t>
      </w:r>
    </w:p>
    <w:p w14:paraId="608868D5" w14:textId="77777777" w:rsidR="00405BE8" w:rsidRPr="003A44F8" w:rsidRDefault="00405BE8" w:rsidP="00405BE8">
      <w:pPr>
        <w:keepNext/>
        <w:keepLines/>
        <w:rPr>
          <w:rFonts w:ascii="Arial Narrow" w:hAnsi="Arial Narrow"/>
          <w:sz w:val="18"/>
        </w:rPr>
      </w:pPr>
      <w:r w:rsidRPr="003A44F8">
        <w:rPr>
          <w:rFonts w:ascii="Arial Narrow" w:hAnsi="Arial Narrow"/>
          <w:sz w:val="18"/>
          <w:vertAlign w:val="superscript"/>
        </w:rPr>
        <w:t>c</w:t>
      </w:r>
      <w:r w:rsidRPr="003A44F8">
        <w:rPr>
          <w:rFonts w:ascii="Arial Narrow" w:hAnsi="Arial Narrow"/>
          <w:sz w:val="18"/>
        </w:rPr>
        <w:t xml:space="preserve"> Standing and walking pooled due to small sample size </w:t>
      </w:r>
    </w:p>
    <w:p w14:paraId="6C2A948F" w14:textId="77777777" w:rsidR="00405BE8" w:rsidRPr="003A44F8" w:rsidRDefault="00405BE8" w:rsidP="00405BE8">
      <w:pPr>
        <w:keepNext/>
        <w:keepLines/>
        <w:rPr>
          <w:rFonts w:ascii="Arial Narrow" w:hAnsi="Arial Narrow"/>
          <w:sz w:val="18"/>
        </w:rPr>
      </w:pPr>
      <w:r w:rsidRPr="003A44F8">
        <w:rPr>
          <w:rFonts w:ascii="Arial Narrow" w:hAnsi="Arial Narrow"/>
          <w:sz w:val="18"/>
        </w:rPr>
        <w:t>Cells shaded grey indicate values applied in base case of model</w:t>
      </w:r>
    </w:p>
    <w:p w14:paraId="38922258" w14:textId="77777777" w:rsidR="00405BE8" w:rsidRDefault="00405BE8" w:rsidP="00405BE8">
      <w:pPr>
        <w:keepNext/>
        <w:keepLines/>
        <w:rPr>
          <w:rFonts w:ascii="Arial Narrow" w:hAnsi="Arial Narrow"/>
          <w:sz w:val="18"/>
        </w:rPr>
      </w:pPr>
      <w:r w:rsidRPr="003A44F8">
        <w:rPr>
          <w:rFonts w:ascii="Arial Narrow" w:hAnsi="Arial Narrow"/>
          <w:sz w:val="18"/>
        </w:rPr>
        <w:t>EQ-5D = EurQol-5 dimensions, AU = Australia, NICE = National Institute for Health and Care excellence ERG = evidence review group</w:t>
      </w:r>
    </w:p>
    <w:p w14:paraId="593C4F20" w14:textId="77777777" w:rsidR="00405BE8" w:rsidRDefault="00405BE8" w:rsidP="006D1D91">
      <w:pPr>
        <w:keepNext/>
        <w:keepLines/>
        <w:rPr>
          <w:rFonts w:ascii="Arial Narrow" w:hAnsi="Arial Narrow"/>
          <w:sz w:val="18"/>
        </w:rPr>
      </w:pPr>
      <w:r>
        <w:rPr>
          <w:rFonts w:ascii="Arial Narrow" w:hAnsi="Arial Narrow"/>
          <w:sz w:val="18"/>
        </w:rPr>
        <w:t xml:space="preserve">Source: Table 3.14, p215-216, Table 3.15, p216 and 3.16, p217 of the submission </w:t>
      </w:r>
    </w:p>
    <w:p w14:paraId="79B47190" w14:textId="77777777" w:rsidR="006D1D91" w:rsidRPr="006D1D91" w:rsidRDefault="006D1D91" w:rsidP="006D1D91">
      <w:pPr>
        <w:keepNext/>
        <w:keepLines/>
        <w:rPr>
          <w:rFonts w:ascii="Arial Narrow" w:hAnsi="Arial Narrow"/>
          <w:sz w:val="18"/>
        </w:rPr>
      </w:pPr>
    </w:p>
    <w:p w14:paraId="1A759395" w14:textId="77777777" w:rsidR="00405BE8" w:rsidRPr="00831A0A" w:rsidRDefault="00405BE8" w:rsidP="00405BE8">
      <w:pPr>
        <w:pStyle w:val="ListParagraph"/>
        <w:widowControl/>
        <w:numPr>
          <w:ilvl w:val="1"/>
          <w:numId w:val="2"/>
        </w:numPr>
        <w:rPr>
          <w:iCs/>
        </w:rPr>
      </w:pPr>
      <w:r w:rsidRPr="00415FBA">
        <w:t xml:space="preserve">The submission </w:t>
      </w:r>
      <w:r w:rsidRPr="00405BE8">
        <w:t xml:space="preserve">argued that as there were ambulatory patients enrolled in SUNFISH Part 1 but not in SUNFISH </w:t>
      </w:r>
      <w:r w:rsidRPr="00831A0A">
        <w:t xml:space="preserve">Part 2, using the SUNFISH Part 1 and 2 pooled utilities was a more precise estimate of the utility in the ‘walking’ health state. </w:t>
      </w:r>
      <w:r w:rsidR="00A01163">
        <w:t>However</w:t>
      </w:r>
      <w:r w:rsidR="00B802D1" w:rsidRPr="00831A0A">
        <w:t>,</w:t>
      </w:r>
      <w:r w:rsidRPr="00831A0A">
        <w:t xml:space="preserve"> using </w:t>
      </w:r>
      <w:r w:rsidR="00A01163">
        <w:t xml:space="preserve">pooled </w:t>
      </w:r>
      <w:r w:rsidRPr="00831A0A">
        <w:t>utilit</w:t>
      </w:r>
      <w:r w:rsidR="00A01163">
        <w:t>ies</w:t>
      </w:r>
      <w:r w:rsidRPr="00831A0A">
        <w:t xml:space="preserve"> from SUNFISH Part 1 and 2 but efficacy/transition data from the subgroup of patients aged ≥12 years in SUNFISH Part 2 </w:t>
      </w:r>
      <w:r w:rsidR="00A01163">
        <w:t>was</w:t>
      </w:r>
      <w:r w:rsidRPr="00831A0A">
        <w:t xml:space="preserve"> an inconsistent approach and </w:t>
      </w:r>
      <w:r w:rsidR="00B802D1" w:rsidRPr="00831A0A">
        <w:t>may have</w:t>
      </w:r>
      <w:r w:rsidRPr="00831A0A">
        <w:t xml:space="preserve"> biased the economic model in favour of risdiplam. The </w:t>
      </w:r>
      <w:r w:rsidR="00E71B69" w:rsidRPr="007B3DA4">
        <w:t xml:space="preserve">ESC noted that the </w:t>
      </w:r>
      <w:r w:rsidRPr="00831A0A">
        <w:t>choice of utility values appears to be a key driver of the model, and sensitivity analysis using the SUNFISH Part 2 utilities increased the ICER by 36% whereas using utilities from Lloyd 2019 decreased the ICER by 41%</w:t>
      </w:r>
      <w:r w:rsidR="00160F36">
        <w:t>.</w:t>
      </w:r>
      <w:r w:rsidRPr="00831A0A">
        <w:t xml:space="preserve">. </w:t>
      </w:r>
    </w:p>
    <w:p w14:paraId="2BAB6EC2" w14:textId="77777777" w:rsidR="00275C5A" w:rsidRPr="0036249A" w:rsidRDefault="00405BE8" w:rsidP="00DB35C7">
      <w:pPr>
        <w:pStyle w:val="ListParagraph"/>
        <w:keepNext/>
        <w:keepLines/>
        <w:widowControl/>
        <w:numPr>
          <w:ilvl w:val="1"/>
          <w:numId w:val="2"/>
        </w:numPr>
        <w:rPr>
          <w:rFonts w:asciiTheme="minorHAnsi" w:hAnsiTheme="minorHAnsi" w:cstheme="minorHAnsi"/>
          <w:b/>
          <w:szCs w:val="24"/>
        </w:rPr>
      </w:pPr>
      <w:r w:rsidRPr="00831A0A">
        <w:rPr>
          <w:rFonts w:asciiTheme="minorHAnsi" w:hAnsiTheme="minorHAnsi" w:cstheme="minorHAnsi"/>
          <w:szCs w:val="24"/>
        </w:rPr>
        <w:lastRenderedPageBreak/>
        <w:t xml:space="preserve">The key drivers of the model identified during the </w:t>
      </w:r>
      <w:r w:rsidRPr="0036249A">
        <w:rPr>
          <w:rFonts w:asciiTheme="minorHAnsi" w:hAnsiTheme="minorHAnsi" w:cstheme="minorHAnsi"/>
          <w:szCs w:val="24"/>
        </w:rPr>
        <w:t>evaluation are summarised in</w:t>
      </w:r>
      <w:r w:rsidRPr="0036249A">
        <w:rPr>
          <w:rFonts w:asciiTheme="minorHAnsi" w:hAnsiTheme="minorHAnsi" w:cstheme="minorHAnsi"/>
          <w:b/>
          <w:szCs w:val="24"/>
        </w:rPr>
        <w:t xml:space="preserve"> </w:t>
      </w:r>
      <w:r w:rsidR="009825B3" w:rsidRPr="009825B3">
        <w:rPr>
          <w:rStyle w:val="CommentReference"/>
          <w:rFonts w:asciiTheme="minorHAnsi" w:hAnsiTheme="minorHAnsi" w:cstheme="minorHAnsi"/>
          <w:b w:val="0"/>
          <w:sz w:val="24"/>
          <w:szCs w:val="24"/>
        </w:rPr>
        <w:t xml:space="preserve">Table </w:t>
      </w:r>
      <w:r w:rsidR="009825B3" w:rsidRPr="009825B3">
        <w:rPr>
          <w:rStyle w:val="CommentReference"/>
          <w:rFonts w:asciiTheme="minorHAnsi" w:hAnsiTheme="minorHAnsi" w:cstheme="minorHAnsi"/>
          <w:b w:val="0"/>
          <w:noProof/>
          <w:sz w:val="24"/>
          <w:szCs w:val="24"/>
        </w:rPr>
        <w:t>14</w:t>
      </w:r>
      <w:r w:rsidRPr="0036249A">
        <w:rPr>
          <w:rFonts w:asciiTheme="minorHAnsi" w:hAnsiTheme="minorHAnsi" w:cstheme="minorHAnsi"/>
          <w:b/>
          <w:szCs w:val="24"/>
        </w:rPr>
        <w:t>.</w:t>
      </w:r>
      <w:r w:rsidR="00D110BD" w:rsidRPr="0036249A">
        <w:rPr>
          <w:rFonts w:asciiTheme="minorHAnsi" w:hAnsiTheme="minorHAnsi" w:cstheme="minorHAnsi"/>
          <w:b/>
          <w:color w:val="3366FF"/>
          <w:szCs w:val="24"/>
        </w:rPr>
        <w:t xml:space="preserve"> </w:t>
      </w:r>
    </w:p>
    <w:p w14:paraId="6AC4C1B8" w14:textId="77777777" w:rsidR="00D110BD" w:rsidRPr="003A44F8" w:rsidRDefault="002B0201" w:rsidP="002B0201">
      <w:pPr>
        <w:keepNext/>
        <w:keepLines/>
        <w:rPr>
          <w:rStyle w:val="CommentReference"/>
        </w:rPr>
      </w:pPr>
      <w:bookmarkStart w:id="42" w:name="_Ref61520240"/>
      <w:r w:rsidRPr="002B0201">
        <w:rPr>
          <w:rStyle w:val="CommentReference"/>
        </w:rPr>
        <w:t xml:space="preserve">Table </w:t>
      </w:r>
      <w:r w:rsidR="009825B3">
        <w:rPr>
          <w:rStyle w:val="CommentReference"/>
          <w:noProof/>
        </w:rPr>
        <w:t>14</w:t>
      </w:r>
      <w:bookmarkEnd w:id="42"/>
      <w:r w:rsidR="00D110BD" w:rsidRPr="003A44F8">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4820"/>
        <w:gridCol w:w="3067"/>
      </w:tblGrid>
      <w:tr w:rsidR="00537182" w:rsidRPr="00831A0A" w14:paraId="37B81E35" w14:textId="77777777" w:rsidTr="00D217A8">
        <w:trPr>
          <w:tblHeader/>
        </w:trPr>
        <w:tc>
          <w:tcPr>
            <w:tcW w:w="626" w:type="pct"/>
            <w:shd w:val="clear" w:color="auto" w:fill="auto"/>
            <w:vAlign w:val="center"/>
          </w:tcPr>
          <w:p w14:paraId="1948A75B" w14:textId="77777777" w:rsidR="00D110BD" w:rsidRPr="00831A0A" w:rsidRDefault="00D110BD" w:rsidP="00DB35C7">
            <w:pPr>
              <w:pStyle w:val="Tabletext"/>
              <w:keepNext/>
              <w:keepLines/>
              <w:rPr>
                <w:b/>
              </w:rPr>
            </w:pPr>
            <w:r w:rsidRPr="00831A0A">
              <w:rPr>
                <w:b/>
              </w:rPr>
              <w:t>Description</w:t>
            </w:r>
          </w:p>
        </w:tc>
        <w:tc>
          <w:tcPr>
            <w:tcW w:w="2673" w:type="pct"/>
            <w:shd w:val="clear" w:color="auto" w:fill="auto"/>
            <w:vAlign w:val="center"/>
          </w:tcPr>
          <w:p w14:paraId="13491D1C" w14:textId="77777777" w:rsidR="00D110BD" w:rsidRPr="00831A0A" w:rsidRDefault="00D110BD" w:rsidP="00DB35C7">
            <w:pPr>
              <w:pStyle w:val="Tabletext"/>
              <w:keepNext/>
              <w:keepLines/>
              <w:jc w:val="center"/>
              <w:rPr>
                <w:b/>
              </w:rPr>
            </w:pPr>
            <w:r w:rsidRPr="00831A0A">
              <w:rPr>
                <w:b/>
              </w:rPr>
              <w:t>Method/Value</w:t>
            </w:r>
          </w:p>
        </w:tc>
        <w:tc>
          <w:tcPr>
            <w:tcW w:w="1701" w:type="pct"/>
            <w:shd w:val="clear" w:color="auto" w:fill="auto"/>
            <w:vAlign w:val="center"/>
          </w:tcPr>
          <w:p w14:paraId="76EE86D9" w14:textId="77777777" w:rsidR="00D110BD" w:rsidRPr="00831A0A" w:rsidRDefault="00D110BD" w:rsidP="00DB35C7">
            <w:pPr>
              <w:pStyle w:val="Tabletext"/>
              <w:keepNext/>
              <w:keepLines/>
              <w:jc w:val="center"/>
              <w:rPr>
                <w:b/>
              </w:rPr>
            </w:pPr>
            <w:r w:rsidRPr="00831A0A">
              <w:rPr>
                <w:b/>
              </w:rPr>
              <w:t>Impact</w:t>
            </w:r>
          </w:p>
        </w:tc>
      </w:tr>
      <w:tr w:rsidR="00537182" w:rsidRPr="00831A0A" w14:paraId="488107AB" w14:textId="77777777" w:rsidTr="00D217A8">
        <w:tc>
          <w:tcPr>
            <w:tcW w:w="626" w:type="pct"/>
            <w:shd w:val="clear" w:color="auto" w:fill="auto"/>
            <w:vAlign w:val="center"/>
          </w:tcPr>
          <w:p w14:paraId="2D6B95F8" w14:textId="77777777" w:rsidR="00D110BD" w:rsidRPr="00831A0A" w:rsidRDefault="001357C8" w:rsidP="00DB35C7">
            <w:pPr>
              <w:pStyle w:val="Tabletext"/>
              <w:keepNext/>
              <w:keepLines/>
            </w:pPr>
            <w:r w:rsidRPr="00831A0A">
              <w:t>Transition probabilities</w:t>
            </w:r>
          </w:p>
        </w:tc>
        <w:tc>
          <w:tcPr>
            <w:tcW w:w="2673" w:type="pct"/>
            <w:shd w:val="clear" w:color="auto" w:fill="auto"/>
            <w:vAlign w:val="center"/>
          </w:tcPr>
          <w:p w14:paraId="13652636" w14:textId="77777777" w:rsidR="00106B80" w:rsidRPr="00831A0A" w:rsidRDefault="001357C8" w:rsidP="00493FA5">
            <w:pPr>
              <w:pStyle w:val="Tabletext"/>
              <w:keepNext/>
              <w:keepLines/>
            </w:pPr>
            <w:r w:rsidRPr="00831A0A">
              <w:t xml:space="preserve">Based on a continuous time multi-state model (MSM) fitted to data from a subgroup of patients who were aged 12-25 years in SUNFISH Part 2. There were </w:t>
            </w:r>
            <w:r w:rsidR="00493FA5" w:rsidRPr="00831A0A">
              <w:t xml:space="preserve">very </w:t>
            </w:r>
            <w:r w:rsidRPr="00831A0A">
              <w:t>few data points to inform transitions, and transitions which were not statistically significant were modelled</w:t>
            </w:r>
            <w:r w:rsidR="00493FA5" w:rsidRPr="00831A0A">
              <w:t>.</w:t>
            </w:r>
          </w:p>
        </w:tc>
        <w:tc>
          <w:tcPr>
            <w:tcW w:w="1701" w:type="pct"/>
            <w:shd w:val="clear" w:color="auto" w:fill="auto"/>
            <w:vAlign w:val="center"/>
          </w:tcPr>
          <w:p w14:paraId="2A77944D" w14:textId="77777777" w:rsidR="00D110BD" w:rsidRPr="00831A0A" w:rsidRDefault="00D2708A" w:rsidP="00E71B69">
            <w:pPr>
              <w:pStyle w:val="Tabletext"/>
              <w:keepNext/>
              <w:keepLines/>
            </w:pPr>
            <w:r w:rsidRPr="00831A0A">
              <w:t>High.</w:t>
            </w:r>
            <w:r w:rsidR="001357C8" w:rsidRPr="00831A0A">
              <w:t xml:space="preserve"> Favours risdiplam as it was assumed that patients treated with risdiplam were more likely to improve and less likely to worsen in most health states. </w:t>
            </w:r>
            <w:r w:rsidRPr="00831A0A">
              <w:t>Using ‘NatHis’ study to inform BSC then applying SUNFISH Part 2 ITT HR increased ICER by 93%.</w:t>
            </w:r>
          </w:p>
        </w:tc>
      </w:tr>
      <w:tr w:rsidR="00537182" w:rsidRPr="00831A0A" w14:paraId="5E12E94B" w14:textId="77777777" w:rsidTr="00D217A8">
        <w:tc>
          <w:tcPr>
            <w:tcW w:w="626" w:type="pct"/>
            <w:shd w:val="clear" w:color="auto" w:fill="auto"/>
            <w:vAlign w:val="center"/>
          </w:tcPr>
          <w:p w14:paraId="190FFFB8" w14:textId="77777777" w:rsidR="00D110BD" w:rsidRPr="00831A0A" w:rsidRDefault="00106B80" w:rsidP="00DB35C7">
            <w:pPr>
              <w:pStyle w:val="Tabletext"/>
              <w:keepNext/>
              <w:keepLines/>
            </w:pPr>
            <w:r w:rsidRPr="00831A0A">
              <w:t>Utilities</w:t>
            </w:r>
          </w:p>
        </w:tc>
        <w:tc>
          <w:tcPr>
            <w:tcW w:w="2673" w:type="pct"/>
            <w:shd w:val="clear" w:color="auto" w:fill="auto"/>
            <w:vAlign w:val="center"/>
          </w:tcPr>
          <w:p w14:paraId="15D1EC18" w14:textId="77777777" w:rsidR="00D110BD" w:rsidRPr="00831A0A" w:rsidRDefault="001357C8" w:rsidP="00DB35C7">
            <w:pPr>
              <w:pStyle w:val="Tabletext"/>
              <w:keepNext/>
              <w:keepLines/>
            </w:pPr>
            <w:r w:rsidRPr="00831A0A">
              <w:t xml:space="preserve">Based on pooled SUNFISH Part 1 and Part 2 EQ-5D data. Additionally, data from risdiplam and BSC </w:t>
            </w:r>
            <w:r w:rsidR="009825B3">
              <w:t xml:space="preserve">arms </w:t>
            </w:r>
            <w:r w:rsidRPr="00831A0A">
              <w:t xml:space="preserve">were inappropriately pooled together, which favours risdiplam as </w:t>
            </w:r>
            <w:r w:rsidR="00D2708A" w:rsidRPr="00831A0A">
              <w:t xml:space="preserve">any disutilities associated with adverse events from risdiplam treatment were, inappropriately, partially attributed to patients treated with BSC. </w:t>
            </w:r>
          </w:p>
          <w:p w14:paraId="315B1BAD" w14:textId="77777777" w:rsidR="00D2708A" w:rsidRPr="00831A0A" w:rsidRDefault="00D2708A" w:rsidP="00DB35C7">
            <w:pPr>
              <w:pStyle w:val="Tabletext"/>
              <w:keepNext/>
              <w:keepLines/>
            </w:pPr>
          </w:p>
          <w:p w14:paraId="0F419637" w14:textId="77777777" w:rsidR="00D2708A" w:rsidRPr="00831A0A" w:rsidRDefault="00D2708A" w:rsidP="00DB35C7">
            <w:pPr>
              <w:pStyle w:val="Tabletext"/>
              <w:keepNext/>
              <w:keepLines/>
            </w:pPr>
            <w:r w:rsidRPr="00831A0A">
              <w:t xml:space="preserve">The submission identified several other sources of utilities, and it was unclear which would be the most suitable for the base case.  </w:t>
            </w:r>
          </w:p>
        </w:tc>
        <w:tc>
          <w:tcPr>
            <w:tcW w:w="1701" w:type="pct"/>
            <w:shd w:val="clear" w:color="auto" w:fill="auto"/>
            <w:vAlign w:val="center"/>
          </w:tcPr>
          <w:p w14:paraId="622C71B4" w14:textId="77777777" w:rsidR="00D110BD" w:rsidRPr="00831A0A" w:rsidRDefault="00D2708A" w:rsidP="00DB35C7">
            <w:pPr>
              <w:pStyle w:val="Tabletext"/>
              <w:keepNext/>
              <w:keepLines/>
            </w:pPr>
            <w:r w:rsidRPr="00831A0A">
              <w:t xml:space="preserve">High, but given the large number of possible sources of utility the direction of bias was unclear. For example, using utility from just SUNFISH Part 2 increased </w:t>
            </w:r>
            <w:r w:rsidR="00B802D1" w:rsidRPr="00831A0A">
              <w:t xml:space="preserve">the </w:t>
            </w:r>
            <w:r w:rsidRPr="00831A0A">
              <w:t xml:space="preserve">ICER by 36%, but using utility from Lloyd 2019 decreased the ICER by 41%. </w:t>
            </w:r>
          </w:p>
        </w:tc>
      </w:tr>
    </w:tbl>
    <w:p w14:paraId="168CD976" w14:textId="77777777" w:rsidR="00D110BD" w:rsidRPr="003A44F8" w:rsidRDefault="009D792E" w:rsidP="00DB35C7">
      <w:pPr>
        <w:pStyle w:val="TableFooter"/>
        <w:keepNext/>
        <w:keepLines/>
      </w:pPr>
      <w:r w:rsidRPr="003A44F8">
        <w:t>Source</w:t>
      </w:r>
      <w:r w:rsidR="00D2708A">
        <w:t xml:space="preserve">: Constructed during evaluation. </w:t>
      </w:r>
    </w:p>
    <w:p w14:paraId="347F36F8" w14:textId="77777777" w:rsidR="009D792E" w:rsidRPr="003A44F8" w:rsidRDefault="009D792E" w:rsidP="00275C5A">
      <w:pPr>
        <w:widowControl/>
      </w:pPr>
    </w:p>
    <w:p w14:paraId="0F6C9D4A" w14:textId="77777777" w:rsidR="00DB35C7" w:rsidRPr="00DB35C7" w:rsidRDefault="00DB35C7" w:rsidP="004422FA">
      <w:pPr>
        <w:pStyle w:val="ListParagraph"/>
        <w:widowControl/>
        <w:numPr>
          <w:ilvl w:val="1"/>
          <w:numId w:val="2"/>
        </w:numPr>
      </w:pPr>
      <w:r>
        <w:t xml:space="preserve">The results of the economic </w:t>
      </w:r>
      <w:r w:rsidRPr="00831A0A">
        <w:t>evaluation</w:t>
      </w:r>
      <w:r w:rsidR="00B802D1" w:rsidRPr="00831A0A">
        <w:t xml:space="preserve">, </w:t>
      </w:r>
      <w:r w:rsidR="00B802D1" w:rsidRPr="00831A0A">
        <w:rPr>
          <w:iCs/>
        </w:rPr>
        <w:t>excluding carer spill-over utilities</w:t>
      </w:r>
      <w:r w:rsidR="00B802D1" w:rsidRPr="007B3DA4">
        <w:rPr>
          <w:iCs/>
        </w:rPr>
        <w:t>,</w:t>
      </w:r>
      <w:r>
        <w:t xml:space="preserve"> </w:t>
      </w:r>
      <w:r w:rsidR="00B802D1">
        <w:t>are</w:t>
      </w:r>
      <w:r>
        <w:t xml:space="preserve"> presented in </w:t>
      </w:r>
      <w:r w:rsidR="009825B3" w:rsidRPr="009825B3">
        <w:t>Table 15</w:t>
      </w:r>
      <w:r>
        <w:t>.</w:t>
      </w:r>
    </w:p>
    <w:p w14:paraId="54DAE783" w14:textId="77777777" w:rsidR="00DB35C7" w:rsidRPr="003A44F8" w:rsidRDefault="002B0201" w:rsidP="002B0201">
      <w:pPr>
        <w:keepNext/>
        <w:keepLines/>
        <w:rPr>
          <w:rFonts w:ascii="Arial Narrow" w:hAnsi="Arial Narrow"/>
          <w:b/>
          <w:sz w:val="20"/>
          <w:szCs w:val="20"/>
        </w:rPr>
      </w:pPr>
      <w:bookmarkStart w:id="43" w:name="_Ref61520280"/>
      <w:bookmarkStart w:id="44" w:name="_Ref63935029"/>
      <w:r w:rsidRPr="002B0201">
        <w:rPr>
          <w:rFonts w:ascii="Arial Narrow" w:hAnsi="Arial Narrow"/>
          <w:b/>
          <w:sz w:val="20"/>
          <w:szCs w:val="20"/>
        </w:rPr>
        <w:t xml:space="preserve">Table </w:t>
      </w:r>
      <w:r w:rsidR="009825B3">
        <w:rPr>
          <w:rFonts w:ascii="Arial Narrow" w:hAnsi="Arial Narrow"/>
          <w:b/>
          <w:noProof/>
          <w:sz w:val="20"/>
          <w:szCs w:val="20"/>
        </w:rPr>
        <w:t>15</w:t>
      </w:r>
      <w:bookmarkEnd w:id="43"/>
      <w:r w:rsidR="00DB35C7" w:rsidRPr="003A44F8">
        <w:rPr>
          <w:rFonts w:ascii="Arial Narrow" w:hAnsi="Arial Narrow"/>
          <w:b/>
          <w:sz w:val="20"/>
          <w:szCs w:val="20"/>
        </w:rPr>
        <w:t>: Results of the stepped economic evaluation</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7"/>
        <w:gridCol w:w="1511"/>
      </w:tblGrid>
      <w:tr w:rsidR="00DB35C7" w:rsidRPr="00831A0A" w14:paraId="13B252F1" w14:textId="77777777" w:rsidTr="002062A5">
        <w:trPr>
          <w:tblHeader/>
        </w:trPr>
        <w:tc>
          <w:tcPr>
            <w:tcW w:w="1529" w:type="pct"/>
            <w:vAlign w:val="center"/>
          </w:tcPr>
          <w:p w14:paraId="6CF07F4D" w14:textId="77777777" w:rsidR="00DB35C7" w:rsidRPr="00831A0A" w:rsidRDefault="00DB35C7" w:rsidP="002062A5">
            <w:pPr>
              <w:keepNext/>
              <w:keepLines/>
              <w:widowControl/>
              <w:jc w:val="left"/>
              <w:rPr>
                <w:rFonts w:ascii="Arial Narrow" w:hAnsi="Arial Narrow" w:cs="Times New Roman"/>
                <w:b/>
                <w:snapToGrid/>
                <w:sz w:val="20"/>
                <w:szCs w:val="20"/>
              </w:rPr>
            </w:pPr>
            <w:r w:rsidRPr="00831A0A">
              <w:rPr>
                <w:rFonts w:ascii="Arial Narrow" w:hAnsi="Arial Narrow" w:cs="Times New Roman"/>
                <w:b/>
                <w:snapToGrid/>
                <w:sz w:val="20"/>
                <w:szCs w:val="20"/>
              </w:rPr>
              <w:t>Step and component</w:t>
            </w:r>
          </w:p>
        </w:tc>
        <w:tc>
          <w:tcPr>
            <w:tcW w:w="1359" w:type="pct"/>
            <w:vAlign w:val="center"/>
          </w:tcPr>
          <w:p w14:paraId="6150B0B2" w14:textId="77777777" w:rsidR="00DB35C7" w:rsidRPr="00831A0A" w:rsidRDefault="00DB35C7" w:rsidP="002062A5">
            <w:pPr>
              <w:keepNext/>
              <w:keepLines/>
              <w:widowControl/>
              <w:jc w:val="center"/>
              <w:rPr>
                <w:rFonts w:ascii="Arial Narrow" w:hAnsi="Arial Narrow" w:cs="Times New Roman"/>
                <w:b/>
                <w:snapToGrid/>
                <w:sz w:val="20"/>
                <w:szCs w:val="20"/>
              </w:rPr>
            </w:pPr>
            <w:r w:rsidRPr="00831A0A">
              <w:rPr>
                <w:rFonts w:ascii="Arial Narrow" w:hAnsi="Arial Narrow" w:cs="Times New Roman"/>
                <w:b/>
                <w:snapToGrid/>
                <w:sz w:val="20"/>
                <w:szCs w:val="20"/>
              </w:rPr>
              <w:t>Proposed medicine</w:t>
            </w:r>
          </w:p>
        </w:tc>
        <w:tc>
          <w:tcPr>
            <w:tcW w:w="1274" w:type="pct"/>
            <w:vAlign w:val="center"/>
          </w:tcPr>
          <w:p w14:paraId="6F978317" w14:textId="77777777" w:rsidR="00DB35C7" w:rsidRPr="00831A0A" w:rsidRDefault="00DB35C7" w:rsidP="002062A5">
            <w:pPr>
              <w:keepNext/>
              <w:keepLines/>
              <w:widowControl/>
              <w:jc w:val="center"/>
              <w:rPr>
                <w:rFonts w:ascii="Arial Narrow" w:hAnsi="Arial Narrow" w:cs="Times New Roman"/>
                <w:b/>
                <w:snapToGrid/>
                <w:sz w:val="20"/>
                <w:szCs w:val="20"/>
              </w:rPr>
            </w:pPr>
            <w:r w:rsidRPr="00831A0A">
              <w:rPr>
                <w:rFonts w:ascii="Arial Narrow" w:hAnsi="Arial Narrow" w:cs="Times New Roman"/>
                <w:b/>
                <w:snapToGrid/>
                <w:sz w:val="20"/>
                <w:szCs w:val="20"/>
              </w:rPr>
              <w:t>Comparator</w:t>
            </w:r>
          </w:p>
        </w:tc>
        <w:tc>
          <w:tcPr>
            <w:tcW w:w="838" w:type="pct"/>
            <w:vAlign w:val="center"/>
          </w:tcPr>
          <w:p w14:paraId="228CEECF" w14:textId="77777777" w:rsidR="00DB35C7" w:rsidRPr="00831A0A" w:rsidRDefault="00DB35C7" w:rsidP="002062A5">
            <w:pPr>
              <w:keepNext/>
              <w:keepLines/>
              <w:widowControl/>
              <w:jc w:val="center"/>
              <w:rPr>
                <w:rFonts w:ascii="Arial Narrow" w:hAnsi="Arial Narrow" w:cs="Times New Roman"/>
                <w:b/>
                <w:snapToGrid/>
                <w:sz w:val="20"/>
                <w:szCs w:val="20"/>
              </w:rPr>
            </w:pPr>
            <w:r w:rsidRPr="00831A0A">
              <w:rPr>
                <w:rFonts w:ascii="Arial Narrow" w:hAnsi="Arial Narrow" w:cs="Times New Roman"/>
                <w:b/>
                <w:snapToGrid/>
                <w:sz w:val="20"/>
                <w:szCs w:val="20"/>
              </w:rPr>
              <w:t>Increment</w:t>
            </w:r>
          </w:p>
        </w:tc>
      </w:tr>
      <w:tr w:rsidR="00DB35C7" w:rsidRPr="00831A0A" w14:paraId="0A641ECA" w14:textId="77777777" w:rsidTr="002062A5">
        <w:tc>
          <w:tcPr>
            <w:tcW w:w="5000" w:type="pct"/>
            <w:gridSpan w:val="4"/>
            <w:vAlign w:val="center"/>
          </w:tcPr>
          <w:p w14:paraId="3B24B5ED" w14:textId="77777777" w:rsidR="00DB35C7" w:rsidRPr="00831A0A" w:rsidRDefault="00DB35C7" w:rsidP="002062A5">
            <w:pPr>
              <w:keepNext/>
              <w:keepLines/>
              <w:widowControl/>
              <w:jc w:val="left"/>
              <w:rPr>
                <w:rFonts w:ascii="Arial Narrow" w:hAnsi="Arial Narrow" w:cs="Times New Roman"/>
                <w:b/>
                <w:sz w:val="20"/>
                <w:szCs w:val="20"/>
              </w:rPr>
            </w:pPr>
            <w:r w:rsidRPr="00831A0A">
              <w:rPr>
                <w:rFonts w:ascii="Arial Narrow" w:hAnsi="Arial Narrow" w:cs="Times New Roman"/>
                <w:b/>
                <w:sz w:val="20"/>
                <w:szCs w:val="20"/>
              </w:rPr>
              <w:t>Step 1: trial-based costs and outcomes (time horizon 1 year)</w:t>
            </w:r>
          </w:p>
        </w:tc>
      </w:tr>
      <w:tr w:rsidR="00DB35C7" w:rsidRPr="00831A0A" w14:paraId="69185374" w14:textId="77777777" w:rsidTr="002062A5">
        <w:tc>
          <w:tcPr>
            <w:tcW w:w="1529" w:type="pct"/>
            <w:vAlign w:val="center"/>
          </w:tcPr>
          <w:p w14:paraId="3DFDEF1E" w14:textId="77777777" w:rsidR="00DB35C7" w:rsidRPr="00831A0A" w:rsidRDefault="00DB35C7" w:rsidP="002062A5">
            <w:pPr>
              <w:keepNext/>
              <w:keepLines/>
              <w:widowControl/>
              <w:jc w:val="left"/>
              <w:rPr>
                <w:rFonts w:ascii="Arial Narrow" w:hAnsi="Arial Narrow" w:cs="Times New Roman"/>
                <w:snapToGrid/>
                <w:sz w:val="20"/>
                <w:szCs w:val="20"/>
              </w:rPr>
            </w:pPr>
            <w:r w:rsidRPr="00831A0A">
              <w:rPr>
                <w:rFonts w:ascii="Arial Narrow" w:hAnsi="Arial Narrow" w:cs="Times New Roman"/>
                <w:snapToGrid/>
                <w:sz w:val="20"/>
                <w:szCs w:val="20"/>
              </w:rPr>
              <w:t>Costs</w:t>
            </w:r>
          </w:p>
        </w:tc>
        <w:tc>
          <w:tcPr>
            <w:tcW w:w="1359" w:type="pct"/>
            <w:vAlign w:val="center"/>
          </w:tcPr>
          <w:p w14:paraId="51CB3387" w14:textId="77777777" w:rsidR="00DB35C7" w:rsidRPr="00831A0A" w:rsidRDefault="00DB35C7" w:rsidP="002062A5">
            <w:pPr>
              <w:keepNext/>
              <w:keepLines/>
              <w:widowControl/>
              <w:jc w:val="center"/>
              <w:rPr>
                <w:rFonts w:ascii="Arial Narrow" w:hAnsi="Arial Narrow" w:cs="Times New Roman"/>
                <w:snapToGrid/>
                <w:sz w:val="20"/>
                <w:szCs w:val="20"/>
                <w:vertAlign w:val="superscript"/>
              </w:rPr>
            </w:pPr>
            <w:r w:rsidRPr="00831A0A">
              <w:rPr>
                <w:rFonts w:ascii="Arial Narrow" w:hAnsi="Arial Narrow" w:cs="Times New Roman"/>
                <w:snapToGrid/>
                <w:sz w:val="20"/>
                <w:szCs w:val="20"/>
              </w:rPr>
              <w:t>$</w:t>
            </w:r>
            <w:r w:rsidR="003A37B7">
              <w:rPr>
                <w:rFonts w:ascii="Arial Narrow" w:hAnsi="Arial Narrow" w:cs="Times New Roman"/>
                <w:noProof/>
                <w:snapToGrid/>
                <w:color w:val="000000"/>
                <w:sz w:val="20"/>
                <w:szCs w:val="20"/>
                <w:highlight w:val="black"/>
              </w:rPr>
              <w:t>'''''''''''''''''''''</w:t>
            </w:r>
            <w:r w:rsidRPr="00831A0A">
              <w:rPr>
                <w:rFonts w:ascii="Arial Narrow" w:hAnsi="Arial Narrow" w:cs="Times New Roman"/>
                <w:snapToGrid/>
                <w:sz w:val="20"/>
                <w:szCs w:val="20"/>
              </w:rPr>
              <w:t xml:space="preserve"> </w:t>
            </w:r>
          </w:p>
        </w:tc>
        <w:tc>
          <w:tcPr>
            <w:tcW w:w="1274" w:type="pct"/>
            <w:vAlign w:val="center"/>
          </w:tcPr>
          <w:p w14:paraId="7B84B5E1"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$0</w:t>
            </w:r>
          </w:p>
        </w:tc>
        <w:tc>
          <w:tcPr>
            <w:tcW w:w="838" w:type="pct"/>
            <w:vAlign w:val="center"/>
          </w:tcPr>
          <w:p w14:paraId="2D4271E6"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w:t>
            </w:r>
            <w:r w:rsidR="003A37B7">
              <w:rPr>
                <w:rFonts w:ascii="Arial Narrow" w:hAnsi="Arial Narrow" w:cs="Times New Roman"/>
                <w:noProof/>
                <w:snapToGrid/>
                <w:color w:val="000000"/>
                <w:sz w:val="20"/>
                <w:szCs w:val="20"/>
                <w:highlight w:val="black"/>
              </w:rPr>
              <w:t>'''''''''''''''''''</w:t>
            </w:r>
          </w:p>
        </w:tc>
      </w:tr>
      <w:tr w:rsidR="00DB35C7" w:rsidRPr="00831A0A" w14:paraId="11915C2C" w14:textId="77777777" w:rsidTr="002062A5">
        <w:tc>
          <w:tcPr>
            <w:tcW w:w="1529" w:type="pct"/>
            <w:vAlign w:val="center"/>
          </w:tcPr>
          <w:p w14:paraId="65466D3E" w14:textId="77777777" w:rsidR="00DB35C7" w:rsidRPr="00831A0A" w:rsidRDefault="00DB35C7" w:rsidP="002062A5">
            <w:pPr>
              <w:keepNext/>
              <w:keepLines/>
              <w:widowControl/>
              <w:jc w:val="left"/>
              <w:rPr>
                <w:rFonts w:ascii="Arial Narrow" w:hAnsi="Arial Narrow" w:cs="Times New Roman"/>
                <w:snapToGrid/>
                <w:sz w:val="20"/>
                <w:szCs w:val="20"/>
              </w:rPr>
            </w:pPr>
            <w:r w:rsidRPr="00831A0A">
              <w:rPr>
                <w:rFonts w:ascii="Arial Narrow" w:hAnsi="Arial Narrow" w:cs="Times New Roman"/>
                <w:snapToGrid/>
                <w:sz w:val="20"/>
                <w:szCs w:val="20"/>
              </w:rPr>
              <w:t>QALY gained</w:t>
            </w:r>
          </w:p>
        </w:tc>
        <w:tc>
          <w:tcPr>
            <w:tcW w:w="1359" w:type="pct"/>
            <w:vAlign w:val="center"/>
          </w:tcPr>
          <w:p w14:paraId="59D9D723"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0.2559</w:t>
            </w:r>
          </w:p>
        </w:tc>
        <w:tc>
          <w:tcPr>
            <w:tcW w:w="1274" w:type="pct"/>
            <w:vAlign w:val="center"/>
          </w:tcPr>
          <w:p w14:paraId="151F3DF9"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0.2532</w:t>
            </w:r>
          </w:p>
        </w:tc>
        <w:tc>
          <w:tcPr>
            <w:tcW w:w="838" w:type="pct"/>
            <w:vAlign w:val="center"/>
          </w:tcPr>
          <w:p w14:paraId="6A992E47"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0.0027</w:t>
            </w:r>
          </w:p>
        </w:tc>
      </w:tr>
      <w:tr w:rsidR="00DB35C7" w:rsidRPr="00831A0A" w14:paraId="3D254B76" w14:textId="77777777" w:rsidTr="002062A5">
        <w:tc>
          <w:tcPr>
            <w:tcW w:w="4162" w:type="pct"/>
            <w:gridSpan w:val="3"/>
            <w:vAlign w:val="center"/>
          </w:tcPr>
          <w:p w14:paraId="1089B990" w14:textId="77777777" w:rsidR="00DB35C7" w:rsidRPr="00831A0A" w:rsidRDefault="00DB35C7" w:rsidP="002062A5">
            <w:pPr>
              <w:keepNext/>
              <w:keepLines/>
              <w:widowControl/>
              <w:jc w:val="left"/>
              <w:rPr>
                <w:rFonts w:ascii="Arial Narrow" w:hAnsi="Arial Narrow" w:cs="Times New Roman"/>
                <w:sz w:val="20"/>
                <w:szCs w:val="20"/>
              </w:rPr>
            </w:pPr>
            <w:r w:rsidRPr="00831A0A">
              <w:rPr>
                <w:rFonts w:ascii="Arial Narrow" w:hAnsi="Arial Narrow" w:cs="Times New Roman"/>
                <w:snapToGrid/>
                <w:sz w:val="20"/>
                <w:szCs w:val="20"/>
              </w:rPr>
              <w:t>Incremental cost/extra QALY gained</w:t>
            </w:r>
          </w:p>
        </w:tc>
        <w:tc>
          <w:tcPr>
            <w:tcW w:w="838" w:type="pct"/>
            <w:vAlign w:val="center"/>
          </w:tcPr>
          <w:p w14:paraId="0EA077EC"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w:t>
            </w:r>
            <w:r w:rsidR="003A37B7">
              <w:rPr>
                <w:rFonts w:ascii="Arial Narrow" w:hAnsi="Arial Narrow" w:cs="Times New Roman"/>
                <w:noProof/>
                <w:snapToGrid/>
                <w:color w:val="000000"/>
                <w:sz w:val="20"/>
                <w:szCs w:val="20"/>
                <w:highlight w:val="black"/>
              </w:rPr>
              <w:t>'''''''''''''''''''''''''''</w:t>
            </w:r>
            <w:r w:rsidR="00BB6DAE">
              <w:rPr>
                <w:rFonts w:ascii="Arial Narrow" w:hAnsi="Arial Narrow"/>
                <w:sz w:val="18"/>
                <w:szCs w:val="18"/>
                <w:vertAlign w:val="superscript"/>
              </w:rPr>
              <w:t>1</w:t>
            </w:r>
          </w:p>
        </w:tc>
      </w:tr>
      <w:tr w:rsidR="00DB35C7" w:rsidRPr="00831A0A" w14:paraId="7CEB1E5D" w14:textId="77777777" w:rsidTr="002062A5">
        <w:tc>
          <w:tcPr>
            <w:tcW w:w="5000" w:type="pct"/>
            <w:gridSpan w:val="4"/>
            <w:vAlign w:val="center"/>
          </w:tcPr>
          <w:p w14:paraId="5ACCC695" w14:textId="77777777" w:rsidR="00DB35C7" w:rsidRPr="00831A0A" w:rsidRDefault="00DB35C7" w:rsidP="002062A5">
            <w:pPr>
              <w:keepNext/>
              <w:keepLines/>
              <w:widowControl/>
              <w:jc w:val="left"/>
              <w:rPr>
                <w:rFonts w:ascii="Arial Narrow" w:hAnsi="Arial Narrow" w:cs="Times New Roman"/>
                <w:b/>
                <w:sz w:val="20"/>
                <w:szCs w:val="20"/>
              </w:rPr>
            </w:pPr>
            <w:r w:rsidRPr="00831A0A">
              <w:rPr>
                <w:rFonts w:ascii="Arial Narrow" w:hAnsi="Arial Narrow" w:cs="Times New Roman"/>
                <w:b/>
                <w:sz w:val="20"/>
                <w:szCs w:val="20"/>
              </w:rPr>
              <w:t xml:space="preserve">Step 2: </w:t>
            </w:r>
            <w:r w:rsidRPr="00831A0A">
              <w:rPr>
                <w:rFonts w:ascii="Arial Narrow" w:hAnsi="Arial Narrow" w:cs="Times New Roman"/>
                <w:b/>
                <w:snapToGrid/>
                <w:sz w:val="20"/>
                <w:szCs w:val="20"/>
              </w:rPr>
              <w:t>time horizon extended to 62 years, discounted</w:t>
            </w:r>
          </w:p>
        </w:tc>
      </w:tr>
      <w:tr w:rsidR="00DB35C7" w:rsidRPr="00831A0A" w14:paraId="3985B6C1" w14:textId="77777777" w:rsidTr="002062A5">
        <w:tc>
          <w:tcPr>
            <w:tcW w:w="1529" w:type="pct"/>
            <w:vAlign w:val="center"/>
          </w:tcPr>
          <w:p w14:paraId="62F8C6A0" w14:textId="77777777" w:rsidR="00DB35C7" w:rsidRPr="00831A0A" w:rsidRDefault="00DB35C7" w:rsidP="002062A5">
            <w:pPr>
              <w:keepNext/>
              <w:keepLines/>
              <w:widowControl/>
              <w:jc w:val="left"/>
              <w:rPr>
                <w:rFonts w:ascii="Arial Narrow" w:hAnsi="Arial Narrow" w:cs="Times New Roman"/>
                <w:snapToGrid/>
                <w:sz w:val="20"/>
                <w:szCs w:val="20"/>
              </w:rPr>
            </w:pPr>
            <w:r w:rsidRPr="00831A0A">
              <w:rPr>
                <w:rFonts w:ascii="Arial Narrow" w:hAnsi="Arial Narrow" w:cs="Times New Roman"/>
                <w:snapToGrid/>
                <w:sz w:val="20"/>
                <w:szCs w:val="20"/>
              </w:rPr>
              <w:t>Costs</w:t>
            </w:r>
          </w:p>
        </w:tc>
        <w:tc>
          <w:tcPr>
            <w:tcW w:w="1359" w:type="pct"/>
            <w:vAlign w:val="center"/>
          </w:tcPr>
          <w:p w14:paraId="7CE8D73E"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w:t>
            </w:r>
            <w:r w:rsidR="003A37B7">
              <w:rPr>
                <w:rFonts w:ascii="Arial Narrow" w:hAnsi="Arial Narrow" w:cs="Times New Roman"/>
                <w:noProof/>
                <w:snapToGrid/>
                <w:color w:val="000000"/>
                <w:sz w:val="20"/>
                <w:szCs w:val="20"/>
                <w:highlight w:val="black"/>
              </w:rPr>
              <w:t>'''''''''''''''''''''''''</w:t>
            </w:r>
          </w:p>
        </w:tc>
        <w:tc>
          <w:tcPr>
            <w:tcW w:w="1274" w:type="pct"/>
            <w:vAlign w:val="center"/>
          </w:tcPr>
          <w:p w14:paraId="0B964DAD"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$0</w:t>
            </w:r>
          </w:p>
        </w:tc>
        <w:tc>
          <w:tcPr>
            <w:tcW w:w="838" w:type="pct"/>
            <w:vAlign w:val="center"/>
          </w:tcPr>
          <w:p w14:paraId="202EABE8"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w:t>
            </w:r>
            <w:r w:rsidR="003A37B7">
              <w:rPr>
                <w:rFonts w:ascii="Arial Narrow" w:hAnsi="Arial Narrow" w:cs="Times New Roman"/>
                <w:noProof/>
                <w:snapToGrid/>
                <w:color w:val="000000"/>
                <w:sz w:val="20"/>
                <w:szCs w:val="20"/>
                <w:highlight w:val="black"/>
              </w:rPr>
              <w:t>'''''''''''''''''''''''''</w:t>
            </w:r>
          </w:p>
        </w:tc>
      </w:tr>
      <w:tr w:rsidR="00DB35C7" w:rsidRPr="00831A0A" w14:paraId="352C97A8" w14:textId="77777777" w:rsidTr="002062A5">
        <w:tc>
          <w:tcPr>
            <w:tcW w:w="1529" w:type="pct"/>
            <w:vAlign w:val="center"/>
          </w:tcPr>
          <w:p w14:paraId="59C0CAED" w14:textId="77777777" w:rsidR="00DB35C7" w:rsidRPr="00831A0A" w:rsidRDefault="00DB35C7" w:rsidP="002062A5">
            <w:pPr>
              <w:keepNext/>
              <w:keepLines/>
              <w:widowControl/>
              <w:jc w:val="left"/>
              <w:rPr>
                <w:rFonts w:ascii="Arial Narrow" w:hAnsi="Arial Narrow" w:cs="Times New Roman"/>
                <w:snapToGrid/>
                <w:sz w:val="20"/>
                <w:szCs w:val="20"/>
              </w:rPr>
            </w:pPr>
            <w:r w:rsidRPr="00831A0A">
              <w:rPr>
                <w:rFonts w:ascii="Arial Narrow" w:hAnsi="Arial Narrow" w:cs="Times New Roman"/>
                <w:snapToGrid/>
                <w:sz w:val="20"/>
                <w:szCs w:val="20"/>
              </w:rPr>
              <w:t>QALY</w:t>
            </w:r>
          </w:p>
        </w:tc>
        <w:tc>
          <w:tcPr>
            <w:tcW w:w="1359" w:type="pct"/>
            <w:vAlign w:val="center"/>
          </w:tcPr>
          <w:p w14:paraId="5435C482"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4.3846</w:t>
            </w:r>
          </w:p>
        </w:tc>
        <w:tc>
          <w:tcPr>
            <w:tcW w:w="1274" w:type="pct"/>
            <w:vAlign w:val="center"/>
          </w:tcPr>
          <w:p w14:paraId="2DC083F9"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4.1665</w:t>
            </w:r>
          </w:p>
        </w:tc>
        <w:tc>
          <w:tcPr>
            <w:tcW w:w="838" w:type="pct"/>
            <w:vAlign w:val="center"/>
          </w:tcPr>
          <w:p w14:paraId="4D93ABA4"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0.2180</w:t>
            </w:r>
          </w:p>
        </w:tc>
      </w:tr>
      <w:tr w:rsidR="00DB35C7" w:rsidRPr="00831A0A" w14:paraId="5CA7901B" w14:textId="77777777" w:rsidTr="002062A5">
        <w:tc>
          <w:tcPr>
            <w:tcW w:w="4162" w:type="pct"/>
            <w:gridSpan w:val="3"/>
            <w:vAlign w:val="center"/>
          </w:tcPr>
          <w:p w14:paraId="0AC2E326" w14:textId="77777777" w:rsidR="00DB35C7" w:rsidRPr="00831A0A" w:rsidRDefault="00DB35C7" w:rsidP="0011164D">
            <w:pPr>
              <w:keepNext/>
              <w:keepLines/>
              <w:widowControl/>
              <w:jc w:val="left"/>
              <w:rPr>
                <w:rFonts w:ascii="Arial Narrow" w:hAnsi="Arial Narrow" w:cs="Times New Roman"/>
                <w:sz w:val="20"/>
                <w:szCs w:val="20"/>
              </w:rPr>
            </w:pPr>
            <w:r w:rsidRPr="00831A0A">
              <w:rPr>
                <w:rFonts w:ascii="Arial Narrow" w:hAnsi="Arial Narrow" w:cs="Times New Roman"/>
                <w:snapToGrid/>
                <w:sz w:val="20"/>
                <w:szCs w:val="20"/>
              </w:rPr>
              <w:t xml:space="preserve">Incremental cost/extra </w:t>
            </w:r>
            <w:r w:rsidR="0011164D" w:rsidRPr="00831A0A">
              <w:rPr>
                <w:rFonts w:ascii="Arial Narrow" w:hAnsi="Arial Narrow" w:cs="Times New Roman"/>
                <w:snapToGrid/>
                <w:sz w:val="20"/>
                <w:szCs w:val="20"/>
              </w:rPr>
              <w:t>QALY</w:t>
            </w:r>
            <w:r w:rsidRPr="00831A0A">
              <w:rPr>
                <w:rFonts w:ascii="Arial Narrow" w:hAnsi="Arial Narrow" w:cs="Times New Roman"/>
                <w:snapToGrid/>
                <w:sz w:val="20"/>
                <w:szCs w:val="20"/>
              </w:rPr>
              <w:t xml:space="preserve"> gained</w:t>
            </w:r>
          </w:p>
        </w:tc>
        <w:tc>
          <w:tcPr>
            <w:tcW w:w="838" w:type="pct"/>
            <w:vAlign w:val="center"/>
          </w:tcPr>
          <w:p w14:paraId="7190D77B"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w:t>
            </w:r>
            <w:r w:rsidR="003A37B7">
              <w:rPr>
                <w:rFonts w:ascii="Arial Narrow" w:hAnsi="Arial Narrow" w:cs="Times New Roman"/>
                <w:noProof/>
                <w:snapToGrid/>
                <w:color w:val="000000"/>
                <w:sz w:val="20"/>
                <w:szCs w:val="20"/>
                <w:highlight w:val="black"/>
              </w:rPr>
              <w:t>''''''''''''''''''''''''''</w:t>
            </w:r>
            <w:r w:rsidR="00731BDD">
              <w:rPr>
                <w:rFonts w:ascii="Arial Narrow" w:hAnsi="Arial Narrow"/>
                <w:sz w:val="18"/>
                <w:szCs w:val="18"/>
                <w:vertAlign w:val="superscript"/>
              </w:rPr>
              <w:t>1</w:t>
            </w:r>
          </w:p>
        </w:tc>
      </w:tr>
      <w:tr w:rsidR="00DB35C7" w:rsidRPr="00831A0A" w14:paraId="56637BC5" w14:textId="77777777" w:rsidTr="002062A5">
        <w:tc>
          <w:tcPr>
            <w:tcW w:w="5000" w:type="pct"/>
            <w:gridSpan w:val="4"/>
            <w:vAlign w:val="center"/>
          </w:tcPr>
          <w:p w14:paraId="2350308E" w14:textId="77777777" w:rsidR="00DB35C7" w:rsidRPr="00831A0A" w:rsidRDefault="00DB35C7" w:rsidP="002062A5">
            <w:pPr>
              <w:keepNext/>
              <w:keepLines/>
              <w:widowControl/>
              <w:jc w:val="left"/>
              <w:rPr>
                <w:rFonts w:ascii="Arial Narrow" w:hAnsi="Arial Narrow" w:cs="Times New Roman"/>
                <w:b/>
                <w:sz w:val="20"/>
                <w:szCs w:val="20"/>
              </w:rPr>
            </w:pPr>
            <w:r w:rsidRPr="00831A0A">
              <w:rPr>
                <w:rFonts w:ascii="Arial Narrow" w:hAnsi="Arial Narrow" w:cs="Times New Roman"/>
                <w:b/>
                <w:sz w:val="20"/>
                <w:szCs w:val="20"/>
              </w:rPr>
              <w:t xml:space="preserve">Step 3-5: include health state costs </w:t>
            </w:r>
          </w:p>
        </w:tc>
      </w:tr>
      <w:tr w:rsidR="00DB35C7" w:rsidRPr="00831A0A" w14:paraId="3FFA1AF4" w14:textId="77777777" w:rsidTr="002062A5">
        <w:tc>
          <w:tcPr>
            <w:tcW w:w="1529" w:type="pct"/>
            <w:vAlign w:val="center"/>
          </w:tcPr>
          <w:p w14:paraId="419019A5" w14:textId="77777777" w:rsidR="00DB35C7" w:rsidRPr="00831A0A" w:rsidRDefault="00DB35C7" w:rsidP="002062A5">
            <w:pPr>
              <w:keepNext/>
              <w:keepLines/>
              <w:widowControl/>
              <w:jc w:val="left"/>
              <w:rPr>
                <w:rFonts w:ascii="Arial Narrow" w:hAnsi="Arial Narrow" w:cs="Times New Roman"/>
                <w:snapToGrid/>
                <w:sz w:val="20"/>
                <w:szCs w:val="20"/>
              </w:rPr>
            </w:pPr>
            <w:r w:rsidRPr="00831A0A">
              <w:rPr>
                <w:rFonts w:ascii="Arial Narrow" w:hAnsi="Arial Narrow" w:cs="Times New Roman"/>
                <w:snapToGrid/>
                <w:sz w:val="20"/>
                <w:szCs w:val="20"/>
              </w:rPr>
              <w:t>Costs</w:t>
            </w:r>
          </w:p>
        </w:tc>
        <w:tc>
          <w:tcPr>
            <w:tcW w:w="1359" w:type="pct"/>
            <w:vAlign w:val="center"/>
          </w:tcPr>
          <w:p w14:paraId="5034AA0E"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w:t>
            </w:r>
            <w:r w:rsidR="003A37B7">
              <w:rPr>
                <w:rFonts w:ascii="Arial Narrow" w:hAnsi="Arial Narrow" w:cs="Times New Roman"/>
                <w:noProof/>
                <w:snapToGrid/>
                <w:color w:val="000000"/>
                <w:sz w:val="20"/>
                <w:szCs w:val="20"/>
                <w:highlight w:val="black"/>
              </w:rPr>
              <w:t>'''''''''''''''''''''''</w:t>
            </w:r>
          </w:p>
        </w:tc>
        <w:tc>
          <w:tcPr>
            <w:tcW w:w="1274" w:type="pct"/>
            <w:vAlign w:val="center"/>
          </w:tcPr>
          <w:p w14:paraId="0F6CB022"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$985,164</w:t>
            </w:r>
          </w:p>
        </w:tc>
        <w:tc>
          <w:tcPr>
            <w:tcW w:w="838" w:type="pct"/>
            <w:vAlign w:val="center"/>
          </w:tcPr>
          <w:p w14:paraId="57ADC20C"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w:t>
            </w:r>
            <w:r w:rsidR="003A37B7">
              <w:rPr>
                <w:rFonts w:ascii="Arial Narrow" w:hAnsi="Arial Narrow" w:cs="Times New Roman"/>
                <w:noProof/>
                <w:snapToGrid/>
                <w:color w:val="000000"/>
                <w:sz w:val="20"/>
                <w:szCs w:val="20"/>
                <w:highlight w:val="black"/>
              </w:rPr>
              <w:t>'''''''''''''''''''''''</w:t>
            </w:r>
          </w:p>
        </w:tc>
      </w:tr>
      <w:tr w:rsidR="00DB35C7" w:rsidRPr="00831A0A" w14:paraId="3F8B56A9" w14:textId="77777777" w:rsidTr="002062A5">
        <w:tc>
          <w:tcPr>
            <w:tcW w:w="1529" w:type="pct"/>
            <w:vAlign w:val="center"/>
          </w:tcPr>
          <w:p w14:paraId="78E8DF40" w14:textId="77777777" w:rsidR="00DB35C7" w:rsidRPr="00831A0A" w:rsidRDefault="0011164D" w:rsidP="002062A5">
            <w:pPr>
              <w:keepNext/>
              <w:keepLines/>
              <w:widowControl/>
              <w:jc w:val="left"/>
              <w:rPr>
                <w:rFonts w:ascii="Arial Narrow" w:hAnsi="Arial Narrow" w:cs="Times New Roman"/>
                <w:snapToGrid/>
                <w:sz w:val="20"/>
                <w:szCs w:val="20"/>
              </w:rPr>
            </w:pPr>
            <w:r w:rsidRPr="00831A0A">
              <w:rPr>
                <w:rFonts w:ascii="Arial Narrow" w:hAnsi="Arial Narrow" w:cs="Times New Roman"/>
                <w:snapToGrid/>
                <w:sz w:val="20"/>
                <w:szCs w:val="20"/>
              </w:rPr>
              <w:t>QALY</w:t>
            </w:r>
          </w:p>
        </w:tc>
        <w:tc>
          <w:tcPr>
            <w:tcW w:w="1359" w:type="pct"/>
            <w:vAlign w:val="center"/>
          </w:tcPr>
          <w:p w14:paraId="18C98793"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4.3846</w:t>
            </w:r>
          </w:p>
        </w:tc>
        <w:tc>
          <w:tcPr>
            <w:tcW w:w="1274" w:type="pct"/>
            <w:vAlign w:val="center"/>
          </w:tcPr>
          <w:p w14:paraId="0662C67B"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4.1665</w:t>
            </w:r>
          </w:p>
        </w:tc>
        <w:tc>
          <w:tcPr>
            <w:tcW w:w="838" w:type="pct"/>
            <w:vAlign w:val="center"/>
          </w:tcPr>
          <w:p w14:paraId="16651961"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0.2180</w:t>
            </w:r>
          </w:p>
        </w:tc>
      </w:tr>
      <w:tr w:rsidR="00DB35C7" w:rsidRPr="00831A0A" w14:paraId="333E798F" w14:textId="77777777" w:rsidTr="002062A5">
        <w:tc>
          <w:tcPr>
            <w:tcW w:w="4162" w:type="pct"/>
            <w:gridSpan w:val="3"/>
            <w:vAlign w:val="center"/>
          </w:tcPr>
          <w:p w14:paraId="5F88629D" w14:textId="77777777" w:rsidR="00DB35C7" w:rsidRPr="00831A0A" w:rsidRDefault="00DB35C7" w:rsidP="0011164D">
            <w:pPr>
              <w:keepNext/>
              <w:keepLines/>
              <w:widowControl/>
              <w:jc w:val="left"/>
              <w:rPr>
                <w:rFonts w:ascii="Arial Narrow" w:hAnsi="Arial Narrow" w:cs="Times New Roman"/>
                <w:snapToGrid/>
                <w:sz w:val="20"/>
                <w:szCs w:val="20"/>
              </w:rPr>
            </w:pPr>
            <w:r w:rsidRPr="00831A0A">
              <w:rPr>
                <w:rFonts w:ascii="Arial Narrow" w:hAnsi="Arial Narrow" w:cs="Times New Roman"/>
                <w:snapToGrid/>
                <w:sz w:val="20"/>
                <w:szCs w:val="20"/>
              </w:rPr>
              <w:t xml:space="preserve">Incremental cost/extra </w:t>
            </w:r>
            <w:r w:rsidR="0011164D" w:rsidRPr="00831A0A">
              <w:rPr>
                <w:rFonts w:ascii="Arial Narrow" w:hAnsi="Arial Narrow" w:cs="Times New Roman"/>
                <w:snapToGrid/>
                <w:sz w:val="20"/>
                <w:szCs w:val="20"/>
              </w:rPr>
              <w:t>QALY</w:t>
            </w:r>
            <w:r w:rsidRPr="00831A0A">
              <w:rPr>
                <w:rFonts w:ascii="Arial Narrow" w:hAnsi="Arial Narrow" w:cs="Times New Roman"/>
                <w:snapToGrid/>
                <w:sz w:val="20"/>
                <w:szCs w:val="20"/>
              </w:rPr>
              <w:t xml:space="preserve"> gained</w:t>
            </w:r>
          </w:p>
        </w:tc>
        <w:tc>
          <w:tcPr>
            <w:tcW w:w="838" w:type="pct"/>
            <w:vAlign w:val="center"/>
          </w:tcPr>
          <w:p w14:paraId="0E3C1D58" w14:textId="77777777" w:rsidR="00DB35C7" w:rsidRPr="00831A0A" w:rsidRDefault="00DB35C7" w:rsidP="002062A5">
            <w:pPr>
              <w:keepNext/>
              <w:keepLines/>
              <w:widowControl/>
              <w:jc w:val="center"/>
              <w:rPr>
                <w:rFonts w:ascii="Arial Narrow" w:hAnsi="Arial Narrow" w:cs="Times New Roman"/>
                <w:snapToGrid/>
                <w:sz w:val="20"/>
                <w:szCs w:val="20"/>
              </w:rPr>
            </w:pPr>
            <w:r w:rsidRPr="00831A0A">
              <w:rPr>
                <w:rFonts w:ascii="Arial Narrow" w:hAnsi="Arial Narrow" w:cs="Times New Roman"/>
                <w:snapToGrid/>
                <w:sz w:val="20"/>
                <w:szCs w:val="20"/>
              </w:rPr>
              <w:t>$</w:t>
            </w:r>
            <w:r w:rsidR="003A37B7">
              <w:rPr>
                <w:rFonts w:ascii="Arial Narrow" w:hAnsi="Arial Narrow" w:cs="Times New Roman"/>
                <w:noProof/>
                <w:snapToGrid/>
                <w:color w:val="000000"/>
                <w:sz w:val="20"/>
                <w:szCs w:val="20"/>
                <w:highlight w:val="black"/>
              </w:rPr>
              <w:t>''''''''''''''''''''''''</w:t>
            </w:r>
            <w:r w:rsidR="00731BDD">
              <w:rPr>
                <w:rFonts w:ascii="Arial Narrow" w:hAnsi="Arial Narrow"/>
                <w:sz w:val="18"/>
                <w:szCs w:val="18"/>
                <w:vertAlign w:val="superscript"/>
              </w:rPr>
              <w:t>1</w:t>
            </w:r>
          </w:p>
        </w:tc>
      </w:tr>
    </w:tbl>
    <w:p w14:paraId="7ECA2C73" w14:textId="77777777" w:rsidR="00DB35C7" w:rsidRPr="003A44F8" w:rsidRDefault="00DB35C7" w:rsidP="00DB35C7">
      <w:pPr>
        <w:keepNext/>
        <w:keepLines/>
        <w:rPr>
          <w:rFonts w:ascii="Arial Narrow" w:hAnsi="Arial Narrow"/>
          <w:sz w:val="18"/>
          <w:szCs w:val="18"/>
        </w:rPr>
      </w:pPr>
      <w:r w:rsidRPr="003A44F8">
        <w:rPr>
          <w:rFonts w:ascii="Arial Narrow" w:hAnsi="Arial Narrow"/>
          <w:sz w:val="18"/>
          <w:szCs w:val="18"/>
        </w:rPr>
        <w:t xml:space="preserve">Text in italics indicate values calculated during evaluation (Removed discounting from year 1 and excluded carer utilities) </w:t>
      </w:r>
    </w:p>
    <w:p w14:paraId="2D183F40" w14:textId="77777777" w:rsidR="00DB35C7" w:rsidRDefault="00DB35C7" w:rsidP="00DB35C7">
      <w:pPr>
        <w:keepNext/>
        <w:keepLines/>
        <w:rPr>
          <w:rFonts w:ascii="Arial Narrow" w:hAnsi="Arial Narrow"/>
          <w:sz w:val="18"/>
          <w:szCs w:val="18"/>
        </w:rPr>
      </w:pPr>
      <w:r w:rsidRPr="003A44F8">
        <w:rPr>
          <w:rFonts w:ascii="Arial Narrow" w:hAnsi="Arial Narrow"/>
          <w:sz w:val="18"/>
          <w:szCs w:val="18"/>
        </w:rPr>
        <w:t>Source: Constructed during evaluation using Economic Evaluation_Population 3.xlsm.</w:t>
      </w:r>
    </w:p>
    <w:p w14:paraId="163F3D50" w14:textId="77777777" w:rsidR="00BB6DAE" w:rsidRPr="00E61675" w:rsidRDefault="00BB6DAE" w:rsidP="00DB35C7">
      <w:pPr>
        <w:keepNext/>
        <w:keepLines/>
        <w:rPr>
          <w:rFonts w:ascii="Arial Narrow" w:hAnsi="Arial Narrow"/>
          <w:i/>
          <w:sz w:val="18"/>
          <w:szCs w:val="18"/>
        </w:rPr>
      </w:pPr>
      <w:r w:rsidRPr="00E61675">
        <w:rPr>
          <w:rFonts w:ascii="Arial Narrow" w:hAnsi="Arial Narrow"/>
          <w:i/>
          <w:sz w:val="18"/>
          <w:szCs w:val="18"/>
        </w:rPr>
        <w:t>The redacted values correspond to the following ranges:</w:t>
      </w:r>
    </w:p>
    <w:p w14:paraId="131FEF58" w14:textId="77777777" w:rsidR="00BB6DAE" w:rsidRPr="00E61675" w:rsidRDefault="00BB6DAE" w:rsidP="00DB35C7">
      <w:pPr>
        <w:keepNext/>
        <w:keepLines/>
        <w:rPr>
          <w:rFonts w:ascii="Arial Narrow" w:hAnsi="Arial Narrow"/>
          <w:i/>
          <w:sz w:val="18"/>
          <w:szCs w:val="18"/>
        </w:rPr>
      </w:pPr>
      <w:r w:rsidRPr="00E61675">
        <w:rPr>
          <w:rFonts w:ascii="Arial Narrow" w:hAnsi="Arial Narrow"/>
          <w:i/>
          <w:sz w:val="18"/>
          <w:szCs w:val="18"/>
          <w:vertAlign w:val="superscript"/>
        </w:rPr>
        <w:t>1</w:t>
      </w:r>
      <w:r w:rsidRPr="00E61675">
        <w:rPr>
          <w:rFonts w:ascii="Arial Narrow" w:hAnsi="Arial Narrow"/>
          <w:i/>
          <w:sz w:val="18"/>
          <w:szCs w:val="18"/>
        </w:rPr>
        <w:t xml:space="preserve">  </w:t>
      </w:r>
      <w:r w:rsidR="005726A4">
        <w:rPr>
          <w:rFonts w:ascii="Arial Narrow" w:hAnsi="Arial Narrow"/>
          <w:i/>
          <w:sz w:val="18"/>
          <w:szCs w:val="18"/>
        </w:rPr>
        <w:t>&gt; $1,055,000/QALY gained</w:t>
      </w:r>
    </w:p>
    <w:p w14:paraId="4B2DCF2C" w14:textId="77777777" w:rsidR="00DB35C7" w:rsidRDefault="00DB35C7" w:rsidP="00E723BA"/>
    <w:p w14:paraId="37719A69" w14:textId="77777777" w:rsidR="005A373D" w:rsidRPr="00831A0A" w:rsidRDefault="00DB35C7" w:rsidP="00DB35C7">
      <w:pPr>
        <w:pStyle w:val="ListParagraph"/>
        <w:widowControl/>
        <w:numPr>
          <w:ilvl w:val="1"/>
          <w:numId w:val="2"/>
        </w:numPr>
        <w:rPr>
          <w:iCs/>
        </w:rPr>
      </w:pPr>
      <w:r w:rsidRPr="00831A0A">
        <w:t xml:space="preserve">The </w:t>
      </w:r>
      <w:r w:rsidR="004E5522" w:rsidRPr="007B3DA4">
        <w:t xml:space="preserve">ESC noted that the </w:t>
      </w:r>
      <w:r w:rsidRPr="00831A0A">
        <w:t xml:space="preserve">base case ICER presented by the submission was </w:t>
      </w:r>
      <w:r w:rsidR="001B4488">
        <w:t>&gt; $1,055,000</w:t>
      </w:r>
      <w:r w:rsidRPr="00831A0A">
        <w:t xml:space="preserve">/QALY when considering patient utility only. The </w:t>
      </w:r>
      <w:r w:rsidR="00BF12CD">
        <w:t>&gt; $1,055,000</w:t>
      </w:r>
      <w:r w:rsidRPr="00831A0A">
        <w:t xml:space="preserve">/QALY quoted by the submission included ‘spill-over’ utility to caregivers, which effectively doubled the QALY gain (0.218 to 0.399). </w:t>
      </w:r>
    </w:p>
    <w:p w14:paraId="1C3D764E" w14:textId="77777777" w:rsidR="0014357A" w:rsidRPr="004E5522" w:rsidRDefault="0014357A" w:rsidP="00DB35C7">
      <w:pPr>
        <w:pStyle w:val="ListParagraph"/>
        <w:widowControl/>
        <w:numPr>
          <w:ilvl w:val="1"/>
          <w:numId w:val="2"/>
        </w:numPr>
        <w:rPr>
          <w:iCs/>
        </w:rPr>
      </w:pPr>
      <w:r w:rsidRPr="00831A0A">
        <w:t xml:space="preserve">A range of univariate sensitivity analyses were conducted during the evaluation, including variations around extrapolation functions, </w:t>
      </w:r>
      <w:r w:rsidR="00096BF8">
        <w:t xml:space="preserve">the </w:t>
      </w:r>
      <w:r w:rsidRPr="00831A0A">
        <w:t xml:space="preserve">price of risdiplam and utility </w:t>
      </w:r>
      <w:r w:rsidRPr="00831A0A">
        <w:lastRenderedPageBreak/>
        <w:t>sources</w:t>
      </w:r>
      <w:r w:rsidR="0017448C">
        <w:t xml:space="preserve"> (</w:t>
      </w:r>
      <w:r w:rsidR="009825B3" w:rsidRPr="009825B3">
        <w:rPr>
          <w:rFonts w:asciiTheme="minorHAnsi" w:hAnsiTheme="minorHAnsi" w:cstheme="minorHAnsi"/>
        </w:rPr>
        <w:t>Table</w:t>
      </w:r>
      <w:r w:rsidR="009825B3" w:rsidRPr="009825B3">
        <w:t xml:space="preserve"> </w:t>
      </w:r>
      <w:r w:rsidR="009825B3" w:rsidRPr="009825B3">
        <w:rPr>
          <w:rFonts w:asciiTheme="minorHAnsi" w:hAnsiTheme="minorHAnsi" w:cstheme="minorHAnsi"/>
        </w:rPr>
        <w:t>16</w:t>
      </w:r>
      <w:r w:rsidR="0017448C">
        <w:t>)</w:t>
      </w:r>
      <w:r w:rsidRPr="00831A0A">
        <w:t xml:space="preserve">. </w:t>
      </w:r>
      <w:r w:rsidR="0017448C" w:rsidRPr="007B3DA4">
        <w:t>The ESC noted tha</w:t>
      </w:r>
      <w:r w:rsidR="0017448C">
        <w:t>t i</w:t>
      </w:r>
      <w:r w:rsidRPr="00831A0A">
        <w:t xml:space="preserve">n no reasonable scenario did the ICER fall below </w:t>
      </w:r>
      <w:r w:rsidR="00BF12CD">
        <w:t>&gt; $1,055,000</w:t>
      </w:r>
      <w:r w:rsidRPr="00831A0A">
        <w:t>/QALY</w:t>
      </w:r>
      <w:r w:rsidR="0017448C">
        <w:t xml:space="preserve">. </w:t>
      </w:r>
    </w:p>
    <w:p w14:paraId="7CF03EBC" w14:textId="77777777" w:rsidR="0017448C" w:rsidRPr="007B3DA4" w:rsidRDefault="0017448C" w:rsidP="007B3DA4">
      <w:pPr>
        <w:keepNext/>
        <w:keepLines/>
        <w:rPr>
          <w:rStyle w:val="CommentReference"/>
        </w:rPr>
      </w:pPr>
      <w:bookmarkStart w:id="45" w:name="_Ref64969632"/>
      <w:r w:rsidRPr="007B3DA4">
        <w:rPr>
          <w:rStyle w:val="CommentReference"/>
        </w:rPr>
        <w:t xml:space="preserve">Table </w:t>
      </w:r>
      <w:r w:rsidR="009825B3">
        <w:rPr>
          <w:rStyle w:val="CommentReference"/>
          <w:noProof/>
        </w:rPr>
        <w:t>16</w:t>
      </w:r>
      <w:bookmarkEnd w:id="45"/>
      <w:r w:rsidRPr="007B3DA4">
        <w:rPr>
          <w:rStyle w:val="CommentReference"/>
        </w:rPr>
        <w:t>:  Results of sensitivity analyses conducted during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1137"/>
        <w:gridCol w:w="1137"/>
        <w:gridCol w:w="1301"/>
        <w:gridCol w:w="869"/>
      </w:tblGrid>
      <w:tr w:rsidR="0017448C" w:rsidRPr="007B3DA4" w14:paraId="56236677" w14:textId="77777777" w:rsidTr="00D217A8">
        <w:trPr>
          <w:tblHeader/>
        </w:trPr>
        <w:tc>
          <w:tcPr>
            <w:tcW w:w="2644" w:type="pct"/>
          </w:tcPr>
          <w:p w14:paraId="27A3BF8A" w14:textId="77777777" w:rsidR="0017448C" w:rsidRPr="007B3DA4" w:rsidRDefault="0017448C" w:rsidP="00B402F5">
            <w:pPr>
              <w:keepNext/>
              <w:keepLines/>
              <w:widowControl/>
              <w:tabs>
                <w:tab w:val="left" w:pos="142"/>
              </w:tabs>
              <w:jc w:val="left"/>
              <w:rPr>
                <w:rFonts w:ascii="Arial Narrow" w:hAnsi="Arial Narrow" w:cs="Times New Roman"/>
                <w:b/>
                <w:snapToGrid/>
                <w:sz w:val="20"/>
              </w:rPr>
            </w:pPr>
            <w:r w:rsidRPr="007B3DA4">
              <w:rPr>
                <w:rFonts w:ascii="Arial Narrow" w:hAnsi="Arial Narrow" w:cs="Times New Roman"/>
                <w:b/>
                <w:snapToGrid/>
                <w:sz w:val="20"/>
              </w:rPr>
              <w:t>Analyses</w:t>
            </w:r>
          </w:p>
        </w:tc>
        <w:tc>
          <w:tcPr>
            <w:tcW w:w="627" w:type="pct"/>
          </w:tcPr>
          <w:p w14:paraId="4FF7D3BE" w14:textId="77777777" w:rsidR="0017448C" w:rsidRPr="007B3DA4" w:rsidRDefault="0017448C" w:rsidP="00B402F5">
            <w:pPr>
              <w:keepNext/>
              <w:keepLines/>
              <w:widowControl/>
              <w:jc w:val="center"/>
              <w:rPr>
                <w:rFonts w:ascii="Arial Narrow" w:hAnsi="Arial Narrow" w:cs="Times New Roman"/>
                <w:b/>
                <w:snapToGrid/>
                <w:sz w:val="20"/>
              </w:rPr>
            </w:pPr>
            <w:r w:rsidRPr="007B3DA4">
              <w:rPr>
                <w:rFonts w:ascii="Arial Narrow" w:hAnsi="Arial Narrow" w:cs="Times New Roman"/>
                <w:b/>
                <w:snapToGrid/>
                <w:sz w:val="20"/>
              </w:rPr>
              <w:t>Incremental cost</w:t>
            </w:r>
          </w:p>
        </w:tc>
        <w:tc>
          <w:tcPr>
            <w:tcW w:w="627" w:type="pct"/>
          </w:tcPr>
          <w:p w14:paraId="71830C38" w14:textId="77777777" w:rsidR="0017448C" w:rsidRPr="007B3DA4" w:rsidRDefault="0017448C" w:rsidP="00B402F5">
            <w:pPr>
              <w:keepNext/>
              <w:keepLines/>
              <w:widowControl/>
              <w:jc w:val="center"/>
              <w:rPr>
                <w:rFonts w:ascii="Arial Narrow" w:hAnsi="Arial Narrow" w:cs="Times New Roman"/>
                <w:b/>
                <w:snapToGrid/>
                <w:sz w:val="20"/>
              </w:rPr>
            </w:pPr>
            <w:r w:rsidRPr="007B3DA4">
              <w:rPr>
                <w:rFonts w:ascii="Arial Narrow" w:hAnsi="Arial Narrow" w:cs="Times New Roman"/>
                <w:b/>
                <w:snapToGrid/>
                <w:sz w:val="20"/>
              </w:rPr>
              <w:t>Incremental QALY</w:t>
            </w:r>
          </w:p>
        </w:tc>
        <w:tc>
          <w:tcPr>
            <w:tcW w:w="623" w:type="pct"/>
          </w:tcPr>
          <w:p w14:paraId="4B78A546" w14:textId="77777777" w:rsidR="0017448C" w:rsidRPr="007B3DA4" w:rsidRDefault="0017448C" w:rsidP="00B402F5">
            <w:pPr>
              <w:keepNext/>
              <w:keepLines/>
              <w:widowControl/>
              <w:jc w:val="center"/>
              <w:rPr>
                <w:rFonts w:ascii="Arial Narrow" w:hAnsi="Arial Narrow" w:cs="Times New Roman"/>
                <w:b/>
                <w:snapToGrid/>
                <w:sz w:val="20"/>
              </w:rPr>
            </w:pPr>
            <w:r w:rsidRPr="007B3DA4">
              <w:rPr>
                <w:rFonts w:ascii="Arial Narrow" w:hAnsi="Arial Narrow" w:cs="Times New Roman"/>
                <w:b/>
                <w:snapToGrid/>
                <w:sz w:val="20"/>
              </w:rPr>
              <w:t>ICER</w:t>
            </w:r>
          </w:p>
        </w:tc>
        <w:tc>
          <w:tcPr>
            <w:tcW w:w="479" w:type="pct"/>
          </w:tcPr>
          <w:p w14:paraId="6E693BAE" w14:textId="77777777" w:rsidR="0017448C" w:rsidRPr="007B3DA4" w:rsidRDefault="0017448C" w:rsidP="00B402F5">
            <w:pPr>
              <w:keepNext/>
              <w:keepLines/>
              <w:widowControl/>
              <w:jc w:val="center"/>
              <w:rPr>
                <w:rFonts w:ascii="Arial Narrow" w:hAnsi="Arial Narrow" w:cs="Times New Roman"/>
                <w:b/>
                <w:snapToGrid/>
                <w:sz w:val="20"/>
              </w:rPr>
            </w:pPr>
            <w:r w:rsidRPr="007B3DA4">
              <w:rPr>
                <w:rFonts w:ascii="Arial Narrow" w:hAnsi="Arial Narrow" w:cs="Times New Roman"/>
                <w:b/>
                <w:snapToGrid/>
                <w:sz w:val="20"/>
              </w:rPr>
              <w:t>Percent change</w:t>
            </w:r>
          </w:p>
        </w:tc>
      </w:tr>
      <w:tr w:rsidR="0017448C" w:rsidRPr="007B3DA4" w14:paraId="63E370CC" w14:textId="77777777" w:rsidTr="00D217A8">
        <w:tc>
          <w:tcPr>
            <w:tcW w:w="2644" w:type="pct"/>
          </w:tcPr>
          <w:p w14:paraId="271EBE92" w14:textId="77777777" w:rsidR="0017448C" w:rsidRPr="007B3DA4" w:rsidRDefault="0017448C" w:rsidP="00B402F5">
            <w:pPr>
              <w:keepNext/>
              <w:keepLines/>
              <w:widowControl/>
              <w:tabs>
                <w:tab w:val="left" w:pos="142"/>
              </w:tabs>
              <w:jc w:val="left"/>
              <w:rPr>
                <w:rFonts w:ascii="Arial Narrow" w:hAnsi="Arial Narrow" w:cs="Times New Roman"/>
                <w:b/>
                <w:snapToGrid/>
                <w:sz w:val="20"/>
              </w:rPr>
            </w:pPr>
            <w:r w:rsidRPr="007B3DA4">
              <w:rPr>
                <w:rFonts w:ascii="Arial Narrow" w:hAnsi="Arial Narrow" w:cs="Times New Roman"/>
                <w:b/>
                <w:snapToGrid/>
                <w:sz w:val="20"/>
              </w:rPr>
              <w:t>Base case</w:t>
            </w:r>
          </w:p>
        </w:tc>
        <w:tc>
          <w:tcPr>
            <w:tcW w:w="627" w:type="pct"/>
          </w:tcPr>
          <w:p w14:paraId="6181AA9F" w14:textId="77777777" w:rsidR="0017448C" w:rsidRPr="007B3DA4" w:rsidRDefault="0017448C" w:rsidP="00B402F5">
            <w:pPr>
              <w:keepNext/>
              <w:keepLines/>
              <w:widowControl/>
              <w:jc w:val="center"/>
              <w:rPr>
                <w:rFonts w:ascii="Arial Narrow" w:hAnsi="Arial Narrow" w:cs="Times New Roman"/>
                <w:b/>
                <w:snapToGrid/>
                <w:sz w:val="20"/>
              </w:rPr>
            </w:pPr>
            <w:r w:rsidRPr="007B3DA4">
              <w:rPr>
                <w:rFonts w:ascii="Arial Narrow" w:hAnsi="Arial Narrow" w:cs="Times New Roman"/>
                <w:b/>
                <w:snapToGrid/>
                <w:sz w:val="20"/>
              </w:rPr>
              <w:t>$</w:t>
            </w:r>
            <w:r w:rsidR="003A37B7">
              <w:rPr>
                <w:rFonts w:ascii="Arial Narrow" w:hAnsi="Arial Narrow" w:cs="Times New Roman"/>
                <w:b/>
                <w:noProof/>
                <w:snapToGrid/>
                <w:color w:val="000000"/>
                <w:sz w:val="20"/>
                <w:highlight w:val="black"/>
              </w:rPr>
              <w:t>'''''''''''''''''''''</w:t>
            </w:r>
          </w:p>
        </w:tc>
        <w:tc>
          <w:tcPr>
            <w:tcW w:w="627" w:type="pct"/>
          </w:tcPr>
          <w:p w14:paraId="467B8FD2" w14:textId="77777777" w:rsidR="0017448C" w:rsidRPr="007B3DA4" w:rsidRDefault="0017448C" w:rsidP="00B402F5">
            <w:pPr>
              <w:keepNext/>
              <w:keepLines/>
              <w:widowControl/>
              <w:jc w:val="center"/>
              <w:rPr>
                <w:rFonts w:ascii="Arial Narrow" w:hAnsi="Arial Narrow" w:cs="Times New Roman"/>
                <w:b/>
                <w:snapToGrid/>
                <w:sz w:val="20"/>
              </w:rPr>
            </w:pPr>
            <w:r w:rsidRPr="007B3DA4">
              <w:rPr>
                <w:rFonts w:ascii="Arial Narrow" w:hAnsi="Arial Narrow" w:cs="Times New Roman"/>
                <w:b/>
                <w:snapToGrid/>
                <w:sz w:val="20"/>
              </w:rPr>
              <w:t>0.2180</w:t>
            </w:r>
          </w:p>
        </w:tc>
        <w:tc>
          <w:tcPr>
            <w:tcW w:w="623" w:type="pct"/>
          </w:tcPr>
          <w:p w14:paraId="0D494103" w14:textId="77777777" w:rsidR="0017448C" w:rsidRPr="007B3DA4" w:rsidRDefault="0017448C" w:rsidP="00B402F5">
            <w:pPr>
              <w:keepNext/>
              <w:keepLines/>
              <w:widowControl/>
              <w:jc w:val="center"/>
              <w:rPr>
                <w:rFonts w:ascii="Arial Narrow" w:hAnsi="Arial Narrow" w:cs="Times New Roman"/>
                <w:b/>
                <w:snapToGrid/>
                <w:sz w:val="20"/>
              </w:rPr>
            </w:pPr>
            <w:r w:rsidRPr="007B3DA4">
              <w:rPr>
                <w:rFonts w:ascii="Arial Narrow" w:hAnsi="Arial Narrow" w:cs="Times New Roman"/>
                <w:b/>
                <w:snapToGrid/>
                <w:sz w:val="20"/>
              </w:rPr>
              <w:t>$</w:t>
            </w:r>
            <w:r w:rsidR="003A37B7">
              <w:rPr>
                <w:rFonts w:ascii="Arial Narrow" w:hAnsi="Arial Narrow" w:cs="Times New Roman"/>
                <w:b/>
                <w:noProof/>
                <w:snapToGrid/>
                <w:color w:val="000000"/>
                <w:sz w:val="20"/>
                <w:highlight w:val="black"/>
              </w:rPr>
              <w:t>'''''''''''''''''''</w:t>
            </w:r>
            <w:r w:rsidR="00E61675" w:rsidRPr="00E61675">
              <w:rPr>
                <w:rFonts w:ascii="Arial Narrow" w:hAnsi="Arial Narrow"/>
                <w:sz w:val="20"/>
                <w:szCs w:val="20"/>
                <w:vertAlign w:val="superscript"/>
              </w:rPr>
              <w:t>1</w:t>
            </w:r>
          </w:p>
        </w:tc>
        <w:tc>
          <w:tcPr>
            <w:tcW w:w="479" w:type="pct"/>
          </w:tcPr>
          <w:p w14:paraId="4E4FBBC6" w14:textId="77777777" w:rsidR="0017448C" w:rsidRPr="007B3DA4" w:rsidRDefault="0017448C" w:rsidP="00B402F5">
            <w:pPr>
              <w:keepNext/>
              <w:keepLines/>
              <w:widowControl/>
              <w:jc w:val="center"/>
              <w:rPr>
                <w:rFonts w:ascii="Arial Narrow" w:hAnsi="Arial Narrow" w:cs="Times New Roman"/>
                <w:b/>
                <w:snapToGrid/>
                <w:sz w:val="20"/>
              </w:rPr>
            </w:pPr>
            <w:r w:rsidRPr="007B3DA4">
              <w:rPr>
                <w:rFonts w:ascii="Arial Narrow" w:hAnsi="Arial Narrow" w:cs="Times New Roman"/>
                <w:b/>
                <w:snapToGrid/>
                <w:sz w:val="20"/>
              </w:rPr>
              <w:t>NA</w:t>
            </w:r>
          </w:p>
        </w:tc>
      </w:tr>
      <w:tr w:rsidR="0017448C" w:rsidRPr="007B3DA4" w14:paraId="66F6B74C" w14:textId="77777777" w:rsidTr="00D217A8">
        <w:tc>
          <w:tcPr>
            <w:tcW w:w="2644" w:type="pct"/>
          </w:tcPr>
          <w:p w14:paraId="276B2218" w14:textId="77777777" w:rsidR="0017448C" w:rsidRPr="007B3DA4" w:rsidRDefault="0017448C" w:rsidP="00B402F5">
            <w:pPr>
              <w:keepNext/>
              <w:keepLines/>
              <w:widowControl/>
              <w:tabs>
                <w:tab w:val="left" w:pos="142"/>
              </w:tabs>
              <w:jc w:val="left"/>
              <w:rPr>
                <w:rFonts w:ascii="Arial Narrow" w:hAnsi="Arial Narrow" w:cs="Times New Roman"/>
                <w:snapToGrid/>
                <w:sz w:val="20"/>
              </w:rPr>
            </w:pPr>
            <w:r w:rsidRPr="007B3DA4">
              <w:rPr>
                <w:rFonts w:ascii="Arial Narrow" w:hAnsi="Arial Narrow" w:cs="Times New Roman"/>
                <w:snapToGrid/>
                <w:sz w:val="20"/>
              </w:rPr>
              <w:t xml:space="preserve">Using NatHis transition probabilities and applying SUNFISH Part 2 ITT HR (base case SUNFISH Part 2 ≥12 years) </w:t>
            </w:r>
          </w:p>
        </w:tc>
        <w:tc>
          <w:tcPr>
            <w:tcW w:w="627" w:type="pct"/>
          </w:tcPr>
          <w:p w14:paraId="5407C058"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w:t>
            </w:r>
            <w:r w:rsidR="003A37B7">
              <w:rPr>
                <w:rFonts w:ascii="Arial Narrow" w:hAnsi="Arial Narrow" w:cs="Times New Roman"/>
                <w:noProof/>
                <w:snapToGrid/>
                <w:color w:val="000000"/>
                <w:sz w:val="20"/>
                <w:highlight w:val="black"/>
              </w:rPr>
              <w:t>''''''''''''''''''''''''</w:t>
            </w:r>
          </w:p>
        </w:tc>
        <w:tc>
          <w:tcPr>
            <w:tcW w:w="627" w:type="pct"/>
          </w:tcPr>
          <w:p w14:paraId="486AD0B3"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0.113</w:t>
            </w:r>
          </w:p>
        </w:tc>
        <w:tc>
          <w:tcPr>
            <w:tcW w:w="623" w:type="pct"/>
          </w:tcPr>
          <w:p w14:paraId="44D54FF9"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w:t>
            </w:r>
            <w:r w:rsidR="003A37B7">
              <w:rPr>
                <w:rFonts w:ascii="Arial Narrow" w:hAnsi="Arial Narrow" w:cs="Times New Roman"/>
                <w:noProof/>
                <w:snapToGrid/>
                <w:color w:val="000000"/>
                <w:sz w:val="20"/>
                <w:highlight w:val="black"/>
              </w:rPr>
              <w:t>'''''''''''''''''''''''''''''</w:t>
            </w:r>
            <w:r w:rsidR="00E61675" w:rsidRPr="00E61675">
              <w:rPr>
                <w:vertAlign w:val="superscript"/>
              </w:rPr>
              <w:t>1</w:t>
            </w:r>
          </w:p>
        </w:tc>
        <w:tc>
          <w:tcPr>
            <w:tcW w:w="479" w:type="pct"/>
          </w:tcPr>
          <w:p w14:paraId="4669E158"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+92.67%</w:t>
            </w:r>
          </w:p>
        </w:tc>
      </w:tr>
      <w:tr w:rsidR="0017448C" w:rsidRPr="007B3DA4" w14:paraId="7338427C" w14:textId="77777777" w:rsidTr="00D217A8">
        <w:tc>
          <w:tcPr>
            <w:tcW w:w="2644" w:type="pct"/>
          </w:tcPr>
          <w:p w14:paraId="21E2BFA5" w14:textId="77777777" w:rsidR="0017448C" w:rsidRPr="007B3DA4" w:rsidRDefault="0017448C" w:rsidP="00B402F5">
            <w:pPr>
              <w:keepNext/>
              <w:keepLines/>
              <w:widowControl/>
              <w:tabs>
                <w:tab w:val="left" w:pos="142"/>
              </w:tabs>
              <w:jc w:val="left"/>
              <w:rPr>
                <w:rFonts w:ascii="Arial Narrow" w:hAnsi="Arial Narrow" w:cs="Times New Roman"/>
                <w:snapToGrid/>
                <w:sz w:val="20"/>
                <w:vertAlign w:val="superscript"/>
              </w:rPr>
            </w:pPr>
            <w:r w:rsidRPr="007B3DA4">
              <w:rPr>
                <w:rFonts w:ascii="Arial Narrow" w:hAnsi="Arial Narrow" w:cs="Times New Roman"/>
                <w:snapToGrid/>
                <w:sz w:val="20"/>
              </w:rPr>
              <w:t>Including Belter 2018 for OS estimates (base case: exclude Belter 2018) – Gompertz functional form</w:t>
            </w:r>
            <w:r w:rsidRPr="007B3DA4">
              <w:rPr>
                <w:rFonts w:ascii="Arial Narrow" w:hAnsi="Arial Narrow" w:cs="Times New Roman"/>
                <w:snapToGrid/>
                <w:sz w:val="20"/>
                <w:vertAlign w:val="superscript"/>
              </w:rPr>
              <w:t>a</w:t>
            </w:r>
          </w:p>
        </w:tc>
        <w:tc>
          <w:tcPr>
            <w:tcW w:w="627" w:type="pct"/>
          </w:tcPr>
          <w:p w14:paraId="12DED909"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w:t>
            </w:r>
            <w:r w:rsidR="003A37B7">
              <w:rPr>
                <w:rFonts w:ascii="Arial Narrow" w:hAnsi="Arial Narrow" w:cs="Times New Roman"/>
                <w:noProof/>
                <w:snapToGrid/>
                <w:color w:val="000000"/>
                <w:sz w:val="20"/>
                <w:highlight w:val="black"/>
              </w:rPr>
              <w:t>''''''''''''''''''''''''</w:t>
            </w:r>
          </w:p>
        </w:tc>
        <w:tc>
          <w:tcPr>
            <w:tcW w:w="627" w:type="pct"/>
          </w:tcPr>
          <w:p w14:paraId="0A38FBAD"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0.230</w:t>
            </w:r>
          </w:p>
        </w:tc>
        <w:tc>
          <w:tcPr>
            <w:tcW w:w="623" w:type="pct"/>
          </w:tcPr>
          <w:p w14:paraId="471BC150"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w:t>
            </w:r>
            <w:r w:rsidR="003A37B7">
              <w:rPr>
                <w:rFonts w:ascii="Arial Narrow" w:hAnsi="Arial Narrow" w:cs="Times New Roman"/>
                <w:noProof/>
                <w:snapToGrid/>
                <w:color w:val="000000"/>
                <w:sz w:val="20"/>
                <w:highlight w:val="black"/>
              </w:rPr>
              <w:t>'''''''''''''''''''''''''''</w:t>
            </w:r>
            <w:r w:rsidR="00E61675" w:rsidRPr="00E61675">
              <w:rPr>
                <w:vertAlign w:val="superscript"/>
              </w:rPr>
              <w:t>1</w:t>
            </w:r>
          </w:p>
        </w:tc>
        <w:tc>
          <w:tcPr>
            <w:tcW w:w="479" w:type="pct"/>
          </w:tcPr>
          <w:p w14:paraId="0ED3ED03"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-0.70%</w:t>
            </w:r>
          </w:p>
        </w:tc>
      </w:tr>
      <w:tr w:rsidR="0017448C" w:rsidRPr="007B3DA4" w14:paraId="79162ACC" w14:textId="77777777" w:rsidTr="00D217A8">
        <w:tc>
          <w:tcPr>
            <w:tcW w:w="2644" w:type="pct"/>
          </w:tcPr>
          <w:p w14:paraId="505B8A4E" w14:textId="77777777" w:rsidR="0017448C" w:rsidRPr="007B3DA4" w:rsidRDefault="0017448C" w:rsidP="00B402F5">
            <w:pPr>
              <w:keepNext/>
              <w:keepLines/>
              <w:widowControl/>
              <w:tabs>
                <w:tab w:val="left" w:pos="142"/>
              </w:tabs>
              <w:jc w:val="left"/>
              <w:rPr>
                <w:rFonts w:ascii="Arial Narrow" w:hAnsi="Arial Narrow" w:cs="Times New Roman"/>
                <w:snapToGrid/>
                <w:sz w:val="20"/>
              </w:rPr>
            </w:pPr>
            <w:r w:rsidRPr="007B3DA4">
              <w:rPr>
                <w:rFonts w:ascii="Arial Narrow" w:hAnsi="Arial Narrow" w:cs="Times New Roman"/>
                <w:snapToGrid/>
                <w:sz w:val="20"/>
              </w:rPr>
              <w:t>Change OS functional form to Weibull (base case Gompertz)</w:t>
            </w:r>
          </w:p>
        </w:tc>
        <w:tc>
          <w:tcPr>
            <w:tcW w:w="627" w:type="pct"/>
          </w:tcPr>
          <w:p w14:paraId="62D5A488"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w:t>
            </w:r>
            <w:r w:rsidR="003A37B7">
              <w:rPr>
                <w:rFonts w:ascii="Arial Narrow" w:hAnsi="Arial Narrow" w:cs="Times New Roman"/>
                <w:noProof/>
                <w:snapToGrid/>
                <w:color w:val="000000"/>
                <w:sz w:val="20"/>
                <w:highlight w:val="black"/>
              </w:rPr>
              <w:t>''''''''''''''''''''''</w:t>
            </w:r>
          </w:p>
        </w:tc>
        <w:tc>
          <w:tcPr>
            <w:tcW w:w="627" w:type="pct"/>
          </w:tcPr>
          <w:p w14:paraId="3915D936"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0.218</w:t>
            </w:r>
          </w:p>
        </w:tc>
        <w:tc>
          <w:tcPr>
            <w:tcW w:w="623" w:type="pct"/>
          </w:tcPr>
          <w:p w14:paraId="163AC45C"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w:t>
            </w:r>
            <w:r w:rsidR="003A37B7">
              <w:rPr>
                <w:rFonts w:ascii="Arial Narrow" w:hAnsi="Arial Narrow" w:cs="Times New Roman"/>
                <w:noProof/>
                <w:snapToGrid/>
                <w:color w:val="000000"/>
                <w:sz w:val="20"/>
                <w:highlight w:val="black"/>
              </w:rPr>
              <w:t>'''''''''''''''''''''''''</w:t>
            </w:r>
            <w:r w:rsidR="00E61675" w:rsidRPr="00E61675">
              <w:rPr>
                <w:vertAlign w:val="superscript"/>
              </w:rPr>
              <w:t>1</w:t>
            </w:r>
          </w:p>
        </w:tc>
        <w:tc>
          <w:tcPr>
            <w:tcW w:w="479" w:type="pct"/>
          </w:tcPr>
          <w:p w14:paraId="678BCBCB"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+0.10%</w:t>
            </w:r>
          </w:p>
        </w:tc>
      </w:tr>
      <w:tr w:rsidR="0017448C" w:rsidRPr="007B3DA4" w14:paraId="7FF829AA" w14:textId="77777777" w:rsidTr="00D217A8">
        <w:tc>
          <w:tcPr>
            <w:tcW w:w="2644" w:type="pct"/>
          </w:tcPr>
          <w:p w14:paraId="6274BE35" w14:textId="77777777" w:rsidR="0017448C" w:rsidRPr="007B3DA4" w:rsidRDefault="0017448C" w:rsidP="00B402F5">
            <w:pPr>
              <w:keepNext/>
              <w:keepLines/>
              <w:widowControl/>
              <w:tabs>
                <w:tab w:val="left" w:pos="142"/>
              </w:tabs>
              <w:jc w:val="left"/>
              <w:rPr>
                <w:rFonts w:ascii="Arial Narrow" w:hAnsi="Arial Narrow" w:cs="Times New Roman"/>
                <w:snapToGrid/>
                <w:sz w:val="20"/>
              </w:rPr>
            </w:pPr>
            <w:r w:rsidRPr="007B3DA4">
              <w:rPr>
                <w:rFonts w:ascii="Arial Narrow" w:hAnsi="Arial Narrow" w:cs="Times New Roman"/>
                <w:snapToGrid/>
                <w:sz w:val="20"/>
              </w:rPr>
              <w:t>Change OS functional form to Generalised Gamma (base case Gompertz)</w:t>
            </w:r>
          </w:p>
        </w:tc>
        <w:tc>
          <w:tcPr>
            <w:tcW w:w="627" w:type="pct"/>
          </w:tcPr>
          <w:p w14:paraId="33B1D8E3"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w:t>
            </w:r>
            <w:r w:rsidR="003A37B7">
              <w:rPr>
                <w:rFonts w:ascii="Arial Narrow" w:hAnsi="Arial Narrow" w:cs="Times New Roman"/>
                <w:noProof/>
                <w:snapToGrid/>
                <w:color w:val="000000"/>
                <w:sz w:val="20"/>
                <w:highlight w:val="black"/>
              </w:rPr>
              <w:t>''''''''''''''''''''''</w:t>
            </w:r>
          </w:p>
        </w:tc>
        <w:tc>
          <w:tcPr>
            <w:tcW w:w="627" w:type="pct"/>
          </w:tcPr>
          <w:p w14:paraId="48DA49F1"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0.218</w:t>
            </w:r>
          </w:p>
        </w:tc>
        <w:tc>
          <w:tcPr>
            <w:tcW w:w="623" w:type="pct"/>
          </w:tcPr>
          <w:p w14:paraId="79537558"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w:t>
            </w:r>
            <w:r w:rsidR="003A37B7">
              <w:rPr>
                <w:rFonts w:ascii="Arial Narrow" w:hAnsi="Arial Narrow" w:cs="Times New Roman"/>
                <w:noProof/>
                <w:snapToGrid/>
                <w:color w:val="000000"/>
                <w:sz w:val="20"/>
                <w:highlight w:val="black"/>
              </w:rPr>
              <w:t>'''''''''''''''''''''''''''''</w:t>
            </w:r>
            <w:r w:rsidR="00E61675" w:rsidRPr="00E61675">
              <w:rPr>
                <w:vertAlign w:val="superscript"/>
              </w:rPr>
              <w:t>1</w:t>
            </w:r>
          </w:p>
        </w:tc>
        <w:tc>
          <w:tcPr>
            <w:tcW w:w="479" w:type="pct"/>
          </w:tcPr>
          <w:p w14:paraId="11C9A629"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+0.07%</w:t>
            </w:r>
          </w:p>
        </w:tc>
      </w:tr>
      <w:tr w:rsidR="0017448C" w:rsidRPr="007B3DA4" w14:paraId="13FC6727" w14:textId="77777777" w:rsidTr="00D217A8">
        <w:tc>
          <w:tcPr>
            <w:tcW w:w="2644" w:type="pct"/>
          </w:tcPr>
          <w:p w14:paraId="6E63567E" w14:textId="77777777" w:rsidR="0017448C" w:rsidRPr="007B3DA4" w:rsidRDefault="0017448C" w:rsidP="00B402F5">
            <w:pPr>
              <w:keepNext/>
              <w:keepLines/>
              <w:widowControl/>
              <w:tabs>
                <w:tab w:val="left" w:pos="142"/>
              </w:tabs>
              <w:jc w:val="left"/>
              <w:rPr>
                <w:rFonts w:ascii="Arial Narrow" w:hAnsi="Arial Narrow" w:cs="Times New Roman"/>
                <w:snapToGrid/>
                <w:sz w:val="20"/>
              </w:rPr>
            </w:pPr>
            <w:r w:rsidRPr="007B3DA4">
              <w:rPr>
                <w:rFonts w:ascii="Arial Narrow" w:hAnsi="Arial Narrow" w:cs="Times New Roman"/>
                <w:snapToGrid/>
                <w:sz w:val="20"/>
              </w:rPr>
              <w:t>Change utility based on SUNFISH Part 2 (base case SUNFISH Part 1 and part 2 pooled)</w:t>
            </w:r>
          </w:p>
        </w:tc>
        <w:tc>
          <w:tcPr>
            <w:tcW w:w="627" w:type="pct"/>
          </w:tcPr>
          <w:p w14:paraId="73FA03CD"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w:t>
            </w:r>
            <w:r w:rsidR="003A37B7">
              <w:rPr>
                <w:rFonts w:ascii="Arial Narrow" w:hAnsi="Arial Narrow" w:cs="Times New Roman"/>
                <w:noProof/>
                <w:snapToGrid/>
                <w:color w:val="000000"/>
                <w:sz w:val="20"/>
                <w:highlight w:val="black"/>
              </w:rPr>
              <w:t>'''''''''''''''''''''''</w:t>
            </w:r>
          </w:p>
        </w:tc>
        <w:tc>
          <w:tcPr>
            <w:tcW w:w="627" w:type="pct"/>
          </w:tcPr>
          <w:p w14:paraId="5970BC31"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0.161</w:t>
            </w:r>
          </w:p>
        </w:tc>
        <w:tc>
          <w:tcPr>
            <w:tcW w:w="623" w:type="pct"/>
          </w:tcPr>
          <w:p w14:paraId="54F09338"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w:t>
            </w:r>
            <w:r w:rsidR="003A37B7">
              <w:rPr>
                <w:rFonts w:ascii="Arial Narrow" w:hAnsi="Arial Narrow" w:cs="Times New Roman"/>
                <w:noProof/>
                <w:snapToGrid/>
                <w:color w:val="000000"/>
                <w:sz w:val="20"/>
                <w:highlight w:val="black"/>
              </w:rPr>
              <w:t>'''''''''''''''''''''''''''</w:t>
            </w:r>
            <w:r w:rsidR="00E61675" w:rsidRPr="00E61675">
              <w:rPr>
                <w:vertAlign w:val="superscript"/>
              </w:rPr>
              <w:t>1</w:t>
            </w:r>
          </w:p>
        </w:tc>
        <w:tc>
          <w:tcPr>
            <w:tcW w:w="479" w:type="pct"/>
          </w:tcPr>
          <w:p w14:paraId="2C4CA901"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+35.82%</w:t>
            </w:r>
          </w:p>
        </w:tc>
      </w:tr>
      <w:tr w:rsidR="0017448C" w:rsidRPr="007B3DA4" w14:paraId="35D2AE57" w14:textId="77777777" w:rsidTr="00D217A8">
        <w:tc>
          <w:tcPr>
            <w:tcW w:w="2644" w:type="pct"/>
          </w:tcPr>
          <w:p w14:paraId="550E0A33" w14:textId="77777777" w:rsidR="0017448C" w:rsidRPr="007B3DA4" w:rsidRDefault="0017448C" w:rsidP="00B402F5">
            <w:pPr>
              <w:keepNext/>
              <w:keepLines/>
              <w:widowControl/>
              <w:tabs>
                <w:tab w:val="left" w:pos="142"/>
              </w:tabs>
              <w:jc w:val="left"/>
              <w:rPr>
                <w:rFonts w:ascii="Arial Narrow" w:hAnsi="Arial Narrow" w:cs="Times New Roman"/>
                <w:snapToGrid/>
                <w:sz w:val="20"/>
              </w:rPr>
            </w:pPr>
            <w:r w:rsidRPr="007B3DA4">
              <w:rPr>
                <w:rFonts w:ascii="Arial Narrow" w:hAnsi="Arial Narrow" w:cs="Times New Roman"/>
                <w:snapToGrid/>
                <w:sz w:val="20"/>
              </w:rPr>
              <w:t>Change utility based on Lloyd 2019 (base case SUNFISH Part 1 and Part 2 pooled)</w:t>
            </w:r>
          </w:p>
        </w:tc>
        <w:tc>
          <w:tcPr>
            <w:tcW w:w="627" w:type="pct"/>
          </w:tcPr>
          <w:p w14:paraId="16AA27DD"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w:t>
            </w:r>
            <w:r w:rsidR="003A37B7">
              <w:rPr>
                <w:rFonts w:ascii="Arial Narrow" w:hAnsi="Arial Narrow" w:cs="Times New Roman"/>
                <w:noProof/>
                <w:snapToGrid/>
                <w:color w:val="000000"/>
                <w:sz w:val="20"/>
                <w:highlight w:val="black"/>
              </w:rPr>
              <w:t>''''''''''''''''''''''''</w:t>
            </w:r>
          </w:p>
        </w:tc>
        <w:tc>
          <w:tcPr>
            <w:tcW w:w="627" w:type="pct"/>
          </w:tcPr>
          <w:p w14:paraId="18C7FAE4"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0.367</w:t>
            </w:r>
          </w:p>
        </w:tc>
        <w:tc>
          <w:tcPr>
            <w:tcW w:w="623" w:type="pct"/>
          </w:tcPr>
          <w:p w14:paraId="4AF0B9BF"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w:t>
            </w:r>
            <w:r w:rsidR="003A37B7">
              <w:rPr>
                <w:rFonts w:ascii="Arial Narrow" w:hAnsi="Arial Narrow" w:cs="Times New Roman"/>
                <w:noProof/>
                <w:snapToGrid/>
                <w:color w:val="000000"/>
                <w:sz w:val="20"/>
                <w:highlight w:val="black"/>
              </w:rPr>
              <w:t>''''''''''''''''''''''''</w:t>
            </w:r>
            <w:r w:rsidR="00E61675" w:rsidRPr="00E61675">
              <w:rPr>
                <w:vertAlign w:val="superscript"/>
              </w:rPr>
              <w:t>1</w:t>
            </w:r>
          </w:p>
        </w:tc>
        <w:tc>
          <w:tcPr>
            <w:tcW w:w="479" w:type="pct"/>
          </w:tcPr>
          <w:p w14:paraId="1012A1B7"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-40.56%</w:t>
            </w:r>
          </w:p>
        </w:tc>
      </w:tr>
      <w:tr w:rsidR="0017448C" w:rsidRPr="007B3DA4" w14:paraId="624EE035" w14:textId="77777777" w:rsidTr="00D217A8">
        <w:tc>
          <w:tcPr>
            <w:tcW w:w="2644" w:type="pct"/>
          </w:tcPr>
          <w:p w14:paraId="6E7716AB" w14:textId="77777777" w:rsidR="0017448C" w:rsidRPr="007B3DA4" w:rsidRDefault="0017448C" w:rsidP="00B402F5">
            <w:pPr>
              <w:keepNext/>
              <w:keepLines/>
              <w:widowControl/>
              <w:tabs>
                <w:tab w:val="left" w:pos="142"/>
              </w:tabs>
              <w:jc w:val="left"/>
              <w:rPr>
                <w:rFonts w:ascii="Arial Narrow" w:hAnsi="Arial Narrow" w:cs="Times New Roman"/>
                <w:snapToGrid/>
                <w:sz w:val="20"/>
              </w:rPr>
            </w:pPr>
            <w:r w:rsidRPr="007B3DA4">
              <w:rPr>
                <w:rFonts w:ascii="Arial Narrow" w:hAnsi="Arial Narrow" w:cs="Times New Roman"/>
                <w:snapToGrid/>
                <w:sz w:val="20"/>
              </w:rPr>
              <w:t>Reduce cost of risdiplam by 50%</w:t>
            </w:r>
          </w:p>
        </w:tc>
        <w:tc>
          <w:tcPr>
            <w:tcW w:w="627" w:type="pct"/>
          </w:tcPr>
          <w:p w14:paraId="69ADA0DE"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w:t>
            </w:r>
            <w:r w:rsidR="003A37B7">
              <w:rPr>
                <w:rFonts w:ascii="Arial Narrow" w:hAnsi="Arial Narrow" w:cs="Times New Roman"/>
                <w:noProof/>
                <w:snapToGrid/>
                <w:color w:val="000000"/>
                <w:sz w:val="20"/>
                <w:highlight w:val="black"/>
              </w:rPr>
              <w:t>''''''''''''''''''''''</w:t>
            </w:r>
          </w:p>
        </w:tc>
        <w:tc>
          <w:tcPr>
            <w:tcW w:w="627" w:type="pct"/>
          </w:tcPr>
          <w:p w14:paraId="45016381"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0.218</w:t>
            </w:r>
          </w:p>
        </w:tc>
        <w:tc>
          <w:tcPr>
            <w:tcW w:w="623" w:type="pct"/>
          </w:tcPr>
          <w:p w14:paraId="61531331"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w:t>
            </w:r>
            <w:r w:rsidR="003A37B7">
              <w:rPr>
                <w:rFonts w:ascii="Arial Narrow" w:hAnsi="Arial Narrow" w:cs="Times New Roman"/>
                <w:noProof/>
                <w:snapToGrid/>
                <w:color w:val="000000"/>
                <w:sz w:val="20"/>
                <w:highlight w:val="black"/>
              </w:rPr>
              <w:t>''''''''''''''''''''''''</w:t>
            </w:r>
            <w:r w:rsidR="00E61675" w:rsidRPr="00E61675">
              <w:rPr>
                <w:vertAlign w:val="superscript"/>
              </w:rPr>
              <w:t>1</w:t>
            </w:r>
          </w:p>
        </w:tc>
        <w:tc>
          <w:tcPr>
            <w:tcW w:w="479" w:type="pct"/>
          </w:tcPr>
          <w:p w14:paraId="4B143C01" w14:textId="77777777" w:rsidR="0017448C" w:rsidRPr="007B3DA4" w:rsidRDefault="0017448C" w:rsidP="00B402F5">
            <w:pPr>
              <w:keepNext/>
              <w:keepLines/>
              <w:widowControl/>
              <w:jc w:val="center"/>
              <w:rPr>
                <w:rFonts w:ascii="Arial Narrow" w:hAnsi="Arial Narrow" w:cs="Times New Roman"/>
                <w:snapToGrid/>
                <w:sz w:val="20"/>
              </w:rPr>
            </w:pPr>
            <w:r w:rsidRPr="007B3DA4">
              <w:rPr>
                <w:rFonts w:ascii="Arial Narrow" w:hAnsi="Arial Narrow" w:cs="Times New Roman"/>
                <w:snapToGrid/>
                <w:sz w:val="20"/>
              </w:rPr>
              <w:t>-50.98%</w:t>
            </w:r>
          </w:p>
        </w:tc>
      </w:tr>
    </w:tbl>
    <w:p w14:paraId="06FC3609" w14:textId="77777777" w:rsidR="0017448C" w:rsidRPr="007B3DA4" w:rsidRDefault="0017448C" w:rsidP="0017448C">
      <w:pPr>
        <w:pStyle w:val="TableFooter"/>
      </w:pPr>
      <w:r w:rsidRPr="007B3DA4">
        <w:rPr>
          <w:vertAlign w:val="superscript"/>
        </w:rPr>
        <w:t>a</w:t>
      </w:r>
      <w:r w:rsidRPr="007B3DA4">
        <w:t xml:space="preserve"> Based on eff_SMATypeII_Survival.pptx </w:t>
      </w:r>
    </w:p>
    <w:p w14:paraId="14B1B683" w14:textId="77777777" w:rsidR="0017448C" w:rsidRDefault="0017448C" w:rsidP="0017448C">
      <w:pPr>
        <w:pStyle w:val="TableFooter"/>
      </w:pPr>
      <w:r w:rsidRPr="007B3DA4">
        <w:t>Source: Constructed during the evaluation.</w:t>
      </w:r>
    </w:p>
    <w:p w14:paraId="00B37EC2" w14:textId="77777777" w:rsidR="00E61675" w:rsidRPr="00E61675" w:rsidRDefault="00E61675" w:rsidP="0017448C">
      <w:pPr>
        <w:pStyle w:val="TableFooter"/>
        <w:rPr>
          <w:i/>
        </w:rPr>
      </w:pPr>
      <w:r w:rsidRPr="00E61675">
        <w:rPr>
          <w:i/>
        </w:rPr>
        <w:t>The redacted values correspond to the following ranges:</w:t>
      </w:r>
    </w:p>
    <w:p w14:paraId="011290AD" w14:textId="77777777" w:rsidR="00E61675" w:rsidRPr="00E61675" w:rsidRDefault="00E61675" w:rsidP="0017448C">
      <w:pPr>
        <w:pStyle w:val="TableFooter"/>
        <w:rPr>
          <w:i/>
        </w:rPr>
      </w:pPr>
      <w:r w:rsidRPr="00E61675">
        <w:rPr>
          <w:i/>
          <w:vertAlign w:val="superscript"/>
        </w:rPr>
        <w:t>1</w:t>
      </w:r>
      <w:r w:rsidRPr="00E61675">
        <w:rPr>
          <w:i/>
        </w:rPr>
        <w:t xml:space="preserve"> &gt;$1,055,000</w:t>
      </w:r>
      <w:r w:rsidR="00476C57">
        <w:rPr>
          <w:i/>
        </w:rPr>
        <w:t>/QALY gained</w:t>
      </w:r>
    </w:p>
    <w:p w14:paraId="4044F92B" w14:textId="77777777" w:rsidR="0017448C" w:rsidRPr="003A44F8" w:rsidRDefault="0017448C" w:rsidP="0017448C">
      <w:pPr>
        <w:pStyle w:val="TableFooter"/>
        <w:rPr>
          <w:sz w:val="20"/>
        </w:rPr>
      </w:pPr>
    </w:p>
    <w:p w14:paraId="3117AE10" w14:textId="77777777" w:rsidR="004E5522" w:rsidRPr="00F438B1" w:rsidRDefault="00F438B1" w:rsidP="00F438B1">
      <w:pPr>
        <w:pStyle w:val="3-BodyText"/>
        <w:rPr>
          <w:iCs/>
        </w:rPr>
      </w:pPr>
      <w:r w:rsidRPr="007B3DA4">
        <w:t xml:space="preserve">The ESC considered that the </w:t>
      </w:r>
      <w:r w:rsidR="00C45D84" w:rsidRPr="007B3DA4">
        <w:t>economic</w:t>
      </w:r>
      <w:r w:rsidRPr="007B3DA4">
        <w:t xml:space="preserve"> model had limited value in informing cost-effectiveness considerations due to the lack of evidence of a benefit of treatment in this population. </w:t>
      </w:r>
      <w:r w:rsidR="004E5522" w:rsidRPr="007B3DA4">
        <w:t>The ESC considered that even with highly optimistic assumptions and acknowledging the</w:t>
      </w:r>
      <w:r w:rsidR="006E68DA" w:rsidRPr="007B3DA4">
        <w:t xml:space="preserve"> clinical need for</w:t>
      </w:r>
      <w:r w:rsidR="004E5522" w:rsidRPr="007B3DA4">
        <w:t xml:space="preserve"> new therapies for patients in this population, </w:t>
      </w:r>
      <w:r w:rsidRPr="007B3DA4">
        <w:t xml:space="preserve">the ICERs for the model presented were very high based on the requested price for risdiplam. </w:t>
      </w:r>
      <w:r w:rsidR="006E68DA" w:rsidRPr="007B3DA4">
        <w:t xml:space="preserve">The PSCR acknowledged the </w:t>
      </w:r>
      <w:r w:rsidR="006E68DA" w:rsidRPr="007B3DA4">
        <w:rPr>
          <w:rFonts w:eastAsia="Calibri" w:cs="Calibri"/>
        </w:rPr>
        <w:t xml:space="preserve">limitations of the available data in population </w:t>
      </w:r>
      <w:r w:rsidRPr="007B3DA4">
        <w:rPr>
          <w:rFonts w:eastAsia="Calibri" w:cs="Calibri"/>
        </w:rPr>
        <w:t xml:space="preserve">3 </w:t>
      </w:r>
      <w:r w:rsidR="006E68DA" w:rsidRPr="007B3DA4">
        <w:rPr>
          <w:rFonts w:eastAsia="Calibri" w:cs="Calibri"/>
        </w:rPr>
        <w:t xml:space="preserve">and the challenge to demonstrate cost-effectiveness for </w:t>
      </w:r>
      <w:r w:rsidRPr="007B3DA4">
        <w:rPr>
          <w:rFonts w:eastAsia="Calibri" w:cs="Calibri"/>
        </w:rPr>
        <w:t>this population</w:t>
      </w:r>
      <w:r w:rsidR="006E68DA" w:rsidRPr="007B3DA4">
        <w:rPr>
          <w:rFonts w:eastAsia="Calibri" w:cs="Calibri"/>
        </w:rPr>
        <w:t>. The PSCR also</w:t>
      </w:r>
      <w:r w:rsidR="006E68DA">
        <w:rPr>
          <w:rFonts w:eastAsia="Calibri" w:cs="Calibri"/>
        </w:rPr>
        <w:t xml:space="preserve"> </w:t>
      </w:r>
      <w:r w:rsidR="006E68DA" w:rsidRPr="007B3DA4">
        <w:t xml:space="preserve">reiterated the clinical need for effective </w:t>
      </w:r>
      <w:r w:rsidRPr="007B3DA4">
        <w:t>treatment to halt or slow prog</w:t>
      </w:r>
      <w:r w:rsidR="004C6631" w:rsidRPr="007B3DA4">
        <w:t>r</w:t>
      </w:r>
      <w:r w:rsidRPr="007B3DA4">
        <w:t xml:space="preserve">ession of disability resulting from SMA </w:t>
      </w:r>
      <w:r w:rsidR="006E68DA" w:rsidRPr="007B3DA4">
        <w:t>in this patient population</w:t>
      </w:r>
      <w:r w:rsidR="00BF03C7" w:rsidRPr="007B3DA4">
        <w:t xml:space="preserve"> </w:t>
      </w:r>
      <w:r w:rsidRPr="007B3DA4">
        <w:t xml:space="preserve">and expressed a willingness </w:t>
      </w:r>
      <w:r w:rsidR="004C6631" w:rsidRPr="007B3DA4">
        <w:t xml:space="preserve">to </w:t>
      </w:r>
      <w:r w:rsidRPr="007B3DA4">
        <w:t xml:space="preserve">work </w:t>
      </w:r>
      <w:r w:rsidR="004C6631" w:rsidRPr="007B3DA4">
        <w:t xml:space="preserve">with PBAC </w:t>
      </w:r>
      <w:r w:rsidRPr="007B3DA4">
        <w:t xml:space="preserve">to enable PBS subsidy for risdiplam </w:t>
      </w:r>
      <w:r w:rsidR="00C45D84" w:rsidRPr="007B3DA4">
        <w:t>for these patients</w:t>
      </w:r>
      <w:r w:rsidRPr="007B3DA4">
        <w:t>.</w:t>
      </w:r>
      <w:r w:rsidR="00096BF8">
        <w:t xml:space="preserve"> </w:t>
      </w:r>
      <w:r w:rsidR="00667BD9">
        <w:t xml:space="preserve"> </w:t>
      </w:r>
    </w:p>
    <w:p w14:paraId="747D7952" w14:textId="77777777" w:rsidR="00B72E2D" w:rsidRPr="00831A0A" w:rsidRDefault="008D6806" w:rsidP="0037240C">
      <w:pPr>
        <w:pStyle w:val="5-Subsectionsubheading"/>
      </w:pPr>
      <w:r w:rsidRPr="00831A0A">
        <w:t xml:space="preserve">Cost minimisation (population 1) </w:t>
      </w:r>
    </w:p>
    <w:p w14:paraId="0CA43302" w14:textId="77777777" w:rsidR="00DF7442" w:rsidRDefault="00DF7442" w:rsidP="004422FA">
      <w:pPr>
        <w:pStyle w:val="ListParagraph"/>
        <w:widowControl/>
        <w:numPr>
          <w:ilvl w:val="1"/>
          <w:numId w:val="2"/>
        </w:numPr>
      </w:pPr>
      <w:bookmarkStart w:id="46" w:name="_Ref64540672"/>
      <w:r>
        <w:t>T</w:t>
      </w:r>
      <w:r w:rsidRPr="007B3DA4">
        <w:t xml:space="preserve">he submission proposed </w:t>
      </w:r>
      <w:r>
        <w:t xml:space="preserve">different approaches to calculation of the published and effective prices for risdiplam for population 1. </w:t>
      </w:r>
    </w:p>
    <w:p w14:paraId="12457CB7" w14:textId="77777777" w:rsidR="00DF7442" w:rsidRPr="00B5412A" w:rsidRDefault="00DF7442" w:rsidP="00DF7442">
      <w:pPr>
        <w:pStyle w:val="3-BodyText"/>
        <w:rPr>
          <w:lang w:val="en-GB"/>
        </w:rPr>
      </w:pPr>
      <w:r w:rsidRPr="00831A0A">
        <w:t xml:space="preserve">For the cost-minimisation analysis </w:t>
      </w:r>
      <w:r>
        <w:t>the</w:t>
      </w:r>
      <w:r w:rsidRPr="00831A0A">
        <w:t xml:space="preserve"> </w:t>
      </w:r>
      <w:r w:rsidR="002C3DA4">
        <w:t xml:space="preserve">proposed </w:t>
      </w:r>
      <w:r w:rsidRPr="007B3DA4">
        <w:t xml:space="preserve">basis for calculation of equi-effective doses for the </w:t>
      </w:r>
      <w:r>
        <w:t>effective</w:t>
      </w:r>
      <w:r w:rsidRPr="00667BD9">
        <w:t xml:space="preserve"> price</w:t>
      </w:r>
      <w:r w:rsidRPr="007B3DA4">
        <w:t xml:space="preserve"> for risdiplam</w:t>
      </w:r>
      <w:r>
        <w:t xml:space="preserve"> was: </w:t>
      </w:r>
      <w:r w:rsidRPr="007B3DA4">
        <w:t xml:space="preserve"> </w:t>
      </w:r>
      <w:r w:rsidRPr="00F71866">
        <w:t xml:space="preserve">5 mg of risdiplam </w:t>
      </w:r>
      <w:r>
        <w:t xml:space="preserve">daily is equi-effective to nusinersen </w:t>
      </w:r>
      <w:r w:rsidRPr="00F71866">
        <w:t xml:space="preserve">12 mg (5 mL) </w:t>
      </w:r>
      <w:r w:rsidR="00FA1E1D">
        <w:t>every 4 months</w:t>
      </w:r>
      <w:r w:rsidRPr="00F71866">
        <w:t xml:space="preserve"> (i.e. excluding nusinersen loading doses).</w:t>
      </w:r>
    </w:p>
    <w:p w14:paraId="0ECE39AC" w14:textId="77777777" w:rsidR="00DF7442" w:rsidRPr="00B5412A" w:rsidRDefault="002C3DA4" w:rsidP="00DF7442">
      <w:pPr>
        <w:pStyle w:val="3-BodyText"/>
        <w:rPr>
          <w:lang w:val="en-GB"/>
        </w:rPr>
      </w:pPr>
      <w:r>
        <w:t>T</w:t>
      </w:r>
      <w:r w:rsidR="00DF7442">
        <w:t>he</w:t>
      </w:r>
      <w:r w:rsidR="00DF7442" w:rsidRPr="00831A0A">
        <w:t xml:space="preserve"> </w:t>
      </w:r>
      <w:r>
        <w:t xml:space="preserve">proposed </w:t>
      </w:r>
      <w:r w:rsidR="00DF7442" w:rsidRPr="007B3DA4">
        <w:t xml:space="preserve">basis for calculation of equi-effective doses for the </w:t>
      </w:r>
      <w:r>
        <w:t>published</w:t>
      </w:r>
      <w:r w:rsidR="00DF7442" w:rsidRPr="00667BD9">
        <w:t xml:space="preserve"> price</w:t>
      </w:r>
      <w:r w:rsidR="00DF7442" w:rsidRPr="007B3DA4">
        <w:t xml:space="preserve"> for risdiplam</w:t>
      </w:r>
      <w:r w:rsidR="00DF7442">
        <w:t xml:space="preserve"> was: </w:t>
      </w:r>
      <w:r w:rsidR="00DF7442" w:rsidRPr="00F71866">
        <w:t xml:space="preserve">5 mg of risdiplam </w:t>
      </w:r>
      <w:r w:rsidR="00DF7442">
        <w:t xml:space="preserve">daily is equi-effective to nusinersen </w:t>
      </w:r>
      <w:r w:rsidR="00DF7442" w:rsidRPr="00F71866">
        <w:t>12 mg (5 mL) administration</w:t>
      </w:r>
      <w:r w:rsidR="00DF7442">
        <w:t>s</w:t>
      </w:r>
      <w:r w:rsidR="00DF7442" w:rsidRPr="00F71866">
        <w:t xml:space="preserve"> </w:t>
      </w:r>
      <w:r w:rsidR="00DF7442" w:rsidRPr="00831A0A">
        <w:t>6 administrations in Year 1, and 3 administrations from Year 2 onwards; over a time horizon of 5 years</w:t>
      </w:r>
      <w:r w:rsidR="00DF7442" w:rsidRPr="007B3DA4">
        <w:t xml:space="preserve">. </w:t>
      </w:r>
    </w:p>
    <w:bookmarkEnd w:id="46"/>
    <w:p w14:paraId="18873003" w14:textId="77777777" w:rsidR="004762E8" w:rsidRPr="007B3DA4" w:rsidRDefault="00DE241D" w:rsidP="007B3DA4">
      <w:pPr>
        <w:keepNext/>
        <w:keepLines/>
        <w:rPr>
          <w:rStyle w:val="CommentReference"/>
        </w:rPr>
      </w:pPr>
      <w:r w:rsidRPr="007B3DA4">
        <w:rPr>
          <w:rStyle w:val="CommentReference"/>
        </w:rPr>
        <w:lastRenderedPageBreak/>
        <w:t xml:space="preserve">Table </w:t>
      </w:r>
      <w:r w:rsidR="009825B3">
        <w:rPr>
          <w:rStyle w:val="CommentReference"/>
          <w:noProof/>
        </w:rPr>
        <w:t>17</w:t>
      </w:r>
      <w:r w:rsidRPr="007B3DA4">
        <w:rPr>
          <w:rStyle w:val="CommentReference"/>
        </w:rPr>
        <w:t xml:space="preserve">: </w:t>
      </w:r>
      <w:r w:rsidR="004762E8" w:rsidRPr="007B3DA4">
        <w:rPr>
          <w:rStyle w:val="CommentReference"/>
        </w:rPr>
        <w:t xml:space="preserve"> Results of the </w:t>
      </w:r>
      <w:r w:rsidR="00667BD9">
        <w:rPr>
          <w:rStyle w:val="CommentReference"/>
        </w:rPr>
        <w:t xml:space="preserve">proposed </w:t>
      </w:r>
      <w:r w:rsidR="004762E8" w:rsidRPr="007B3DA4">
        <w:rPr>
          <w:rStyle w:val="CommentReference"/>
        </w:rPr>
        <w:t>cost-minimisation analysis for published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gridCol w:w="3067"/>
      </w:tblGrid>
      <w:tr w:rsidR="004762E8" w:rsidRPr="007B3DA4" w14:paraId="512266B3" w14:textId="77777777" w:rsidTr="00D217A8">
        <w:tc>
          <w:tcPr>
            <w:tcW w:w="1884" w:type="pct"/>
          </w:tcPr>
          <w:p w14:paraId="1549A33B" w14:textId="77777777" w:rsidR="004762E8" w:rsidRPr="007B3DA4" w:rsidRDefault="004762E8" w:rsidP="00A728B9">
            <w:pPr>
              <w:pStyle w:val="Tabletext"/>
              <w:keepNext/>
              <w:keepLines/>
              <w:rPr>
                <w:b/>
              </w:rPr>
            </w:pPr>
            <w:r w:rsidRPr="007B3DA4">
              <w:rPr>
                <w:b/>
              </w:rPr>
              <w:t>Component</w:t>
            </w:r>
          </w:p>
        </w:tc>
        <w:tc>
          <w:tcPr>
            <w:tcW w:w="1415" w:type="pct"/>
          </w:tcPr>
          <w:p w14:paraId="4507D47E" w14:textId="77777777" w:rsidR="004762E8" w:rsidRPr="007B3DA4" w:rsidRDefault="004762E8" w:rsidP="00A728B9">
            <w:pPr>
              <w:pStyle w:val="Tabletext"/>
              <w:keepNext/>
              <w:keepLines/>
              <w:jc w:val="center"/>
              <w:rPr>
                <w:b/>
              </w:rPr>
            </w:pPr>
            <w:r w:rsidRPr="007B3DA4">
              <w:rPr>
                <w:b/>
              </w:rPr>
              <w:t>Risdiplam</w:t>
            </w:r>
          </w:p>
        </w:tc>
        <w:tc>
          <w:tcPr>
            <w:tcW w:w="1701" w:type="pct"/>
          </w:tcPr>
          <w:p w14:paraId="586FB93E" w14:textId="77777777" w:rsidR="004762E8" w:rsidRPr="007B3DA4" w:rsidRDefault="004762E8" w:rsidP="00A728B9">
            <w:pPr>
              <w:pStyle w:val="Tabletext"/>
              <w:keepNext/>
              <w:keepLines/>
              <w:jc w:val="center"/>
              <w:rPr>
                <w:b/>
              </w:rPr>
            </w:pPr>
            <w:r w:rsidRPr="007B3DA4">
              <w:rPr>
                <w:b/>
              </w:rPr>
              <w:t>Nusinersen</w:t>
            </w:r>
          </w:p>
        </w:tc>
      </w:tr>
      <w:tr w:rsidR="004762E8" w:rsidRPr="007B3DA4" w14:paraId="5D496E4E" w14:textId="77777777" w:rsidTr="00D217A8">
        <w:tc>
          <w:tcPr>
            <w:tcW w:w="1884" w:type="pct"/>
          </w:tcPr>
          <w:p w14:paraId="2FCABF70" w14:textId="77777777" w:rsidR="004762E8" w:rsidRPr="007B3DA4" w:rsidRDefault="004762E8" w:rsidP="00A728B9">
            <w:pPr>
              <w:pStyle w:val="Tabletext"/>
              <w:keepNext/>
              <w:keepLines/>
            </w:pPr>
            <w:r w:rsidRPr="007B3DA4">
              <w:t>Cost per dose</w:t>
            </w:r>
          </w:p>
        </w:tc>
        <w:tc>
          <w:tcPr>
            <w:tcW w:w="1415" w:type="pct"/>
          </w:tcPr>
          <w:p w14:paraId="101F006F" w14:textId="77777777" w:rsidR="004762E8" w:rsidRPr="007B3DA4" w:rsidRDefault="004762E8" w:rsidP="00A728B9">
            <w:pPr>
              <w:pStyle w:val="Tabletext"/>
              <w:keepNext/>
              <w:keepLines/>
              <w:jc w:val="center"/>
            </w:pPr>
            <w:r w:rsidRPr="007B3DA4">
              <w:t>$13,010.27/12 = $1,084.19</w:t>
            </w:r>
          </w:p>
        </w:tc>
        <w:tc>
          <w:tcPr>
            <w:tcW w:w="1701" w:type="pct"/>
          </w:tcPr>
          <w:p w14:paraId="10606683" w14:textId="77777777" w:rsidR="004762E8" w:rsidRPr="007B3DA4" w:rsidRDefault="004762E8" w:rsidP="00A728B9">
            <w:pPr>
              <w:pStyle w:val="Tabletext"/>
              <w:keepNext/>
              <w:keepLines/>
              <w:jc w:val="center"/>
            </w:pPr>
            <w:r w:rsidRPr="007B3DA4">
              <w:t>$110,000</w:t>
            </w:r>
          </w:p>
        </w:tc>
      </w:tr>
      <w:tr w:rsidR="004762E8" w:rsidRPr="007B3DA4" w14:paraId="34F837ED" w14:textId="77777777" w:rsidTr="00D217A8">
        <w:tc>
          <w:tcPr>
            <w:tcW w:w="1884" w:type="pct"/>
          </w:tcPr>
          <w:p w14:paraId="65198172" w14:textId="77777777" w:rsidR="004762E8" w:rsidRPr="007B3DA4" w:rsidRDefault="004762E8" w:rsidP="00A728B9">
            <w:pPr>
              <w:pStyle w:val="Tabletext"/>
              <w:keepNext/>
              <w:keepLines/>
            </w:pPr>
            <w:r w:rsidRPr="007B3DA4">
              <w:t>Dose frequency</w:t>
            </w:r>
          </w:p>
        </w:tc>
        <w:tc>
          <w:tcPr>
            <w:tcW w:w="1415" w:type="pct"/>
          </w:tcPr>
          <w:p w14:paraId="1E87EDD3" w14:textId="77777777" w:rsidR="004762E8" w:rsidRPr="007B3DA4" w:rsidRDefault="004762E8" w:rsidP="00A728B9">
            <w:pPr>
              <w:pStyle w:val="Tabletext"/>
              <w:keepNext/>
              <w:keepLines/>
              <w:jc w:val="center"/>
            </w:pPr>
            <w:r w:rsidRPr="007B3DA4">
              <w:t>Daily</w:t>
            </w:r>
          </w:p>
        </w:tc>
        <w:tc>
          <w:tcPr>
            <w:tcW w:w="1701" w:type="pct"/>
          </w:tcPr>
          <w:p w14:paraId="5FBB7158" w14:textId="77777777" w:rsidR="004762E8" w:rsidRPr="007B3DA4" w:rsidRDefault="004762E8" w:rsidP="00A728B9">
            <w:pPr>
              <w:pStyle w:val="Tabletext"/>
              <w:keepNext/>
              <w:keepLines/>
              <w:jc w:val="center"/>
            </w:pPr>
            <w:r w:rsidRPr="007B3DA4">
              <w:t>4 monthly</w:t>
            </w:r>
          </w:p>
        </w:tc>
      </w:tr>
      <w:tr w:rsidR="004762E8" w:rsidRPr="007B3DA4" w14:paraId="280A9B4A" w14:textId="77777777" w:rsidTr="00D217A8">
        <w:tc>
          <w:tcPr>
            <w:tcW w:w="1884" w:type="pct"/>
          </w:tcPr>
          <w:p w14:paraId="31865BB6" w14:textId="77777777" w:rsidR="004762E8" w:rsidRPr="007B3DA4" w:rsidRDefault="004762E8" w:rsidP="002C3DA4">
            <w:pPr>
              <w:pStyle w:val="Tabletext"/>
              <w:keepNext/>
              <w:keepLines/>
            </w:pPr>
            <w:r w:rsidRPr="007B3DA4">
              <w:t>Administrations</w:t>
            </w:r>
          </w:p>
        </w:tc>
        <w:tc>
          <w:tcPr>
            <w:tcW w:w="1415" w:type="pct"/>
          </w:tcPr>
          <w:p w14:paraId="0A791C14" w14:textId="77777777" w:rsidR="004762E8" w:rsidRPr="007B3DA4" w:rsidRDefault="004762E8" w:rsidP="00A728B9">
            <w:pPr>
              <w:pStyle w:val="Tabletext"/>
              <w:keepNext/>
              <w:keepLines/>
              <w:jc w:val="center"/>
            </w:pPr>
            <w:r w:rsidRPr="007B3DA4">
              <w:t>7</w:t>
            </w:r>
            <w:r w:rsidR="002C3DA4">
              <w:t xml:space="preserve"> per week</w:t>
            </w:r>
          </w:p>
        </w:tc>
        <w:tc>
          <w:tcPr>
            <w:tcW w:w="1701" w:type="pct"/>
          </w:tcPr>
          <w:p w14:paraId="6336DF44" w14:textId="77777777" w:rsidR="002C3DA4" w:rsidRDefault="002C3DA4" w:rsidP="002C3DA4">
            <w:pPr>
              <w:pStyle w:val="Tabletext"/>
              <w:keepNext/>
              <w:keepLines/>
              <w:jc w:val="center"/>
            </w:pPr>
            <w:r w:rsidRPr="002C3DA4">
              <w:t>3</w:t>
            </w:r>
            <w:r>
              <w:t xml:space="preserve"> loading doses + 3 maintenance doses in year 1</w:t>
            </w:r>
          </w:p>
          <w:p w14:paraId="4B200FCA" w14:textId="77777777" w:rsidR="004762E8" w:rsidRPr="007B3DA4" w:rsidRDefault="002C3DA4" w:rsidP="002C3DA4">
            <w:pPr>
              <w:pStyle w:val="Tabletext"/>
              <w:keepNext/>
              <w:keepLines/>
              <w:jc w:val="center"/>
            </w:pPr>
            <w:r>
              <w:t>3 maintenance doses per year in years 2-5</w:t>
            </w:r>
          </w:p>
        </w:tc>
      </w:tr>
      <w:tr w:rsidR="004762E8" w:rsidRPr="007B3DA4" w14:paraId="6F7069E1" w14:textId="77777777" w:rsidTr="00D217A8">
        <w:tc>
          <w:tcPr>
            <w:tcW w:w="1884" w:type="pct"/>
          </w:tcPr>
          <w:p w14:paraId="39F436BB" w14:textId="77777777" w:rsidR="004762E8" w:rsidRPr="007B3DA4" w:rsidRDefault="004762E8" w:rsidP="00A728B9">
            <w:pPr>
              <w:pStyle w:val="Tabletext"/>
              <w:keepNext/>
              <w:keepLines/>
            </w:pPr>
            <w:r w:rsidRPr="007B3DA4">
              <w:t>Total medicine cost year</w:t>
            </w:r>
          </w:p>
        </w:tc>
        <w:tc>
          <w:tcPr>
            <w:tcW w:w="1415" w:type="pct"/>
          </w:tcPr>
          <w:p w14:paraId="68E47D65" w14:textId="77777777" w:rsidR="004762E8" w:rsidRPr="007B3DA4" w:rsidRDefault="004762E8" w:rsidP="00A728B9">
            <w:pPr>
              <w:pStyle w:val="Tabletext"/>
              <w:keepNext/>
              <w:keepLines/>
              <w:jc w:val="center"/>
            </w:pPr>
            <w:r w:rsidRPr="007B3DA4">
              <w:t>$396,000</w:t>
            </w:r>
          </w:p>
        </w:tc>
        <w:tc>
          <w:tcPr>
            <w:tcW w:w="1701" w:type="pct"/>
          </w:tcPr>
          <w:p w14:paraId="20AB8740" w14:textId="77777777" w:rsidR="004762E8" w:rsidRPr="007B3DA4" w:rsidRDefault="004762E8" w:rsidP="00A728B9">
            <w:pPr>
              <w:pStyle w:val="Tabletext"/>
              <w:keepNext/>
              <w:keepLines/>
              <w:jc w:val="center"/>
            </w:pPr>
            <w:r w:rsidRPr="007B3DA4">
              <w:t>$660,000 during year 1 and $330,000 during years 2 to 5</w:t>
            </w:r>
          </w:p>
        </w:tc>
      </w:tr>
      <w:tr w:rsidR="004762E8" w:rsidRPr="007B3DA4" w14:paraId="3710D9B3" w14:textId="77777777" w:rsidTr="00D217A8">
        <w:tc>
          <w:tcPr>
            <w:tcW w:w="1884" w:type="pct"/>
          </w:tcPr>
          <w:p w14:paraId="469ACF74" w14:textId="77777777" w:rsidR="004762E8" w:rsidRPr="007B3DA4" w:rsidRDefault="004762E8" w:rsidP="00A728B9">
            <w:pPr>
              <w:pStyle w:val="Tabletext"/>
              <w:keepNext/>
              <w:keepLines/>
            </w:pPr>
            <w:r w:rsidRPr="007B3DA4">
              <w:t>Medicine cost per unit</w:t>
            </w:r>
          </w:p>
        </w:tc>
        <w:tc>
          <w:tcPr>
            <w:tcW w:w="1415" w:type="pct"/>
          </w:tcPr>
          <w:p w14:paraId="3C157294" w14:textId="77777777" w:rsidR="004762E8" w:rsidRPr="007B3DA4" w:rsidRDefault="004762E8" w:rsidP="00A728B9">
            <w:pPr>
              <w:pStyle w:val="Tabletext"/>
              <w:keepNext/>
              <w:keepLines/>
              <w:jc w:val="center"/>
            </w:pPr>
            <w:r w:rsidRPr="007B3DA4">
              <w:t>$13,010.27 per 60mg bottle</w:t>
            </w:r>
          </w:p>
        </w:tc>
        <w:tc>
          <w:tcPr>
            <w:tcW w:w="1701" w:type="pct"/>
          </w:tcPr>
          <w:p w14:paraId="1DD95EA6" w14:textId="77777777" w:rsidR="004762E8" w:rsidRPr="007B3DA4" w:rsidRDefault="004762E8" w:rsidP="00A728B9">
            <w:pPr>
              <w:pStyle w:val="Tabletext"/>
              <w:keepNext/>
              <w:keepLines/>
              <w:jc w:val="center"/>
            </w:pPr>
            <w:r w:rsidRPr="007B3DA4">
              <w:t>$110,000 per 12mg injection **</w:t>
            </w:r>
          </w:p>
        </w:tc>
      </w:tr>
      <w:tr w:rsidR="004762E8" w:rsidRPr="007B3DA4" w14:paraId="777A92E2" w14:textId="77777777" w:rsidTr="00D217A8">
        <w:tc>
          <w:tcPr>
            <w:tcW w:w="1884" w:type="pct"/>
          </w:tcPr>
          <w:p w14:paraId="1C7C883D" w14:textId="77777777" w:rsidR="004762E8" w:rsidRPr="007B3DA4" w:rsidRDefault="004762E8" w:rsidP="00A728B9">
            <w:pPr>
              <w:pStyle w:val="Tabletext"/>
              <w:keepNext/>
              <w:keepLines/>
            </w:pPr>
            <w:r w:rsidRPr="007B3DA4">
              <w:t>Difference in cost per year in year 1</w:t>
            </w:r>
          </w:p>
        </w:tc>
        <w:tc>
          <w:tcPr>
            <w:tcW w:w="3116" w:type="pct"/>
            <w:gridSpan w:val="2"/>
          </w:tcPr>
          <w:p w14:paraId="70834853" w14:textId="77777777" w:rsidR="004762E8" w:rsidRPr="007B3DA4" w:rsidRDefault="004762E8" w:rsidP="00160F36">
            <w:pPr>
              <w:pStyle w:val="Tabletext"/>
              <w:keepNext/>
              <w:keepLines/>
              <w:jc w:val="center"/>
            </w:pPr>
            <w:r w:rsidRPr="007B3DA4">
              <w:t xml:space="preserve">Risdiplam = </w:t>
            </w:r>
            <w:r w:rsidR="00160F36">
              <w:t>-</w:t>
            </w:r>
            <w:r w:rsidRPr="007B3DA4">
              <w:t>$</w:t>
            </w:r>
            <w:r w:rsidR="00160F36">
              <w:t>264</w:t>
            </w:r>
            <w:r w:rsidRPr="007B3DA4">
              <w:t>,000</w:t>
            </w:r>
            <w:r w:rsidR="00160F36">
              <w:t xml:space="preserve"> (due to loading doses)</w:t>
            </w:r>
          </w:p>
        </w:tc>
      </w:tr>
      <w:tr w:rsidR="004762E8" w:rsidRPr="007B3DA4" w14:paraId="3567223A" w14:textId="77777777" w:rsidTr="00D217A8">
        <w:tc>
          <w:tcPr>
            <w:tcW w:w="1884" w:type="pct"/>
            <w:tcBorders>
              <w:bottom w:val="single" w:sz="4" w:space="0" w:color="auto"/>
            </w:tcBorders>
          </w:tcPr>
          <w:p w14:paraId="3461D652" w14:textId="77777777" w:rsidR="004762E8" w:rsidRPr="007B3DA4" w:rsidRDefault="004762E8" w:rsidP="00A728B9">
            <w:pPr>
              <w:pStyle w:val="Tabletext"/>
              <w:keepNext/>
              <w:keepLines/>
            </w:pPr>
            <w:r w:rsidRPr="007B3DA4">
              <w:t>Difference in cost per year during years 2-5</w:t>
            </w:r>
          </w:p>
        </w:tc>
        <w:tc>
          <w:tcPr>
            <w:tcW w:w="3116" w:type="pct"/>
            <w:gridSpan w:val="2"/>
            <w:tcBorders>
              <w:bottom w:val="single" w:sz="4" w:space="0" w:color="auto"/>
            </w:tcBorders>
          </w:tcPr>
          <w:p w14:paraId="2867E91F" w14:textId="77777777" w:rsidR="004762E8" w:rsidRPr="007B3DA4" w:rsidRDefault="004762E8" w:rsidP="00A728B9">
            <w:pPr>
              <w:pStyle w:val="Tabletext"/>
              <w:keepNext/>
              <w:keepLines/>
              <w:jc w:val="center"/>
            </w:pPr>
            <w:r w:rsidRPr="007B3DA4">
              <w:t>Risdiplam = +$66,000</w:t>
            </w:r>
          </w:p>
        </w:tc>
      </w:tr>
      <w:tr w:rsidR="004762E8" w:rsidRPr="007B3DA4" w14:paraId="1C5F6B0B" w14:textId="77777777" w:rsidTr="00D217A8">
        <w:tc>
          <w:tcPr>
            <w:tcW w:w="1884" w:type="pct"/>
            <w:tcBorders>
              <w:bottom w:val="single" w:sz="4" w:space="0" w:color="auto"/>
            </w:tcBorders>
          </w:tcPr>
          <w:p w14:paraId="5098EE5A" w14:textId="77777777" w:rsidR="004762E8" w:rsidRPr="007B3DA4" w:rsidRDefault="00B84A29" w:rsidP="00A728B9">
            <w:pPr>
              <w:pStyle w:val="Tabletext"/>
              <w:keepNext/>
              <w:keepLines/>
            </w:pPr>
            <w:r>
              <w:t>C</w:t>
            </w:r>
            <w:r w:rsidR="004762E8" w:rsidRPr="007B3DA4">
              <w:t>ost per year averaged years 1 to 5</w:t>
            </w:r>
          </w:p>
        </w:tc>
        <w:tc>
          <w:tcPr>
            <w:tcW w:w="3116" w:type="pct"/>
            <w:gridSpan w:val="2"/>
            <w:tcBorders>
              <w:bottom w:val="single" w:sz="4" w:space="0" w:color="auto"/>
            </w:tcBorders>
          </w:tcPr>
          <w:p w14:paraId="15FCC006" w14:textId="77777777" w:rsidR="004762E8" w:rsidRPr="007B3DA4" w:rsidRDefault="004762E8" w:rsidP="00B84A29">
            <w:pPr>
              <w:pStyle w:val="Tabletext"/>
              <w:keepNext/>
              <w:keepLines/>
              <w:jc w:val="center"/>
            </w:pPr>
            <w:r w:rsidRPr="007B3DA4">
              <w:t xml:space="preserve">Risdiplam = </w:t>
            </w:r>
            <w:r w:rsidR="00B84A29">
              <w:t>$396,000, Nusinersen = $396,000</w:t>
            </w:r>
          </w:p>
        </w:tc>
      </w:tr>
      <w:tr w:rsidR="004762E8" w:rsidRPr="007B3DA4" w14:paraId="72024675" w14:textId="77777777" w:rsidTr="00D217A8">
        <w:tc>
          <w:tcPr>
            <w:tcW w:w="1884" w:type="pct"/>
            <w:tcBorders>
              <w:bottom w:val="single" w:sz="4" w:space="0" w:color="auto"/>
            </w:tcBorders>
          </w:tcPr>
          <w:p w14:paraId="139A35B4" w14:textId="77777777" w:rsidR="004762E8" w:rsidRPr="007B3DA4" w:rsidRDefault="004762E8" w:rsidP="00A728B9">
            <w:pPr>
              <w:pStyle w:val="Tabletext"/>
              <w:keepNext/>
              <w:keepLines/>
            </w:pPr>
            <w:r w:rsidRPr="007B3DA4">
              <w:t>Cost per administration every 4 months</w:t>
            </w:r>
            <w:r w:rsidR="00DF7442">
              <w:t>, including loading doses</w:t>
            </w:r>
          </w:p>
        </w:tc>
        <w:tc>
          <w:tcPr>
            <w:tcW w:w="1415" w:type="pct"/>
            <w:tcBorders>
              <w:bottom w:val="single" w:sz="4" w:space="0" w:color="auto"/>
            </w:tcBorders>
          </w:tcPr>
          <w:p w14:paraId="1E0AF06B" w14:textId="77777777" w:rsidR="004762E8" w:rsidRPr="007B3DA4" w:rsidRDefault="004762E8" w:rsidP="00A728B9">
            <w:pPr>
              <w:pStyle w:val="Tabletext"/>
              <w:keepNext/>
              <w:keepLines/>
              <w:jc w:val="center"/>
            </w:pPr>
            <w:r w:rsidRPr="007B3DA4">
              <w:t>$0</w:t>
            </w:r>
          </w:p>
        </w:tc>
        <w:tc>
          <w:tcPr>
            <w:tcW w:w="1701" w:type="pct"/>
            <w:tcBorders>
              <w:bottom w:val="single" w:sz="4" w:space="0" w:color="auto"/>
            </w:tcBorders>
          </w:tcPr>
          <w:p w14:paraId="24B5EAED" w14:textId="77777777" w:rsidR="004762E8" w:rsidRPr="007B3DA4" w:rsidRDefault="004762E8" w:rsidP="00A728B9">
            <w:pPr>
              <w:pStyle w:val="Tabletext"/>
              <w:keepNext/>
              <w:keepLines/>
              <w:jc w:val="center"/>
            </w:pPr>
            <w:r w:rsidRPr="007B3DA4">
              <w:t>$1,505</w:t>
            </w:r>
          </w:p>
        </w:tc>
      </w:tr>
      <w:tr w:rsidR="004762E8" w:rsidRPr="007B3DA4" w14:paraId="5CA7D616" w14:textId="77777777" w:rsidTr="00D217A8">
        <w:tc>
          <w:tcPr>
            <w:tcW w:w="1884" w:type="pct"/>
            <w:tcBorders>
              <w:top w:val="single" w:sz="4" w:space="0" w:color="auto"/>
            </w:tcBorders>
          </w:tcPr>
          <w:p w14:paraId="5C55F7D4" w14:textId="77777777" w:rsidR="004762E8" w:rsidRPr="007B3DA4" w:rsidRDefault="004762E8" w:rsidP="00A728B9">
            <w:pPr>
              <w:pStyle w:val="TableFooter"/>
              <w:keepNext/>
              <w:keepLines/>
              <w:rPr>
                <w:sz w:val="20"/>
                <w:szCs w:val="20"/>
              </w:rPr>
            </w:pPr>
            <w:r w:rsidRPr="007B3DA4">
              <w:rPr>
                <w:sz w:val="20"/>
                <w:szCs w:val="20"/>
              </w:rPr>
              <w:t>Overall difference in cost per year averaged over 5 years</w:t>
            </w:r>
          </w:p>
        </w:tc>
        <w:tc>
          <w:tcPr>
            <w:tcW w:w="3116" w:type="pct"/>
            <w:gridSpan w:val="2"/>
            <w:tcBorders>
              <w:top w:val="single" w:sz="4" w:space="0" w:color="auto"/>
            </w:tcBorders>
          </w:tcPr>
          <w:p w14:paraId="69116DA2" w14:textId="77777777" w:rsidR="004762E8" w:rsidRPr="007B3DA4" w:rsidRDefault="004762E8" w:rsidP="00DF7442">
            <w:pPr>
              <w:pStyle w:val="TableFooter"/>
              <w:keepNext/>
              <w:keepLines/>
              <w:jc w:val="center"/>
              <w:rPr>
                <w:sz w:val="20"/>
                <w:szCs w:val="20"/>
              </w:rPr>
            </w:pPr>
            <w:r w:rsidRPr="007B3DA4">
              <w:rPr>
                <w:sz w:val="20"/>
                <w:szCs w:val="20"/>
              </w:rPr>
              <w:t xml:space="preserve">Risdiplam = </w:t>
            </w:r>
            <w:r w:rsidR="00DF7442">
              <w:rPr>
                <w:sz w:val="20"/>
                <w:szCs w:val="20"/>
              </w:rPr>
              <w:t>-$27,090 ($1,505*5)</w:t>
            </w:r>
          </w:p>
        </w:tc>
      </w:tr>
    </w:tbl>
    <w:p w14:paraId="2DCCFBF6" w14:textId="77777777" w:rsidR="004762E8" w:rsidRDefault="004762E8" w:rsidP="007B3DA4">
      <w:pPr>
        <w:pStyle w:val="TableFooter"/>
      </w:pPr>
      <w:r w:rsidRPr="007B3DA4">
        <w:t xml:space="preserve">Source: </w:t>
      </w:r>
      <w:r w:rsidR="00B84A29">
        <w:t>Cost-minimisation analysis CMA worksheet</w:t>
      </w:r>
      <w:r w:rsidRPr="007B3DA4">
        <w:t>.</w:t>
      </w:r>
    </w:p>
    <w:p w14:paraId="2BEACA69" w14:textId="77777777" w:rsidR="007B3DA4" w:rsidRPr="007B3DA4" w:rsidRDefault="007B3DA4" w:rsidP="007B3DA4">
      <w:pPr>
        <w:pStyle w:val="TableFooter"/>
        <w:rPr>
          <w:sz w:val="20"/>
        </w:rPr>
      </w:pPr>
    </w:p>
    <w:p w14:paraId="6963E0E7" w14:textId="77777777" w:rsidR="00F66657" w:rsidRDefault="008D6806" w:rsidP="004422FA">
      <w:pPr>
        <w:pStyle w:val="ListParagraph"/>
        <w:widowControl/>
        <w:numPr>
          <w:ilvl w:val="1"/>
          <w:numId w:val="2"/>
        </w:numPr>
      </w:pPr>
      <w:bookmarkStart w:id="47" w:name="_Ref61530013"/>
      <w:r w:rsidRPr="00831A0A">
        <w:t>T</w:t>
      </w:r>
      <w:r w:rsidR="00244525" w:rsidRPr="00831A0A">
        <w:t>he cost of loading doses and administration for nusinersen were included in the cost-minimisation analysis, in order to demonstrate the potential cost savings associated with the use of risdiplam in population 1</w:t>
      </w:r>
      <w:r w:rsidR="00F438B1" w:rsidRPr="007B3DA4">
        <w:t xml:space="preserve">, though </w:t>
      </w:r>
      <w:r w:rsidR="00F926D0" w:rsidRPr="007B3DA4">
        <w:t xml:space="preserve">these costs </w:t>
      </w:r>
      <w:r w:rsidR="00F438B1" w:rsidRPr="007B3DA4">
        <w:t xml:space="preserve">were not proposed to be included in the calculation of the effective price for risdiplam, which was </w:t>
      </w:r>
      <w:r w:rsidR="004A1974" w:rsidRPr="007B3DA4">
        <w:t>based on maintenance doses of both treatments only</w:t>
      </w:r>
      <w:r w:rsidR="00244525" w:rsidRPr="007B3DA4">
        <w:t>.</w:t>
      </w:r>
      <w:r w:rsidR="00F66657" w:rsidRPr="00831A0A">
        <w:t xml:space="preserve"> The calculation also assumed that all patients treated with risdiplam would require the highest dose of 5 mg per day. </w:t>
      </w:r>
      <w:r w:rsidR="004A1974" w:rsidRPr="007B3DA4">
        <w:t xml:space="preserve">The ESC considered that this approach was appropriately conservative. </w:t>
      </w:r>
      <w:bookmarkEnd w:id="47"/>
    </w:p>
    <w:p w14:paraId="37B7F80D" w14:textId="77777777" w:rsidR="004762E8" w:rsidRPr="007B3DA4" w:rsidRDefault="004762E8" w:rsidP="004422FA">
      <w:pPr>
        <w:pStyle w:val="ListParagraph"/>
        <w:widowControl/>
        <w:numPr>
          <w:ilvl w:val="1"/>
          <w:numId w:val="2"/>
        </w:numPr>
      </w:pPr>
      <w:r w:rsidRPr="007B3DA4">
        <w:t>The ESC noted that the</w:t>
      </w:r>
      <w:r w:rsidR="00152493" w:rsidRPr="007B3DA4">
        <w:t xml:space="preserve"> listing of risdiplam for population 1 on the basis proposed in the submission</w:t>
      </w:r>
      <w:r w:rsidRPr="007B3DA4">
        <w:t xml:space="preserve"> may be overall cost-saving as:</w:t>
      </w:r>
    </w:p>
    <w:p w14:paraId="27B3E769" w14:textId="77777777" w:rsidR="004762E8" w:rsidRPr="007B3DA4" w:rsidRDefault="004762E8" w:rsidP="004762E8">
      <w:pPr>
        <w:pStyle w:val="BulletList"/>
        <w:tabs>
          <w:tab w:val="clear" w:pos="426"/>
        </w:tabs>
        <w:spacing w:after="120" w:line="240" w:lineRule="auto"/>
        <w:ind w:left="1134" w:hanging="357"/>
        <w:contextualSpacing w:val="0"/>
        <w:jc w:val="left"/>
        <w:rPr>
          <w:sz w:val="24"/>
          <w:szCs w:val="24"/>
        </w:rPr>
      </w:pPr>
      <w:r w:rsidRPr="007B3DA4">
        <w:rPr>
          <w:sz w:val="24"/>
          <w:szCs w:val="24"/>
        </w:rPr>
        <w:t>the cost for the administration of nusinersen was not included in the calculation of price parity;</w:t>
      </w:r>
    </w:p>
    <w:p w14:paraId="3BC17512" w14:textId="77777777" w:rsidR="004762E8" w:rsidRPr="007B3DA4" w:rsidRDefault="004762E8" w:rsidP="004762E8">
      <w:pPr>
        <w:pStyle w:val="BulletList"/>
        <w:tabs>
          <w:tab w:val="clear" w:pos="426"/>
        </w:tabs>
        <w:spacing w:after="120" w:line="240" w:lineRule="auto"/>
        <w:ind w:left="1134" w:hanging="357"/>
        <w:contextualSpacing w:val="0"/>
        <w:jc w:val="left"/>
        <w:rPr>
          <w:sz w:val="24"/>
          <w:szCs w:val="24"/>
        </w:rPr>
      </w:pPr>
      <w:r w:rsidRPr="007B3DA4">
        <w:rPr>
          <w:sz w:val="24"/>
          <w:szCs w:val="24"/>
        </w:rPr>
        <w:t>price parity was appropriately sought without including the cost for the loading doses of nusinersen required in the first year for patients initiating treatment, lowering the overall cost of nusinersen treatment; and</w:t>
      </w:r>
    </w:p>
    <w:p w14:paraId="07B509C9" w14:textId="77777777" w:rsidR="004762E8" w:rsidRDefault="004762E8" w:rsidP="004762E8">
      <w:pPr>
        <w:pStyle w:val="BulletList"/>
        <w:tabs>
          <w:tab w:val="clear" w:pos="426"/>
        </w:tabs>
        <w:spacing w:after="120" w:line="240" w:lineRule="auto"/>
        <w:ind w:left="1134" w:hanging="357"/>
        <w:contextualSpacing w:val="0"/>
        <w:jc w:val="left"/>
        <w:rPr>
          <w:sz w:val="24"/>
          <w:szCs w:val="24"/>
        </w:rPr>
      </w:pPr>
      <w:r w:rsidRPr="007B3DA4">
        <w:rPr>
          <w:sz w:val="24"/>
          <w:szCs w:val="24"/>
        </w:rPr>
        <w:t>the daily dose of risdiplam assumed (5 mg) was likely an overestimate as there would be a number of paediatric patients who weigh less than 20 kg (and would require a lower dose</w:t>
      </w:r>
      <w:r w:rsidR="000B34F3">
        <w:rPr>
          <w:sz w:val="24"/>
          <w:szCs w:val="24"/>
        </w:rPr>
        <w:t xml:space="preserve"> while they remain less than 20 kg</w:t>
      </w:r>
      <w:r w:rsidRPr="007B3DA4">
        <w:rPr>
          <w:sz w:val="24"/>
          <w:szCs w:val="24"/>
        </w:rPr>
        <w:t xml:space="preserve">). </w:t>
      </w:r>
    </w:p>
    <w:p w14:paraId="47451A1E" w14:textId="77777777" w:rsidR="00F66657" w:rsidRPr="002C2775" w:rsidRDefault="00F66657" w:rsidP="00A670CE">
      <w:pPr>
        <w:pStyle w:val="4-SubsectionHeading"/>
        <w:spacing w:before="240"/>
      </w:pPr>
      <w:bookmarkStart w:id="48" w:name="_Toc58338007"/>
      <w:bookmarkStart w:id="49" w:name="_Toc61959939"/>
      <w:r w:rsidRPr="002C2775">
        <w:t>Drug cost/patient/</w:t>
      </w:r>
      <w:r w:rsidR="00EA2C1B">
        <w:t>month</w:t>
      </w:r>
      <w:r>
        <w:t>: $33,000</w:t>
      </w:r>
      <w:bookmarkEnd w:id="48"/>
      <w:r w:rsidR="00FC3F13">
        <w:t xml:space="preserve"> (published price)</w:t>
      </w:r>
      <w:bookmarkEnd w:id="49"/>
    </w:p>
    <w:p w14:paraId="4107D048" w14:textId="77777777" w:rsidR="00F66657" w:rsidRDefault="004A19BA" w:rsidP="002062A5">
      <w:pPr>
        <w:pStyle w:val="ListParagraph"/>
        <w:widowControl/>
        <w:numPr>
          <w:ilvl w:val="1"/>
          <w:numId w:val="2"/>
        </w:numPr>
        <w:spacing w:after="120"/>
        <w:rPr>
          <w:rFonts w:asciiTheme="minorHAnsi" w:hAnsiTheme="minorHAnsi" w:cstheme="minorHAnsi"/>
          <w:szCs w:val="24"/>
          <w:lang w:eastAsia="en-AU"/>
        </w:rPr>
      </w:pPr>
      <w:r w:rsidRPr="007B3DA4">
        <w:t xml:space="preserve">The ESC noted that </w:t>
      </w:r>
      <w:r>
        <w:t>b</w:t>
      </w:r>
      <w:r w:rsidR="00F66657" w:rsidRPr="000E0DAC">
        <w:t xml:space="preserve">ased on a dose of </w:t>
      </w:r>
      <w:r w:rsidR="00F66657" w:rsidRPr="00831A0A">
        <w:t>5 mg per day, which was a potential overestimate of the dose required for risdiplam, the submission estimated a cost of $33</w:t>
      </w:r>
      <w:r w:rsidR="00FC3F13" w:rsidRPr="00831A0A">
        <w:t xml:space="preserve">,000 per patient per </w:t>
      </w:r>
      <w:r w:rsidR="00EA2C1B" w:rsidRPr="00831A0A">
        <w:t>month</w:t>
      </w:r>
      <w:r w:rsidR="00F66657" w:rsidRPr="00831A0A">
        <w:t xml:space="preserve">, assuming no discontinuations and no wastage, based on the published price of </w:t>
      </w:r>
      <w:r w:rsidR="00FC3F13" w:rsidRPr="00831A0A">
        <w:t>nusinersen</w:t>
      </w:r>
      <w:r w:rsidR="00F66657" w:rsidRPr="00831A0A">
        <w:t xml:space="preserve">. </w:t>
      </w:r>
      <w:r w:rsidR="00F66657" w:rsidRPr="00831A0A">
        <w:rPr>
          <w:rFonts w:asciiTheme="minorHAnsi" w:hAnsiTheme="minorHAnsi" w:cstheme="minorHAnsi"/>
          <w:szCs w:val="24"/>
        </w:rPr>
        <w:t xml:space="preserve">In the financial estimates, the submission assumed that incident patients would receive a dose of 1.5 mg per day for the first year, and 5 mg per day thereafter. </w:t>
      </w:r>
    </w:p>
    <w:p w14:paraId="63CE3CC3" w14:textId="77777777" w:rsidR="00F66657" w:rsidRPr="00C9624D" w:rsidRDefault="00F66657" w:rsidP="00A670CE">
      <w:pPr>
        <w:pStyle w:val="4-SubsectionHeading"/>
        <w:spacing w:before="240"/>
      </w:pPr>
      <w:bookmarkStart w:id="50" w:name="_Toc58338008"/>
      <w:bookmarkStart w:id="51" w:name="_Toc61959940"/>
      <w:r w:rsidRPr="00C9624D">
        <w:lastRenderedPageBreak/>
        <w:t>Estimated PBS usage &amp; financial implications</w:t>
      </w:r>
      <w:bookmarkEnd w:id="50"/>
      <w:bookmarkEnd w:id="51"/>
    </w:p>
    <w:p w14:paraId="79FDE02D" w14:textId="77777777" w:rsidR="00F66657" w:rsidRDefault="00F66657" w:rsidP="004422FA">
      <w:pPr>
        <w:pStyle w:val="ListParagraph"/>
        <w:widowControl/>
        <w:numPr>
          <w:ilvl w:val="1"/>
          <w:numId w:val="2"/>
        </w:numPr>
      </w:pPr>
      <w:r>
        <w:t>This submission w</w:t>
      </w:r>
      <w:r w:rsidR="002331D2">
        <w:t xml:space="preserve">as </w:t>
      </w:r>
      <w:r>
        <w:t>not considered by DUSC</w:t>
      </w:r>
      <w:r w:rsidRPr="00CB40D0">
        <w:t xml:space="preserve">. </w:t>
      </w:r>
    </w:p>
    <w:p w14:paraId="1B8E084C" w14:textId="77777777" w:rsidR="00F66657" w:rsidRPr="00831A0A" w:rsidRDefault="00F66657" w:rsidP="004422FA">
      <w:pPr>
        <w:pStyle w:val="ListParagraph"/>
        <w:widowControl/>
        <w:numPr>
          <w:ilvl w:val="1"/>
          <w:numId w:val="2"/>
        </w:numPr>
      </w:pPr>
      <w:r>
        <w:t xml:space="preserve">The submission used an </w:t>
      </w:r>
      <w:r w:rsidRPr="00CB40D0">
        <w:t>epidemiological</w:t>
      </w:r>
      <w:r>
        <w:t xml:space="preserve"> approach to estimate the PBS usage of risdiplam, whereby the incident population was based on a birth prevalence of 8.66 per 100,000 as reported from 1 year of data from the newborn screening programs in NSW and the ACT</w:t>
      </w:r>
      <w:r w:rsidRPr="00AC3CEF">
        <w:t xml:space="preserve"> </w:t>
      </w:r>
      <w:r>
        <w:t>by Kariyawasam 2020</w:t>
      </w:r>
      <w:r w:rsidRPr="00831A0A">
        <w:t xml:space="preserve">. </w:t>
      </w:r>
      <w:r w:rsidR="00EA2C1B" w:rsidRPr="00831A0A">
        <w:t>However</w:t>
      </w:r>
      <w:r w:rsidR="00692ABD" w:rsidRPr="00831A0A">
        <w:t>,</w:t>
      </w:r>
      <w:r w:rsidR="00EA2C1B" w:rsidRPr="00831A0A">
        <w:t xml:space="preserve"> the submission appears to have erroneously assumed a birth prevalence of 10 per 100,000 in the calculation</w:t>
      </w:r>
      <w:r w:rsidR="007739AF" w:rsidRPr="00831A0A">
        <w:t xml:space="preserve"> of incident patient number</w:t>
      </w:r>
      <w:r w:rsidR="004D3688" w:rsidRPr="00831A0A">
        <w:t>s</w:t>
      </w:r>
      <w:r w:rsidR="007739AF" w:rsidRPr="00831A0A">
        <w:t>, using the birth prevalence of 8.66 per 100,000 for prevalent patients only</w:t>
      </w:r>
      <w:r w:rsidR="00EA2C1B" w:rsidRPr="00831A0A">
        <w:t xml:space="preserve">. </w:t>
      </w:r>
      <w:r w:rsidRPr="00831A0A">
        <w:t xml:space="preserve">Distribution of SMA </w:t>
      </w:r>
      <w:r w:rsidR="00EA2C1B" w:rsidRPr="00831A0A">
        <w:t xml:space="preserve">type </w:t>
      </w:r>
      <w:r w:rsidRPr="00831A0A">
        <w:t xml:space="preserve">was informed by data from Verhaart 2017, where proportional rates were reported to be 5.5/9.1 (60%) for SMA Type 1, 1.9/9.1 (21%) for SMA Type 2, and 1.7/9.1 (19%) for SMA Type 3, with the submission making no allowance for any patients to have SMA Type 4. Of the 19% of patients with SMA Type 3, the submission estimated that 88.5% would have SMA Type 3a, and 11.5% SMA Type 3b based on the proportions in the SUNFISH Part 2 trial. </w:t>
      </w:r>
    </w:p>
    <w:p w14:paraId="32E11F75" w14:textId="77777777" w:rsidR="00F66657" w:rsidRPr="00831A0A" w:rsidRDefault="00F66657" w:rsidP="004422FA">
      <w:pPr>
        <w:pStyle w:val="ListParagraph"/>
        <w:widowControl/>
        <w:numPr>
          <w:ilvl w:val="1"/>
          <w:numId w:val="2"/>
        </w:numPr>
      </w:pPr>
      <w:r w:rsidRPr="00831A0A">
        <w:t xml:space="preserve">Prevalent patients were estimated by applying survival curves to each SMA type, and the calculated number of prevalent patients were added to ‘Year 0’ incident (new) cases to derive the total eligible patient population. </w:t>
      </w:r>
    </w:p>
    <w:p w14:paraId="018088CD" w14:textId="77777777" w:rsidR="00F66657" w:rsidRPr="00831A0A" w:rsidRDefault="00F66657" w:rsidP="004422FA">
      <w:pPr>
        <w:pStyle w:val="ListParagraph"/>
        <w:widowControl/>
        <w:numPr>
          <w:ilvl w:val="1"/>
          <w:numId w:val="2"/>
        </w:numPr>
        <w:rPr>
          <w:iCs/>
        </w:rPr>
      </w:pPr>
      <w:r w:rsidRPr="00831A0A">
        <w:t>Overall, it was not clear how applicable the estimates would be, given that incidence rates can vary over time</w:t>
      </w:r>
      <w:r w:rsidR="00946E0D" w:rsidRPr="00831A0A">
        <w:t xml:space="preserve"> </w:t>
      </w:r>
      <w:r w:rsidR="00790153" w:rsidRPr="00831A0A">
        <w:t>(as noted in country specific data reported by Verhaart 2017)</w:t>
      </w:r>
      <w:r w:rsidR="00946E0D" w:rsidRPr="00831A0A">
        <w:t xml:space="preserve"> and also since incidence detection may increase if newborn screening of SMA becomes more common Australia wide</w:t>
      </w:r>
      <w:r w:rsidRPr="00831A0A">
        <w:t xml:space="preserve">, and given that other sources such as Arkblad 2009 report a different distribution of SMA patients. </w:t>
      </w:r>
    </w:p>
    <w:p w14:paraId="3B0CC3EA" w14:textId="77777777" w:rsidR="002904C4" w:rsidRPr="00831A0A" w:rsidRDefault="004E2846" w:rsidP="004422FA">
      <w:pPr>
        <w:pStyle w:val="ListParagraph"/>
        <w:widowControl/>
        <w:numPr>
          <w:ilvl w:val="1"/>
          <w:numId w:val="2"/>
        </w:numPr>
        <w:spacing w:after="120"/>
      </w:pPr>
      <w:r w:rsidRPr="00831A0A">
        <w:t xml:space="preserve">As discussed in paragraph </w:t>
      </w:r>
      <w:r w:rsidR="009825B3">
        <w:t>3.3</w:t>
      </w:r>
      <w:r w:rsidRPr="00831A0A">
        <w:t xml:space="preserve">, </w:t>
      </w:r>
      <w:r w:rsidR="002904C4" w:rsidRPr="00831A0A">
        <w:t xml:space="preserve">there may be potential for use outside of the proposed </w:t>
      </w:r>
      <w:r w:rsidR="00F4796E">
        <w:t xml:space="preserve">and recommended </w:t>
      </w:r>
      <w:r w:rsidR="002904C4" w:rsidRPr="00831A0A">
        <w:t xml:space="preserve">populations, specifically, in pre-symptomatic treatment and patients with SMA Type 4. </w:t>
      </w:r>
    </w:p>
    <w:p w14:paraId="73C4BEA0" w14:textId="77777777" w:rsidR="00F66657" w:rsidRPr="00831A0A" w:rsidRDefault="00F66657" w:rsidP="004422FA">
      <w:pPr>
        <w:pStyle w:val="ListParagraph"/>
        <w:widowControl/>
        <w:numPr>
          <w:ilvl w:val="1"/>
          <w:numId w:val="2"/>
        </w:numPr>
        <w:spacing w:after="120"/>
      </w:pPr>
      <w:r w:rsidRPr="00831A0A">
        <w:t xml:space="preserve">The number of patients to be treated with risdiplam under the proposed listing and the corresponding financial impact </w:t>
      </w:r>
      <w:r w:rsidR="005E3243" w:rsidRPr="00831A0A">
        <w:t xml:space="preserve">based on the published price </w:t>
      </w:r>
      <w:r w:rsidRPr="00831A0A">
        <w:t xml:space="preserve">is </w:t>
      </w:r>
      <w:r w:rsidRPr="00AB11DF">
        <w:rPr>
          <w:rFonts w:asciiTheme="minorHAnsi" w:hAnsiTheme="minorHAnsi" w:cstheme="minorHAnsi"/>
          <w:szCs w:val="24"/>
        </w:rPr>
        <w:t xml:space="preserve">shown in </w:t>
      </w:r>
      <w:r w:rsidR="009825B3" w:rsidRPr="009825B3">
        <w:rPr>
          <w:rStyle w:val="CommentReference"/>
          <w:rFonts w:asciiTheme="minorHAnsi" w:hAnsiTheme="minorHAnsi" w:cstheme="minorHAnsi"/>
          <w:b w:val="0"/>
          <w:sz w:val="24"/>
          <w:szCs w:val="24"/>
        </w:rPr>
        <w:t xml:space="preserve">Table </w:t>
      </w:r>
      <w:r w:rsidR="009825B3" w:rsidRPr="009825B3">
        <w:rPr>
          <w:rStyle w:val="CommentReference"/>
          <w:rFonts w:asciiTheme="minorHAnsi" w:hAnsiTheme="minorHAnsi" w:cstheme="minorHAnsi"/>
          <w:b w:val="0"/>
          <w:noProof/>
          <w:sz w:val="24"/>
          <w:szCs w:val="24"/>
        </w:rPr>
        <w:t>19</w:t>
      </w:r>
      <w:r w:rsidRPr="00AB11DF">
        <w:rPr>
          <w:b/>
        </w:rPr>
        <w:t xml:space="preserve"> </w:t>
      </w:r>
      <w:r w:rsidRPr="00831A0A">
        <w:t>below.</w:t>
      </w:r>
      <w:r w:rsidR="005E3243" w:rsidRPr="00831A0A">
        <w:t xml:space="preserve"> </w:t>
      </w:r>
    </w:p>
    <w:p w14:paraId="5DD1E487" w14:textId="77777777" w:rsidR="00F66657" w:rsidRPr="001F5E1D" w:rsidRDefault="001F5E1D" w:rsidP="001F5E1D">
      <w:pPr>
        <w:keepNext/>
        <w:keepLines/>
        <w:rPr>
          <w:rStyle w:val="CommentReference"/>
        </w:rPr>
      </w:pPr>
      <w:bookmarkStart w:id="52" w:name="_Ref64974593"/>
      <w:r w:rsidRPr="001F5E1D">
        <w:rPr>
          <w:rStyle w:val="CommentReference"/>
        </w:rPr>
        <w:lastRenderedPageBreak/>
        <w:t xml:space="preserve">Table </w:t>
      </w:r>
      <w:r w:rsidR="009825B3">
        <w:rPr>
          <w:rStyle w:val="CommentReference"/>
          <w:noProof/>
        </w:rPr>
        <w:t>19</w:t>
      </w:r>
      <w:bookmarkEnd w:id="52"/>
      <w:r w:rsidR="000D14ED">
        <w:rPr>
          <w:rStyle w:val="CommentReference"/>
        </w:rPr>
        <w:t>:</w:t>
      </w:r>
      <w:r w:rsidR="00F66657" w:rsidRPr="001222FC">
        <w:rPr>
          <w:rStyle w:val="CommentReference"/>
        </w:rPr>
        <w:t xml:space="preserve"> Estimated use and financial implications</w:t>
      </w:r>
      <w:r w:rsidR="00F66657">
        <w:rPr>
          <w:rStyle w:val="CommentReference"/>
        </w:rPr>
        <w:t xml:space="preserve"> across all patient populations</w:t>
      </w:r>
      <w:r w:rsidR="00D05CAE">
        <w:rPr>
          <w:rStyle w:val="CommentReference"/>
        </w:rPr>
        <w:t xml:space="preserve"> using published prices </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16"/>
        <w:gridCol w:w="1119"/>
        <w:gridCol w:w="1142"/>
        <w:gridCol w:w="1201"/>
        <w:gridCol w:w="1115"/>
        <w:gridCol w:w="1273"/>
        <w:gridCol w:w="1162"/>
      </w:tblGrid>
      <w:tr w:rsidR="00F66657" w:rsidRPr="00D1078F" w14:paraId="19F6D243" w14:textId="77777777" w:rsidTr="00D61F11">
        <w:trPr>
          <w:trHeight w:val="226"/>
          <w:tblHeader/>
        </w:trPr>
        <w:tc>
          <w:tcPr>
            <w:tcW w:w="1424" w:type="pct"/>
            <w:shd w:val="clear" w:color="auto" w:fill="auto"/>
            <w:vAlign w:val="center"/>
          </w:tcPr>
          <w:p w14:paraId="5838F82B" w14:textId="77777777" w:rsidR="00F66657" w:rsidRPr="003639A6" w:rsidRDefault="00F66657" w:rsidP="00D05CAE">
            <w:pPr>
              <w:pStyle w:val="Tabletext"/>
              <w:keepNext/>
              <w:keepLines/>
            </w:pPr>
          </w:p>
        </w:tc>
        <w:tc>
          <w:tcPr>
            <w:tcW w:w="595" w:type="pct"/>
            <w:shd w:val="clear" w:color="auto" w:fill="auto"/>
            <w:vAlign w:val="center"/>
          </w:tcPr>
          <w:p w14:paraId="1C955D65" w14:textId="77777777" w:rsidR="00F66657" w:rsidRPr="00D1078F" w:rsidRDefault="00F66657" w:rsidP="00D05CAE">
            <w:pPr>
              <w:pStyle w:val="Tabletext"/>
              <w:keepNext/>
              <w:keepLines/>
              <w:jc w:val="center"/>
              <w:rPr>
                <w:b/>
              </w:rPr>
            </w:pPr>
            <w:r w:rsidRPr="00D1078F">
              <w:rPr>
                <w:b/>
              </w:rPr>
              <w:t>Year 1</w:t>
            </w:r>
          </w:p>
        </w:tc>
        <w:tc>
          <w:tcPr>
            <w:tcW w:w="596" w:type="pct"/>
            <w:shd w:val="clear" w:color="auto" w:fill="auto"/>
            <w:vAlign w:val="center"/>
          </w:tcPr>
          <w:p w14:paraId="292CA204" w14:textId="77777777" w:rsidR="00F66657" w:rsidRPr="00D1078F" w:rsidRDefault="00F66657" w:rsidP="00D05CAE">
            <w:pPr>
              <w:pStyle w:val="Tabletext"/>
              <w:keepNext/>
              <w:keepLines/>
              <w:jc w:val="center"/>
              <w:rPr>
                <w:b/>
              </w:rPr>
            </w:pPr>
            <w:r w:rsidRPr="00D1078F">
              <w:rPr>
                <w:b/>
              </w:rPr>
              <w:t>Year 2</w:t>
            </w:r>
          </w:p>
        </w:tc>
        <w:tc>
          <w:tcPr>
            <w:tcW w:w="596" w:type="pct"/>
            <w:shd w:val="clear" w:color="auto" w:fill="auto"/>
            <w:vAlign w:val="center"/>
          </w:tcPr>
          <w:p w14:paraId="30504161" w14:textId="77777777" w:rsidR="00F66657" w:rsidRPr="00D1078F" w:rsidRDefault="00F66657" w:rsidP="00D05CAE">
            <w:pPr>
              <w:pStyle w:val="Tabletext"/>
              <w:keepNext/>
              <w:keepLines/>
              <w:jc w:val="center"/>
              <w:rPr>
                <w:b/>
              </w:rPr>
            </w:pPr>
            <w:r w:rsidRPr="00D1078F">
              <w:rPr>
                <w:b/>
              </w:rPr>
              <w:t>Year 3</w:t>
            </w:r>
          </w:p>
        </w:tc>
        <w:tc>
          <w:tcPr>
            <w:tcW w:w="596" w:type="pct"/>
            <w:shd w:val="clear" w:color="auto" w:fill="auto"/>
            <w:vAlign w:val="center"/>
          </w:tcPr>
          <w:p w14:paraId="11E8FC7C" w14:textId="77777777" w:rsidR="00F66657" w:rsidRPr="00D1078F" w:rsidRDefault="00F66657" w:rsidP="00D05CAE">
            <w:pPr>
              <w:pStyle w:val="Tabletext"/>
              <w:keepNext/>
              <w:keepLines/>
              <w:jc w:val="center"/>
              <w:rPr>
                <w:b/>
              </w:rPr>
            </w:pPr>
            <w:r w:rsidRPr="00D1078F">
              <w:rPr>
                <w:b/>
              </w:rPr>
              <w:t>Year 4</w:t>
            </w:r>
          </w:p>
        </w:tc>
        <w:tc>
          <w:tcPr>
            <w:tcW w:w="596" w:type="pct"/>
            <w:shd w:val="clear" w:color="auto" w:fill="auto"/>
            <w:vAlign w:val="center"/>
          </w:tcPr>
          <w:p w14:paraId="322AD725" w14:textId="77777777" w:rsidR="00F66657" w:rsidRPr="00D1078F" w:rsidRDefault="00F66657" w:rsidP="00D05CAE">
            <w:pPr>
              <w:pStyle w:val="Tabletext"/>
              <w:keepNext/>
              <w:keepLines/>
              <w:jc w:val="center"/>
              <w:rPr>
                <w:b/>
              </w:rPr>
            </w:pPr>
            <w:r w:rsidRPr="00D1078F">
              <w:rPr>
                <w:b/>
              </w:rPr>
              <w:t>Year 5</w:t>
            </w:r>
          </w:p>
        </w:tc>
        <w:tc>
          <w:tcPr>
            <w:tcW w:w="595" w:type="pct"/>
          </w:tcPr>
          <w:p w14:paraId="308C85D4" w14:textId="77777777" w:rsidR="00F66657" w:rsidRPr="00D1078F" w:rsidRDefault="00F66657" w:rsidP="00D05CAE">
            <w:pPr>
              <w:pStyle w:val="Tabletext"/>
              <w:keepNext/>
              <w:keepLines/>
              <w:jc w:val="center"/>
              <w:rPr>
                <w:b/>
              </w:rPr>
            </w:pPr>
            <w:r w:rsidRPr="00D1078F">
              <w:rPr>
                <w:b/>
              </w:rPr>
              <w:t>Year 6</w:t>
            </w:r>
          </w:p>
        </w:tc>
      </w:tr>
      <w:tr w:rsidR="00F66657" w:rsidRPr="00D1078F" w14:paraId="1C8B2C03" w14:textId="77777777" w:rsidTr="00D61F11">
        <w:trPr>
          <w:trHeight w:val="233"/>
        </w:trPr>
        <w:tc>
          <w:tcPr>
            <w:tcW w:w="5000" w:type="pct"/>
            <w:gridSpan w:val="7"/>
            <w:shd w:val="clear" w:color="auto" w:fill="auto"/>
            <w:vAlign w:val="center"/>
          </w:tcPr>
          <w:p w14:paraId="2CED0951" w14:textId="77777777" w:rsidR="00F66657" w:rsidRPr="00D1078F" w:rsidRDefault="00F66657" w:rsidP="00D05CAE">
            <w:pPr>
              <w:pStyle w:val="Tabletext"/>
              <w:keepNext/>
              <w:keepLines/>
              <w:rPr>
                <w:b/>
                <w:bCs/>
                <w:color w:val="000000"/>
              </w:rPr>
            </w:pPr>
            <w:r w:rsidRPr="00D1078F">
              <w:rPr>
                <w:b/>
                <w:bCs/>
                <w:color w:val="000000"/>
              </w:rPr>
              <w:t>Estimated extent of use</w:t>
            </w:r>
          </w:p>
        </w:tc>
      </w:tr>
      <w:tr w:rsidR="008D6806" w:rsidRPr="003639A6" w14:paraId="6366374F" w14:textId="77777777" w:rsidTr="00D61F11">
        <w:trPr>
          <w:trHeight w:val="226"/>
        </w:trPr>
        <w:tc>
          <w:tcPr>
            <w:tcW w:w="1424" w:type="pct"/>
            <w:shd w:val="clear" w:color="auto" w:fill="auto"/>
            <w:vAlign w:val="center"/>
          </w:tcPr>
          <w:p w14:paraId="222442C9" w14:textId="77777777" w:rsidR="008D6806" w:rsidRPr="003639A6" w:rsidRDefault="008D6806" w:rsidP="00D05CAE">
            <w:pPr>
              <w:pStyle w:val="Tabletext"/>
              <w:keepNext/>
              <w:keepLines/>
            </w:pPr>
            <w:r>
              <w:t>Population 1 treated</w:t>
            </w:r>
          </w:p>
        </w:tc>
        <w:tc>
          <w:tcPr>
            <w:tcW w:w="595" w:type="pct"/>
          </w:tcPr>
          <w:p w14:paraId="6422EEBC" w14:textId="77777777" w:rsidR="008D6806" w:rsidRPr="003A37B7" w:rsidRDefault="003A37B7" w:rsidP="00D05CAE">
            <w:pPr>
              <w:pStyle w:val="Tabletext"/>
              <w:keepNext/>
              <w:keepLines/>
              <w:jc w:val="center"/>
              <w:rPr>
                <w:rFonts w:cs="Calibri"/>
                <w:bCs/>
                <w:szCs w:val="20"/>
                <w:lang w:eastAsia="zh-CN"/>
              </w:rPr>
            </w:pPr>
            <w:r>
              <w:rPr>
                <w:noProof/>
                <w:color w:val="000000"/>
                <w:highlight w:val="black"/>
              </w:rPr>
              <w:t>''''''</w:t>
            </w:r>
            <w:r w:rsidR="00E61675">
              <w:rPr>
                <w:vertAlign w:val="superscript"/>
              </w:rPr>
              <w:t>1</w:t>
            </w:r>
          </w:p>
        </w:tc>
        <w:tc>
          <w:tcPr>
            <w:tcW w:w="596" w:type="pct"/>
          </w:tcPr>
          <w:p w14:paraId="2B2D9AB5" w14:textId="77777777" w:rsidR="008D6806" w:rsidRPr="003A37B7" w:rsidRDefault="003A37B7" w:rsidP="00D05CAE">
            <w:pPr>
              <w:pStyle w:val="Tabletext"/>
              <w:keepNext/>
              <w:keepLines/>
              <w:jc w:val="center"/>
              <w:rPr>
                <w:rFonts w:cs="Calibri"/>
                <w:bCs/>
                <w:szCs w:val="20"/>
                <w:lang w:eastAsia="zh-CN"/>
              </w:rPr>
            </w:pPr>
            <w:r>
              <w:rPr>
                <w:noProof/>
                <w:color w:val="000000"/>
                <w:highlight w:val="black"/>
              </w:rPr>
              <w:t>'''''''</w:t>
            </w:r>
            <w:r w:rsidR="00E61675">
              <w:rPr>
                <w:vertAlign w:val="superscript"/>
              </w:rPr>
              <w:t>1</w:t>
            </w:r>
          </w:p>
        </w:tc>
        <w:tc>
          <w:tcPr>
            <w:tcW w:w="596" w:type="pct"/>
          </w:tcPr>
          <w:p w14:paraId="0F94E7A0" w14:textId="77777777" w:rsidR="008D6806" w:rsidRPr="003A37B7" w:rsidRDefault="003A37B7" w:rsidP="00D05CAE">
            <w:pPr>
              <w:pStyle w:val="Tabletext"/>
              <w:keepNext/>
              <w:keepLines/>
              <w:jc w:val="center"/>
              <w:rPr>
                <w:rFonts w:cs="Calibri"/>
                <w:bCs/>
                <w:szCs w:val="20"/>
                <w:lang w:eastAsia="zh-CN"/>
              </w:rPr>
            </w:pPr>
            <w:r>
              <w:rPr>
                <w:noProof/>
                <w:color w:val="000000"/>
                <w:highlight w:val="black"/>
              </w:rPr>
              <w:t>''''''</w:t>
            </w:r>
            <w:r w:rsidR="00E61675">
              <w:rPr>
                <w:vertAlign w:val="superscript"/>
              </w:rPr>
              <w:t>1</w:t>
            </w:r>
          </w:p>
        </w:tc>
        <w:tc>
          <w:tcPr>
            <w:tcW w:w="596" w:type="pct"/>
          </w:tcPr>
          <w:p w14:paraId="5E869EBE" w14:textId="77777777" w:rsidR="008D6806" w:rsidRPr="003A37B7" w:rsidRDefault="003A37B7" w:rsidP="00D05CAE">
            <w:pPr>
              <w:pStyle w:val="Tabletext"/>
              <w:keepNext/>
              <w:keepLines/>
              <w:jc w:val="center"/>
              <w:rPr>
                <w:rFonts w:cs="Calibri"/>
                <w:bCs/>
                <w:szCs w:val="20"/>
                <w:lang w:eastAsia="zh-CN"/>
              </w:rPr>
            </w:pPr>
            <w:r>
              <w:rPr>
                <w:noProof/>
                <w:color w:val="000000"/>
                <w:highlight w:val="black"/>
              </w:rPr>
              <w:t>'''''''''</w:t>
            </w:r>
            <w:r w:rsidR="00E61675">
              <w:rPr>
                <w:vertAlign w:val="superscript"/>
              </w:rPr>
              <w:t>1</w:t>
            </w:r>
          </w:p>
        </w:tc>
        <w:tc>
          <w:tcPr>
            <w:tcW w:w="596" w:type="pct"/>
          </w:tcPr>
          <w:p w14:paraId="6D84D303" w14:textId="77777777" w:rsidR="008D6806" w:rsidRPr="003A37B7" w:rsidRDefault="003A37B7" w:rsidP="00D05CAE">
            <w:pPr>
              <w:pStyle w:val="Tabletext"/>
              <w:keepNext/>
              <w:keepLines/>
              <w:jc w:val="center"/>
              <w:rPr>
                <w:rFonts w:cs="Calibri"/>
                <w:bCs/>
                <w:szCs w:val="20"/>
                <w:lang w:eastAsia="zh-CN"/>
              </w:rPr>
            </w:pPr>
            <w:r>
              <w:rPr>
                <w:noProof/>
                <w:color w:val="000000"/>
                <w:highlight w:val="black"/>
              </w:rPr>
              <w:t>''''''''</w:t>
            </w:r>
            <w:r w:rsidR="00E61675">
              <w:rPr>
                <w:vertAlign w:val="superscript"/>
              </w:rPr>
              <w:t>1</w:t>
            </w:r>
          </w:p>
        </w:tc>
        <w:tc>
          <w:tcPr>
            <w:tcW w:w="595" w:type="pct"/>
          </w:tcPr>
          <w:p w14:paraId="1B9FFAD3" w14:textId="77777777" w:rsidR="008D6806" w:rsidRPr="003A37B7" w:rsidRDefault="003A37B7" w:rsidP="00D05CAE">
            <w:pPr>
              <w:pStyle w:val="Tabletext"/>
              <w:keepNext/>
              <w:keepLines/>
              <w:jc w:val="center"/>
              <w:rPr>
                <w:rFonts w:cs="Calibri"/>
                <w:bCs/>
                <w:szCs w:val="20"/>
                <w:lang w:eastAsia="zh-CN"/>
              </w:rPr>
            </w:pPr>
            <w:r>
              <w:rPr>
                <w:noProof/>
                <w:color w:val="000000"/>
                <w:highlight w:val="black"/>
              </w:rPr>
              <w:t>''''''''''</w:t>
            </w:r>
            <w:r w:rsidR="00E61675">
              <w:rPr>
                <w:vertAlign w:val="superscript"/>
              </w:rPr>
              <w:t>1</w:t>
            </w:r>
          </w:p>
        </w:tc>
      </w:tr>
      <w:tr w:rsidR="008D6806" w:rsidRPr="003639A6" w14:paraId="0B22216D" w14:textId="77777777" w:rsidTr="00D61F11">
        <w:trPr>
          <w:trHeight w:val="226"/>
        </w:trPr>
        <w:tc>
          <w:tcPr>
            <w:tcW w:w="1424" w:type="pct"/>
            <w:shd w:val="clear" w:color="auto" w:fill="auto"/>
            <w:vAlign w:val="center"/>
          </w:tcPr>
          <w:p w14:paraId="6364B68D" w14:textId="77777777" w:rsidR="008D6806" w:rsidRPr="003639A6" w:rsidRDefault="008D6806" w:rsidP="00D05CAE">
            <w:pPr>
              <w:pStyle w:val="Tabletext"/>
              <w:keepNext/>
              <w:keepLines/>
            </w:pPr>
            <w:r>
              <w:t>Population 2 treated</w:t>
            </w:r>
          </w:p>
        </w:tc>
        <w:tc>
          <w:tcPr>
            <w:tcW w:w="595" w:type="pct"/>
          </w:tcPr>
          <w:p w14:paraId="29BC2BCC" w14:textId="77777777" w:rsidR="008D6806" w:rsidRPr="003A37B7" w:rsidRDefault="003A37B7" w:rsidP="00D05CAE">
            <w:pPr>
              <w:pStyle w:val="Tabletext"/>
              <w:keepNext/>
              <w:keepLines/>
              <w:jc w:val="center"/>
              <w:rPr>
                <w:rFonts w:cs="Calibri"/>
                <w:bCs/>
                <w:szCs w:val="20"/>
                <w:lang w:eastAsia="zh-CN"/>
              </w:rPr>
            </w:pPr>
            <w:r>
              <w:rPr>
                <w:rFonts w:cs="Calibri"/>
                <w:bCs/>
                <w:noProof/>
                <w:color w:val="000000"/>
                <w:szCs w:val="20"/>
                <w:highlight w:val="black"/>
                <w:lang w:eastAsia="zh-CN"/>
              </w:rPr>
              <w:t>'''</w:t>
            </w:r>
            <w:r w:rsidR="00E61675">
              <w:rPr>
                <w:vertAlign w:val="superscript"/>
              </w:rPr>
              <w:t>1</w:t>
            </w:r>
          </w:p>
        </w:tc>
        <w:tc>
          <w:tcPr>
            <w:tcW w:w="596" w:type="pct"/>
          </w:tcPr>
          <w:p w14:paraId="32E8EC27" w14:textId="77777777" w:rsidR="008D6806" w:rsidRPr="003A37B7" w:rsidRDefault="003A37B7" w:rsidP="00D05CAE">
            <w:pPr>
              <w:pStyle w:val="Tabletext"/>
              <w:keepNext/>
              <w:keepLines/>
              <w:jc w:val="center"/>
              <w:rPr>
                <w:rFonts w:cs="Calibri"/>
                <w:bCs/>
                <w:szCs w:val="20"/>
                <w:lang w:eastAsia="zh-CN"/>
              </w:rPr>
            </w:pPr>
            <w:r>
              <w:rPr>
                <w:rFonts w:cs="Calibri"/>
                <w:bCs/>
                <w:noProof/>
                <w:color w:val="000000"/>
                <w:szCs w:val="20"/>
                <w:highlight w:val="black"/>
                <w:lang w:eastAsia="zh-CN"/>
              </w:rPr>
              <w:t>''''</w:t>
            </w:r>
            <w:r w:rsidR="00E61675">
              <w:rPr>
                <w:vertAlign w:val="superscript"/>
              </w:rPr>
              <w:t>1</w:t>
            </w:r>
          </w:p>
        </w:tc>
        <w:tc>
          <w:tcPr>
            <w:tcW w:w="596" w:type="pct"/>
          </w:tcPr>
          <w:p w14:paraId="2CB8731B" w14:textId="77777777" w:rsidR="008D6806" w:rsidRPr="003A37B7" w:rsidRDefault="003A37B7" w:rsidP="00D05CAE">
            <w:pPr>
              <w:pStyle w:val="Tabletext"/>
              <w:keepNext/>
              <w:keepLines/>
              <w:jc w:val="center"/>
              <w:rPr>
                <w:rFonts w:cs="Calibri"/>
                <w:bCs/>
                <w:szCs w:val="20"/>
                <w:lang w:eastAsia="zh-CN"/>
              </w:rPr>
            </w:pPr>
            <w:r>
              <w:rPr>
                <w:rFonts w:cs="Calibri"/>
                <w:bCs/>
                <w:noProof/>
                <w:color w:val="000000"/>
                <w:szCs w:val="20"/>
                <w:highlight w:val="black"/>
                <w:lang w:eastAsia="zh-CN"/>
              </w:rPr>
              <w:t>'''</w:t>
            </w:r>
            <w:r w:rsidR="00E61675">
              <w:rPr>
                <w:vertAlign w:val="superscript"/>
              </w:rPr>
              <w:t>1</w:t>
            </w:r>
          </w:p>
        </w:tc>
        <w:tc>
          <w:tcPr>
            <w:tcW w:w="596" w:type="pct"/>
          </w:tcPr>
          <w:p w14:paraId="3B248B9B" w14:textId="77777777" w:rsidR="008D6806" w:rsidRPr="003A37B7" w:rsidRDefault="003A37B7" w:rsidP="00D05CAE">
            <w:pPr>
              <w:pStyle w:val="Tabletext"/>
              <w:keepNext/>
              <w:keepLines/>
              <w:jc w:val="center"/>
              <w:rPr>
                <w:rFonts w:cs="Calibri"/>
                <w:bCs/>
                <w:szCs w:val="20"/>
                <w:lang w:eastAsia="zh-CN"/>
              </w:rPr>
            </w:pPr>
            <w:r>
              <w:rPr>
                <w:rFonts w:cs="Calibri"/>
                <w:bCs/>
                <w:noProof/>
                <w:color w:val="000000"/>
                <w:szCs w:val="20"/>
                <w:highlight w:val="black"/>
                <w:lang w:eastAsia="zh-CN"/>
              </w:rPr>
              <w:t>''''</w:t>
            </w:r>
            <w:r w:rsidR="00E61675">
              <w:rPr>
                <w:vertAlign w:val="superscript"/>
              </w:rPr>
              <w:t>1</w:t>
            </w:r>
          </w:p>
        </w:tc>
        <w:tc>
          <w:tcPr>
            <w:tcW w:w="596" w:type="pct"/>
          </w:tcPr>
          <w:p w14:paraId="040C8703" w14:textId="77777777" w:rsidR="008D6806" w:rsidRPr="003A37B7" w:rsidRDefault="003A37B7" w:rsidP="00D05CAE">
            <w:pPr>
              <w:pStyle w:val="Tabletext"/>
              <w:keepNext/>
              <w:keepLines/>
              <w:jc w:val="center"/>
              <w:rPr>
                <w:rFonts w:cs="Calibri"/>
                <w:bCs/>
                <w:szCs w:val="20"/>
                <w:lang w:eastAsia="zh-CN"/>
              </w:rPr>
            </w:pPr>
            <w:r>
              <w:rPr>
                <w:rFonts w:cs="Calibri"/>
                <w:bCs/>
                <w:noProof/>
                <w:color w:val="000000"/>
                <w:szCs w:val="20"/>
                <w:highlight w:val="black"/>
                <w:lang w:eastAsia="zh-CN"/>
              </w:rPr>
              <w:t>''''''</w:t>
            </w:r>
            <w:r w:rsidR="00E61675">
              <w:rPr>
                <w:vertAlign w:val="superscript"/>
              </w:rPr>
              <w:t>1</w:t>
            </w:r>
          </w:p>
        </w:tc>
        <w:tc>
          <w:tcPr>
            <w:tcW w:w="595" w:type="pct"/>
          </w:tcPr>
          <w:p w14:paraId="6FA43F6D" w14:textId="77777777" w:rsidR="008D6806" w:rsidRPr="003A37B7" w:rsidRDefault="003A37B7" w:rsidP="00D05CAE">
            <w:pPr>
              <w:pStyle w:val="Tabletext"/>
              <w:keepNext/>
              <w:keepLines/>
              <w:jc w:val="center"/>
              <w:rPr>
                <w:rFonts w:cs="Calibri"/>
                <w:bCs/>
                <w:szCs w:val="20"/>
                <w:lang w:eastAsia="zh-CN"/>
              </w:rPr>
            </w:pPr>
            <w:r>
              <w:rPr>
                <w:rFonts w:cs="Calibri"/>
                <w:bCs/>
                <w:noProof/>
                <w:color w:val="000000"/>
                <w:szCs w:val="20"/>
                <w:highlight w:val="black"/>
                <w:lang w:eastAsia="zh-CN"/>
              </w:rPr>
              <w:t>'''''''</w:t>
            </w:r>
            <w:r w:rsidR="00E61675">
              <w:rPr>
                <w:vertAlign w:val="superscript"/>
              </w:rPr>
              <w:t>1</w:t>
            </w:r>
          </w:p>
        </w:tc>
      </w:tr>
      <w:tr w:rsidR="008D6806" w:rsidRPr="003639A6" w14:paraId="7A9A1159" w14:textId="77777777" w:rsidTr="00D61F11">
        <w:trPr>
          <w:trHeight w:val="226"/>
        </w:trPr>
        <w:tc>
          <w:tcPr>
            <w:tcW w:w="1424" w:type="pct"/>
            <w:shd w:val="clear" w:color="auto" w:fill="auto"/>
            <w:vAlign w:val="center"/>
          </w:tcPr>
          <w:p w14:paraId="37690A92" w14:textId="77777777" w:rsidR="008D6806" w:rsidRPr="003639A6" w:rsidRDefault="008D6806" w:rsidP="00D05CAE">
            <w:pPr>
              <w:pStyle w:val="Tabletext"/>
              <w:keepNext/>
              <w:keepLines/>
            </w:pPr>
            <w:r>
              <w:t>Population 3 treated</w:t>
            </w:r>
          </w:p>
        </w:tc>
        <w:tc>
          <w:tcPr>
            <w:tcW w:w="595" w:type="pct"/>
          </w:tcPr>
          <w:p w14:paraId="53C750D0" w14:textId="77777777" w:rsidR="008D6806" w:rsidRPr="003A37B7" w:rsidRDefault="003A37B7" w:rsidP="00D05CAE">
            <w:pPr>
              <w:pStyle w:val="Tabletext"/>
              <w:keepNext/>
              <w:keepLines/>
              <w:jc w:val="center"/>
              <w:rPr>
                <w:rFonts w:cs="Calibri"/>
                <w:bCs/>
                <w:szCs w:val="20"/>
                <w:lang w:eastAsia="zh-CN"/>
              </w:rPr>
            </w:pPr>
            <w:r>
              <w:rPr>
                <w:rFonts w:cs="Calibri"/>
                <w:bCs/>
                <w:noProof/>
                <w:color w:val="000000"/>
                <w:szCs w:val="20"/>
                <w:highlight w:val="black"/>
                <w:lang w:eastAsia="zh-CN"/>
              </w:rPr>
              <w:t>'''''''</w:t>
            </w:r>
            <w:r w:rsidR="00E61675">
              <w:rPr>
                <w:vertAlign w:val="superscript"/>
              </w:rPr>
              <w:t>1</w:t>
            </w:r>
          </w:p>
        </w:tc>
        <w:tc>
          <w:tcPr>
            <w:tcW w:w="596" w:type="pct"/>
          </w:tcPr>
          <w:p w14:paraId="20742A3C" w14:textId="77777777" w:rsidR="008D6806" w:rsidRPr="003A37B7" w:rsidRDefault="003A37B7" w:rsidP="00D05CAE">
            <w:pPr>
              <w:pStyle w:val="Tabletext"/>
              <w:keepNext/>
              <w:keepLines/>
              <w:jc w:val="center"/>
              <w:rPr>
                <w:rFonts w:cs="Calibri"/>
                <w:bCs/>
                <w:szCs w:val="20"/>
                <w:lang w:eastAsia="zh-CN"/>
              </w:rPr>
            </w:pPr>
            <w:r>
              <w:rPr>
                <w:rFonts w:cs="Calibri"/>
                <w:bCs/>
                <w:noProof/>
                <w:color w:val="000000"/>
                <w:szCs w:val="20"/>
                <w:highlight w:val="black"/>
                <w:lang w:eastAsia="zh-CN"/>
              </w:rPr>
              <w:t>'''''''''</w:t>
            </w:r>
            <w:r w:rsidR="00E61675">
              <w:rPr>
                <w:vertAlign w:val="superscript"/>
              </w:rPr>
              <w:t>1</w:t>
            </w:r>
          </w:p>
        </w:tc>
        <w:tc>
          <w:tcPr>
            <w:tcW w:w="596" w:type="pct"/>
          </w:tcPr>
          <w:p w14:paraId="2384FE24" w14:textId="77777777" w:rsidR="008D6806" w:rsidRPr="003A37B7" w:rsidRDefault="003A37B7" w:rsidP="00D05CAE">
            <w:pPr>
              <w:pStyle w:val="Tabletext"/>
              <w:keepNext/>
              <w:keepLines/>
              <w:jc w:val="center"/>
              <w:rPr>
                <w:rFonts w:cs="Calibri"/>
                <w:bCs/>
                <w:szCs w:val="20"/>
                <w:lang w:eastAsia="zh-CN"/>
              </w:rPr>
            </w:pPr>
            <w:r>
              <w:rPr>
                <w:rFonts w:cs="Calibri"/>
                <w:bCs/>
                <w:noProof/>
                <w:color w:val="000000"/>
                <w:szCs w:val="20"/>
                <w:highlight w:val="black"/>
                <w:lang w:eastAsia="zh-CN"/>
              </w:rPr>
              <w:t>''''''''''</w:t>
            </w:r>
            <w:r w:rsidR="00E61675">
              <w:rPr>
                <w:vertAlign w:val="superscript"/>
              </w:rPr>
              <w:t>1</w:t>
            </w:r>
          </w:p>
        </w:tc>
        <w:tc>
          <w:tcPr>
            <w:tcW w:w="596" w:type="pct"/>
          </w:tcPr>
          <w:p w14:paraId="40166359" w14:textId="77777777" w:rsidR="008D6806" w:rsidRPr="003A37B7" w:rsidRDefault="003A37B7" w:rsidP="00D05CAE">
            <w:pPr>
              <w:pStyle w:val="Tabletext"/>
              <w:keepNext/>
              <w:keepLines/>
              <w:jc w:val="center"/>
              <w:rPr>
                <w:rFonts w:cs="Calibri"/>
                <w:bCs/>
                <w:szCs w:val="20"/>
                <w:lang w:eastAsia="zh-CN"/>
              </w:rPr>
            </w:pPr>
            <w:r>
              <w:rPr>
                <w:rFonts w:cs="Calibri"/>
                <w:bCs/>
                <w:noProof/>
                <w:color w:val="000000"/>
                <w:szCs w:val="20"/>
                <w:highlight w:val="black"/>
                <w:lang w:eastAsia="zh-CN"/>
              </w:rPr>
              <w:t>'''''''''</w:t>
            </w:r>
            <w:r w:rsidR="00E61675">
              <w:rPr>
                <w:vertAlign w:val="superscript"/>
              </w:rPr>
              <w:t>1</w:t>
            </w:r>
          </w:p>
        </w:tc>
        <w:tc>
          <w:tcPr>
            <w:tcW w:w="596" w:type="pct"/>
          </w:tcPr>
          <w:p w14:paraId="35EE36FB" w14:textId="77777777" w:rsidR="008D6806" w:rsidRPr="003A37B7" w:rsidRDefault="003A37B7" w:rsidP="00D05CAE">
            <w:pPr>
              <w:pStyle w:val="Tabletext"/>
              <w:keepNext/>
              <w:keepLines/>
              <w:jc w:val="center"/>
              <w:rPr>
                <w:rFonts w:cs="Calibri"/>
                <w:bCs/>
                <w:szCs w:val="20"/>
                <w:lang w:eastAsia="zh-CN"/>
              </w:rPr>
            </w:pPr>
            <w:r>
              <w:rPr>
                <w:rFonts w:cs="Calibri"/>
                <w:bCs/>
                <w:noProof/>
                <w:color w:val="000000"/>
                <w:szCs w:val="20"/>
                <w:highlight w:val="black"/>
                <w:lang w:eastAsia="zh-CN"/>
              </w:rPr>
              <w:t>'''''''''</w:t>
            </w:r>
            <w:r w:rsidR="00E61675">
              <w:rPr>
                <w:vertAlign w:val="superscript"/>
              </w:rPr>
              <w:t>1</w:t>
            </w:r>
          </w:p>
        </w:tc>
        <w:tc>
          <w:tcPr>
            <w:tcW w:w="595" w:type="pct"/>
          </w:tcPr>
          <w:p w14:paraId="0EC0195F" w14:textId="77777777" w:rsidR="008D6806" w:rsidRPr="003A37B7" w:rsidRDefault="003A37B7" w:rsidP="00D05CAE">
            <w:pPr>
              <w:pStyle w:val="Tabletext"/>
              <w:keepNext/>
              <w:keepLines/>
              <w:jc w:val="center"/>
              <w:rPr>
                <w:rFonts w:cs="Calibri"/>
                <w:bCs/>
                <w:szCs w:val="20"/>
                <w:lang w:eastAsia="zh-CN"/>
              </w:rPr>
            </w:pPr>
            <w:r>
              <w:rPr>
                <w:rFonts w:cs="Calibri"/>
                <w:bCs/>
                <w:noProof/>
                <w:color w:val="000000"/>
                <w:szCs w:val="20"/>
                <w:highlight w:val="black"/>
                <w:lang w:eastAsia="zh-CN"/>
              </w:rPr>
              <w:t>''''''''</w:t>
            </w:r>
            <w:r w:rsidR="00E61675">
              <w:rPr>
                <w:vertAlign w:val="superscript"/>
              </w:rPr>
              <w:t>1</w:t>
            </w:r>
          </w:p>
        </w:tc>
      </w:tr>
      <w:tr w:rsidR="008D6806" w:rsidRPr="003639A6" w14:paraId="0B073C56" w14:textId="77777777" w:rsidTr="00D61F11">
        <w:trPr>
          <w:trHeight w:val="233"/>
        </w:trPr>
        <w:tc>
          <w:tcPr>
            <w:tcW w:w="1424" w:type="pct"/>
            <w:shd w:val="clear" w:color="auto" w:fill="auto"/>
            <w:vAlign w:val="center"/>
          </w:tcPr>
          <w:p w14:paraId="03987A3F" w14:textId="77777777" w:rsidR="008D6806" w:rsidRPr="008D6806" w:rsidRDefault="008D6806" w:rsidP="00D05CAE">
            <w:pPr>
              <w:pStyle w:val="Tabletext"/>
              <w:keepNext/>
              <w:keepLines/>
              <w:rPr>
                <w:rFonts w:ascii="Times" w:hAnsi="Times"/>
                <w:vertAlign w:val="superscript"/>
              </w:rPr>
            </w:pPr>
            <w:r w:rsidRPr="003639A6">
              <w:t>Number of patients treated</w:t>
            </w:r>
            <w:r w:rsidR="00F9228E">
              <w:t xml:space="preserve"> </w:t>
            </w:r>
            <w:r>
              <w:rPr>
                <w:vertAlign w:val="superscript"/>
              </w:rPr>
              <w:t xml:space="preserve">a </w:t>
            </w:r>
          </w:p>
        </w:tc>
        <w:tc>
          <w:tcPr>
            <w:tcW w:w="595" w:type="pct"/>
          </w:tcPr>
          <w:p w14:paraId="0B96808E" w14:textId="77777777" w:rsidR="008D6806" w:rsidRPr="003A37B7" w:rsidRDefault="003A37B7" w:rsidP="00D05CAE">
            <w:pPr>
              <w:pStyle w:val="Tabletext"/>
              <w:keepNext/>
              <w:keepLines/>
              <w:jc w:val="center"/>
              <w:rPr>
                <w:bCs/>
                <w:color w:val="000000"/>
              </w:rPr>
            </w:pPr>
            <w:r>
              <w:rPr>
                <w:rFonts w:cs="Calibri"/>
                <w:bCs/>
                <w:noProof/>
                <w:color w:val="000000"/>
                <w:szCs w:val="20"/>
                <w:highlight w:val="black"/>
                <w:lang w:eastAsia="zh-CN"/>
              </w:rPr>
              <w:t>'''''''''</w:t>
            </w:r>
            <w:r w:rsidR="00E61675">
              <w:rPr>
                <w:vertAlign w:val="superscript"/>
              </w:rPr>
              <w:t>1</w:t>
            </w:r>
          </w:p>
        </w:tc>
        <w:tc>
          <w:tcPr>
            <w:tcW w:w="596" w:type="pct"/>
          </w:tcPr>
          <w:p w14:paraId="27CE8DDF" w14:textId="77777777" w:rsidR="008D6806" w:rsidRPr="003A37B7" w:rsidRDefault="003A37B7" w:rsidP="00D05CAE">
            <w:pPr>
              <w:pStyle w:val="Tabletext"/>
              <w:keepNext/>
              <w:keepLines/>
              <w:jc w:val="center"/>
              <w:rPr>
                <w:bCs/>
                <w:color w:val="000000"/>
              </w:rPr>
            </w:pPr>
            <w:r>
              <w:rPr>
                <w:rFonts w:cs="Calibri"/>
                <w:bCs/>
                <w:noProof/>
                <w:color w:val="000000"/>
                <w:szCs w:val="20"/>
                <w:highlight w:val="black"/>
                <w:lang w:eastAsia="zh-CN"/>
              </w:rPr>
              <w:t>''''''''''</w:t>
            </w:r>
            <w:r w:rsidR="00E61675">
              <w:rPr>
                <w:vertAlign w:val="superscript"/>
              </w:rPr>
              <w:t>1</w:t>
            </w:r>
          </w:p>
        </w:tc>
        <w:tc>
          <w:tcPr>
            <w:tcW w:w="596" w:type="pct"/>
          </w:tcPr>
          <w:p w14:paraId="3A256606" w14:textId="77777777" w:rsidR="008D6806" w:rsidRPr="003A37B7" w:rsidRDefault="003A37B7" w:rsidP="00D05CAE">
            <w:pPr>
              <w:pStyle w:val="Tabletext"/>
              <w:keepNext/>
              <w:keepLines/>
              <w:jc w:val="center"/>
              <w:rPr>
                <w:bCs/>
                <w:color w:val="000000"/>
              </w:rPr>
            </w:pPr>
            <w:r>
              <w:rPr>
                <w:rFonts w:cs="Calibri"/>
                <w:bCs/>
                <w:noProof/>
                <w:color w:val="000000"/>
                <w:szCs w:val="20"/>
                <w:highlight w:val="black"/>
                <w:lang w:eastAsia="zh-CN"/>
              </w:rPr>
              <w:t>''''''''''</w:t>
            </w:r>
            <w:r w:rsidR="00E61675">
              <w:rPr>
                <w:vertAlign w:val="superscript"/>
              </w:rPr>
              <w:t>1</w:t>
            </w:r>
          </w:p>
        </w:tc>
        <w:tc>
          <w:tcPr>
            <w:tcW w:w="596" w:type="pct"/>
          </w:tcPr>
          <w:p w14:paraId="47C7CEFE" w14:textId="77777777" w:rsidR="008D6806" w:rsidRPr="003A37B7" w:rsidRDefault="003A37B7" w:rsidP="00D05CAE">
            <w:pPr>
              <w:pStyle w:val="Tabletext"/>
              <w:keepNext/>
              <w:keepLines/>
              <w:jc w:val="center"/>
              <w:rPr>
                <w:bCs/>
                <w:color w:val="000000"/>
              </w:rPr>
            </w:pPr>
            <w:r>
              <w:rPr>
                <w:rFonts w:cs="Calibri"/>
                <w:bCs/>
                <w:noProof/>
                <w:color w:val="000000"/>
                <w:szCs w:val="20"/>
                <w:highlight w:val="black"/>
                <w:lang w:eastAsia="zh-CN"/>
              </w:rPr>
              <w:t>''''''''</w:t>
            </w:r>
            <w:r w:rsidR="00E61675">
              <w:rPr>
                <w:vertAlign w:val="superscript"/>
              </w:rPr>
              <w:t>1</w:t>
            </w:r>
          </w:p>
        </w:tc>
        <w:tc>
          <w:tcPr>
            <w:tcW w:w="596" w:type="pct"/>
          </w:tcPr>
          <w:p w14:paraId="575CC5CE" w14:textId="77777777" w:rsidR="008D6806" w:rsidRPr="003A37B7" w:rsidRDefault="003A37B7" w:rsidP="00D05CAE">
            <w:pPr>
              <w:pStyle w:val="Tabletext"/>
              <w:keepNext/>
              <w:keepLines/>
              <w:jc w:val="center"/>
              <w:rPr>
                <w:bCs/>
                <w:color w:val="000000"/>
              </w:rPr>
            </w:pPr>
            <w:r>
              <w:rPr>
                <w:rFonts w:cs="Calibri"/>
                <w:bCs/>
                <w:noProof/>
                <w:color w:val="000000"/>
                <w:szCs w:val="20"/>
                <w:highlight w:val="black"/>
                <w:lang w:eastAsia="zh-CN"/>
              </w:rPr>
              <w:t>'''''''''</w:t>
            </w:r>
            <w:r w:rsidR="00E61675">
              <w:rPr>
                <w:vertAlign w:val="superscript"/>
              </w:rPr>
              <w:t>1</w:t>
            </w:r>
          </w:p>
        </w:tc>
        <w:tc>
          <w:tcPr>
            <w:tcW w:w="595" w:type="pct"/>
          </w:tcPr>
          <w:p w14:paraId="1D1D6061" w14:textId="77777777" w:rsidR="008D6806" w:rsidRPr="003A37B7" w:rsidRDefault="003A37B7" w:rsidP="00D05CAE">
            <w:pPr>
              <w:pStyle w:val="Tabletext"/>
              <w:keepNext/>
              <w:keepLines/>
              <w:jc w:val="center"/>
              <w:rPr>
                <w:bCs/>
                <w:color w:val="000000"/>
              </w:rPr>
            </w:pPr>
            <w:r>
              <w:rPr>
                <w:rFonts w:cs="Calibri"/>
                <w:bCs/>
                <w:noProof/>
                <w:color w:val="000000"/>
                <w:szCs w:val="20"/>
                <w:highlight w:val="black"/>
                <w:lang w:eastAsia="zh-CN"/>
              </w:rPr>
              <w:t>''''''''</w:t>
            </w:r>
            <w:r w:rsidR="00E61675">
              <w:rPr>
                <w:vertAlign w:val="superscript"/>
              </w:rPr>
              <w:t>1</w:t>
            </w:r>
          </w:p>
        </w:tc>
      </w:tr>
      <w:tr w:rsidR="008D6806" w:rsidRPr="003639A6" w14:paraId="2B800A33" w14:textId="77777777" w:rsidTr="00D61F11">
        <w:trPr>
          <w:trHeight w:val="226"/>
        </w:trPr>
        <w:tc>
          <w:tcPr>
            <w:tcW w:w="1424" w:type="pct"/>
            <w:shd w:val="clear" w:color="auto" w:fill="auto"/>
            <w:vAlign w:val="center"/>
          </w:tcPr>
          <w:p w14:paraId="2FA27394" w14:textId="77777777" w:rsidR="008D6806" w:rsidRPr="003639A6" w:rsidRDefault="008D6806" w:rsidP="00D05CAE">
            <w:pPr>
              <w:pStyle w:val="Tabletext"/>
              <w:keepNext/>
              <w:keepLines/>
              <w:rPr>
                <w:rFonts w:ascii="Times" w:hAnsi="Times"/>
              </w:rPr>
            </w:pPr>
            <w:r w:rsidRPr="003639A6">
              <w:t xml:space="preserve">Number of </w:t>
            </w:r>
            <w:r>
              <w:t>scripts</w:t>
            </w:r>
            <w:r w:rsidRPr="003639A6">
              <w:t xml:space="preserve"> dispensed</w:t>
            </w:r>
            <w:r w:rsidR="00F9228E">
              <w:t xml:space="preserve"> </w:t>
            </w:r>
            <w:r w:rsidR="00F9228E">
              <w:rPr>
                <w:vertAlign w:val="superscript"/>
              </w:rPr>
              <w:t>b</w:t>
            </w:r>
          </w:p>
        </w:tc>
        <w:tc>
          <w:tcPr>
            <w:tcW w:w="595" w:type="pct"/>
          </w:tcPr>
          <w:p w14:paraId="0638C16C" w14:textId="77777777" w:rsidR="008D6806" w:rsidRPr="003A37B7" w:rsidRDefault="003A37B7" w:rsidP="00D05CAE">
            <w:pPr>
              <w:pStyle w:val="Tabletext"/>
              <w:keepNext/>
              <w:keepLines/>
              <w:jc w:val="center"/>
              <w:rPr>
                <w:bCs/>
                <w:color w:val="000000"/>
              </w:rPr>
            </w:pPr>
            <w:r>
              <w:rPr>
                <w:rFonts w:cs="Calibri"/>
                <w:bCs/>
                <w:noProof/>
                <w:color w:val="000000"/>
                <w:szCs w:val="20"/>
                <w:highlight w:val="black"/>
                <w:lang w:eastAsia="zh-CN"/>
              </w:rPr>
              <w:t>''''''''''''''</w:t>
            </w:r>
            <w:r w:rsidR="00E61675">
              <w:rPr>
                <w:vertAlign w:val="superscript"/>
              </w:rPr>
              <w:t>2</w:t>
            </w:r>
          </w:p>
        </w:tc>
        <w:tc>
          <w:tcPr>
            <w:tcW w:w="596" w:type="pct"/>
          </w:tcPr>
          <w:p w14:paraId="4A60F8BE" w14:textId="77777777" w:rsidR="008D6806" w:rsidRPr="003A37B7" w:rsidRDefault="003A37B7" w:rsidP="00D05CAE">
            <w:pPr>
              <w:pStyle w:val="Tabletext"/>
              <w:keepNext/>
              <w:keepLines/>
              <w:jc w:val="center"/>
              <w:rPr>
                <w:bCs/>
                <w:color w:val="000000"/>
              </w:rPr>
            </w:pPr>
            <w:r>
              <w:rPr>
                <w:rFonts w:cs="Calibri"/>
                <w:bCs/>
                <w:noProof/>
                <w:color w:val="000000"/>
                <w:szCs w:val="20"/>
                <w:highlight w:val="black"/>
                <w:lang w:eastAsia="zh-CN"/>
              </w:rPr>
              <w:t>'''''''''''''</w:t>
            </w:r>
            <w:r w:rsidR="00E61675">
              <w:rPr>
                <w:vertAlign w:val="superscript"/>
              </w:rPr>
              <w:t>2</w:t>
            </w:r>
          </w:p>
        </w:tc>
        <w:tc>
          <w:tcPr>
            <w:tcW w:w="596" w:type="pct"/>
          </w:tcPr>
          <w:p w14:paraId="053366D2" w14:textId="77777777" w:rsidR="008D6806" w:rsidRPr="003A37B7" w:rsidRDefault="003A37B7" w:rsidP="00D05CAE">
            <w:pPr>
              <w:pStyle w:val="Tabletext"/>
              <w:keepNext/>
              <w:keepLines/>
              <w:jc w:val="center"/>
              <w:rPr>
                <w:bCs/>
                <w:color w:val="000000"/>
              </w:rPr>
            </w:pPr>
            <w:r>
              <w:rPr>
                <w:rFonts w:cs="Calibri"/>
                <w:bCs/>
                <w:noProof/>
                <w:color w:val="000000"/>
                <w:szCs w:val="20"/>
                <w:highlight w:val="black"/>
                <w:lang w:eastAsia="zh-CN"/>
              </w:rPr>
              <w:t>''''''''''''</w:t>
            </w:r>
            <w:r w:rsidR="00E61675">
              <w:rPr>
                <w:vertAlign w:val="superscript"/>
              </w:rPr>
              <w:t>2</w:t>
            </w:r>
          </w:p>
        </w:tc>
        <w:tc>
          <w:tcPr>
            <w:tcW w:w="596" w:type="pct"/>
          </w:tcPr>
          <w:p w14:paraId="1FFC38F1" w14:textId="77777777" w:rsidR="008D6806" w:rsidRPr="003A37B7" w:rsidRDefault="003A37B7" w:rsidP="00D05CAE">
            <w:pPr>
              <w:pStyle w:val="Tabletext"/>
              <w:keepNext/>
              <w:keepLines/>
              <w:jc w:val="center"/>
              <w:rPr>
                <w:bCs/>
                <w:color w:val="000000"/>
              </w:rPr>
            </w:pPr>
            <w:r>
              <w:rPr>
                <w:rFonts w:cs="Calibri"/>
                <w:bCs/>
                <w:noProof/>
                <w:color w:val="000000"/>
                <w:szCs w:val="20"/>
                <w:highlight w:val="black"/>
                <w:lang w:eastAsia="zh-CN"/>
              </w:rPr>
              <w:t>'''''''''''''</w:t>
            </w:r>
            <w:r w:rsidR="00E61675">
              <w:rPr>
                <w:vertAlign w:val="superscript"/>
              </w:rPr>
              <w:t>2</w:t>
            </w:r>
          </w:p>
        </w:tc>
        <w:tc>
          <w:tcPr>
            <w:tcW w:w="596" w:type="pct"/>
          </w:tcPr>
          <w:p w14:paraId="2A21474D" w14:textId="77777777" w:rsidR="008D6806" w:rsidRPr="003A37B7" w:rsidRDefault="003A37B7" w:rsidP="00D05CAE">
            <w:pPr>
              <w:pStyle w:val="Tabletext"/>
              <w:keepNext/>
              <w:keepLines/>
              <w:jc w:val="center"/>
              <w:rPr>
                <w:bCs/>
                <w:color w:val="000000"/>
              </w:rPr>
            </w:pPr>
            <w:r>
              <w:rPr>
                <w:rFonts w:cs="Calibri"/>
                <w:bCs/>
                <w:noProof/>
                <w:color w:val="000000"/>
                <w:szCs w:val="20"/>
                <w:highlight w:val="black"/>
                <w:lang w:eastAsia="zh-CN"/>
              </w:rPr>
              <w:t>''''''''''''''</w:t>
            </w:r>
            <w:r w:rsidR="00E61675">
              <w:rPr>
                <w:vertAlign w:val="superscript"/>
              </w:rPr>
              <w:t>2</w:t>
            </w:r>
          </w:p>
        </w:tc>
        <w:tc>
          <w:tcPr>
            <w:tcW w:w="595" w:type="pct"/>
          </w:tcPr>
          <w:p w14:paraId="59B90EF7" w14:textId="77777777" w:rsidR="008D6806" w:rsidRPr="003A37B7" w:rsidRDefault="003A37B7" w:rsidP="00D05CAE">
            <w:pPr>
              <w:pStyle w:val="Tabletext"/>
              <w:keepNext/>
              <w:keepLines/>
              <w:jc w:val="center"/>
              <w:rPr>
                <w:bCs/>
                <w:color w:val="000000"/>
              </w:rPr>
            </w:pPr>
            <w:r>
              <w:rPr>
                <w:rFonts w:cs="Calibri"/>
                <w:bCs/>
                <w:noProof/>
                <w:color w:val="000000"/>
                <w:szCs w:val="20"/>
                <w:highlight w:val="black"/>
                <w:lang w:eastAsia="zh-CN"/>
              </w:rPr>
              <w:t>'''''''''''''</w:t>
            </w:r>
            <w:r w:rsidR="00E61675">
              <w:rPr>
                <w:vertAlign w:val="superscript"/>
              </w:rPr>
              <w:t>2</w:t>
            </w:r>
          </w:p>
        </w:tc>
      </w:tr>
      <w:tr w:rsidR="008D6806" w:rsidRPr="00D1078F" w14:paraId="1F1C7F7D" w14:textId="77777777" w:rsidTr="00D61F11">
        <w:trPr>
          <w:trHeight w:val="226"/>
        </w:trPr>
        <w:tc>
          <w:tcPr>
            <w:tcW w:w="5000" w:type="pct"/>
            <w:gridSpan w:val="7"/>
            <w:shd w:val="clear" w:color="auto" w:fill="auto"/>
            <w:vAlign w:val="center"/>
          </w:tcPr>
          <w:p w14:paraId="6A1412A7" w14:textId="77777777" w:rsidR="008D6806" w:rsidRPr="00D1078F" w:rsidRDefault="008D6806" w:rsidP="00D05CAE">
            <w:pPr>
              <w:pStyle w:val="Tabletext"/>
              <w:keepNext/>
              <w:keepLines/>
              <w:rPr>
                <w:b/>
                <w:bCs/>
                <w:color w:val="000000"/>
              </w:rPr>
            </w:pPr>
            <w:r w:rsidRPr="00D1078F">
              <w:rPr>
                <w:b/>
                <w:bCs/>
                <w:color w:val="000000"/>
              </w:rPr>
              <w:t xml:space="preserve">Estimated </w:t>
            </w:r>
            <w:r>
              <w:rPr>
                <w:b/>
                <w:bCs/>
                <w:color w:val="000000"/>
              </w:rPr>
              <w:t>financial implications of risdiplam</w:t>
            </w:r>
            <w:r w:rsidR="00F9228E">
              <w:rPr>
                <w:b/>
                <w:bCs/>
                <w:color w:val="000000"/>
              </w:rPr>
              <w:t xml:space="preserve"> </w:t>
            </w:r>
            <w:r w:rsidR="00F9228E" w:rsidRPr="00F9228E">
              <w:rPr>
                <w:b/>
                <w:bCs/>
                <w:color w:val="000000"/>
                <w:vertAlign w:val="superscript"/>
              </w:rPr>
              <w:t>c</w:t>
            </w:r>
          </w:p>
        </w:tc>
      </w:tr>
      <w:tr w:rsidR="008D6806" w:rsidRPr="003639A6" w14:paraId="40219B5B" w14:textId="77777777" w:rsidTr="00D61F11">
        <w:trPr>
          <w:trHeight w:val="226"/>
        </w:trPr>
        <w:tc>
          <w:tcPr>
            <w:tcW w:w="1424" w:type="pct"/>
            <w:shd w:val="clear" w:color="auto" w:fill="auto"/>
            <w:vAlign w:val="center"/>
          </w:tcPr>
          <w:p w14:paraId="2353AAB0" w14:textId="77777777" w:rsidR="008D6806" w:rsidRDefault="008D6806" w:rsidP="00D05CAE">
            <w:pPr>
              <w:pStyle w:val="Tabletext"/>
              <w:keepNext/>
              <w:keepLines/>
              <w:rPr>
                <w:sz w:val="19"/>
                <w:szCs w:val="19"/>
              </w:rPr>
            </w:pPr>
            <w:r w:rsidRPr="00773C6D">
              <w:t>Net PBS/RPBS cost Pop 1</w:t>
            </w:r>
          </w:p>
        </w:tc>
        <w:tc>
          <w:tcPr>
            <w:tcW w:w="595" w:type="pct"/>
          </w:tcPr>
          <w:p w14:paraId="5BC7F854" w14:textId="77777777" w:rsidR="008D6806" w:rsidRPr="002756C2" w:rsidRDefault="008D6806" w:rsidP="00D05CAE">
            <w:pPr>
              <w:pStyle w:val="Tabletext"/>
              <w:keepNext/>
              <w:keepLines/>
              <w:jc w:val="center"/>
            </w:pPr>
            <w:r w:rsidRPr="0063167A">
              <w:t>$</w:t>
            </w:r>
            <w:r w:rsidR="003A37B7">
              <w:rPr>
                <w:noProof/>
                <w:color w:val="000000"/>
                <w:highlight w:val="black"/>
              </w:rPr>
              <w:t>''''''''''''''''''''''''''''</w:t>
            </w:r>
            <w:r w:rsidR="00D61F11">
              <w:rPr>
                <w:vertAlign w:val="superscript"/>
              </w:rPr>
              <w:t>3</w:t>
            </w:r>
          </w:p>
        </w:tc>
        <w:tc>
          <w:tcPr>
            <w:tcW w:w="596" w:type="pct"/>
          </w:tcPr>
          <w:p w14:paraId="218E98EA" w14:textId="77777777" w:rsidR="008D6806" w:rsidRPr="002756C2" w:rsidRDefault="008D6806" w:rsidP="00D05CAE">
            <w:pPr>
              <w:pStyle w:val="Tabletext"/>
              <w:keepNext/>
              <w:keepLines/>
              <w:jc w:val="center"/>
            </w:pPr>
            <w:r w:rsidRPr="0063167A">
              <w:t>$</w:t>
            </w:r>
            <w:r w:rsidR="003A37B7">
              <w:rPr>
                <w:noProof/>
                <w:color w:val="000000"/>
                <w:highlight w:val="black"/>
              </w:rPr>
              <w:t>''''''''''''''''''''''''</w:t>
            </w:r>
            <w:r w:rsidR="00930A64">
              <w:rPr>
                <w:vertAlign w:val="superscript"/>
              </w:rPr>
              <w:t>4</w:t>
            </w:r>
          </w:p>
        </w:tc>
        <w:tc>
          <w:tcPr>
            <w:tcW w:w="596" w:type="pct"/>
          </w:tcPr>
          <w:p w14:paraId="768D2025" w14:textId="77777777" w:rsidR="008D6806" w:rsidRPr="002756C2" w:rsidRDefault="008D6806" w:rsidP="00D05CAE">
            <w:pPr>
              <w:pStyle w:val="Tabletext"/>
              <w:keepNext/>
              <w:keepLines/>
              <w:jc w:val="center"/>
            </w:pPr>
            <w:r w:rsidRPr="0063167A">
              <w:t>$</w:t>
            </w:r>
            <w:r w:rsidR="003A37B7">
              <w:rPr>
                <w:noProof/>
                <w:color w:val="000000"/>
                <w:highlight w:val="black"/>
              </w:rPr>
              <w:t>''''''''''''''''''''''''''''</w:t>
            </w:r>
            <w:r w:rsidR="00930A64">
              <w:rPr>
                <w:vertAlign w:val="superscript"/>
              </w:rPr>
              <w:t>4</w:t>
            </w:r>
          </w:p>
        </w:tc>
        <w:tc>
          <w:tcPr>
            <w:tcW w:w="596" w:type="pct"/>
          </w:tcPr>
          <w:p w14:paraId="1F173529" w14:textId="77777777" w:rsidR="008D6806" w:rsidRPr="002756C2" w:rsidRDefault="008D6806" w:rsidP="00D05CAE">
            <w:pPr>
              <w:pStyle w:val="Tabletext"/>
              <w:keepNext/>
              <w:keepLines/>
              <w:jc w:val="center"/>
            </w:pPr>
            <w:r w:rsidRPr="0063167A">
              <w:t>$</w:t>
            </w:r>
            <w:r w:rsidR="003A37B7">
              <w:rPr>
                <w:noProof/>
                <w:color w:val="000000"/>
                <w:highlight w:val="black"/>
              </w:rPr>
              <w:t>'''''''''''''''''''''''''''</w:t>
            </w:r>
            <w:r w:rsidR="001A0EEA">
              <w:rPr>
                <w:vertAlign w:val="superscript"/>
              </w:rPr>
              <w:t>5</w:t>
            </w:r>
          </w:p>
        </w:tc>
        <w:tc>
          <w:tcPr>
            <w:tcW w:w="596" w:type="pct"/>
          </w:tcPr>
          <w:p w14:paraId="585F3A56" w14:textId="77777777" w:rsidR="008D6806" w:rsidRPr="002756C2" w:rsidRDefault="008D6806" w:rsidP="00D05CAE">
            <w:pPr>
              <w:pStyle w:val="Tabletext"/>
              <w:keepNext/>
              <w:keepLines/>
              <w:jc w:val="center"/>
            </w:pPr>
            <w:r w:rsidRPr="0063167A">
              <w:t>$</w:t>
            </w:r>
            <w:r w:rsidR="003A37B7">
              <w:rPr>
                <w:noProof/>
                <w:color w:val="000000"/>
                <w:highlight w:val="black"/>
              </w:rPr>
              <w:t>''''''''''''''''''''''''''</w:t>
            </w:r>
            <w:r w:rsidR="000C2F7F">
              <w:rPr>
                <w:vertAlign w:val="superscript"/>
              </w:rPr>
              <w:t>6</w:t>
            </w:r>
          </w:p>
        </w:tc>
        <w:tc>
          <w:tcPr>
            <w:tcW w:w="595" w:type="pct"/>
          </w:tcPr>
          <w:p w14:paraId="584DEA47" w14:textId="77777777" w:rsidR="008D6806" w:rsidRPr="002756C2" w:rsidRDefault="008D6806" w:rsidP="00D05CAE">
            <w:pPr>
              <w:pStyle w:val="Tabletext"/>
              <w:keepNext/>
              <w:keepLines/>
              <w:jc w:val="center"/>
            </w:pPr>
            <w:r w:rsidRPr="0063167A">
              <w:t>$</w:t>
            </w:r>
            <w:r w:rsidR="003A37B7">
              <w:rPr>
                <w:noProof/>
                <w:color w:val="000000"/>
                <w:highlight w:val="black"/>
              </w:rPr>
              <w:t>''''''''''''''''''''''''''''</w:t>
            </w:r>
            <w:r w:rsidR="000C2F7F">
              <w:rPr>
                <w:vertAlign w:val="superscript"/>
              </w:rPr>
              <w:t>7</w:t>
            </w:r>
          </w:p>
        </w:tc>
      </w:tr>
      <w:tr w:rsidR="008D6806" w:rsidRPr="003639A6" w14:paraId="3A62DAA7" w14:textId="77777777" w:rsidTr="00D61F11">
        <w:trPr>
          <w:trHeight w:val="233"/>
        </w:trPr>
        <w:tc>
          <w:tcPr>
            <w:tcW w:w="1424" w:type="pct"/>
            <w:shd w:val="clear" w:color="auto" w:fill="auto"/>
            <w:vAlign w:val="center"/>
          </w:tcPr>
          <w:p w14:paraId="6451CBAC" w14:textId="77777777" w:rsidR="008D6806" w:rsidRDefault="008D6806" w:rsidP="00D05CAE">
            <w:pPr>
              <w:pStyle w:val="Tabletext"/>
              <w:keepNext/>
              <w:keepLines/>
              <w:rPr>
                <w:sz w:val="19"/>
                <w:szCs w:val="19"/>
              </w:rPr>
            </w:pPr>
            <w:r w:rsidRPr="00773C6D">
              <w:t>Net PBS/RPBS cost Pop 2</w:t>
            </w:r>
          </w:p>
        </w:tc>
        <w:tc>
          <w:tcPr>
            <w:tcW w:w="595" w:type="pct"/>
          </w:tcPr>
          <w:p w14:paraId="30FF689E" w14:textId="77777777" w:rsidR="008D6806" w:rsidRPr="002756C2" w:rsidRDefault="008D6806" w:rsidP="00D05CAE">
            <w:pPr>
              <w:pStyle w:val="Tabletext"/>
              <w:keepNext/>
              <w:keepLines/>
              <w:jc w:val="center"/>
            </w:pPr>
            <w:r w:rsidRPr="0063167A">
              <w:t>$</w:t>
            </w:r>
            <w:r w:rsidR="003A37B7">
              <w:rPr>
                <w:noProof/>
                <w:color w:val="000000"/>
                <w:highlight w:val="black"/>
              </w:rPr>
              <w:t>''''''''''''''''''''''</w:t>
            </w:r>
            <w:r w:rsidR="00FF6627">
              <w:rPr>
                <w:vertAlign w:val="superscript"/>
              </w:rPr>
              <w:t>9</w:t>
            </w:r>
          </w:p>
        </w:tc>
        <w:tc>
          <w:tcPr>
            <w:tcW w:w="596" w:type="pct"/>
          </w:tcPr>
          <w:p w14:paraId="515D34C9" w14:textId="77777777" w:rsidR="008D6806" w:rsidRPr="002756C2" w:rsidRDefault="008D6806" w:rsidP="00D05CAE">
            <w:pPr>
              <w:pStyle w:val="Tabletext"/>
              <w:keepNext/>
              <w:keepLines/>
              <w:jc w:val="center"/>
            </w:pPr>
            <w:r w:rsidRPr="0063167A">
              <w:t>$</w:t>
            </w:r>
            <w:r w:rsidR="003A37B7">
              <w:rPr>
                <w:noProof/>
                <w:color w:val="000000"/>
                <w:highlight w:val="black"/>
              </w:rPr>
              <w:t>''''''''''''''''''''''</w:t>
            </w:r>
            <w:r w:rsidR="00FF6627">
              <w:rPr>
                <w:vertAlign w:val="superscript"/>
              </w:rPr>
              <w:t>9</w:t>
            </w:r>
          </w:p>
        </w:tc>
        <w:tc>
          <w:tcPr>
            <w:tcW w:w="596" w:type="pct"/>
          </w:tcPr>
          <w:p w14:paraId="7FBEF67B" w14:textId="77777777" w:rsidR="008D6806" w:rsidRPr="002756C2" w:rsidRDefault="008D6806" w:rsidP="00D05CAE">
            <w:pPr>
              <w:pStyle w:val="Tabletext"/>
              <w:keepNext/>
              <w:keepLines/>
              <w:jc w:val="center"/>
            </w:pPr>
            <w:r w:rsidRPr="0063167A">
              <w:t>$</w:t>
            </w:r>
            <w:r w:rsidR="003A37B7">
              <w:rPr>
                <w:noProof/>
                <w:color w:val="000000"/>
                <w:highlight w:val="black"/>
              </w:rPr>
              <w:t>'''''''''''''''''''''''''</w:t>
            </w:r>
            <w:r w:rsidR="00FF6627">
              <w:rPr>
                <w:vertAlign w:val="superscript"/>
              </w:rPr>
              <w:t>9</w:t>
            </w:r>
          </w:p>
        </w:tc>
        <w:tc>
          <w:tcPr>
            <w:tcW w:w="596" w:type="pct"/>
          </w:tcPr>
          <w:p w14:paraId="5C02C95D" w14:textId="77777777" w:rsidR="008D6806" w:rsidRPr="002756C2" w:rsidRDefault="008D6806" w:rsidP="00D05CAE">
            <w:pPr>
              <w:pStyle w:val="Tabletext"/>
              <w:keepNext/>
              <w:keepLines/>
              <w:jc w:val="center"/>
            </w:pPr>
            <w:r w:rsidRPr="0063167A">
              <w:t>$</w:t>
            </w:r>
            <w:r w:rsidR="003A37B7">
              <w:rPr>
                <w:noProof/>
                <w:color w:val="000000"/>
                <w:highlight w:val="black"/>
              </w:rPr>
              <w:t>''''''''''''''''''''''''</w:t>
            </w:r>
            <w:r w:rsidR="00FF6627">
              <w:rPr>
                <w:vertAlign w:val="superscript"/>
              </w:rPr>
              <w:t>9</w:t>
            </w:r>
          </w:p>
        </w:tc>
        <w:tc>
          <w:tcPr>
            <w:tcW w:w="596" w:type="pct"/>
          </w:tcPr>
          <w:p w14:paraId="71F3D836" w14:textId="77777777" w:rsidR="008D6806" w:rsidRPr="002756C2" w:rsidRDefault="008D6806" w:rsidP="00D05CAE">
            <w:pPr>
              <w:pStyle w:val="Tabletext"/>
              <w:keepNext/>
              <w:keepLines/>
              <w:jc w:val="center"/>
            </w:pPr>
            <w:r w:rsidRPr="0063167A">
              <w:t>$</w:t>
            </w:r>
            <w:r w:rsidR="003A37B7">
              <w:rPr>
                <w:noProof/>
                <w:color w:val="000000"/>
                <w:highlight w:val="black"/>
              </w:rPr>
              <w:t>''''''''''''''''''''''</w:t>
            </w:r>
            <w:r w:rsidR="00FF6627">
              <w:rPr>
                <w:vertAlign w:val="superscript"/>
              </w:rPr>
              <w:t>9</w:t>
            </w:r>
          </w:p>
        </w:tc>
        <w:tc>
          <w:tcPr>
            <w:tcW w:w="595" w:type="pct"/>
          </w:tcPr>
          <w:p w14:paraId="32BA913F" w14:textId="77777777" w:rsidR="008D6806" w:rsidRPr="002756C2" w:rsidRDefault="008D6806" w:rsidP="00D05CAE">
            <w:pPr>
              <w:pStyle w:val="Tabletext"/>
              <w:keepNext/>
              <w:keepLines/>
              <w:jc w:val="center"/>
            </w:pPr>
            <w:r w:rsidRPr="0063167A">
              <w:t>$</w:t>
            </w:r>
            <w:r w:rsidR="003A37B7">
              <w:rPr>
                <w:noProof/>
                <w:color w:val="000000"/>
                <w:highlight w:val="black"/>
              </w:rPr>
              <w:t>''''''''''''''''''''''''''</w:t>
            </w:r>
            <w:r w:rsidR="00FF6627">
              <w:rPr>
                <w:vertAlign w:val="superscript"/>
              </w:rPr>
              <w:t>9</w:t>
            </w:r>
          </w:p>
        </w:tc>
      </w:tr>
      <w:tr w:rsidR="008D6806" w:rsidRPr="003639A6" w14:paraId="289179C0" w14:textId="77777777" w:rsidTr="00D61F11">
        <w:trPr>
          <w:trHeight w:val="226"/>
        </w:trPr>
        <w:tc>
          <w:tcPr>
            <w:tcW w:w="1424" w:type="pct"/>
            <w:shd w:val="clear" w:color="auto" w:fill="auto"/>
            <w:vAlign w:val="center"/>
          </w:tcPr>
          <w:p w14:paraId="7D6B1E6B" w14:textId="77777777" w:rsidR="008D6806" w:rsidRDefault="008D6806" w:rsidP="00D05CAE">
            <w:pPr>
              <w:pStyle w:val="Tabletext"/>
              <w:keepNext/>
              <w:keepLines/>
              <w:rPr>
                <w:sz w:val="19"/>
                <w:szCs w:val="19"/>
              </w:rPr>
            </w:pPr>
            <w:r w:rsidRPr="00773C6D">
              <w:t>Net PBS/RPBS cost Pop 3</w:t>
            </w:r>
          </w:p>
        </w:tc>
        <w:tc>
          <w:tcPr>
            <w:tcW w:w="595" w:type="pct"/>
          </w:tcPr>
          <w:p w14:paraId="117AE257" w14:textId="77777777" w:rsidR="008D6806" w:rsidRPr="002756C2" w:rsidRDefault="008D6806" w:rsidP="00D05CAE">
            <w:pPr>
              <w:pStyle w:val="Tabletext"/>
              <w:keepNext/>
              <w:keepLines/>
              <w:jc w:val="center"/>
            </w:pPr>
            <w:r w:rsidRPr="0063167A">
              <w:t>$</w:t>
            </w:r>
            <w:r w:rsidR="003A37B7">
              <w:rPr>
                <w:noProof/>
                <w:color w:val="000000"/>
                <w:highlight w:val="black"/>
              </w:rPr>
              <w:t>'''''''''''''''''''''''''''''</w:t>
            </w:r>
            <w:r w:rsidR="001A0EEA">
              <w:rPr>
                <w:vertAlign w:val="superscript"/>
              </w:rPr>
              <w:t>5</w:t>
            </w:r>
          </w:p>
        </w:tc>
        <w:tc>
          <w:tcPr>
            <w:tcW w:w="596" w:type="pct"/>
          </w:tcPr>
          <w:p w14:paraId="3249D3A3" w14:textId="77777777" w:rsidR="008D6806" w:rsidRPr="002756C2" w:rsidRDefault="008D6806" w:rsidP="00D05CAE">
            <w:pPr>
              <w:pStyle w:val="Tabletext"/>
              <w:keepNext/>
              <w:keepLines/>
              <w:jc w:val="center"/>
            </w:pPr>
            <w:r w:rsidRPr="0063167A">
              <w:t>$</w:t>
            </w:r>
            <w:r w:rsidR="003A37B7">
              <w:rPr>
                <w:noProof/>
                <w:color w:val="000000"/>
                <w:highlight w:val="black"/>
              </w:rPr>
              <w:t>''''''''''''''''''''''''''''</w:t>
            </w:r>
            <w:r w:rsidR="000C2F7F">
              <w:rPr>
                <w:vertAlign w:val="superscript"/>
              </w:rPr>
              <w:t>6</w:t>
            </w:r>
          </w:p>
        </w:tc>
        <w:tc>
          <w:tcPr>
            <w:tcW w:w="596" w:type="pct"/>
          </w:tcPr>
          <w:p w14:paraId="5548D840" w14:textId="77777777" w:rsidR="008D6806" w:rsidRPr="002756C2" w:rsidRDefault="008D6806" w:rsidP="00D05CAE">
            <w:pPr>
              <w:pStyle w:val="Tabletext"/>
              <w:keepNext/>
              <w:keepLines/>
              <w:jc w:val="center"/>
            </w:pPr>
            <w:r w:rsidRPr="0063167A">
              <w:t>$</w:t>
            </w:r>
            <w:r w:rsidR="003A37B7">
              <w:rPr>
                <w:noProof/>
                <w:color w:val="000000"/>
                <w:highlight w:val="black"/>
              </w:rPr>
              <w:t>''''''''''''''''''''''''''</w:t>
            </w:r>
            <w:r w:rsidR="000C2F7F">
              <w:rPr>
                <w:vertAlign w:val="superscript"/>
              </w:rPr>
              <w:t>6</w:t>
            </w:r>
          </w:p>
        </w:tc>
        <w:tc>
          <w:tcPr>
            <w:tcW w:w="596" w:type="pct"/>
          </w:tcPr>
          <w:p w14:paraId="669CE664" w14:textId="77777777" w:rsidR="008D6806" w:rsidRPr="002756C2" w:rsidRDefault="008D6806" w:rsidP="00D05CAE">
            <w:pPr>
              <w:pStyle w:val="Tabletext"/>
              <w:keepNext/>
              <w:keepLines/>
              <w:jc w:val="center"/>
            </w:pPr>
            <w:r w:rsidRPr="0063167A">
              <w:t>$</w:t>
            </w:r>
            <w:r w:rsidR="003A37B7">
              <w:rPr>
                <w:noProof/>
                <w:color w:val="000000"/>
                <w:highlight w:val="black"/>
              </w:rPr>
              <w:t>'''''''''''''''''''''''''</w:t>
            </w:r>
            <w:r w:rsidR="000C2F7F">
              <w:rPr>
                <w:vertAlign w:val="superscript"/>
              </w:rPr>
              <w:t>7</w:t>
            </w:r>
          </w:p>
        </w:tc>
        <w:tc>
          <w:tcPr>
            <w:tcW w:w="596" w:type="pct"/>
          </w:tcPr>
          <w:p w14:paraId="2C3F6DAF" w14:textId="77777777" w:rsidR="008D6806" w:rsidRPr="002756C2" w:rsidRDefault="008D6806" w:rsidP="00D05CAE">
            <w:pPr>
              <w:pStyle w:val="Tabletext"/>
              <w:keepNext/>
              <w:keepLines/>
              <w:jc w:val="center"/>
            </w:pPr>
            <w:r w:rsidRPr="0063167A">
              <w:t>$</w:t>
            </w:r>
            <w:r w:rsidR="003A37B7">
              <w:rPr>
                <w:noProof/>
                <w:color w:val="000000"/>
                <w:highlight w:val="black"/>
              </w:rPr>
              <w:t>'''''''''''''''''''''''''''''</w:t>
            </w:r>
            <w:r w:rsidR="000B24E5">
              <w:rPr>
                <w:vertAlign w:val="superscript"/>
              </w:rPr>
              <w:t>8</w:t>
            </w:r>
          </w:p>
        </w:tc>
        <w:tc>
          <w:tcPr>
            <w:tcW w:w="595" w:type="pct"/>
          </w:tcPr>
          <w:p w14:paraId="185FA6DF" w14:textId="77777777" w:rsidR="008D6806" w:rsidRPr="002756C2" w:rsidRDefault="008D6806" w:rsidP="00D05CAE">
            <w:pPr>
              <w:pStyle w:val="Tabletext"/>
              <w:keepNext/>
              <w:keepLines/>
              <w:jc w:val="center"/>
            </w:pPr>
            <w:r w:rsidRPr="0063167A">
              <w:t>$</w:t>
            </w:r>
            <w:r w:rsidR="003A37B7">
              <w:rPr>
                <w:noProof/>
                <w:color w:val="000000"/>
                <w:highlight w:val="black"/>
              </w:rPr>
              <w:t>'''''''''''''''''''''''''''</w:t>
            </w:r>
            <w:r w:rsidR="000B24E5">
              <w:rPr>
                <w:vertAlign w:val="superscript"/>
              </w:rPr>
              <w:t>8</w:t>
            </w:r>
          </w:p>
        </w:tc>
      </w:tr>
      <w:tr w:rsidR="008D6806" w:rsidRPr="003639A6" w14:paraId="6885DF10" w14:textId="77777777" w:rsidTr="00D61F11">
        <w:trPr>
          <w:trHeight w:val="226"/>
        </w:trPr>
        <w:tc>
          <w:tcPr>
            <w:tcW w:w="1424" w:type="pct"/>
            <w:shd w:val="clear" w:color="auto" w:fill="auto"/>
            <w:vAlign w:val="center"/>
          </w:tcPr>
          <w:p w14:paraId="6FF89230" w14:textId="77777777" w:rsidR="008D6806" w:rsidRPr="003639A6" w:rsidRDefault="008D6806" w:rsidP="00D05CAE">
            <w:pPr>
              <w:pStyle w:val="Tabletext"/>
              <w:keepNext/>
              <w:keepLines/>
              <w:rPr>
                <w:rFonts w:ascii="Times" w:hAnsi="Times"/>
              </w:rPr>
            </w:pPr>
            <w:r>
              <w:rPr>
                <w:sz w:val="19"/>
                <w:szCs w:val="19"/>
              </w:rPr>
              <w:t>C</w:t>
            </w:r>
            <w:r w:rsidRPr="003639A6">
              <w:rPr>
                <w:sz w:val="19"/>
                <w:szCs w:val="19"/>
              </w:rPr>
              <w:t>ost to PBS/RPBS</w:t>
            </w:r>
          </w:p>
        </w:tc>
        <w:tc>
          <w:tcPr>
            <w:tcW w:w="595" w:type="pct"/>
          </w:tcPr>
          <w:p w14:paraId="2E0D3AAB" w14:textId="77777777" w:rsidR="008D6806" w:rsidRPr="003639A6" w:rsidRDefault="008D6806" w:rsidP="00D05CAE">
            <w:pPr>
              <w:pStyle w:val="Tabletext"/>
              <w:keepNext/>
              <w:keepLines/>
              <w:jc w:val="center"/>
              <w:rPr>
                <w:bCs/>
                <w:color w:val="000000"/>
              </w:rPr>
            </w:pPr>
            <w:r w:rsidRPr="002756C2">
              <w:t>$</w:t>
            </w:r>
            <w:r w:rsidR="003A37B7">
              <w:rPr>
                <w:noProof/>
                <w:color w:val="000000"/>
                <w:highlight w:val="black"/>
              </w:rPr>
              <w:t>''''''''''''''''''''''''''''</w:t>
            </w:r>
            <w:r w:rsidR="000C2F7F">
              <w:rPr>
                <w:vertAlign w:val="superscript"/>
              </w:rPr>
              <w:t>7</w:t>
            </w:r>
          </w:p>
        </w:tc>
        <w:tc>
          <w:tcPr>
            <w:tcW w:w="596" w:type="pct"/>
          </w:tcPr>
          <w:p w14:paraId="4C907615" w14:textId="77777777" w:rsidR="008D6806" w:rsidRPr="003639A6" w:rsidRDefault="008D6806" w:rsidP="00D05CAE">
            <w:pPr>
              <w:pStyle w:val="Tabletext"/>
              <w:keepNext/>
              <w:keepLines/>
              <w:jc w:val="center"/>
              <w:rPr>
                <w:bCs/>
                <w:color w:val="000000"/>
              </w:rPr>
            </w:pPr>
            <w:r w:rsidRPr="002756C2">
              <w:t>$</w:t>
            </w:r>
            <w:r w:rsidR="003A37B7">
              <w:rPr>
                <w:noProof/>
                <w:color w:val="000000"/>
                <w:highlight w:val="black"/>
              </w:rPr>
              <w:t>''''''''''''''''''''''''''</w:t>
            </w:r>
            <w:r w:rsidR="0052438A">
              <w:rPr>
                <w:vertAlign w:val="superscript"/>
              </w:rPr>
              <w:t>8</w:t>
            </w:r>
          </w:p>
        </w:tc>
        <w:tc>
          <w:tcPr>
            <w:tcW w:w="596" w:type="pct"/>
          </w:tcPr>
          <w:p w14:paraId="5D0ED3CD" w14:textId="77777777" w:rsidR="008D6806" w:rsidRPr="003639A6" w:rsidRDefault="008D6806" w:rsidP="00D05CAE">
            <w:pPr>
              <w:pStyle w:val="Tabletext"/>
              <w:keepNext/>
              <w:keepLines/>
              <w:jc w:val="center"/>
              <w:rPr>
                <w:bCs/>
                <w:color w:val="000000"/>
              </w:rPr>
            </w:pPr>
            <w:r w:rsidRPr="002756C2">
              <w:t>$</w:t>
            </w:r>
            <w:r w:rsidR="003A37B7">
              <w:rPr>
                <w:noProof/>
                <w:color w:val="000000"/>
                <w:highlight w:val="black"/>
              </w:rPr>
              <w:t>''''''''''''''''''''''''</w:t>
            </w:r>
            <w:r w:rsidR="0052438A">
              <w:rPr>
                <w:vertAlign w:val="superscript"/>
              </w:rPr>
              <w:t>10</w:t>
            </w:r>
          </w:p>
        </w:tc>
        <w:tc>
          <w:tcPr>
            <w:tcW w:w="596" w:type="pct"/>
          </w:tcPr>
          <w:p w14:paraId="1CE046F3" w14:textId="77777777" w:rsidR="008D6806" w:rsidRPr="003639A6" w:rsidRDefault="008D6806" w:rsidP="00D05CAE">
            <w:pPr>
              <w:pStyle w:val="Tabletext"/>
              <w:keepNext/>
              <w:keepLines/>
              <w:jc w:val="center"/>
              <w:rPr>
                <w:bCs/>
                <w:color w:val="000000"/>
              </w:rPr>
            </w:pPr>
            <w:r w:rsidRPr="002756C2">
              <w:t>$</w:t>
            </w:r>
            <w:r w:rsidR="003A37B7">
              <w:rPr>
                <w:noProof/>
                <w:color w:val="000000"/>
                <w:highlight w:val="black"/>
              </w:rPr>
              <w:t>'''''''''''''''''''''''''''</w:t>
            </w:r>
            <w:r w:rsidR="006247E1">
              <w:rPr>
                <w:vertAlign w:val="superscript"/>
              </w:rPr>
              <w:t>11</w:t>
            </w:r>
          </w:p>
        </w:tc>
        <w:tc>
          <w:tcPr>
            <w:tcW w:w="596" w:type="pct"/>
          </w:tcPr>
          <w:p w14:paraId="630EAC32" w14:textId="77777777" w:rsidR="008D6806" w:rsidRPr="003639A6" w:rsidRDefault="008D6806" w:rsidP="00D05CAE">
            <w:pPr>
              <w:pStyle w:val="Tabletext"/>
              <w:keepNext/>
              <w:keepLines/>
              <w:jc w:val="center"/>
              <w:rPr>
                <w:bCs/>
                <w:color w:val="000000"/>
              </w:rPr>
            </w:pPr>
            <w:r w:rsidRPr="002756C2">
              <w:t>$</w:t>
            </w:r>
            <w:r w:rsidR="003A37B7">
              <w:rPr>
                <w:noProof/>
                <w:color w:val="000000"/>
                <w:highlight w:val="black"/>
              </w:rPr>
              <w:t>''''''''''''''''''''''''''''''''</w:t>
            </w:r>
            <w:r w:rsidR="006247E1">
              <w:rPr>
                <w:vertAlign w:val="superscript"/>
              </w:rPr>
              <w:t>12</w:t>
            </w:r>
          </w:p>
        </w:tc>
        <w:tc>
          <w:tcPr>
            <w:tcW w:w="595" w:type="pct"/>
          </w:tcPr>
          <w:p w14:paraId="44F0E4C9" w14:textId="77777777" w:rsidR="008D6806" w:rsidRPr="003639A6" w:rsidRDefault="008D6806" w:rsidP="00D05CAE">
            <w:pPr>
              <w:pStyle w:val="Tabletext"/>
              <w:keepNext/>
              <w:keepLines/>
              <w:jc w:val="center"/>
              <w:rPr>
                <w:bCs/>
                <w:color w:val="000000"/>
              </w:rPr>
            </w:pPr>
            <w:r w:rsidRPr="002756C2">
              <w:t>$</w:t>
            </w:r>
            <w:r w:rsidR="003A37B7">
              <w:rPr>
                <w:noProof/>
                <w:color w:val="000000"/>
                <w:highlight w:val="black"/>
              </w:rPr>
              <w:t>''''''''''''''''''''''''''''</w:t>
            </w:r>
            <w:r w:rsidR="006247E1">
              <w:rPr>
                <w:vertAlign w:val="superscript"/>
              </w:rPr>
              <w:t>12</w:t>
            </w:r>
          </w:p>
        </w:tc>
      </w:tr>
      <w:tr w:rsidR="008D6806" w:rsidRPr="003639A6" w14:paraId="04F08297" w14:textId="77777777" w:rsidTr="00D61F11">
        <w:trPr>
          <w:trHeight w:val="226"/>
        </w:trPr>
        <w:tc>
          <w:tcPr>
            <w:tcW w:w="1424" w:type="pct"/>
            <w:shd w:val="clear" w:color="auto" w:fill="auto"/>
            <w:vAlign w:val="center"/>
          </w:tcPr>
          <w:p w14:paraId="72CB662A" w14:textId="77777777" w:rsidR="008D6806" w:rsidRDefault="008D6806" w:rsidP="00D05CAE">
            <w:pPr>
              <w:pStyle w:val="Tabletext"/>
              <w:keepNext/>
              <w:keepLines/>
              <w:rPr>
                <w:sz w:val="19"/>
                <w:szCs w:val="19"/>
              </w:rPr>
            </w:pPr>
            <w:r>
              <w:rPr>
                <w:sz w:val="19"/>
                <w:szCs w:val="19"/>
              </w:rPr>
              <w:t>Copayments</w:t>
            </w:r>
          </w:p>
        </w:tc>
        <w:tc>
          <w:tcPr>
            <w:tcW w:w="595" w:type="pct"/>
          </w:tcPr>
          <w:p w14:paraId="001B550B" w14:textId="77777777" w:rsidR="008D6806" w:rsidRPr="003639A6" w:rsidRDefault="008D6806" w:rsidP="00D05CAE">
            <w:pPr>
              <w:pStyle w:val="Tabletext"/>
              <w:keepNext/>
              <w:keepLines/>
              <w:jc w:val="center"/>
              <w:rPr>
                <w:bCs/>
                <w:color w:val="000000"/>
              </w:rPr>
            </w:pPr>
            <w:r>
              <w:t>–</w:t>
            </w:r>
            <w:r w:rsidRPr="002756C2">
              <w:t>$</w:t>
            </w:r>
            <w:r w:rsidR="003A37B7">
              <w:rPr>
                <w:noProof/>
                <w:color w:val="000000"/>
                <w:highlight w:val="black"/>
              </w:rPr>
              <w:t>'''''''''''''''</w:t>
            </w:r>
            <w:r w:rsidR="006247E1">
              <w:rPr>
                <w:vertAlign w:val="superscript"/>
              </w:rPr>
              <w:t>9</w:t>
            </w:r>
          </w:p>
        </w:tc>
        <w:tc>
          <w:tcPr>
            <w:tcW w:w="596" w:type="pct"/>
          </w:tcPr>
          <w:p w14:paraId="339A3D2C" w14:textId="77777777" w:rsidR="008D6806" w:rsidRPr="003639A6" w:rsidRDefault="008D6806" w:rsidP="00D05CAE">
            <w:pPr>
              <w:pStyle w:val="Tabletext"/>
              <w:keepNext/>
              <w:keepLines/>
              <w:jc w:val="center"/>
              <w:rPr>
                <w:bCs/>
                <w:color w:val="000000"/>
              </w:rPr>
            </w:pPr>
            <w:r>
              <w:t>–</w:t>
            </w:r>
            <w:r w:rsidRPr="002756C2">
              <w:t>$</w:t>
            </w:r>
            <w:r w:rsidR="003A37B7">
              <w:rPr>
                <w:noProof/>
                <w:color w:val="000000"/>
                <w:highlight w:val="black"/>
              </w:rPr>
              <w:t>''''''''''''''''</w:t>
            </w:r>
            <w:r w:rsidR="006247E1">
              <w:rPr>
                <w:vertAlign w:val="superscript"/>
              </w:rPr>
              <w:t>9</w:t>
            </w:r>
          </w:p>
        </w:tc>
        <w:tc>
          <w:tcPr>
            <w:tcW w:w="596" w:type="pct"/>
          </w:tcPr>
          <w:p w14:paraId="3F2980FA" w14:textId="77777777" w:rsidR="008D6806" w:rsidRPr="003639A6" w:rsidRDefault="008D6806" w:rsidP="00D05CAE">
            <w:pPr>
              <w:pStyle w:val="Tabletext"/>
              <w:keepNext/>
              <w:keepLines/>
              <w:jc w:val="center"/>
              <w:rPr>
                <w:bCs/>
                <w:color w:val="000000"/>
              </w:rPr>
            </w:pPr>
            <w:r>
              <w:t>–</w:t>
            </w:r>
            <w:r w:rsidRPr="002756C2">
              <w:t>$</w:t>
            </w:r>
            <w:r w:rsidR="003A37B7">
              <w:rPr>
                <w:noProof/>
                <w:color w:val="000000"/>
                <w:highlight w:val="black"/>
              </w:rPr>
              <w:t>'''''''''''''''</w:t>
            </w:r>
            <w:r w:rsidR="006247E1">
              <w:rPr>
                <w:vertAlign w:val="superscript"/>
              </w:rPr>
              <w:t>9</w:t>
            </w:r>
          </w:p>
        </w:tc>
        <w:tc>
          <w:tcPr>
            <w:tcW w:w="596" w:type="pct"/>
          </w:tcPr>
          <w:p w14:paraId="3645BD54" w14:textId="77777777" w:rsidR="008D6806" w:rsidRPr="003639A6" w:rsidRDefault="008D6806" w:rsidP="00D05CAE">
            <w:pPr>
              <w:pStyle w:val="Tabletext"/>
              <w:keepNext/>
              <w:keepLines/>
              <w:jc w:val="center"/>
              <w:rPr>
                <w:bCs/>
                <w:color w:val="000000"/>
              </w:rPr>
            </w:pPr>
            <w:r>
              <w:t>–</w:t>
            </w:r>
            <w:r w:rsidRPr="002756C2">
              <w:t>$</w:t>
            </w:r>
            <w:r w:rsidR="003A37B7">
              <w:rPr>
                <w:noProof/>
                <w:color w:val="000000"/>
                <w:highlight w:val="black"/>
              </w:rPr>
              <w:t>''''''''''''''''''</w:t>
            </w:r>
            <w:r w:rsidR="006247E1">
              <w:rPr>
                <w:vertAlign w:val="superscript"/>
              </w:rPr>
              <w:t>9</w:t>
            </w:r>
          </w:p>
        </w:tc>
        <w:tc>
          <w:tcPr>
            <w:tcW w:w="596" w:type="pct"/>
          </w:tcPr>
          <w:p w14:paraId="2C7D166F" w14:textId="77777777" w:rsidR="008D6806" w:rsidRPr="003639A6" w:rsidRDefault="008D6806" w:rsidP="00D05CAE">
            <w:pPr>
              <w:pStyle w:val="Tabletext"/>
              <w:keepNext/>
              <w:keepLines/>
              <w:jc w:val="center"/>
              <w:rPr>
                <w:bCs/>
                <w:color w:val="000000"/>
              </w:rPr>
            </w:pPr>
            <w:r>
              <w:t>–</w:t>
            </w:r>
            <w:r w:rsidRPr="002756C2">
              <w:t>$</w:t>
            </w:r>
            <w:r w:rsidR="003A37B7">
              <w:rPr>
                <w:noProof/>
                <w:color w:val="000000"/>
                <w:highlight w:val="black"/>
              </w:rPr>
              <w:t>'''''''''''''''''</w:t>
            </w:r>
            <w:r w:rsidR="006247E1">
              <w:rPr>
                <w:vertAlign w:val="superscript"/>
              </w:rPr>
              <w:t>9</w:t>
            </w:r>
          </w:p>
        </w:tc>
        <w:tc>
          <w:tcPr>
            <w:tcW w:w="595" w:type="pct"/>
          </w:tcPr>
          <w:p w14:paraId="55D26EC6" w14:textId="77777777" w:rsidR="008D6806" w:rsidRPr="003639A6" w:rsidRDefault="008D6806" w:rsidP="00D05CAE">
            <w:pPr>
              <w:pStyle w:val="Tabletext"/>
              <w:keepNext/>
              <w:keepLines/>
              <w:jc w:val="center"/>
              <w:rPr>
                <w:bCs/>
                <w:color w:val="000000"/>
              </w:rPr>
            </w:pPr>
            <w:r>
              <w:t>–</w:t>
            </w:r>
            <w:r w:rsidRPr="002756C2">
              <w:t>$</w:t>
            </w:r>
            <w:r w:rsidR="003A37B7">
              <w:rPr>
                <w:noProof/>
                <w:color w:val="000000"/>
                <w:highlight w:val="black"/>
              </w:rPr>
              <w:t>''''''''''''''''</w:t>
            </w:r>
            <w:r w:rsidR="006247E1">
              <w:rPr>
                <w:vertAlign w:val="superscript"/>
              </w:rPr>
              <w:t>9</w:t>
            </w:r>
          </w:p>
        </w:tc>
      </w:tr>
      <w:tr w:rsidR="008D6806" w:rsidRPr="003639A6" w14:paraId="7D3982EB" w14:textId="77777777" w:rsidTr="00D61F11">
        <w:trPr>
          <w:trHeight w:val="441"/>
        </w:trPr>
        <w:tc>
          <w:tcPr>
            <w:tcW w:w="1424" w:type="pct"/>
            <w:shd w:val="clear" w:color="auto" w:fill="auto"/>
            <w:vAlign w:val="center"/>
          </w:tcPr>
          <w:p w14:paraId="19CE9A79" w14:textId="77777777" w:rsidR="008D6806" w:rsidRDefault="008D6806" w:rsidP="00D05CAE">
            <w:pPr>
              <w:pStyle w:val="Tabletext"/>
              <w:keepNext/>
              <w:keepLines/>
              <w:rPr>
                <w:sz w:val="19"/>
                <w:szCs w:val="19"/>
              </w:rPr>
            </w:pPr>
            <w:r>
              <w:rPr>
                <w:sz w:val="19"/>
                <w:szCs w:val="19"/>
              </w:rPr>
              <w:t>Cost to PBS/RPBS less copayments</w:t>
            </w:r>
          </w:p>
        </w:tc>
        <w:tc>
          <w:tcPr>
            <w:tcW w:w="595" w:type="pct"/>
            <w:shd w:val="clear" w:color="auto" w:fill="auto"/>
            <w:vAlign w:val="center"/>
          </w:tcPr>
          <w:p w14:paraId="2608CF9A" w14:textId="77777777" w:rsidR="008D6806" w:rsidRPr="003639A6" w:rsidRDefault="008D6806" w:rsidP="00D05CAE">
            <w:pPr>
              <w:pStyle w:val="Tabletext"/>
              <w:keepNext/>
              <w:keepLines/>
              <w:jc w:val="center"/>
              <w:rPr>
                <w:bCs/>
                <w:color w:val="000000"/>
              </w:rPr>
            </w:pPr>
            <w:r w:rsidRPr="0043297E">
              <w:rPr>
                <w:b/>
              </w:rPr>
              <w:t>$</w:t>
            </w:r>
            <w:r w:rsidR="003A37B7">
              <w:rPr>
                <w:b/>
                <w:noProof/>
                <w:color w:val="000000"/>
                <w:highlight w:val="black"/>
              </w:rPr>
              <w:t>''''''''''''''''''''''</w:t>
            </w:r>
            <w:r w:rsidR="000C2F7F">
              <w:rPr>
                <w:vertAlign w:val="superscript"/>
              </w:rPr>
              <w:t>7</w:t>
            </w:r>
          </w:p>
        </w:tc>
        <w:tc>
          <w:tcPr>
            <w:tcW w:w="596" w:type="pct"/>
            <w:shd w:val="clear" w:color="auto" w:fill="auto"/>
            <w:vAlign w:val="center"/>
          </w:tcPr>
          <w:p w14:paraId="3B1110E6" w14:textId="77777777" w:rsidR="008D6806" w:rsidRPr="003639A6" w:rsidRDefault="008D6806" w:rsidP="00D05CAE">
            <w:pPr>
              <w:pStyle w:val="Tabletext"/>
              <w:keepNext/>
              <w:keepLines/>
              <w:jc w:val="center"/>
              <w:rPr>
                <w:bCs/>
                <w:color w:val="000000"/>
              </w:rPr>
            </w:pPr>
            <w:r w:rsidRPr="0043297E">
              <w:rPr>
                <w:b/>
              </w:rPr>
              <w:t>$</w:t>
            </w:r>
            <w:r w:rsidR="003A37B7">
              <w:rPr>
                <w:b/>
                <w:noProof/>
                <w:color w:val="000000"/>
                <w:highlight w:val="black"/>
              </w:rPr>
              <w:t>'''''''''''''''''''''</w:t>
            </w:r>
            <w:r w:rsidR="000B24E5">
              <w:rPr>
                <w:vertAlign w:val="superscript"/>
              </w:rPr>
              <w:t>8</w:t>
            </w:r>
          </w:p>
        </w:tc>
        <w:tc>
          <w:tcPr>
            <w:tcW w:w="596" w:type="pct"/>
            <w:shd w:val="clear" w:color="auto" w:fill="auto"/>
            <w:vAlign w:val="center"/>
          </w:tcPr>
          <w:p w14:paraId="18C22C1C" w14:textId="77777777" w:rsidR="008D6806" w:rsidRPr="003639A6" w:rsidRDefault="008D6806" w:rsidP="00D05CAE">
            <w:pPr>
              <w:pStyle w:val="Tabletext"/>
              <w:keepNext/>
              <w:keepLines/>
              <w:jc w:val="center"/>
              <w:rPr>
                <w:bCs/>
                <w:color w:val="000000"/>
              </w:rPr>
            </w:pPr>
            <w:r w:rsidRPr="0043297E">
              <w:rPr>
                <w:b/>
              </w:rPr>
              <w:t>$</w:t>
            </w:r>
            <w:r w:rsidR="003A37B7">
              <w:rPr>
                <w:b/>
                <w:noProof/>
                <w:color w:val="000000"/>
                <w:highlight w:val="black"/>
              </w:rPr>
              <w:t>''''''''''''''''''''''''</w:t>
            </w:r>
            <w:r w:rsidR="0052438A">
              <w:rPr>
                <w:vertAlign w:val="superscript"/>
              </w:rPr>
              <w:t>10</w:t>
            </w:r>
          </w:p>
        </w:tc>
        <w:tc>
          <w:tcPr>
            <w:tcW w:w="596" w:type="pct"/>
            <w:shd w:val="clear" w:color="auto" w:fill="auto"/>
            <w:vAlign w:val="center"/>
          </w:tcPr>
          <w:p w14:paraId="6C22FEDE" w14:textId="77777777" w:rsidR="008D6806" w:rsidRPr="003639A6" w:rsidRDefault="008D6806" w:rsidP="00D05CAE">
            <w:pPr>
              <w:pStyle w:val="Tabletext"/>
              <w:keepNext/>
              <w:keepLines/>
              <w:jc w:val="center"/>
              <w:rPr>
                <w:bCs/>
                <w:color w:val="000000"/>
              </w:rPr>
            </w:pPr>
            <w:r w:rsidRPr="0043297E">
              <w:rPr>
                <w:b/>
              </w:rPr>
              <w:t>$</w:t>
            </w:r>
            <w:r w:rsidR="003A37B7">
              <w:rPr>
                <w:b/>
                <w:noProof/>
                <w:color w:val="000000"/>
                <w:highlight w:val="black"/>
              </w:rPr>
              <w:t>'''''''''''''''''''''</w:t>
            </w:r>
            <w:r w:rsidR="006247E1">
              <w:rPr>
                <w:vertAlign w:val="superscript"/>
              </w:rPr>
              <w:t>11</w:t>
            </w:r>
          </w:p>
        </w:tc>
        <w:tc>
          <w:tcPr>
            <w:tcW w:w="596" w:type="pct"/>
            <w:shd w:val="clear" w:color="auto" w:fill="auto"/>
            <w:vAlign w:val="center"/>
          </w:tcPr>
          <w:p w14:paraId="15987C8B" w14:textId="77777777" w:rsidR="008D6806" w:rsidRPr="003639A6" w:rsidRDefault="008D6806" w:rsidP="00D05CAE">
            <w:pPr>
              <w:pStyle w:val="Tabletext"/>
              <w:keepNext/>
              <w:keepLines/>
              <w:jc w:val="center"/>
              <w:rPr>
                <w:bCs/>
                <w:color w:val="000000"/>
              </w:rPr>
            </w:pPr>
            <w:r w:rsidRPr="0043297E">
              <w:rPr>
                <w:b/>
              </w:rPr>
              <w:t>$</w:t>
            </w:r>
            <w:r w:rsidR="003A37B7">
              <w:rPr>
                <w:b/>
                <w:noProof/>
                <w:color w:val="000000"/>
                <w:highlight w:val="black"/>
              </w:rPr>
              <w:t>'''''''''''''''''''''''''</w:t>
            </w:r>
            <w:r w:rsidR="006247E1">
              <w:rPr>
                <w:vertAlign w:val="superscript"/>
              </w:rPr>
              <w:t>12</w:t>
            </w:r>
          </w:p>
        </w:tc>
        <w:tc>
          <w:tcPr>
            <w:tcW w:w="595" w:type="pct"/>
            <w:shd w:val="clear" w:color="auto" w:fill="auto"/>
            <w:vAlign w:val="center"/>
          </w:tcPr>
          <w:p w14:paraId="15EE9792" w14:textId="77777777" w:rsidR="008D6806" w:rsidRPr="003639A6" w:rsidRDefault="008D6806" w:rsidP="00D05CAE">
            <w:pPr>
              <w:pStyle w:val="Tabletext"/>
              <w:keepNext/>
              <w:keepLines/>
              <w:jc w:val="center"/>
              <w:rPr>
                <w:bCs/>
                <w:color w:val="000000"/>
              </w:rPr>
            </w:pPr>
            <w:r w:rsidRPr="0043297E">
              <w:rPr>
                <w:b/>
              </w:rPr>
              <w:t>$</w:t>
            </w:r>
            <w:r w:rsidR="003A37B7">
              <w:rPr>
                <w:b/>
                <w:noProof/>
                <w:color w:val="000000"/>
                <w:highlight w:val="black"/>
              </w:rPr>
              <w:t>'''''''''''''''''''''''</w:t>
            </w:r>
            <w:r w:rsidR="006247E1">
              <w:rPr>
                <w:vertAlign w:val="superscript"/>
              </w:rPr>
              <w:t>12</w:t>
            </w:r>
          </w:p>
        </w:tc>
      </w:tr>
      <w:tr w:rsidR="008D6806" w:rsidRPr="003639A6" w14:paraId="67FAB145" w14:textId="77777777" w:rsidTr="00D61F11">
        <w:trPr>
          <w:trHeight w:val="226"/>
        </w:trPr>
        <w:tc>
          <w:tcPr>
            <w:tcW w:w="5000" w:type="pct"/>
            <w:gridSpan w:val="7"/>
            <w:shd w:val="clear" w:color="auto" w:fill="auto"/>
            <w:vAlign w:val="center"/>
          </w:tcPr>
          <w:p w14:paraId="22606B22" w14:textId="77777777" w:rsidR="008D6806" w:rsidRPr="003639A6" w:rsidRDefault="008D6806" w:rsidP="00D05CAE">
            <w:pPr>
              <w:pStyle w:val="Tabletext"/>
              <w:keepNext/>
              <w:keepLines/>
              <w:rPr>
                <w:bCs/>
                <w:color w:val="000000"/>
              </w:rPr>
            </w:pPr>
            <w:r w:rsidRPr="00D1078F">
              <w:rPr>
                <w:b/>
                <w:bCs/>
                <w:color w:val="000000"/>
              </w:rPr>
              <w:t xml:space="preserve">Estimated </w:t>
            </w:r>
            <w:r>
              <w:rPr>
                <w:b/>
                <w:bCs/>
                <w:color w:val="000000"/>
              </w:rPr>
              <w:t>financial implications for nusinersen</w:t>
            </w:r>
            <w:r w:rsidR="00D05CAE">
              <w:rPr>
                <w:b/>
                <w:bCs/>
                <w:color w:val="000000"/>
              </w:rPr>
              <w:t xml:space="preserve"> </w:t>
            </w:r>
            <w:r w:rsidR="00D05CAE">
              <w:rPr>
                <w:b/>
                <w:bCs/>
                <w:color w:val="000000"/>
                <w:vertAlign w:val="superscript"/>
              </w:rPr>
              <w:t>c</w:t>
            </w:r>
          </w:p>
        </w:tc>
      </w:tr>
      <w:tr w:rsidR="008D6806" w:rsidRPr="003639A6" w14:paraId="11BF263D" w14:textId="77777777" w:rsidTr="00D61F11">
        <w:trPr>
          <w:trHeight w:val="435"/>
        </w:trPr>
        <w:tc>
          <w:tcPr>
            <w:tcW w:w="1424" w:type="pct"/>
            <w:shd w:val="clear" w:color="auto" w:fill="auto"/>
            <w:vAlign w:val="center"/>
          </w:tcPr>
          <w:p w14:paraId="176F8D91" w14:textId="77777777" w:rsidR="008D6806" w:rsidRDefault="008D6806" w:rsidP="00D05CAE">
            <w:pPr>
              <w:pStyle w:val="Tabletext"/>
              <w:keepNext/>
              <w:keepLines/>
              <w:rPr>
                <w:sz w:val="19"/>
                <w:szCs w:val="19"/>
              </w:rPr>
            </w:pPr>
            <w:r>
              <w:rPr>
                <w:sz w:val="19"/>
                <w:szCs w:val="19"/>
              </w:rPr>
              <w:t>Cost to PBS/RPBS less copayments</w:t>
            </w:r>
          </w:p>
        </w:tc>
        <w:tc>
          <w:tcPr>
            <w:tcW w:w="595" w:type="pct"/>
            <w:vAlign w:val="center"/>
          </w:tcPr>
          <w:p w14:paraId="2D96C3ED" w14:textId="77777777" w:rsidR="008D6806" w:rsidRPr="003639A6" w:rsidRDefault="008D6806" w:rsidP="00D05CAE">
            <w:pPr>
              <w:pStyle w:val="Tabletext"/>
              <w:keepNext/>
              <w:keepLines/>
              <w:jc w:val="center"/>
              <w:rPr>
                <w:bCs/>
                <w:color w:val="000000"/>
              </w:rPr>
            </w:pPr>
            <w:r w:rsidRPr="00127300">
              <w:rPr>
                <w:rFonts w:cs="Calibri"/>
                <w:bCs/>
                <w:szCs w:val="20"/>
                <w:lang w:eastAsia="zh-CN"/>
              </w:rPr>
              <w:t>$</w:t>
            </w:r>
            <w:r w:rsidR="003A37B7">
              <w:rPr>
                <w:rFonts w:cs="Calibri"/>
                <w:bCs/>
                <w:noProof/>
                <w:color w:val="000000"/>
                <w:szCs w:val="20"/>
                <w:highlight w:val="black"/>
                <w:lang w:eastAsia="zh-CN"/>
              </w:rPr>
              <w:t>'''''''''''''''''''''''''</w:t>
            </w:r>
            <w:r w:rsidR="001A0EEA">
              <w:rPr>
                <w:vertAlign w:val="superscript"/>
              </w:rPr>
              <w:t>5</w:t>
            </w:r>
          </w:p>
        </w:tc>
        <w:tc>
          <w:tcPr>
            <w:tcW w:w="596" w:type="pct"/>
            <w:vAlign w:val="center"/>
          </w:tcPr>
          <w:p w14:paraId="0BE7232F" w14:textId="77777777" w:rsidR="008D6806" w:rsidRPr="003639A6" w:rsidRDefault="008D6806" w:rsidP="00D05CAE">
            <w:pPr>
              <w:pStyle w:val="Tabletext"/>
              <w:keepNext/>
              <w:keepLines/>
              <w:jc w:val="center"/>
              <w:rPr>
                <w:bCs/>
                <w:color w:val="000000"/>
              </w:rPr>
            </w:pPr>
            <w:r w:rsidRPr="00127300">
              <w:rPr>
                <w:rFonts w:cs="Calibri"/>
                <w:bCs/>
                <w:szCs w:val="20"/>
                <w:lang w:eastAsia="zh-CN"/>
              </w:rPr>
              <w:t>$</w:t>
            </w:r>
            <w:r w:rsidR="003A37B7">
              <w:rPr>
                <w:rFonts w:cs="Calibri"/>
                <w:bCs/>
                <w:noProof/>
                <w:color w:val="000000"/>
                <w:szCs w:val="20"/>
                <w:highlight w:val="black"/>
                <w:lang w:eastAsia="zh-CN"/>
              </w:rPr>
              <w:t>'''''''''''''''''''''''''''''</w:t>
            </w:r>
            <w:r w:rsidR="001A0EEA">
              <w:rPr>
                <w:vertAlign w:val="superscript"/>
              </w:rPr>
              <w:t>5</w:t>
            </w:r>
          </w:p>
        </w:tc>
        <w:tc>
          <w:tcPr>
            <w:tcW w:w="596" w:type="pct"/>
            <w:vAlign w:val="center"/>
          </w:tcPr>
          <w:p w14:paraId="3D3D6B83" w14:textId="77777777" w:rsidR="008D6806" w:rsidRPr="003639A6" w:rsidRDefault="008D6806" w:rsidP="00D05CAE">
            <w:pPr>
              <w:pStyle w:val="Tabletext"/>
              <w:keepNext/>
              <w:keepLines/>
              <w:jc w:val="center"/>
              <w:rPr>
                <w:bCs/>
                <w:color w:val="000000"/>
              </w:rPr>
            </w:pPr>
            <w:r w:rsidRPr="00127300">
              <w:rPr>
                <w:rFonts w:cs="Calibri"/>
                <w:bCs/>
                <w:szCs w:val="20"/>
                <w:lang w:eastAsia="zh-CN"/>
              </w:rPr>
              <w:t>$</w:t>
            </w:r>
            <w:r w:rsidR="003A37B7">
              <w:rPr>
                <w:rFonts w:cs="Calibri"/>
                <w:bCs/>
                <w:noProof/>
                <w:color w:val="000000"/>
                <w:szCs w:val="20"/>
                <w:highlight w:val="black"/>
                <w:lang w:eastAsia="zh-CN"/>
              </w:rPr>
              <w:t>'''''''''''''''''''''''''''</w:t>
            </w:r>
            <w:r w:rsidR="000C2F7F">
              <w:rPr>
                <w:vertAlign w:val="superscript"/>
              </w:rPr>
              <w:t>6</w:t>
            </w:r>
          </w:p>
        </w:tc>
        <w:tc>
          <w:tcPr>
            <w:tcW w:w="596" w:type="pct"/>
            <w:vAlign w:val="center"/>
          </w:tcPr>
          <w:p w14:paraId="78524539" w14:textId="77777777" w:rsidR="008D6806" w:rsidRPr="003639A6" w:rsidRDefault="008D6806" w:rsidP="00D05CAE">
            <w:pPr>
              <w:pStyle w:val="Tabletext"/>
              <w:keepNext/>
              <w:keepLines/>
              <w:jc w:val="center"/>
              <w:rPr>
                <w:bCs/>
                <w:color w:val="000000"/>
              </w:rPr>
            </w:pPr>
            <w:r w:rsidRPr="00127300">
              <w:rPr>
                <w:rFonts w:cs="Calibri"/>
                <w:bCs/>
                <w:szCs w:val="20"/>
                <w:lang w:eastAsia="zh-CN"/>
              </w:rPr>
              <w:t>$</w:t>
            </w:r>
            <w:r w:rsidR="003A37B7">
              <w:rPr>
                <w:rFonts w:cs="Calibri"/>
                <w:bCs/>
                <w:noProof/>
                <w:color w:val="000000"/>
                <w:szCs w:val="20"/>
                <w:highlight w:val="black"/>
                <w:lang w:eastAsia="zh-CN"/>
              </w:rPr>
              <w:t>''''''''''''''''''''''''''</w:t>
            </w:r>
            <w:r w:rsidR="000C2F7F">
              <w:rPr>
                <w:vertAlign w:val="superscript"/>
              </w:rPr>
              <w:t>6</w:t>
            </w:r>
          </w:p>
        </w:tc>
        <w:tc>
          <w:tcPr>
            <w:tcW w:w="596" w:type="pct"/>
            <w:vAlign w:val="center"/>
          </w:tcPr>
          <w:p w14:paraId="0736843C" w14:textId="77777777" w:rsidR="008D6806" w:rsidRPr="003639A6" w:rsidRDefault="008D6806" w:rsidP="00D05CAE">
            <w:pPr>
              <w:pStyle w:val="Tabletext"/>
              <w:keepNext/>
              <w:keepLines/>
              <w:jc w:val="center"/>
              <w:rPr>
                <w:bCs/>
                <w:color w:val="000000"/>
              </w:rPr>
            </w:pPr>
            <w:r w:rsidRPr="00127300">
              <w:rPr>
                <w:rFonts w:cs="Calibri"/>
                <w:bCs/>
                <w:szCs w:val="20"/>
                <w:lang w:eastAsia="zh-CN"/>
              </w:rPr>
              <w:t>$</w:t>
            </w:r>
            <w:r w:rsidR="003A37B7">
              <w:rPr>
                <w:rFonts w:cs="Calibri"/>
                <w:bCs/>
                <w:noProof/>
                <w:color w:val="000000"/>
                <w:szCs w:val="20"/>
                <w:highlight w:val="black"/>
                <w:lang w:eastAsia="zh-CN"/>
              </w:rPr>
              <w:t>''''''''''''''''''''''''</w:t>
            </w:r>
            <w:r w:rsidR="000C2F7F">
              <w:rPr>
                <w:vertAlign w:val="superscript"/>
              </w:rPr>
              <w:t>7</w:t>
            </w:r>
          </w:p>
        </w:tc>
        <w:tc>
          <w:tcPr>
            <w:tcW w:w="595" w:type="pct"/>
            <w:vAlign w:val="center"/>
          </w:tcPr>
          <w:p w14:paraId="517BB442" w14:textId="77777777" w:rsidR="008D6806" w:rsidRPr="003639A6" w:rsidRDefault="008D6806" w:rsidP="00D05CAE">
            <w:pPr>
              <w:pStyle w:val="Tabletext"/>
              <w:keepNext/>
              <w:keepLines/>
              <w:jc w:val="center"/>
              <w:rPr>
                <w:bCs/>
                <w:color w:val="000000"/>
              </w:rPr>
            </w:pPr>
            <w:r w:rsidRPr="00127300">
              <w:rPr>
                <w:rFonts w:cs="Calibri"/>
                <w:bCs/>
                <w:szCs w:val="20"/>
                <w:lang w:eastAsia="zh-CN"/>
              </w:rPr>
              <w:t>$</w:t>
            </w:r>
            <w:r w:rsidR="003A37B7">
              <w:rPr>
                <w:rFonts w:cs="Calibri"/>
                <w:bCs/>
                <w:noProof/>
                <w:color w:val="000000"/>
                <w:szCs w:val="20"/>
                <w:highlight w:val="black"/>
                <w:lang w:eastAsia="zh-CN"/>
              </w:rPr>
              <w:t>''''''''''''''''''''''''''''</w:t>
            </w:r>
            <w:r w:rsidR="000B24E5">
              <w:rPr>
                <w:vertAlign w:val="superscript"/>
              </w:rPr>
              <w:t>8</w:t>
            </w:r>
          </w:p>
        </w:tc>
      </w:tr>
      <w:tr w:rsidR="008D6806" w:rsidRPr="00FC22AB" w14:paraId="1B06CE86" w14:textId="77777777" w:rsidTr="00D61F11">
        <w:trPr>
          <w:trHeight w:val="226"/>
        </w:trPr>
        <w:tc>
          <w:tcPr>
            <w:tcW w:w="5000" w:type="pct"/>
            <w:gridSpan w:val="7"/>
            <w:shd w:val="clear" w:color="auto" w:fill="auto"/>
            <w:vAlign w:val="center"/>
          </w:tcPr>
          <w:p w14:paraId="6D2AB8F7" w14:textId="77777777" w:rsidR="008D6806" w:rsidRPr="00FC22AB" w:rsidRDefault="008D6806" w:rsidP="00D05CAE">
            <w:pPr>
              <w:pStyle w:val="Tabletext"/>
              <w:keepNext/>
              <w:keepLines/>
              <w:rPr>
                <w:b/>
                <w:bCs/>
                <w:color w:val="000000"/>
              </w:rPr>
            </w:pPr>
            <w:r w:rsidRPr="00FC22AB">
              <w:rPr>
                <w:b/>
                <w:bCs/>
                <w:color w:val="000000"/>
              </w:rPr>
              <w:t>Net financial implications</w:t>
            </w:r>
            <w:r>
              <w:rPr>
                <w:b/>
                <w:bCs/>
                <w:color w:val="000000"/>
              </w:rPr>
              <w:t>*</w:t>
            </w:r>
          </w:p>
        </w:tc>
      </w:tr>
      <w:tr w:rsidR="00D05CAE" w:rsidRPr="00771144" w14:paraId="25DB95BD" w14:textId="77777777" w:rsidTr="00D61F11">
        <w:trPr>
          <w:trHeight w:val="460"/>
        </w:trPr>
        <w:tc>
          <w:tcPr>
            <w:tcW w:w="1424" w:type="pct"/>
            <w:shd w:val="clear" w:color="auto" w:fill="auto"/>
            <w:vAlign w:val="center"/>
          </w:tcPr>
          <w:p w14:paraId="6F2DA8A5" w14:textId="77777777" w:rsidR="00D05CAE" w:rsidRPr="00771144" w:rsidRDefault="00D05CAE" w:rsidP="00D05CAE">
            <w:pPr>
              <w:pStyle w:val="Tabletext"/>
              <w:keepNext/>
              <w:keepLines/>
              <w:rPr>
                <w:b/>
                <w:sz w:val="19"/>
                <w:szCs w:val="19"/>
              </w:rPr>
            </w:pPr>
            <w:r w:rsidRPr="00771144">
              <w:t>Net PBS/RPBS cost Pop 1 (include nusinersen offset)</w:t>
            </w:r>
          </w:p>
        </w:tc>
        <w:tc>
          <w:tcPr>
            <w:tcW w:w="595" w:type="pct"/>
            <w:shd w:val="clear" w:color="auto" w:fill="auto"/>
            <w:vAlign w:val="center"/>
          </w:tcPr>
          <w:p w14:paraId="45ABA419" w14:textId="77777777" w:rsidR="00D05CAE" w:rsidRPr="00771144" w:rsidRDefault="00D05CAE" w:rsidP="00D05CAE">
            <w:pPr>
              <w:pStyle w:val="Tabletext"/>
              <w:keepNext/>
              <w:keepLines/>
              <w:jc w:val="center"/>
              <w:rPr>
                <w:rFonts w:cs="Calibri"/>
                <w:bCs/>
                <w:szCs w:val="20"/>
                <w:lang w:eastAsia="zh-CN"/>
              </w:rPr>
            </w:pPr>
            <w:r w:rsidRPr="00771144">
              <w:rPr>
                <w:rFonts w:cs="Calibri"/>
                <w:bCs/>
                <w:szCs w:val="20"/>
                <w:lang w:eastAsia="zh-CN"/>
              </w:rPr>
              <w:t>-$</w:t>
            </w:r>
            <w:r w:rsidR="003A37B7">
              <w:rPr>
                <w:rFonts w:cs="Calibri"/>
                <w:bCs/>
                <w:noProof/>
                <w:color w:val="000000"/>
                <w:szCs w:val="20"/>
                <w:highlight w:val="black"/>
                <w:lang w:eastAsia="zh-CN"/>
              </w:rPr>
              <w:t>'''''''''''''''''''''''''''</w:t>
            </w:r>
            <w:r w:rsidR="00D61F11">
              <w:rPr>
                <w:vertAlign w:val="superscript"/>
              </w:rPr>
              <w:t>3</w:t>
            </w:r>
          </w:p>
        </w:tc>
        <w:tc>
          <w:tcPr>
            <w:tcW w:w="596" w:type="pct"/>
            <w:shd w:val="clear" w:color="auto" w:fill="auto"/>
            <w:vAlign w:val="center"/>
          </w:tcPr>
          <w:p w14:paraId="64C32B1F" w14:textId="77777777" w:rsidR="00D05CAE" w:rsidRPr="00771144" w:rsidRDefault="00D05CAE" w:rsidP="00D05CAE">
            <w:pPr>
              <w:pStyle w:val="Tabletext"/>
              <w:keepNext/>
              <w:keepLines/>
              <w:jc w:val="center"/>
              <w:rPr>
                <w:rFonts w:cs="Calibri"/>
                <w:bCs/>
                <w:szCs w:val="20"/>
                <w:lang w:eastAsia="zh-CN"/>
              </w:rPr>
            </w:pPr>
            <w:r w:rsidRPr="00771144">
              <w:rPr>
                <w:rFonts w:cs="Calibri"/>
                <w:bCs/>
                <w:szCs w:val="20"/>
                <w:lang w:eastAsia="zh-CN"/>
              </w:rPr>
              <w:t>-$</w:t>
            </w:r>
            <w:r w:rsidR="003A37B7">
              <w:rPr>
                <w:rFonts w:cs="Calibri"/>
                <w:bCs/>
                <w:noProof/>
                <w:color w:val="000000"/>
                <w:szCs w:val="20"/>
                <w:highlight w:val="black"/>
                <w:lang w:eastAsia="zh-CN"/>
              </w:rPr>
              <w:t>''''''''''''''''''''''''''</w:t>
            </w:r>
            <w:r w:rsidR="00D61F11">
              <w:rPr>
                <w:vertAlign w:val="superscript"/>
              </w:rPr>
              <w:t>3</w:t>
            </w:r>
          </w:p>
        </w:tc>
        <w:tc>
          <w:tcPr>
            <w:tcW w:w="596" w:type="pct"/>
            <w:shd w:val="clear" w:color="auto" w:fill="auto"/>
            <w:vAlign w:val="center"/>
          </w:tcPr>
          <w:p w14:paraId="2E5A2E83" w14:textId="77777777" w:rsidR="00D05CAE" w:rsidRPr="00771144" w:rsidRDefault="00D05CAE" w:rsidP="00D05CAE">
            <w:pPr>
              <w:pStyle w:val="Tabletext"/>
              <w:keepNext/>
              <w:keepLines/>
              <w:jc w:val="center"/>
              <w:rPr>
                <w:rFonts w:cs="Calibri"/>
                <w:bCs/>
                <w:szCs w:val="20"/>
                <w:lang w:eastAsia="zh-CN"/>
              </w:rPr>
            </w:pPr>
            <w:r w:rsidRPr="00771144">
              <w:rPr>
                <w:rFonts w:cs="Calibri"/>
                <w:bCs/>
                <w:szCs w:val="20"/>
                <w:lang w:eastAsia="zh-CN"/>
              </w:rPr>
              <w:t>-$</w:t>
            </w:r>
            <w:r w:rsidR="003A37B7">
              <w:rPr>
                <w:rFonts w:cs="Calibri"/>
                <w:bCs/>
                <w:noProof/>
                <w:color w:val="000000"/>
                <w:szCs w:val="20"/>
                <w:highlight w:val="black"/>
                <w:lang w:eastAsia="zh-CN"/>
              </w:rPr>
              <w:t>''''''''''''''''''''''''''</w:t>
            </w:r>
            <w:r w:rsidR="00D61F11">
              <w:rPr>
                <w:vertAlign w:val="superscript"/>
              </w:rPr>
              <w:t>3</w:t>
            </w:r>
          </w:p>
        </w:tc>
        <w:tc>
          <w:tcPr>
            <w:tcW w:w="596" w:type="pct"/>
            <w:shd w:val="clear" w:color="auto" w:fill="auto"/>
            <w:vAlign w:val="center"/>
          </w:tcPr>
          <w:p w14:paraId="54B720CB" w14:textId="77777777" w:rsidR="00D05CAE" w:rsidRPr="00771144" w:rsidRDefault="00D05CAE" w:rsidP="00D05CAE">
            <w:pPr>
              <w:pStyle w:val="Tabletext"/>
              <w:keepNext/>
              <w:keepLines/>
              <w:jc w:val="center"/>
              <w:rPr>
                <w:rFonts w:cs="Calibri"/>
                <w:bCs/>
                <w:szCs w:val="20"/>
                <w:lang w:eastAsia="zh-CN"/>
              </w:rPr>
            </w:pPr>
            <w:r w:rsidRPr="00771144">
              <w:rPr>
                <w:rFonts w:cs="Calibri"/>
                <w:bCs/>
                <w:szCs w:val="20"/>
                <w:lang w:eastAsia="zh-CN"/>
              </w:rPr>
              <w:t>-$</w:t>
            </w:r>
            <w:r w:rsidR="003A37B7">
              <w:rPr>
                <w:rFonts w:cs="Calibri"/>
                <w:bCs/>
                <w:noProof/>
                <w:color w:val="000000"/>
                <w:szCs w:val="20"/>
                <w:highlight w:val="black"/>
                <w:lang w:eastAsia="zh-CN"/>
              </w:rPr>
              <w:t>''''''''''''''''''''''''</w:t>
            </w:r>
            <w:r w:rsidR="00D61F11">
              <w:rPr>
                <w:vertAlign w:val="superscript"/>
              </w:rPr>
              <w:t>3</w:t>
            </w:r>
          </w:p>
        </w:tc>
        <w:tc>
          <w:tcPr>
            <w:tcW w:w="596" w:type="pct"/>
            <w:shd w:val="clear" w:color="auto" w:fill="auto"/>
            <w:vAlign w:val="center"/>
          </w:tcPr>
          <w:p w14:paraId="1071F759" w14:textId="77777777" w:rsidR="00D05CAE" w:rsidRPr="00771144" w:rsidRDefault="00D05CAE" w:rsidP="00D05CAE">
            <w:pPr>
              <w:pStyle w:val="Tabletext"/>
              <w:keepNext/>
              <w:keepLines/>
              <w:jc w:val="center"/>
              <w:rPr>
                <w:rFonts w:cs="Calibri"/>
                <w:bCs/>
                <w:szCs w:val="20"/>
                <w:lang w:eastAsia="zh-CN"/>
              </w:rPr>
            </w:pPr>
            <w:r w:rsidRPr="00771144">
              <w:rPr>
                <w:rFonts w:cs="Calibri"/>
                <w:bCs/>
                <w:szCs w:val="20"/>
                <w:lang w:eastAsia="zh-CN"/>
              </w:rPr>
              <w:t>-$</w:t>
            </w:r>
            <w:r w:rsidR="003A37B7">
              <w:rPr>
                <w:rFonts w:cs="Calibri"/>
                <w:bCs/>
                <w:noProof/>
                <w:color w:val="000000"/>
                <w:szCs w:val="20"/>
                <w:highlight w:val="black"/>
                <w:lang w:eastAsia="zh-CN"/>
              </w:rPr>
              <w:t>'''''''''''''''''''''''''''</w:t>
            </w:r>
            <w:r w:rsidR="00D61F11">
              <w:rPr>
                <w:vertAlign w:val="superscript"/>
              </w:rPr>
              <w:t>3</w:t>
            </w:r>
          </w:p>
        </w:tc>
        <w:tc>
          <w:tcPr>
            <w:tcW w:w="595" w:type="pct"/>
            <w:shd w:val="clear" w:color="auto" w:fill="auto"/>
            <w:vAlign w:val="center"/>
          </w:tcPr>
          <w:p w14:paraId="7F2ABE83" w14:textId="77777777" w:rsidR="00D05CAE" w:rsidRPr="00771144" w:rsidRDefault="00D05CAE" w:rsidP="00D05CAE">
            <w:pPr>
              <w:pStyle w:val="Tabletext"/>
              <w:keepNext/>
              <w:keepLines/>
              <w:jc w:val="center"/>
              <w:rPr>
                <w:rFonts w:cs="Calibri"/>
                <w:bCs/>
                <w:szCs w:val="20"/>
                <w:lang w:eastAsia="zh-CN"/>
              </w:rPr>
            </w:pPr>
            <w:r w:rsidRPr="00771144">
              <w:rPr>
                <w:rFonts w:cs="Calibri"/>
                <w:bCs/>
                <w:szCs w:val="20"/>
                <w:lang w:eastAsia="zh-CN"/>
              </w:rPr>
              <w:t>-$</w:t>
            </w:r>
            <w:r w:rsidR="003A37B7">
              <w:rPr>
                <w:rFonts w:cs="Calibri"/>
                <w:bCs/>
                <w:noProof/>
                <w:color w:val="000000"/>
                <w:szCs w:val="20"/>
                <w:highlight w:val="black"/>
                <w:lang w:eastAsia="zh-CN"/>
              </w:rPr>
              <w:t>''''''''''''''''''''''</w:t>
            </w:r>
            <w:r w:rsidR="0052438A">
              <w:rPr>
                <w:vertAlign w:val="superscript"/>
              </w:rPr>
              <w:t>9</w:t>
            </w:r>
          </w:p>
        </w:tc>
      </w:tr>
      <w:tr w:rsidR="00D05CAE" w:rsidRPr="003639A6" w14:paraId="34CD1D8D" w14:textId="77777777" w:rsidTr="00D61F11">
        <w:trPr>
          <w:trHeight w:val="226"/>
        </w:trPr>
        <w:tc>
          <w:tcPr>
            <w:tcW w:w="1424" w:type="pct"/>
            <w:shd w:val="clear" w:color="auto" w:fill="auto"/>
            <w:vAlign w:val="center"/>
          </w:tcPr>
          <w:p w14:paraId="740C27BC" w14:textId="77777777" w:rsidR="00D05CAE" w:rsidRPr="00090CCF" w:rsidRDefault="00D05CAE" w:rsidP="00D05CAE">
            <w:pPr>
              <w:pStyle w:val="Tabletext"/>
              <w:keepNext/>
              <w:keepLines/>
              <w:rPr>
                <w:b/>
                <w:sz w:val="19"/>
                <w:szCs w:val="19"/>
              </w:rPr>
            </w:pPr>
            <w:r w:rsidRPr="00773C6D">
              <w:t>Net PBS/RPBS cost Pop 2</w:t>
            </w:r>
          </w:p>
        </w:tc>
        <w:tc>
          <w:tcPr>
            <w:tcW w:w="595" w:type="pct"/>
            <w:shd w:val="clear" w:color="auto" w:fill="auto"/>
          </w:tcPr>
          <w:p w14:paraId="115D3A5B" w14:textId="77777777" w:rsidR="00D05CAE" w:rsidRPr="00127300" w:rsidRDefault="00D05CAE" w:rsidP="00D05CAE">
            <w:pPr>
              <w:pStyle w:val="Tabletext"/>
              <w:keepNext/>
              <w:keepLines/>
              <w:jc w:val="center"/>
              <w:rPr>
                <w:rFonts w:cs="Calibri"/>
                <w:b/>
                <w:bCs/>
                <w:szCs w:val="20"/>
                <w:lang w:eastAsia="zh-CN"/>
              </w:rPr>
            </w:pPr>
            <w:r w:rsidRPr="0063167A">
              <w:t>$</w:t>
            </w:r>
            <w:r w:rsidR="003A37B7">
              <w:rPr>
                <w:noProof/>
                <w:color w:val="000000"/>
                <w:highlight w:val="black"/>
              </w:rPr>
              <w:t>'''''''''''''''''''''''''</w:t>
            </w:r>
            <w:r w:rsidR="00FF6627">
              <w:rPr>
                <w:vertAlign w:val="superscript"/>
              </w:rPr>
              <w:t>9</w:t>
            </w:r>
          </w:p>
        </w:tc>
        <w:tc>
          <w:tcPr>
            <w:tcW w:w="596" w:type="pct"/>
            <w:shd w:val="clear" w:color="auto" w:fill="auto"/>
          </w:tcPr>
          <w:p w14:paraId="40946DA1" w14:textId="77777777" w:rsidR="00D05CAE" w:rsidRPr="00127300" w:rsidRDefault="00D05CAE" w:rsidP="00D05CAE">
            <w:pPr>
              <w:pStyle w:val="Tabletext"/>
              <w:keepNext/>
              <w:keepLines/>
              <w:jc w:val="center"/>
              <w:rPr>
                <w:rFonts w:cs="Calibri"/>
                <w:b/>
                <w:bCs/>
                <w:szCs w:val="20"/>
                <w:lang w:eastAsia="zh-CN"/>
              </w:rPr>
            </w:pPr>
            <w:r w:rsidRPr="0063167A">
              <w:t>$</w:t>
            </w:r>
            <w:r w:rsidR="003A37B7">
              <w:rPr>
                <w:noProof/>
                <w:color w:val="000000"/>
                <w:highlight w:val="black"/>
              </w:rPr>
              <w:t>''''''''''''''''''''''''</w:t>
            </w:r>
            <w:r w:rsidR="00FF6627">
              <w:rPr>
                <w:vertAlign w:val="superscript"/>
              </w:rPr>
              <w:t>9</w:t>
            </w:r>
          </w:p>
        </w:tc>
        <w:tc>
          <w:tcPr>
            <w:tcW w:w="596" w:type="pct"/>
            <w:shd w:val="clear" w:color="auto" w:fill="auto"/>
          </w:tcPr>
          <w:p w14:paraId="193E98A6" w14:textId="77777777" w:rsidR="00D05CAE" w:rsidRPr="00127300" w:rsidRDefault="00D05CAE" w:rsidP="00D05CAE">
            <w:pPr>
              <w:pStyle w:val="Tabletext"/>
              <w:keepNext/>
              <w:keepLines/>
              <w:jc w:val="center"/>
              <w:rPr>
                <w:rFonts w:cs="Calibri"/>
                <w:b/>
                <w:bCs/>
                <w:szCs w:val="20"/>
                <w:lang w:eastAsia="zh-CN"/>
              </w:rPr>
            </w:pPr>
            <w:r w:rsidRPr="0063167A">
              <w:t>$</w:t>
            </w:r>
            <w:r w:rsidR="003A37B7">
              <w:rPr>
                <w:noProof/>
                <w:color w:val="000000"/>
                <w:highlight w:val="black"/>
              </w:rPr>
              <w:t>''''''''''''''''''''''</w:t>
            </w:r>
            <w:r w:rsidR="00FF6627">
              <w:rPr>
                <w:vertAlign w:val="superscript"/>
              </w:rPr>
              <w:t>9</w:t>
            </w:r>
          </w:p>
        </w:tc>
        <w:tc>
          <w:tcPr>
            <w:tcW w:w="596" w:type="pct"/>
            <w:shd w:val="clear" w:color="auto" w:fill="auto"/>
          </w:tcPr>
          <w:p w14:paraId="1172E602" w14:textId="77777777" w:rsidR="00D05CAE" w:rsidRPr="00127300" w:rsidRDefault="00D05CAE" w:rsidP="00D05CAE">
            <w:pPr>
              <w:pStyle w:val="Tabletext"/>
              <w:keepNext/>
              <w:keepLines/>
              <w:jc w:val="center"/>
              <w:rPr>
                <w:rFonts w:cs="Calibri"/>
                <w:b/>
                <w:bCs/>
                <w:szCs w:val="20"/>
                <w:lang w:eastAsia="zh-CN"/>
              </w:rPr>
            </w:pPr>
            <w:r w:rsidRPr="0063167A">
              <w:t>$</w:t>
            </w:r>
            <w:r w:rsidR="003A37B7">
              <w:rPr>
                <w:noProof/>
                <w:color w:val="000000"/>
                <w:highlight w:val="black"/>
              </w:rPr>
              <w:t>''''''''''''''''''''''''''</w:t>
            </w:r>
            <w:r w:rsidR="00FF6627">
              <w:rPr>
                <w:vertAlign w:val="superscript"/>
              </w:rPr>
              <w:t>9</w:t>
            </w:r>
          </w:p>
        </w:tc>
        <w:tc>
          <w:tcPr>
            <w:tcW w:w="596" w:type="pct"/>
            <w:shd w:val="clear" w:color="auto" w:fill="auto"/>
          </w:tcPr>
          <w:p w14:paraId="7FEE9C0F" w14:textId="77777777" w:rsidR="00D05CAE" w:rsidRPr="00127300" w:rsidRDefault="00D05CAE" w:rsidP="00D05CAE">
            <w:pPr>
              <w:pStyle w:val="Tabletext"/>
              <w:keepNext/>
              <w:keepLines/>
              <w:jc w:val="center"/>
              <w:rPr>
                <w:rFonts w:cs="Calibri"/>
                <w:b/>
                <w:bCs/>
                <w:szCs w:val="20"/>
                <w:lang w:eastAsia="zh-CN"/>
              </w:rPr>
            </w:pPr>
            <w:r w:rsidRPr="0063167A">
              <w:t>$</w:t>
            </w:r>
            <w:r w:rsidR="003A37B7">
              <w:rPr>
                <w:noProof/>
                <w:color w:val="000000"/>
                <w:highlight w:val="black"/>
              </w:rPr>
              <w:t>'''''''''''''''''''''''''</w:t>
            </w:r>
            <w:r w:rsidR="00FF6627">
              <w:rPr>
                <w:vertAlign w:val="superscript"/>
              </w:rPr>
              <w:t>9</w:t>
            </w:r>
          </w:p>
        </w:tc>
        <w:tc>
          <w:tcPr>
            <w:tcW w:w="595" w:type="pct"/>
            <w:shd w:val="clear" w:color="auto" w:fill="auto"/>
          </w:tcPr>
          <w:p w14:paraId="7FE5FAA2" w14:textId="77777777" w:rsidR="00D05CAE" w:rsidRPr="00127300" w:rsidRDefault="00D05CAE" w:rsidP="00D05CAE">
            <w:pPr>
              <w:pStyle w:val="Tabletext"/>
              <w:keepNext/>
              <w:keepLines/>
              <w:jc w:val="center"/>
              <w:rPr>
                <w:rFonts w:cs="Calibri"/>
                <w:b/>
                <w:bCs/>
                <w:szCs w:val="20"/>
                <w:lang w:eastAsia="zh-CN"/>
              </w:rPr>
            </w:pPr>
            <w:r w:rsidRPr="0063167A">
              <w:t>$</w:t>
            </w:r>
            <w:r w:rsidR="003A37B7">
              <w:rPr>
                <w:noProof/>
                <w:color w:val="000000"/>
                <w:highlight w:val="black"/>
              </w:rPr>
              <w:t>'''''''''''''''''''''''</w:t>
            </w:r>
            <w:r w:rsidR="00FF6627">
              <w:rPr>
                <w:vertAlign w:val="superscript"/>
              </w:rPr>
              <w:t>9</w:t>
            </w:r>
          </w:p>
        </w:tc>
      </w:tr>
      <w:tr w:rsidR="00D05CAE" w:rsidRPr="003639A6" w14:paraId="18E49EC4" w14:textId="77777777" w:rsidTr="00D61F11">
        <w:trPr>
          <w:trHeight w:val="233"/>
        </w:trPr>
        <w:tc>
          <w:tcPr>
            <w:tcW w:w="1424" w:type="pct"/>
            <w:shd w:val="clear" w:color="auto" w:fill="auto"/>
            <w:vAlign w:val="center"/>
          </w:tcPr>
          <w:p w14:paraId="3BF37813" w14:textId="77777777" w:rsidR="00D05CAE" w:rsidRPr="00090CCF" w:rsidRDefault="00D05CAE" w:rsidP="00D05CAE">
            <w:pPr>
              <w:pStyle w:val="Tabletext"/>
              <w:keepNext/>
              <w:keepLines/>
              <w:rPr>
                <w:b/>
                <w:sz w:val="19"/>
                <w:szCs w:val="19"/>
              </w:rPr>
            </w:pPr>
            <w:r w:rsidRPr="00773C6D">
              <w:t>Net PBS/RPBS cost Pop 3</w:t>
            </w:r>
          </w:p>
        </w:tc>
        <w:tc>
          <w:tcPr>
            <w:tcW w:w="595" w:type="pct"/>
            <w:shd w:val="clear" w:color="auto" w:fill="auto"/>
          </w:tcPr>
          <w:p w14:paraId="0652402E" w14:textId="77777777" w:rsidR="00D05CAE" w:rsidRPr="00127300" w:rsidRDefault="00D05CAE" w:rsidP="00D05CAE">
            <w:pPr>
              <w:pStyle w:val="Tabletext"/>
              <w:keepNext/>
              <w:keepLines/>
              <w:jc w:val="center"/>
              <w:rPr>
                <w:rFonts w:cs="Calibri"/>
                <w:b/>
                <w:bCs/>
                <w:szCs w:val="20"/>
                <w:lang w:eastAsia="zh-CN"/>
              </w:rPr>
            </w:pPr>
            <w:r w:rsidRPr="0063167A">
              <w:t>$</w:t>
            </w:r>
            <w:r w:rsidR="003A37B7">
              <w:rPr>
                <w:noProof/>
                <w:color w:val="000000"/>
                <w:highlight w:val="black"/>
              </w:rPr>
              <w:t>''''''''''''''''''''''''</w:t>
            </w:r>
            <w:r w:rsidR="001A0EEA">
              <w:rPr>
                <w:vertAlign w:val="superscript"/>
              </w:rPr>
              <w:t>5</w:t>
            </w:r>
          </w:p>
        </w:tc>
        <w:tc>
          <w:tcPr>
            <w:tcW w:w="596" w:type="pct"/>
            <w:shd w:val="clear" w:color="auto" w:fill="auto"/>
          </w:tcPr>
          <w:p w14:paraId="1C74DEEF" w14:textId="77777777" w:rsidR="00D05CAE" w:rsidRPr="00127300" w:rsidRDefault="00D05CAE" w:rsidP="00D05CAE">
            <w:pPr>
              <w:pStyle w:val="Tabletext"/>
              <w:keepNext/>
              <w:keepLines/>
              <w:jc w:val="center"/>
              <w:rPr>
                <w:rFonts w:cs="Calibri"/>
                <w:b/>
                <w:bCs/>
                <w:szCs w:val="20"/>
                <w:lang w:eastAsia="zh-CN"/>
              </w:rPr>
            </w:pPr>
            <w:r w:rsidRPr="0063167A">
              <w:t>$</w:t>
            </w:r>
            <w:r w:rsidR="003A37B7">
              <w:rPr>
                <w:noProof/>
                <w:color w:val="000000"/>
                <w:highlight w:val="black"/>
              </w:rPr>
              <w:t>''''''''''''''''''''''''''''</w:t>
            </w:r>
            <w:r w:rsidR="000C2F7F">
              <w:rPr>
                <w:vertAlign w:val="superscript"/>
              </w:rPr>
              <w:t>6</w:t>
            </w:r>
          </w:p>
        </w:tc>
        <w:tc>
          <w:tcPr>
            <w:tcW w:w="596" w:type="pct"/>
            <w:shd w:val="clear" w:color="auto" w:fill="auto"/>
          </w:tcPr>
          <w:p w14:paraId="4A992F78" w14:textId="77777777" w:rsidR="00D05CAE" w:rsidRPr="00127300" w:rsidRDefault="00D05CAE" w:rsidP="00D05CAE">
            <w:pPr>
              <w:pStyle w:val="Tabletext"/>
              <w:keepNext/>
              <w:keepLines/>
              <w:jc w:val="center"/>
              <w:rPr>
                <w:rFonts w:cs="Calibri"/>
                <w:b/>
                <w:bCs/>
                <w:szCs w:val="20"/>
                <w:lang w:eastAsia="zh-CN"/>
              </w:rPr>
            </w:pPr>
            <w:r w:rsidRPr="0063167A">
              <w:t>$</w:t>
            </w:r>
            <w:r w:rsidR="003A37B7">
              <w:rPr>
                <w:noProof/>
                <w:color w:val="000000"/>
                <w:highlight w:val="black"/>
              </w:rPr>
              <w:t>''''''''''''''''''''''''''</w:t>
            </w:r>
            <w:r w:rsidR="000C2F7F">
              <w:rPr>
                <w:vertAlign w:val="superscript"/>
              </w:rPr>
              <w:t>6</w:t>
            </w:r>
          </w:p>
        </w:tc>
        <w:tc>
          <w:tcPr>
            <w:tcW w:w="596" w:type="pct"/>
            <w:shd w:val="clear" w:color="auto" w:fill="auto"/>
          </w:tcPr>
          <w:p w14:paraId="71BEF4B8" w14:textId="77777777" w:rsidR="00D05CAE" w:rsidRPr="00127300" w:rsidRDefault="00D05CAE" w:rsidP="00D05CAE">
            <w:pPr>
              <w:pStyle w:val="Tabletext"/>
              <w:keepNext/>
              <w:keepLines/>
              <w:jc w:val="center"/>
              <w:rPr>
                <w:rFonts w:cs="Calibri"/>
                <w:b/>
                <w:bCs/>
                <w:szCs w:val="20"/>
                <w:lang w:eastAsia="zh-CN"/>
              </w:rPr>
            </w:pPr>
            <w:r w:rsidRPr="0063167A">
              <w:t>$</w:t>
            </w:r>
            <w:r w:rsidR="003A37B7">
              <w:rPr>
                <w:noProof/>
                <w:color w:val="000000"/>
                <w:highlight w:val="black"/>
              </w:rPr>
              <w:t>''''''''''''''''''''''''''''</w:t>
            </w:r>
            <w:r w:rsidR="000C2F7F">
              <w:rPr>
                <w:vertAlign w:val="superscript"/>
              </w:rPr>
              <w:t>7</w:t>
            </w:r>
          </w:p>
        </w:tc>
        <w:tc>
          <w:tcPr>
            <w:tcW w:w="596" w:type="pct"/>
            <w:shd w:val="clear" w:color="auto" w:fill="auto"/>
          </w:tcPr>
          <w:p w14:paraId="45BF26C9" w14:textId="77777777" w:rsidR="00D05CAE" w:rsidRPr="00127300" w:rsidRDefault="00D05CAE" w:rsidP="00D05CAE">
            <w:pPr>
              <w:pStyle w:val="Tabletext"/>
              <w:keepNext/>
              <w:keepLines/>
              <w:jc w:val="center"/>
              <w:rPr>
                <w:rFonts w:cs="Calibri"/>
                <w:b/>
                <w:bCs/>
                <w:szCs w:val="20"/>
                <w:lang w:eastAsia="zh-CN"/>
              </w:rPr>
            </w:pPr>
            <w:r w:rsidRPr="0063167A">
              <w:t>$</w:t>
            </w:r>
            <w:r w:rsidR="003A37B7">
              <w:rPr>
                <w:noProof/>
                <w:color w:val="000000"/>
                <w:highlight w:val="black"/>
              </w:rPr>
              <w:t>''''''''''''''''''''''''</w:t>
            </w:r>
            <w:r w:rsidR="000B24E5">
              <w:rPr>
                <w:vertAlign w:val="superscript"/>
              </w:rPr>
              <w:t>8</w:t>
            </w:r>
          </w:p>
        </w:tc>
        <w:tc>
          <w:tcPr>
            <w:tcW w:w="595" w:type="pct"/>
            <w:shd w:val="clear" w:color="auto" w:fill="auto"/>
          </w:tcPr>
          <w:p w14:paraId="513FD53E" w14:textId="77777777" w:rsidR="00D05CAE" w:rsidRPr="00127300" w:rsidRDefault="00D05CAE" w:rsidP="00D05CAE">
            <w:pPr>
              <w:pStyle w:val="Tabletext"/>
              <w:keepNext/>
              <w:keepLines/>
              <w:jc w:val="center"/>
              <w:rPr>
                <w:rFonts w:cs="Calibri"/>
                <w:b/>
                <w:bCs/>
                <w:szCs w:val="20"/>
                <w:lang w:eastAsia="zh-CN"/>
              </w:rPr>
            </w:pPr>
            <w:r w:rsidRPr="0063167A">
              <w:t>$</w:t>
            </w:r>
            <w:r w:rsidR="003A37B7">
              <w:rPr>
                <w:noProof/>
                <w:color w:val="000000"/>
                <w:highlight w:val="black"/>
              </w:rPr>
              <w:t>''''''''''''''''''''''''''''</w:t>
            </w:r>
            <w:r w:rsidR="000B24E5">
              <w:rPr>
                <w:vertAlign w:val="superscript"/>
              </w:rPr>
              <w:t>8</w:t>
            </w:r>
          </w:p>
        </w:tc>
      </w:tr>
      <w:tr w:rsidR="00D05CAE" w:rsidRPr="003639A6" w14:paraId="38588A05" w14:textId="77777777" w:rsidTr="00D61F11">
        <w:trPr>
          <w:trHeight w:val="226"/>
        </w:trPr>
        <w:tc>
          <w:tcPr>
            <w:tcW w:w="1424" w:type="pct"/>
            <w:shd w:val="clear" w:color="auto" w:fill="auto"/>
            <w:vAlign w:val="center"/>
          </w:tcPr>
          <w:p w14:paraId="15AB869E" w14:textId="77777777" w:rsidR="00D05CAE" w:rsidRPr="00090CCF" w:rsidRDefault="00D05CAE" w:rsidP="00D05CAE">
            <w:pPr>
              <w:pStyle w:val="Tabletext"/>
              <w:keepNext/>
              <w:keepLines/>
              <w:rPr>
                <w:b/>
                <w:sz w:val="19"/>
                <w:szCs w:val="19"/>
              </w:rPr>
            </w:pPr>
            <w:r w:rsidRPr="00090CCF">
              <w:rPr>
                <w:b/>
                <w:sz w:val="19"/>
                <w:szCs w:val="19"/>
              </w:rPr>
              <w:t>Net cost to PBS/RPBS</w:t>
            </w:r>
          </w:p>
        </w:tc>
        <w:tc>
          <w:tcPr>
            <w:tcW w:w="595" w:type="pct"/>
            <w:shd w:val="clear" w:color="auto" w:fill="auto"/>
            <w:vAlign w:val="center"/>
          </w:tcPr>
          <w:p w14:paraId="705824D3" w14:textId="77777777" w:rsidR="00D05CAE" w:rsidRPr="003639A6" w:rsidRDefault="00D05CAE" w:rsidP="00D05CAE">
            <w:pPr>
              <w:pStyle w:val="Tabletext"/>
              <w:keepNext/>
              <w:keepLines/>
              <w:jc w:val="center"/>
              <w:rPr>
                <w:bCs/>
                <w:color w:val="000000"/>
              </w:rPr>
            </w:pPr>
            <w:r w:rsidRPr="00127300">
              <w:rPr>
                <w:rFonts w:cs="Calibri"/>
                <w:b/>
                <w:bCs/>
                <w:szCs w:val="20"/>
                <w:lang w:eastAsia="zh-CN"/>
              </w:rPr>
              <w:t>$</w:t>
            </w:r>
            <w:r w:rsidR="003A37B7">
              <w:rPr>
                <w:rFonts w:cs="Calibri"/>
                <w:b/>
                <w:bCs/>
                <w:noProof/>
                <w:color w:val="000000"/>
                <w:szCs w:val="20"/>
                <w:highlight w:val="black"/>
                <w:lang w:eastAsia="zh-CN"/>
              </w:rPr>
              <w:t>'''''''''''''''''''''</w:t>
            </w:r>
            <w:r w:rsidR="00930A64">
              <w:rPr>
                <w:vertAlign w:val="superscript"/>
              </w:rPr>
              <w:t>4</w:t>
            </w:r>
          </w:p>
        </w:tc>
        <w:tc>
          <w:tcPr>
            <w:tcW w:w="596" w:type="pct"/>
            <w:shd w:val="clear" w:color="auto" w:fill="auto"/>
            <w:vAlign w:val="center"/>
          </w:tcPr>
          <w:p w14:paraId="0089B329" w14:textId="77777777" w:rsidR="00D05CAE" w:rsidRPr="003639A6" w:rsidRDefault="00D05CAE" w:rsidP="00D05CAE">
            <w:pPr>
              <w:pStyle w:val="Tabletext"/>
              <w:keepNext/>
              <w:keepLines/>
              <w:jc w:val="center"/>
              <w:rPr>
                <w:bCs/>
                <w:color w:val="000000"/>
              </w:rPr>
            </w:pPr>
            <w:r w:rsidRPr="00127300">
              <w:rPr>
                <w:rFonts w:cs="Calibri"/>
                <w:b/>
                <w:bCs/>
                <w:szCs w:val="20"/>
                <w:lang w:eastAsia="zh-CN"/>
              </w:rPr>
              <w:t>$</w:t>
            </w:r>
            <w:r w:rsidR="003A37B7">
              <w:rPr>
                <w:rFonts w:cs="Calibri"/>
                <w:b/>
                <w:bCs/>
                <w:noProof/>
                <w:color w:val="000000"/>
                <w:szCs w:val="20"/>
                <w:highlight w:val="black"/>
                <w:lang w:eastAsia="zh-CN"/>
              </w:rPr>
              <w:t>''''''''''''''''''''''</w:t>
            </w:r>
            <w:r w:rsidR="001A0EEA">
              <w:rPr>
                <w:vertAlign w:val="superscript"/>
              </w:rPr>
              <w:t>5</w:t>
            </w:r>
          </w:p>
        </w:tc>
        <w:tc>
          <w:tcPr>
            <w:tcW w:w="596" w:type="pct"/>
            <w:shd w:val="clear" w:color="auto" w:fill="auto"/>
            <w:vAlign w:val="center"/>
          </w:tcPr>
          <w:p w14:paraId="3DAACCCA" w14:textId="77777777" w:rsidR="00D05CAE" w:rsidRPr="003639A6" w:rsidRDefault="00D05CAE" w:rsidP="00D05CAE">
            <w:pPr>
              <w:pStyle w:val="Tabletext"/>
              <w:keepNext/>
              <w:keepLines/>
              <w:jc w:val="center"/>
              <w:rPr>
                <w:bCs/>
                <w:color w:val="000000"/>
              </w:rPr>
            </w:pPr>
            <w:r w:rsidRPr="00127300">
              <w:rPr>
                <w:rFonts w:cs="Calibri"/>
                <w:b/>
                <w:bCs/>
                <w:szCs w:val="20"/>
                <w:lang w:eastAsia="zh-CN"/>
              </w:rPr>
              <w:t>$</w:t>
            </w:r>
            <w:r w:rsidR="003A37B7">
              <w:rPr>
                <w:rFonts w:cs="Calibri"/>
                <w:b/>
                <w:bCs/>
                <w:noProof/>
                <w:color w:val="000000"/>
                <w:szCs w:val="20"/>
                <w:highlight w:val="black"/>
                <w:lang w:eastAsia="zh-CN"/>
              </w:rPr>
              <w:t>'''''''''''''''''''''</w:t>
            </w:r>
            <w:r w:rsidR="001A0EEA">
              <w:rPr>
                <w:vertAlign w:val="superscript"/>
              </w:rPr>
              <w:t>5</w:t>
            </w:r>
          </w:p>
        </w:tc>
        <w:tc>
          <w:tcPr>
            <w:tcW w:w="596" w:type="pct"/>
            <w:shd w:val="clear" w:color="auto" w:fill="auto"/>
            <w:vAlign w:val="center"/>
          </w:tcPr>
          <w:p w14:paraId="5C7F3142" w14:textId="77777777" w:rsidR="00D05CAE" w:rsidRPr="003639A6" w:rsidRDefault="00D05CAE" w:rsidP="00D05CAE">
            <w:pPr>
              <w:pStyle w:val="Tabletext"/>
              <w:keepNext/>
              <w:keepLines/>
              <w:jc w:val="center"/>
              <w:rPr>
                <w:bCs/>
                <w:color w:val="000000"/>
              </w:rPr>
            </w:pPr>
            <w:r w:rsidRPr="00127300">
              <w:rPr>
                <w:rFonts w:cs="Calibri"/>
                <w:b/>
                <w:bCs/>
                <w:szCs w:val="20"/>
                <w:lang w:eastAsia="zh-CN"/>
              </w:rPr>
              <w:t>$</w:t>
            </w:r>
            <w:r w:rsidR="003A37B7">
              <w:rPr>
                <w:rFonts w:cs="Calibri"/>
                <w:b/>
                <w:bCs/>
                <w:noProof/>
                <w:color w:val="000000"/>
                <w:szCs w:val="20"/>
                <w:highlight w:val="black"/>
                <w:lang w:eastAsia="zh-CN"/>
              </w:rPr>
              <w:t>'''''''''''''''''''''''</w:t>
            </w:r>
            <w:r w:rsidR="000C2F7F">
              <w:rPr>
                <w:vertAlign w:val="superscript"/>
              </w:rPr>
              <w:t>6</w:t>
            </w:r>
          </w:p>
        </w:tc>
        <w:tc>
          <w:tcPr>
            <w:tcW w:w="596" w:type="pct"/>
            <w:shd w:val="clear" w:color="auto" w:fill="auto"/>
            <w:vAlign w:val="center"/>
          </w:tcPr>
          <w:p w14:paraId="1691880C" w14:textId="77777777" w:rsidR="00D05CAE" w:rsidRPr="003639A6" w:rsidRDefault="00D05CAE" w:rsidP="00D05CAE">
            <w:pPr>
              <w:pStyle w:val="Tabletext"/>
              <w:keepNext/>
              <w:keepLines/>
              <w:jc w:val="center"/>
              <w:rPr>
                <w:bCs/>
                <w:color w:val="000000"/>
              </w:rPr>
            </w:pPr>
            <w:r w:rsidRPr="00127300">
              <w:rPr>
                <w:rFonts w:cs="Calibri"/>
                <w:b/>
                <w:bCs/>
                <w:szCs w:val="20"/>
                <w:lang w:eastAsia="zh-CN"/>
              </w:rPr>
              <w:t>$</w:t>
            </w:r>
            <w:r w:rsidR="003A37B7">
              <w:rPr>
                <w:rFonts w:cs="Calibri"/>
                <w:b/>
                <w:bCs/>
                <w:noProof/>
                <w:color w:val="000000"/>
                <w:szCs w:val="20"/>
                <w:highlight w:val="black"/>
                <w:lang w:eastAsia="zh-CN"/>
              </w:rPr>
              <w:t>''''''''''''''''''''''</w:t>
            </w:r>
            <w:r w:rsidR="000C2F7F">
              <w:rPr>
                <w:vertAlign w:val="superscript"/>
              </w:rPr>
              <w:t>7</w:t>
            </w:r>
          </w:p>
        </w:tc>
        <w:tc>
          <w:tcPr>
            <w:tcW w:w="595" w:type="pct"/>
            <w:shd w:val="clear" w:color="auto" w:fill="auto"/>
            <w:vAlign w:val="center"/>
          </w:tcPr>
          <w:p w14:paraId="681CEA61" w14:textId="77777777" w:rsidR="00D05CAE" w:rsidRPr="003639A6" w:rsidRDefault="00D05CAE" w:rsidP="00D05CAE">
            <w:pPr>
              <w:pStyle w:val="Tabletext"/>
              <w:keepNext/>
              <w:keepLines/>
              <w:jc w:val="center"/>
              <w:rPr>
                <w:bCs/>
                <w:color w:val="000000"/>
              </w:rPr>
            </w:pPr>
            <w:r w:rsidRPr="00127300">
              <w:rPr>
                <w:rFonts w:cs="Calibri"/>
                <w:b/>
                <w:bCs/>
                <w:szCs w:val="20"/>
                <w:lang w:eastAsia="zh-CN"/>
              </w:rPr>
              <w:t>$</w:t>
            </w:r>
            <w:r w:rsidR="003A37B7">
              <w:rPr>
                <w:rFonts w:cs="Calibri"/>
                <w:b/>
                <w:bCs/>
                <w:noProof/>
                <w:color w:val="000000"/>
                <w:szCs w:val="20"/>
                <w:highlight w:val="black"/>
                <w:lang w:eastAsia="zh-CN"/>
              </w:rPr>
              <w:t>''''''''''''''''''''''</w:t>
            </w:r>
            <w:r w:rsidR="000B24E5">
              <w:rPr>
                <w:vertAlign w:val="superscript"/>
              </w:rPr>
              <w:t>8</w:t>
            </w:r>
          </w:p>
        </w:tc>
      </w:tr>
      <w:tr w:rsidR="00D05CAE" w:rsidRPr="003639A6" w14:paraId="29C1139B" w14:textId="77777777" w:rsidTr="00D61F11">
        <w:trPr>
          <w:trHeight w:val="226"/>
        </w:trPr>
        <w:tc>
          <w:tcPr>
            <w:tcW w:w="1424" w:type="pct"/>
            <w:shd w:val="clear" w:color="auto" w:fill="auto"/>
            <w:vAlign w:val="center"/>
          </w:tcPr>
          <w:p w14:paraId="37B3A22E" w14:textId="77777777" w:rsidR="00D05CAE" w:rsidRPr="00D05CAE" w:rsidRDefault="00D05CAE" w:rsidP="00D05CAE">
            <w:pPr>
              <w:pStyle w:val="Tabletext"/>
              <w:keepNext/>
              <w:keepLines/>
              <w:rPr>
                <w:rFonts w:ascii="Times" w:hAnsi="Times"/>
                <w:vertAlign w:val="superscript"/>
              </w:rPr>
            </w:pPr>
            <w:r>
              <w:rPr>
                <w:sz w:val="19"/>
                <w:szCs w:val="19"/>
              </w:rPr>
              <w:t>Net cost to</w:t>
            </w:r>
            <w:r w:rsidRPr="003639A6">
              <w:rPr>
                <w:sz w:val="19"/>
                <w:szCs w:val="19"/>
              </w:rPr>
              <w:t xml:space="preserve"> MBS</w:t>
            </w:r>
            <w:r>
              <w:rPr>
                <w:sz w:val="19"/>
                <w:szCs w:val="19"/>
              </w:rPr>
              <w:t xml:space="preserve"> </w:t>
            </w:r>
            <w:r>
              <w:rPr>
                <w:sz w:val="19"/>
                <w:szCs w:val="19"/>
                <w:vertAlign w:val="superscript"/>
              </w:rPr>
              <w:t>d</w:t>
            </w:r>
          </w:p>
        </w:tc>
        <w:tc>
          <w:tcPr>
            <w:tcW w:w="595" w:type="pct"/>
            <w:vAlign w:val="center"/>
          </w:tcPr>
          <w:p w14:paraId="016199AE" w14:textId="77777777" w:rsidR="00D05CAE" w:rsidRPr="003639A6" w:rsidRDefault="00D05CAE" w:rsidP="00D05CAE">
            <w:pPr>
              <w:pStyle w:val="Tabletext"/>
              <w:keepNext/>
              <w:keepLines/>
              <w:jc w:val="center"/>
              <w:rPr>
                <w:bCs/>
                <w:color w:val="000000"/>
              </w:rPr>
            </w:pPr>
            <w:r w:rsidRPr="00556326">
              <w:t>$</w:t>
            </w:r>
            <w:r w:rsidR="003A37B7">
              <w:rPr>
                <w:noProof/>
                <w:color w:val="000000"/>
                <w:highlight w:val="black"/>
              </w:rPr>
              <w:t>''''''''''''</w:t>
            </w:r>
            <w:r w:rsidR="00FF6627">
              <w:rPr>
                <w:vertAlign w:val="superscript"/>
              </w:rPr>
              <w:t>9</w:t>
            </w:r>
          </w:p>
        </w:tc>
        <w:tc>
          <w:tcPr>
            <w:tcW w:w="596" w:type="pct"/>
            <w:vAlign w:val="center"/>
          </w:tcPr>
          <w:p w14:paraId="185148F5" w14:textId="77777777" w:rsidR="00D05CAE" w:rsidRPr="003639A6" w:rsidRDefault="00D05CAE" w:rsidP="00D05CAE">
            <w:pPr>
              <w:pStyle w:val="Tabletext"/>
              <w:keepNext/>
              <w:keepLines/>
              <w:jc w:val="center"/>
              <w:rPr>
                <w:bCs/>
                <w:color w:val="000000"/>
              </w:rPr>
            </w:pPr>
            <w:r w:rsidRPr="00556326">
              <w:t>$</w:t>
            </w:r>
            <w:r w:rsidR="003A37B7">
              <w:rPr>
                <w:noProof/>
                <w:color w:val="000000"/>
                <w:highlight w:val="black"/>
              </w:rPr>
              <w:t>''''''''''''''</w:t>
            </w:r>
            <w:r w:rsidR="00FF6627">
              <w:rPr>
                <w:vertAlign w:val="superscript"/>
              </w:rPr>
              <w:t>9</w:t>
            </w:r>
          </w:p>
        </w:tc>
        <w:tc>
          <w:tcPr>
            <w:tcW w:w="596" w:type="pct"/>
            <w:vAlign w:val="center"/>
          </w:tcPr>
          <w:p w14:paraId="0168A0F2" w14:textId="77777777" w:rsidR="00D05CAE" w:rsidRPr="003639A6" w:rsidRDefault="00D05CAE" w:rsidP="00D05CAE">
            <w:pPr>
              <w:pStyle w:val="Tabletext"/>
              <w:keepNext/>
              <w:keepLines/>
              <w:jc w:val="center"/>
              <w:rPr>
                <w:bCs/>
                <w:color w:val="000000"/>
              </w:rPr>
            </w:pPr>
            <w:r w:rsidRPr="00556326">
              <w:t>$</w:t>
            </w:r>
            <w:r w:rsidR="003A37B7">
              <w:rPr>
                <w:noProof/>
                <w:color w:val="000000"/>
                <w:highlight w:val="black"/>
              </w:rPr>
              <w:t>''''''''''''</w:t>
            </w:r>
            <w:r w:rsidR="00FF6627">
              <w:rPr>
                <w:vertAlign w:val="superscript"/>
              </w:rPr>
              <w:t>9</w:t>
            </w:r>
          </w:p>
        </w:tc>
        <w:tc>
          <w:tcPr>
            <w:tcW w:w="596" w:type="pct"/>
            <w:vAlign w:val="center"/>
          </w:tcPr>
          <w:p w14:paraId="25F31CE6" w14:textId="77777777" w:rsidR="00D05CAE" w:rsidRPr="003639A6" w:rsidRDefault="00D05CAE" w:rsidP="00D05CAE">
            <w:pPr>
              <w:pStyle w:val="Tabletext"/>
              <w:keepNext/>
              <w:keepLines/>
              <w:jc w:val="center"/>
              <w:rPr>
                <w:bCs/>
                <w:color w:val="000000"/>
              </w:rPr>
            </w:pPr>
            <w:r w:rsidRPr="00556326">
              <w:t>$</w:t>
            </w:r>
            <w:r w:rsidR="003A37B7">
              <w:rPr>
                <w:noProof/>
                <w:color w:val="000000"/>
                <w:highlight w:val="black"/>
              </w:rPr>
              <w:t>'''''''''''''</w:t>
            </w:r>
            <w:r w:rsidR="00FF6627">
              <w:rPr>
                <w:vertAlign w:val="superscript"/>
              </w:rPr>
              <w:t>9</w:t>
            </w:r>
          </w:p>
        </w:tc>
        <w:tc>
          <w:tcPr>
            <w:tcW w:w="596" w:type="pct"/>
            <w:vAlign w:val="center"/>
          </w:tcPr>
          <w:p w14:paraId="7AA86F7E" w14:textId="77777777" w:rsidR="00D05CAE" w:rsidRPr="003639A6" w:rsidRDefault="00D05CAE" w:rsidP="00D05CAE">
            <w:pPr>
              <w:pStyle w:val="Tabletext"/>
              <w:keepNext/>
              <w:keepLines/>
              <w:jc w:val="center"/>
              <w:rPr>
                <w:bCs/>
                <w:color w:val="000000"/>
              </w:rPr>
            </w:pPr>
            <w:r w:rsidRPr="00556326">
              <w:t>$</w:t>
            </w:r>
            <w:r w:rsidR="003A37B7">
              <w:rPr>
                <w:noProof/>
                <w:color w:val="000000"/>
                <w:highlight w:val="black"/>
              </w:rPr>
              <w:t>'''''''''''''''</w:t>
            </w:r>
            <w:r w:rsidR="00FF6627">
              <w:rPr>
                <w:vertAlign w:val="superscript"/>
              </w:rPr>
              <w:t>9</w:t>
            </w:r>
          </w:p>
        </w:tc>
        <w:tc>
          <w:tcPr>
            <w:tcW w:w="595" w:type="pct"/>
            <w:vAlign w:val="center"/>
          </w:tcPr>
          <w:p w14:paraId="2ACA30DB" w14:textId="77777777" w:rsidR="00D05CAE" w:rsidRPr="003639A6" w:rsidRDefault="00D05CAE" w:rsidP="00D05CAE">
            <w:pPr>
              <w:pStyle w:val="Tabletext"/>
              <w:keepNext/>
              <w:keepLines/>
              <w:jc w:val="center"/>
              <w:rPr>
                <w:bCs/>
                <w:color w:val="000000"/>
              </w:rPr>
            </w:pPr>
            <w:r w:rsidRPr="00556326">
              <w:t>$</w:t>
            </w:r>
            <w:r w:rsidR="003A37B7">
              <w:rPr>
                <w:noProof/>
                <w:color w:val="000000"/>
                <w:highlight w:val="black"/>
              </w:rPr>
              <w:t>''''''''''''''''''</w:t>
            </w:r>
            <w:r w:rsidR="00FF6627">
              <w:rPr>
                <w:vertAlign w:val="superscript"/>
              </w:rPr>
              <w:t>9</w:t>
            </w:r>
          </w:p>
        </w:tc>
      </w:tr>
      <w:tr w:rsidR="00D05CAE" w:rsidRPr="00872DB5" w14:paraId="3691178C" w14:textId="77777777" w:rsidTr="00D61F11">
        <w:trPr>
          <w:trHeight w:val="460"/>
        </w:trPr>
        <w:tc>
          <w:tcPr>
            <w:tcW w:w="1424" w:type="pct"/>
            <w:shd w:val="clear" w:color="auto" w:fill="auto"/>
            <w:vAlign w:val="center"/>
          </w:tcPr>
          <w:p w14:paraId="6F19F72D" w14:textId="77777777" w:rsidR="00D05CAE" w:rsidRPr="003639A6" w:rsidRDefault="00D05CAE" w:rsidP="00872DB5">
            <w:pPr>
              <w:pStyle w:val="Tabletext"/>
              <w:keepNext/>
              <w:keepLines/>
              <w:rPr>
                <w:sz w:val="19"/>
                <w:szCs w:val="19"/>
              </w:rPr>
            </w:pPr>
            <w:r>
              <w:rPr>
                <w:sz w:val="19"/>
                <w:szCs w:val="19"/>
              </w:rPr>
              <w:t>Net cost to PBS/RPBS/MBS budgets</w:t>
            </w:r>
          </w:p>
        </w:tc>
        <w:tc>
          <w:tcPr>
            <w:tcW w:w="595" w:type="pct"/>
            <w:shd w:val="clear" w:color="auto" w:fill="auto"/>
            <w:vAlign w:val="center"/>
          </w:tcPr>
          <w:p w14:paraId="522C5954" w14:textId="77777777" w:rsidR="00872DB5" w:rsidRPr="00872DB5" w:rsidRDefault="00872DB5" w:rsidP="00872DB5">
            <w:pPr>
              <w:pStyle w:val="Tabletext"/>
              <w:keepNext/>
              <w:keepLines/>
              <w:jc w:val="center"/>
              <w:rPr>
                <w:rFonts w:cs="Calibri"/>
                <w:b/>
                <w:bCs/>
                <w:szCs w:val="20"/>
                <w:lang w:eastAsia="zh-CN"/>
              </w:rPr>
            </w:pPr>
            <w:r w:rsidRPr="00872DB5">
              <w:rPr>
                <w:rFonts w:cs="Calibri"/>
                <w:b/>
                <w:bCs/>
                <w:szCs w:val="20"/>
                <w:lang w:eastAsia="zh-CN"/>
              </w:rPr>
              <w:t>$</w:t>
            </w:r>
            <w:r w:rsidR="003A37B7">
              <w:rPr>
                <w:rFonts w:cs="Calibri"/>
                <w:b/>
                <w:bCs/>
                <w:noProof/>
                <w:color w:val="000000"/>
                <w:szCs w:val="20"/>
                <w:highlight w:val="black"/>
                <w:lang w:eastAsia="zh-CN"/>
              </w:rPr>
              <w:t>''''''''''''''''''''''</w:t>
            </w:r>
            <w:r w:rsidR="00930A64">
              <w:rPr>
                <w:vertAlign w:val="superscript"/>
              </w:rPr>
              <w:t>4</w:t>
            </w:r>
          </w:p>
          <w:p w14:paraId="0A6BDF95" w14:textId="77777777" w:rsidR="00D05CAE" w:rsidRPr="00872DB5" w:rsidRDefault="00D05CAE" w:rsidP="00872DB5">
            <w:pPr>
              <w:pStyle w:val="Tabletext"/>
              <w:keepNext/>
              <w:keepLines/>
              <w:jc w:val="center"/>
              <w:rPr>
                <w:rFonts w:cs="Calibri"/>
                <w:b/>
                <w:bCs/>
                <w:szCs w:val="20"/>
                <w:lang w:eastAsia="zh-CN"/>
              </w:rPr>
            </w:pPr>
          </w:p>
        </w:tc>
        <w:tc>
          <w:tcPr>
            <w:tcW w:w="596" w:type="pct"/>
            <w:shd w:val="clear" w:color="auto" w:fill="auto"/>
            <w:vAlign w:val="center"/>
          </w:tcPr>
          <w:p w14:paraId="676D1877" w14:textId="77777777" w:rsidR="00872DB5" w:rsidRPr="00872DB5" w:rsidRDefault="00872DB5" w:rsidP="00872DB5">
            <w:pPr>
              <w:pStyle w:val="Tabletext"/>
              <w:keepNext/>
              <w:keepLines/>
              <w:jc w:val="center"/>
              <w:rPr>
                <w:rFonts w:cs="Calibri"/>
                <w:b/>
                <w:bCs/>
                <w:szCs w:val="20"/>
                <w:lang w:eastAsia="zh-CN"/>
              </w:rPr>
            </w:pPr>
            <w:r w:rsidRPr="00872DB5">
              <w:rPr>
                <w:rFonts w:cs="Calibri"/>
                <w:b/>
                <w:bCs/>
                <w:szCs w:val="20"/>
                <w:lang w:eastAsia="zh-CN"/>
              </w:rPr>
              <w:t>$</w:t>
            </w:r>
            <w:r w:rsidR="003A37B7">
              <w:rPr>
                <w:rFonts w:cs="Calibri"/>
                <w:b/>
                <w:bCs/>
                <w:noProof/>
                <w:color w:val="000000"/>
                <w:szCs w:val="20"/>
                <w:highlight w:val="black"/>
                <w:lang w:eastAsia="zh-CN"/>
              </w:rPr>
              <w:t>''''''''''''''''''''''''</w:t>
            </w:r>
            <w:r w:rsidR="001A0EEA">
              <w:rPr>
                <w:vertAlign w:val="superscript"/>
              </w:rPr>
              <w:t>5</w:t>
            </w:r>
          </w:p>
          <w:p w14:paraId="5F50760E" w14:textId="77777777" w:rsidR="00D05CAE" w:rsidRPr="00872DB5" w:rsidRDefault="00D05CAE" w:rsidP="00872DB5">
            <w:pPr>
              <w:pStyle w:val="Tabletext"/>
              <w:keepNext/>
              <w:keepLines/>
              <w:jc w:val="center"/>
              <w:rPr>
                <w:rFonts w:cs="Calibri"/>
                <w:b/>
                <w:bCs/>
                <w:szCs w:val="20"/>
                <w:lang w:eastAsia="zh-CN"/>
              </w:rPr>
            </w:pPr>
          </w:p>
        </w:tc>
        <w:tc>
          <w:tcPr>
            <w:tcW w:w="596" w:type="pct"/>
            <w:shd w:val="clear" w:color="auto" w:fill="auto"/>
            <w:vAlign w:val="center"/>
          </w:tcPr>
          <w:p w14:paraId="2CCDD559" w14:textId="77777777" w:rsidR="00872DB5" w:rsidRPr="00872DB5" w:rsidRDefault="00872DB5" w:rsidP="00872DB5">
            <w:pPr>
              <w:pStyle w:val="Tabletext"/>
              <w:keepNext/>
              <w:keepLines/>
              <w:jc w:val="center"/>
              <w:rPr>
                <w:rFonts w:cs="Calibri"/>
                <w:b/>
                <w:bCs/>
                <w:szCs w:val="20"/>
                <w:lang w:eastAsia="zh-CN"/>
              </w:rPr>
            </w:pPr>
            <w:r w:rsidRPr="00872DB5">
              <w:rPr>
                <w:rFonts w:cs="Calibri"/>
                <w:b/>
                <w:bCs/>
                <w:szCs w:val="20"/>
                <w:lang w:eastAsia="zh-CN"/>
              </w:rPr>
              <w:t>$</w:t>
            </w:r>
            <w:r w:rsidR="003A37B7">
              <w:rPr>
                <w:rFonts w:cs="Calibri"/>
                <w:b/>
                <w:bCs/>
                <w:noProof/>
                <w:color w:val="000000"/>
                <w:szCs w:val="20"/>
                <w:highlight w:val="black"/>
                <w:lang w:eastAsia="zh-CN"/>
              </w:rPr>
              <w:t>'''''''''''''''''''''</w:t>
            </w:r>
            <w:r w:rsidR="001A0EEA">
              <w:rPr>
                <w:vertAlign w:val="superscript"/>
              </w:rPr>
              <w:t>5</w:t>
            </w:r>
          </w:p>
          <w:p w14:paraId="6F7E7E23" w14:textId="77777777" w:rsidR="00D05CAE" w:rsidRPr="00872DB5" w:rsidRDefault="00D05CAE" w:rsidP="00872DB5">
            <w:pPr>
              <w:pStyle w:val="Tabletext"/>
              <w:keepNext/>
              <w:keepLines/>
              <w:jc w:val="center"/>
              <w:rPr>
                <w:rFonts w:cs="Calibri"/>
                <w:b/>
                <w:bCs/>
                <w:szCs w:val="20"/>
                <w:lang w:eastAsia="zh-CN"/>
              </w:rPr>
            </w:pPr>
          </w:p>
        </w:tc>
        <w:tc>
          <w:tcPr>
            <w:tcW w:w="596" w:type="pct"/>
            <w:shd w:val="clear" w:color="auto" w:fill="auto"/>
            <w:vAlign w:val="center"/>
          </w:tcPr>
          <w:p w14:paraId="62B9F781" w14:textId="77777777" w:rsidR="00872DB5" w:rsidRPr="00872DB5" w:rsidRDefault="00872DB5" w:rsidP="00872DB5">
            <w:pPr>
              <w:pStyle w:val="Tabletext"/>
              <w:keepNext/>
              <w:keepLines/>
              <w:jc w:val="center"/>
              <w:rPr>
                <w:rFonts w:cs="Calibri"/>
                <w:b/>
                <w:bCs/>
                <w:szCs w:val="20"/>
                <w:lang w:eastAsia="zh-CN"/>
              </w:rPr>
            </w:pPr>
            <w:r w:rsidRPr="00872DB5">
              <w:rPr>
                <w:rFonts w:cs="Calibri"/>
                <w:b/>
                <w:bCs/>
                <w:szCs w:val="20"/>
                <w:lang w:eastAsia="zh-CN"/>
              </w:rPr>
              <w:t>$</w:t>
            </w:r>
            <w:r w:rsidR="003A37B7">
              <w:rPr>
                <w:rFonts w:cs="Calibri"/>
                <w:b/>
                <w:bCs/>
                <w:noProof/>
                <w:color w:val="000000"/>
                <w:szCs w:val="20"/>
                <w:highlight w:val="black"/>
                <w:lang w:eastAsia="zh-CN"/>
              </w:rPr>
              <w:t>''''''''''''''''''''</w:t>
            </w:r>
            <w:r w:rsidR="000C2F7F">
              <w:rPr>
                <w:vertAlign w:val="superscript"/>
              </w:rPr>
              <w:t>6</w:t>
            </w:r>
          </w:p>
          <w:p w14:paraId="1358F432" w14:textId="77777777" w:rsidR="00D05CAE" w:rsidRPr="00872DB5" w:rsidRDefault="00D05CAE" w:rsidP="00872DB5">
            <w:pPr>
              <w:pStyle w:val="Tabletext"/>
              <w:keepNext/>
              <w:keepLines/>
              <w:jc w:val="center"/>
              <w:rPr>
                <w:rFonts w:cs="Calibri"/>
                <w:b/>
                <w:bCs/>
                <w:szCs w:val="20"/>
                <w:lang w:eastAsia="zh-CN"/>
              </w:rPr>
            </w:pPr>
          </w:p>
        </w:tc>
        <w:tc>
          <w:tcPr>
            <w:tcW w:w="596" w:type="pct"/>
            <w:shd w:val="clear" w:color="auto" w:fill="auto"/>
            <w:vAlign w:val="center"/>
          </w:tcPr>
          <w:p w14:paraId="569CDDF5" w14:textId="77777777" w:rsidR="00872DB5" w:rsidRPr="00872DB5" w:rsidRDefault="00872DB5" w:rsidP="00872DB5">
            <w:pPr>
              <w:pStyle w:val="Tabletext"/>
              <w:keepNext/>
              <w:keepLines/>
              <w:jc w:val="center"/>
              <w:rPr>
                <w:rFonts w:cs="Calibri"/>
                <w:b/>
                <w:bCs/>
                <w:szCs w:val="20"/>
                <w:lang w:eastAsia="zh-CN"/>
              </w:rPr>
            </w:pPr>
            <w:r w:rsidRPr="00872DB5">
              <w:rPr>
                <w:rFonts w:cs="Calibri"/>
                <w:b/>
                <w:bCs/>
                <w:szCs w:val="20"/>
                <w:lang w:eastAsia="zh-CN"/>
              </w:rPr>
              <w:t>$</w:t>
            </w:r>
            <w:r w:rsidR="003A37B7">
              <w:rPr>
                <w:rFonts w:cs="Calibri"/>
                <w:b/>
                <w:bCs/>
                <w:noProof/>
                <w:color w:val="000000"/>
                <w:szCs w:val="20"/>
                <w:highlight w:val="black"/>
                <w:lang w:eastAsia="zh-CN"/>
              </w:rPr>
              <w:t>''''''''''''''''''''</w:t>
            </w:r>
            <w:r w:rsidR="000C2F7F">
              <w:rPr>
                <w:vertAlign w:val="superscript"/>
              </w:rPr>
              <w:t>7</w:t>
            </w:r>
          </w:p>
          <w:p w14:paraId="5AFBD7E5" w14:textId="77777777" w:rsidR="00D05CAE" w:rsidRPr="00872DB5" w:rsidRDefault="00D05CAE" w:rsidP="00872DB5">
            <w:pPr>
              <w:pStyle w:val="Tabletext"/>
              <w:keepNext/>
              <w:keepLines/>
              <w:jc w:val="center"/>
              <w:rPr>
                <w:rFonts w:cs="Calibri"/>
                <w:b/>
                <w:bCs/>
                <w:szCs w:val="20"/>
                <w:lang w:eastAsia="zh-CN"/>
              </w:rPr>
            </w:pPr>
          </w:p>
        </w:tc>
        <w:tc>
          <w:tcPr>
            <w:tcW w:w="595" w:type="pct"/>
            <w:vAlign w:val="center"/>
          </w:tcPr>
          <w:p w14:paraId="0A964882" w14:textId="77777777" w:rsidR="00872DB5" w:rsidRPr="00872DB5" w:rsidRDefault="00872DB5" w:rsidP="00872DB5">
            <w:pPr>
              <w:pStyle w:val="Tabletext"/>
              <w:keepNext/>
              <w:keepLines/>
              <w:jc w:val="center"/>
              <w:rPr>
                <w:rFonts w:cs="Calibri"/>
                <w:b/>
                <w:bCs/>
                <w:szCs w:val="20"/>
                <w:lang w:eastAsia="zh-CN"/>
              </w:rPr>
            </w:pPr>
            <w:r w:rsidRPr="00872DB5">
              <w:rPr>
                <w:rFonts w:cs="Calibri"/>
                <w:b/>
                <w:bCs/>
                <w:szCs w:val="20"/>
                <w:lang w:eastAsia="zh-CN"/>
              </w:rPr>
              <w:t>$</w:t>
            </w:r>
            <w:r w:rsidR="003A37B7">
              <w:rPr>
                <w:rFonts w:cs="Calibri"/>
                <w:b/>
                <w:bCs/>
                <w:noProof/>
                <w:color w:val="000000"/>
                <w:szCs w:val="20"/>
                <w:highlight w:val="black"/>
                <w:lang w:eastAsia="zh-CN"/>
              </w:rPr>
              <w:t>'''''''''''''''''''</w:t>
            </w:r>
            <w:r w:rsidR="000B24E5">
              <w:rPr>
                <w:vertAlign w:val="superscript"/>
              </w:rPr>
              <w:t>8</w:t>
            </w:r>
          </w:p>
          <w:p w14:paraId="42684E4F" w14:textId="77777777" w:rsidR="00D05CAE" w:rsidRPr="00872DB5" w:rsidRDefault="00D05CAE" w:rsidP="00872DB5">
            <w:pPr>
              <w:pStyle w:val="Tabletext"/>
              <w:keepNext/>
              <w:keepLines/>
              <w:jc w:val="center"/>
              <w:rPr>
                <w:rFonts w:cs="Calibri"/>
                <w:b/>
                <w:bCs/>
                <w:szCs w:val="20"/>
                <w:lang w:eastAsia="zh-CN"/>
              </w:rPr>
            </w:pPr>
          </w:p>
        </w:tc>
      </w:tr>
    </w:tbl>
    <w:p w14:paraId="77413072" w14:textId="77777777" w:rsidR="008D6806" w:rsidRPr="008D6806" w:rsidRDefault="008D6806" w:rsidP="00D05CAE">
      <w:pPr>
        <w:pStyle w:val="TableFooter"/>
        <w:keepNext/>
        <w:keepLines/>
        <w:tabs>
          <w:tab w:val="left" w:pos="142"/>
        </w:tabs>
      </w:pPr>
      <w:r>
        <w:t xml:space="preserve">Pop = population </w:t>
      </w:r>
    </w:p>
    <w:p w14:paraId="1AEC7669" w14:textId="77777777" w:rsidR="008D6806" w:rsidRDefault="00F66657" w:rsidP="00D05CAE">
      <w:pPr>
        <w:pStyle w:val="TableFooter"/>
        <w:keepNext/>
        <w:keepLines/>
        <w:tabs>
          <w:tab w:val="left" w:pos="142"/>
        </w:tabs>
      </w:pPr>
      <w:r w:rsidRPr="003639A6">
        <w:rPr>
          <w:vertAlign w:val="superscript"/>
        </w:rPr>
        <w:t>a</w:t>
      </w:r>
      <w:r>
        <w:tab/>
      </w:r>
      <w:r w:rsidR="008D6806">
        <w:t xml:space="preserve">May be different to sum of each population due to rounding </w:t>
      </w:r>
    </w:p>
    <w:p w14:paraId="7C874A52" w14:textId="77777777" w:rsidR="00F66657" w:rsidRDefault="00D05CAE" w:rsidP="00D05CAE">
      <w:pPr>
        <w:pStyle w:val="TableFooter"/>
        <w:keepNext/>
        <w:keepLines/>
        <w:tabs>
          <w:tab w:val="left" w:pos="142"/>
        </w:tabs>
      </w:pPr>
      <w:r>
        <w:rPr>
          <w:vertAlign w:val="superscript"/>
        </w:rPr>
        <w:t>b</w:t>
      </w:r>
      <w:r>
        <w:rPr>
          <w:vertAlign w:val="superscript"/>
        </w:rPr>
        <w:tab/>
      </w:r>
      <w:r w:rsidR="00F66657" w:rsidRPr="003639A6">
        <w:t xml:space="preserve">Assuming </w:t>
      </w:r>
      <w:r w:rsidR="00F66657" w:rsidRPr="00507134">
        <w:t xml:space="preserve">for incident patients, 4.57 scripts </w:t>
      </w:r>
      <w:r w:rsidR="00EA2C1B">
        <w:t xml:space="preserve">(1 bottle each script) </w:t>
      </w:r>
      <w:r w:rsidR="00F66657" w:rsidRPr="00507134">
        <w:t xml:space="preserve">being required for the first 6 months, and a remaining 4.57 scripts </w:t>
      </w:r>
      <w:r w:rsidR="00EA2C1B">
        <w:t xml:space="preserve">(1 bottle each script) </w:t>
      </w:r>
      <w:r w:rsidR="00F66657" w:rsidRPr="00507134">
        <w:t>required for the continuing scrip</w:t>
      </w:r>
      <w:r w:rsidR="00F66657">
        <w:t xml:space="preserve">ts for the following </w:t>
      </w:r>
      <w:r w:rsidR="00EA2C1B">
        <w:t xml:space="preserve">6 </w:t>
      </w:r>
      <w:r w:rsidR="00F66657">
        <w:t xml:space="preserve">months, and for prevalent patients, 10.15 scripts </w:t>
      </w:r>
      <w:r w:rsidR="00EA2C1B">
        <w:t xml:space="preserve">(3 bottles each script) </w:t>
      </w:r>
      <w:r w:rsidR="00F66657">
        <w:t>per year</w:t>
      </w:r>
      <w:r w:rsidR="00F66657" w:rsidRPr="003639A6">
        <w:t>.</w:t>
      </w:r>
      <w:r w:rsidR="00F66657">
        <w:t xml:space="preserve"> No </w:t>
      </w:r>
      <w:r w:rsidR="00EA2C1B">
        <w:t>discontinuation of nusinersen or</w:t>
      </w:r>
      <w:r w:rsidR="00F66657">
        <w:t xml:space="preserve"> risdiplam was assumed.</w:t>
      </w:r>
      <w:r w:rsidR="008D6806">
        <w:t xml:space="preserve"> There were no incident patients assumed in population 3</w:t>
      </w:r>
      <w:r w:rsidR="00F66657">
        <w:t xml:space="preserve"> </w:t>
      </w:r>
    </w:p>
    <w:p w14:paraId="6D3B241F" w14:textId="77777777" w:rsidR="00F66657" w:rsidRDefault="00D05CAE" w:rsidP="00D05CAE">
      <w:pPr>
        <w:pStyle w:val="TableFooter"/>
        <w:keepNext/>
        <w:keepLines/>
        <w:tabs>
          <w:tab w:val="left" w:pos="142"/>
        </w:tabs>
      </w:pPr>
      <w:r>
        <w:rPr>
          <w:vertAlign w:val="superscript"/>
        </w:rPr>
        <w:t>c</w:t>
      </w:r>
      <w:r>
        <w:rPr>
          <w:vertAlign w:val="superscript"/>
        </w:rPr>
        <w:tab/>
      </w:r>
      <w:r w:rsidR="00F66657">
        <w:t>Based on the published price of risdiplam and nusinersen</w:t>
      </w:r>
      <w:r>
        <w:t xml:space="preserve">. Offset only applies to patients in population 1 </w:t>
      </w:r>
    </w:p>
    <w:p w14:paraId="10E5AEAD" w14:textId="77777777" w:rsidR="00D05CAE" w:rsidRDefault="00D05CAE" w:rsidP="00D05CAE">
      <w:pPr>
        <w:pStyle w:val="TableFooter"/>
        <w:keepNext/>
        <w:keepLines/>
        <w:tabs>
          <w:tab w:val="left" w:pos="142"/>
        </w:tabs>
      </w:pPr>
      <w:r>
        <w:rPr>
          <w:vertAlign w:val="superscript"/>
        </w:rPr>
        <w:t>d</w:t>
      </w:r>
      <w:r>
        <w:tab/>
        <w:t>additional doctor visits (MBS item 105, 100% fee $44.35, but 85% rebate applied)</w:t>
      </w:r>
    </w:p>
    <w:p w14:paraId="566AEE99" w14:textId="77777777" w:rsidR="00D05CAE" w:rsidRPr="00D05CAE" w:rsidRDefault="00D05CAE" w:rsidP="00D05CAE">
      <w:pPr>
        <w:pStyle w:val="TableFooter"/>
        <w:keepNext/>
        <w:keepLines/>
        <w:tabs>
          <w:tab w:val="left" w:pos="142"/>
        </w:tabs>
      </w:pPr>
      <w:r>
        <w:rPr>
          <w:vertAlign w:val="superscript"/>
        </w:rPr>
        <w:t>e</w:t>
      </w:r>
      <w:r>
        <w:tab/>
        <w:t xml:space="preserve">cost of nusinersen administrations avoided. Based on DRG B767B. </w:t>
      </w:r>
    </w:p>
    <w:p w14:paraId="5F5055EC" w14:textId="77777777" w:rsidR="00F66657" w:rsidRDefault="00F66657" w:rsidP="00D05CAE">
      <w:pPr>
        <w:pStyle w:val="TableFooter"/>
        <w:keepNext/>
        <w:keepLines/>
      </w:pPr>
      <w:r>
        <w:t xml:space="preserve">Source: </w:t>
      </w:r>
      <w:r w:rsidRPr="00507134">
        <w:t>Table 4.3, pp236-237</w:t>
      </w:r>
      <w:r>
        <w:t>, and Tables 4.34, 4,41, 4,42, pp258-262</w:t>
      </w:r>
      <w:r w:rsidRPr="00507134">
        <w:t xml:space="preserve"> of the submission.</w:t>
      </w:r>
    </w:p>
    <w:p w14:paraId="27FD1F9E" w14:textId="77777777" w:rsidR="00E61675" w:rsidRPr="003A52BE" w:rsidRDefault="00E61675" w:rsidP="00D05CAE">
      <w:pPr>
        <w:pStyle w:val="TableFooter"/>
        <w:keepNext/>
        <w:keepLines/>
        <w:rPr>
          <w:i/>
        </w:rPr>
      </w:pPr>
      <w:r w:rsidRPr="003A52BE">
        <w:rPr>
          <w:i/>
        </w:rPr>
        <w:t>The redacted values correspond to the following ranges:</w:t>
      </w:r>
    </w:p>
    <w:p w14:paraId="34B2C4EB" w14:textId="77777777" w:rsidR="00E61675" w:rsidRPr="003A52BE" w:rsidRDefault="00E61675" w:rsidP="00D05CAE">
      <w:pPr>
        <w:pStyle w:val="TableFooter"/>
        <w:keepNext/>
        <w:keepLines/>
        <w:rPr>
          <w:i/>
        </w:rPr>
      </w:pPr>
      <w:r w:rsidRPr="003A52BE">
        <w:rPr>
          <w:i/>
          <w:vertAlign w:val="superscript"/>
        </w:rPr>
        <w:t>1</w:t>
      </w:r>
      <w:r w:rsidRPr="003A52BE">
        <w:rPr>
          <w:i/>
        </w:rPr>
        <w:t xml:space="preserve"> &lt;500</w:t>
      </w:r>
    </w:p>
    <w:p w14:paraId="49394104" w14:textId="77777777" w:rsidR="00E61675" w:rsidRPr="003A52BE" w:rsidRDefault="00E61675" w:rsidP="00D05CAE">
      <w:pPr>
        <w:pStyle w:val="TableFooter"/>
        <w:keepNext/>
        <w:keepLines/>
        <w:rPr>
          <w:i/>
        </w:rPr>
      </w:pPr>
      <w:r w:rsidRPr="003A52BE">
        <w:rPr>
          <w:i/>
          <w:vertAlign w:val="superscript"/>
        </w:rPr>
        <w:t>2</w:t>
      </w:r>
      <w:r w:rsidRPr="003A52BE">
        <w:rPr>
          <w:i/>
        </w:rPr>
        <w:t xml:space="preserve"> 500 to &lt; 5,000</w:t>
      </w:r>
    </w:p>
    <w:p w14:paraId="34800188" w14:textId="77777777" w:rsidR="00D61F11" w:rsidRPr="003A52BE" w:rsidRDefault="00D61F11" w:rsidP="00D05CAE">
      <w:pPr>
        <w:pStyle w:val="TableFooter"/>
        <w:keepNext/>
        <w:keepLines/>
        <w:rPr>
          <w:i/>
        </w:rPr>
      </w:pPr>
      <w:r w:rsidRPr="003A52BE">
        <w:rPr>
          <w:i/>
          <w:vertAlign w:val="superscript"/>
        </w:rPr>
        <w:t>3</w:t>
      </w:r>
      <w:r w:rsidRPr="003A52BE">
        <w:rPr>
          <w:i/>
        </w:rPr>
        <w:t xml:space="preserve"> $10 million to &lt; $20 million</w:t>
      </w:r>
    </w:p>
    <w:p w14:paraId="2DC79866" w14:textId="77777777" w:rsidR="00930A64" w:rsidRPr="003A52BE" w:rsidRDefault="00930A64" w:rsidP="00D05CAE">
      <w:pPr>
        <w:pStyle w:val="TableFooter"/>
        <w:keepNext/>
        <w:keepLines/>
        <w:rPr>
          <w:i/>
        </w:rPr>
      </w:pPr>
      <w:r w:rsidRPr="003A52BE">
        <w:rPr>
          <w:i/>
          <w:vertAlign w:val="superscript"/>
        </w:rPr>
        <w:t>4</w:t>
      </w:r>
      <w:r w:rsidRPr="003A52BE">
        <w:rPr>
          <w:i/>
        </w:rPr>
        <w:t xml:space="preserve"> $20 million to &lt; $30 million</w:t>
      </w:r>
    </w:p>
    <w:p w14:paraId="5D2E3A4C" w14:textId="77777777" w:rsidR="00930A64" w:rsidRPr="003A52BE" w:rsidRDefault="00930A64" w:rsidP="00D05CAE">
      <w:pPr>
        <w:pStyle w:val="TableFooter"/>
        <w:keepNext/>
        <w:keepLines/>
        <w:rPr>
          <w:i/>
        </w:rPr>
      </w:pPr>
      <w:r w:rsidRPr="003A52BE">
        <w:rPr>
          <w:i/>
          <w:vertAlign w:val="superscript"/>
        </w:rPr>
        <w:t>5</w:t>
      </w:r>
      <w:r w:rsidRPr="003A52BE">
        <w:rPr>
          <w:i/>
        </w:rPr>
        <w:t xml:space="preserve"> $30 million to &lt; $40 million</w:t>
      </w:r>
    </w:p>
    <w:p w14:paraId="517F6D1F" w14:textId="77777777" w:rsidR="000C2F7F" w:rsidRPr="003A52BE" w:rsidRDefault="000C2F7F" w:rsidP="00D05CAE">
      <w:pPr>
        <w:pStyle w:val="TableFooter"/>
        <w:keepNext/>
        <w:keepLines/>
        <w:rPr>
          <w:i/>
        </w:rPr>
      </w:pPr>
      <w:r w:rsidRPr="003A52BE">
        <w:rPr>
          <w:i/>
          <w:vertAlign w:val="superscript"/>
        </w:rPr>
        <w:t>6</w:t>
      </w:r>
      <w:r w:rsidRPr="003A52BE">
        <w:rPr>
          <w:i/>
        </w:rPr>
        <w:t xml:space="preserve"> $40 million to &lt; $50 million</w:t>
      </w:r>
    </w:p>
    <w:p w14:paraId="208A0D3D" w14:textId="77777777" w:rsidR="000C2F7F" w:rsidRPr="003A52BE" w:rsidRDefault="000C2F7F" w:rsidP="00D05CAE">
      <w:pPr>
        <w:pStyle w:val="TableFooter"/>
        <w:keepNext/>
        <w:keepLines/>
        <w:rPr>
          <w:i/>
        </w:rPr>
      </w:pPr>
      <w:r w:rsidRPr="003A52BE">
        <w:rPr>
          <w:i/>
          <w:vertAlign w:val="superscript"/>
        </w:rPr>
        <w:t>7</w:t>
      </w:r>
      <w:r w:rsidRPr="003A52BE">
        <w:rPr>
          <w:i/>
        </w:rPr>
        <w:t xml:space="preserve"> $50 million to &lt; $60 million</w:t>
      </w:r>
    </w:p>
    <w:p w14:paraId="6B2AA1DE" w14:textId="77777777" w:rsidR="000C2F7F" w:rsidRPr="003A52BE" w:rsidRDefault="000C2F7F" w:rsidP="00D05CAE">
      <w:pPr>
        <w:pStyle w:val="TableFooter"/>
        <w:keepNext/>
        <w:keepLines/>
        <w:rPr>
          <w:i/>
        </w:rPr>
      </w:pPr>
      <w:r w:rsidRPr="003A52BE">
        <w:rPr>
          <w:i/>
          <w:vertAlign w:val="superscript"/>
        </w:rPr>
        <w:t>8</w:t>
      </w:r>
      <w:r w:rsidRPr="003A52BE">
        <w:rPr>
          <w:i/>
        </w:rPr>
        <w:t xml:space="preserve"> $60 million to &lt; $70 million</w:t>
      </w:r>
    </w:p>
    <w:p w14:paraId="5D90B124" w14:textId="77777777" w:rsidR="00FF6627" w:rsidRPr="003A52BE" w:rsidRDefault="00FF6627" w:rsidP="00D05CAE">
      <w:pPr>
        <w:pStyle w:val="TableFooter"/>
        <w:keepNext/>
        <w:keepLines/>
        <w:rPr>
          <w:i/>
        </w:rPr>
      </w:pPr>
      <w:r w:rsidRPr="003A52BE">
        <w:rPr>
          <w:i/>
          <w:vertAlign w:val="superscript"/>
        </w:rPr>
        <w:t>9</w:t>
      </w:r>
      <w:r w:rsidRPr="003A52BE">
        <w:rPr>
          <w:i/>
        </w:rPr>
        <w:t xml:space="preserve"> $0 to &lt; $10 million</w:t>
      </w:r>
    </w:p>
    <w:p w14:paraId="12E896B6" w14:textId="77777777" w:rsidR="0052438A" w:rsidRPr="003A52BE" w:rsidRDefault="0052438A" w:rsidP="00D05CAE">
      <w:pPr>
        <w:pStyle w:val="TableFooter"/>
        <w:keepNext/>
        <w:keepLines/>
        <w:rPr>
          <w:i/>
        </w:rPr>
      </w:pPr>
      <w:r w:rsidRPr="003A52BE">
        <w:rPr>
          <w:i/>
          <w:vertAlign w:val="superscript"/>
        </w:rPr>
        <w:t>10</w:t>
      </w:r>
      <w:r w:rsidRPr="003A52BE">
        <w:rPr>
          <w:i/>
        </w:rPr>
        <w:t xml:space="preserve"> $70 million to &lt; $80 million</w:t>
      </w:r>
    </w:p>
    <w:p w14:paraId="7FEA756B" w14:textId="77777777" w:rsidR="0011580D" w:rsidRPr="003A52BE" w:rsidRDefault="0011580D" w:rsidP="00D05CAE">
      <w:pPr>
        <w:pStyle w:val="TableFooter"/>
        <w:keepNext/>
        <w:keepLines/>
        <w:rPr>
          <w:i/>
        </w:rPr>
      </w:pPr>
      <w:r w:rsidRPr="003A52BE">
        <w:rPr>
          <w:i/>
          <w:vertAlign w:val="superscript"/>
        </w:rPr>
        <w:t>11</w:t>
      </w:r>
      <w:r w:rsidRPr="003A52BE">
        <w:rPr>
          <w:i/>
        </w:rPr>
        <w:t xml:space="preserve"> $90 million to &lt; $100 million</w:t>
      </w:r>
    </w:p>
    <w:p w14:paraId="60A777A4" w14:textId="77777777" w:rsidR="006247E1" w:rsidRPr="003A52BE" w:rsidRDefault="006247E1" w:rsidP="00D05CAE">
      <w:pPr>
        <w:pStyle w:val="TableFooter"/>
        <w:keepNext/>
        <w:keepLines/>
        <w:rPr>
          <w:i/>
        </w:rPr>
      </w:pPr>
      <w:r w:rsidRPr="003A52BE">
        <w:rPr>
          <w:i/>
          <w:vertAlign w:val="superscript"/>
        </w:rPr>
        <w:t>12</w:t>
      </w:r>
      <w:r w:rsidRPr="003A52BE">
        <w:rPr>
          <w:i/>
        </w:rPr>
        <w:t xml:space="preserve"> $100 million to &lt; $200 million</w:t>
      </w:r>
    </w:p>
    <w:p w14:paraId="13A5AC77" w14:textId="77777777" w:rsidR="00F66657" w:rsidRPr="00C25D9C" w:rsidRDefault="00F66657" w:rsidP="00F66657">
      <w:pPr>
        <w:widowControl/>
      </w:pPr>
    </w:p>
    <w:p w14:paraId="55D61B8F" w14:textId="77777777" w:rsidR="005E3243" w:rsidRPr="00063F7D" w:rsidRDefault="009648A1" w:rsidP="00180FF0">
      <w:pPr>
        <w:pStyle w:val="ListParagraph"/>
        <w:widowControl/>
        <w:numPr>
          <w:ilvl w:val="1"/>
          <w:numId w:val="2"/>
        </w:numPr>
        <w:rPr>
          <w:iCs/>
        </w:rPr>
      </w:pPr>
      <w:r>
        <w:t>For populations 1, 2 and 3 t</w:t>
      </w:r>
      <w:r w:rsidR="005E3243">
        <w:t>he submission estimated a total cost of $</w:t>
      </w:r>
      <w:r w:rsidR="003A52BE">
        <w:t>200</w:t>
      </w:r>
      <w:r w:rsidR="00467425">
        <w:t xml:space="preserve"> million</w:t>
      </w:r>
      <w:r w:rsidR="003A52BE">
        <w:t xml:space="preserve"> to &lt; $300</w:t>
      </w:r>
      <w:r w:rsidR="005E3243">
        <w:t xml:space="preserve"> million over the first six years of listing using the published price for risdiplam. </w:t>
      </w:r>
      <w:r>
        <w:t xml:space="preserve">For population 1 only, the submission estimated a net saving </w:t>
      </w:r>
      <w:r w:rsidR="00677549">
        <w:t xml:space="preserve">for the PBS/RPBS </w:t>
      </w:r>
      <w:r>
        <w:t xml:space="preserve">over </w:t>
      </w:r>
      <w:r>
        <w:lastRenderedPageBreak/>
        <w:t>the first six years of listing based on published prices</w:t>
      </w:r>
      <w:r w:rsidR="00677549">
        <w:t>, with additional cost offsets for hospital health budgets due to nusinersen administration costs avoided</w:t>
      </w:r>
      <w:r>
        <w:t>.</w:t>
      </w:r>
    </w:p>
    <w:p w14:paraId="11EC1DFC" w14:textId="77777777" w:rsidR="00783AA7" w:rsidRDefault="007D3771" w:rsidP="00180FF0">
      <w:pPr>
        <w:pStyle w:val="ListParagraph"/>
        <w:widowControl/>
        <w:numPr>
          <w:ilvl w:val="1"/>
          <w:numId w:val="2"/>
        </w:numPr>
      </w:pPr>
      <w:r w:rsidRPr="00831A0A">
        <w:t xml:space="preserve">Cost savings in population 1 were due to the cost of loading doses of nusinersen not being considered as part of the cost minimisation to determine the </w:t>
      </w:r>
      <w:r w:rsidR="005726A4">
        <w:t xml:space="preserve">effective </w:t>
      </w:r>
      <w:r w:rsidRPr="00831A0A">
        <w:t xml:space="preserve">price of risdiplam (as described in paragraph </w:t>
      </w:r>
      <w:r w:rsidR="009825B3">
        <w:t>6.73</w:t>
      </w:r>
      <w:r w:rsidRPr="00831A0A">
        <w:t xml:space="preserve">). </w:t>
      </w:r>
      <w:r w:rsidR="005E3243" w:rsidRPr="00831A0A">
        <w:t>As the submission’s cost offset for nusinersen was only applicable for patients in population 1, there was a net cost to the PBS/RPBS driven predominantly by the cost of treating patients in population 3, since the submission estimated that there would only be a few patients in population 2 (estimated to be 5-10 patients per year).</w:t>
      </w:r>
    </w:p>
    <w:p w14:paraId="2A4708A4" w14:textId="77777777" w:rsidR="00F66657" w:rsidRPr="00831A0A" w:rsidRDefault="00F66657" w:rsidP="004422FA">
      <w:pPr>
        <w:pStyle w:val="ListParagraph"/>
        <w:widowControl/>
        <w:numPr>
          <w:ilvl w:val="1"/>
          <w:numId w:val="2"/>
        </w:numPr>
      </w:pPr>
      <w:r w:rsidRPr="00831A0A">
        <w:t xml:space="preserve">The </w:t>
      </w:r>
      <w:r w:rsidR="00B50B23" w:rsidRPr="007B3DA4">
        <w:t xml:space="preserve">ESC </w:t>
      </w:r>
      <w:r w:rsidR="0051651F">
        <w:t>considered</w:t>
      </w:r>
      <w:r w:rsidR="00B50B23" w:rsidRPr="007B3DA4">
        <w:t xml:space="preserve"> that the </w:t>
      </w:r>
      <w:r w:rsidRPr="00831A0A">
        <w:t xml:space="preserve">estimated utilisation of risdiplam </w:t>
      </w:r>
      <w:r w:rsidR="005E3243" w:rsidRPr="00831A0A">
        <w:t xml:space="preserve">may </w:t>
      </w:r>
      <w:r w:rsidRPr="00831A0A">
        <w:t>be underestimated for the following reasons:</w:t>
      </w:r>
    </w:p>
    <w:p w14:paraId="022348FC" w14:textId="77777777" w:rsidR="00677549" w:rsidRPr="00831A0A" w:rsidRDefault="00677549" w:rsidP="00677549">
      <w:pPr>
        <w:pStyle w:val="ListParagraph"/>
        <w:widowControl/>
        <w:numPr>
          <w:ilvl w:val="0"/>
          <w:numId w:val="1"/>
        </w:numPr>
        <w:ind w:left="993" w:hanging="284"/>
      </w:pPr>
      <w:r w:rsidRPr="00831A0A">
        <w:t xml:space="preserve">For patients in population 1, the </w:t>
      </w:r>
      <w:r w:rsidRPr="007B3DA4">
        <w:t xml:space="preserve">ESC noted that the </w:t>
      </w:r>
      <w:r w:rsidRPr="00831A0A">
        <w:t>submission’s financial estimates did not consider patients currently not receiving nusinersen (i.e. treated with BSC) who were eligible for treatment with risdiplam</w:t>
      </w:r>
      <w:r>
        <w:t xml:space="preserve"> and </w:t>
      </w:r>
      <w:r w:rsidRPr="00831A0A">
        <w:t>did not consider that the availability of an oral formulation was likely to grow the market.</w:t>
      </w:r>
      <w:r w:rsidRPr="007B3DA4">
        <w:t xml:space="preserve"> The ESC </w:t>
      </w:r>
      <w:r>
        <w:t>considered</w:t>
      </w:r>
      <w:r w:rsidRPr="007B3DA4">
        <w:t xml:space="preserve"> that </w:t>
      </w:r>
      <w:r>
        <w:t>m</w:t>
      </w:r>
      <w:r w:rsidRPr="00831A0A">
        <w:t xml:space="preserve">arket growth could be substantial given that nusinersen needs to be administered in a specialist centre by intrathecal administration, and given that risdiplam can be administered orally, with specialist centres not specified in the proposed restriction(s). </w:t>
      </w:r>
      <w:r w:rsidRPr="007B3DA4">
        <w:t>The PSCR noted that clinicians report that most eligible patients are being treated.</w:t>
      </w:r>
    </w:p>
    <w:p w14:paraId="1EB39103" w14:textId="77777777" w:rsidR="00F66657" w:rsidRPr="00831A0A" w:rsidRDefault="00EA2C1B" w:rsidP="00692ABD">
      <w:pPr>
        <w:pStyle w:val="ListParagraph"/>
        <w:widowControl/>
        <w:numPr>
          <w:ilvl w:val="0"/>
          <w:numId w:val="1"/>
        </w:numPr>
        <w:ind w:left="993" w:hanging="284"/>
      </w:pPr>
      <w:r w:rsidRPr="00831A0A">
        <w:t xml:space="preserve">Contrary to </w:t>
      </w:r>
      <w:r w:rsidR="00F66657" w:rsidRPr="00831A0A">
        <w:t xml:space="preserve">the proposed clinical management algorithm, </w:t>
      </w:r>
      <w:r w:rsidRPr="00831A0A">
        <w:t xml:space="preserve">in which </w:t>
      </w:r>
      <w:r w:rsidR="00F66657" w:rsidRPr="00831A0A">
        <w:t xml:space="preserve">the submission </w:t>
      </w:r>
      <w:r w:rsidRPr="00831A0A">
        <w:t xml:space="preserve">suggested that risdiplam would completely replace </w:t>
      </w:r>
      <w:r w:rsidR="00F66657" w:rsidRPr="00831A0A">
        <w:t xml:space="preserve">BSC </w:t>
      </w:r>
      <w:r w:rsidRPr="00831A0A">
        <w:t>in populations 2 and 3</w:t>
      </w:r>
      <w:r w:rsidR="00F66657" w:rsidRPr="00831A0A">
        <w:t>, in the financial estima</w:t>
      </w:r>
      <w:r w:rsidRPr="00831A0A">
        <w:t>tes it was assumed that</w:t>
      </w:r>
      <w:r w:rsidR="00F66657" w:rsidRPr="00831A0A">
        <w:t xml:space="preserve"> only 50%</w:t>
      </w:r>
      <w:r w:rsidRPr="00831A0A">
        <w:t>-90%</w:t>
      </w:r>
      <w:r w:rsidR="00F66657" w:rsidRPr="00831A0A">
        <w:t xml:space="preserve"> of patients in </w:t>
      </w:r>
      <w:r w:rsidR="00446B1A" w:rsidRPr="00831A0A">
        <w:t>p</w:t>
      </w:r>
      <w:r w:rsidRPr="00831A0A">
        <w:t>opulation 2</w:t>
      </w:r>
      <w:r w:rsidR="00F66657" w:rsidRPr="00831A0A">
        <w:t xml:space="preserve"> and 50%</w:t>
      </w:r>
      <w:r w:rsidRPr="00831A0A">
        <w:t>-75%</w:t>
      </w:r>
      <w:r w:rsidR="00F66657" w:rsidRPr="00831A0A">
        <w:t xml:space="preserve"> of prevalent patients in </w:t>
      </w:r>
      <w:r w:rsidR="00446B1A" w:rsidRPr="00831A0A">
        <w:t>p</w:t>
      </w:r>
      <w:r w:rsidRPr="00831A0A">
        <w:t>opulation 3 who are currently being treated with BSC</w:t>
      </w:r>
      <w:r w:rsidR="00F66657" w:rsidRPr="00831A0A">
        <w:t xml:space="preserve"> would be treated with risdiplam. </w:t>
      </w:r>
      <w:r w:rsidR="00D1373E" w:rsidRPr="007B3DA4">
        <w:t xml:space="preserve">The ESC noted that </w:t>
      </w:r>
      <w:r w:rsidR="00D1373E">
        <w:t>f</w:t>
      </w:r>
      <w:r w:rsidR="00F66657" w:rsidRPr="00831A0A">
        <w:t>or population 2 and 3, DUSC previously considered that uptake might approach 100% of incident and prevalent patients (Nusin</w:t>
      </w:r>
      <w:r w:rsidRPr="00831A0A">
        <w:t xml:space="preserve">ersen </w:t>
      </w:r>
      <w:r w:rsidR="00A57396">
        <w:t>Public Summary Document (</w:t>
      </w:r>
      <w:r w:rsidRPr="00831A0A">
        <w:t>PSD</w:t>
      </w:r>
      <w:r w:rsidR="00A57396">
        <w:t>)</w:t>
      </w:r>
      <w:r w:rsidRPr="00831A0A">
        <w:t>, Nov 2017, para 6.60)</w:t>
      </w:r>
      <w:r w:rsidR="00A43719" w:rsidRPr="00831A0A">
        <w:t xml:space="preserve">, and at the present time, there are no treatments specifically available </w:t>
      </w:r>
      <w:r w:rsidR="00677549">
        <w:t xml:space="preserve">on the PBS </w:t>
      </w:r>
      <w:r w:rsidR="00A43719" w:rsidRPr="00831A0A">
        <w:t>for patients in population</w:t>
      </w:r>
      <w:r w:rsidR="004C6631">
        <w:t>s</w:t>
      </w:r>
      <w:r w:rsidR="00A43719" w:rsidRPr="00831A0A">
        <w:t xml:space="preserve"> 2 and 3.</w:t>
      </w:r>
      <w:r w:rsidR="002A7FA0">
        <w:t xml:space="preserve"> </w:t>
      </w:r>
      <w:r w:rsidR="006E3013" w:rsidRPr="007B3DA4">
        <w:t>The ESC considered that the uptake in population 3 was uncertain and may be underestimated due to strong patient interest in accessing treatment that they consider may slow progression of symptoms.</w:t>
      </w:r>
    </w:p>
    <w:p w14:paraId="69CEF309" w14:textId="77777777" w:rsidR="00F66657" w:rsidRPr="00831A0A" w:rsidRDefault="008B2944" w:rsidP="00692ABD">
      <w:pPr>
        <w:pStyle w:val="ListParagraph"/>
        <w:widowControl/>
        <w:numPr>
          <w:ilvl w:val="0"/>
          <w:numId w:val="1"/>
        </w:numPr>
        <w:ind w:left="993" w:hanging="284"/>
      </w:pPr>
      <w:r w:rsidRPr="00831A0A">
        <w:t>The submission only considered patients born after 1975. Given that patients with SMA Type 3 have a normal life expectancy, it was likely that this approach would have underestimated the number of patients with SMA Type 3 in population 3 who may be eligible for treatment with risdiplam</w:t>
      </w:r>
      <w:r w:rsidR="00692ABD" w:rsidRPr="00831A0A">
        <w:t>.</w:t>
      </w:r>
      <w:r w:rsidR="00F66657" w:rsidRPr="00831A0A">
        <w:t xml:space="preserve"> </w:t>
      </w:r>
      <w:r w:rsidR="002A7FA0" w:rsidRPr="007B3DA4">
        <w:t xml:space="preserve">The ESC agreed with the commentary that this </w:t>
      </w:r>
      <w:r w:rsidR="00B50B23" w:rsidRPr="007B3DA4">
        <w:t>may significantly underestimate</w:t>
      </w:r>
      <w:r w:rsidR="002A7FA0" w:rsidRPr="007B3DA4">
        <w:t xml:space="preserve"> the number of eligible patients</w:t>
      </w:r>
      <w:r w:rsidR="00250BDD" w:rsidRPr="007B3DA4">
        <w:t xml:space="preserve"> given there may be patients who are older than 45 years of age with SMA Type 3 who are likely to want to access treatment to risdiplam if they</w:t>
      </w:r>
      <w:r w:rsidR="006E3013" w:rsidRPr="007B3DA4">
        <w:t xml:space="preserve"> consider</w:t>
      </w:r>
      <w:r w:rsidR="00250BDD" w:rsidRPr="007B3DA4">
        <w:t xml:space="preserve"> that it may reduce </w:t>
      </w:r>
      <w:r w:rsidR="00250BDD" w:rsidRPr="007B3DA4">
        <w:lastRenderedPageBreak/>
        <w:t>the progression of their symptoms</w:t>
      </w:r>
      <w:r w:rsidR="00B50B23" w:rsidRPr="007B3DA4">
        <w:t xml:space="preserve">. </w:t>
      </w:r>
      <w:r w:rsidR="00393053">
        <w:t>The PBAC noted that the consumer comments confirmed that this was the case.</w:t>
      </w:r>
    </w:p>
    <w:p w14:paraId="434E9409" w14:textId="77777777" w:rsidR="00F66657" w:rsidRPr="00831A0A" w:rsidRDefault="00F66657" w:rsidP="00692ABD">
      <w:pPr>
        <w:pStyle w:val="ListParagraph"/>
        <w:widowControl/>
        <w:numPr>
          <w:ilvl w:val="0"/>
          <w:numId w:val="1"/>
        </w:numPr>
        <w:ind w:left="993" w:hanging="284"/>
      </w:pPr>
      <w:r w:rsidRPr="00831A0A">
        <w:t>Grandfathered patients were assumed to have been captured in the submission</w:t>
      </w:r>
      <w:r w:rsidR="008B2944" w:rsidRPr="00831A0A">
        <w:t xml:space="preserve">’s estimate of patient numbers. </w:t>
      </w:r>
      <w:r w:rsidR="00393053">
        <w:t xml:space="preserve">The PBAC noted that it was not clear whether this was reasonable. </w:t>
      </w:r>
      <w:r w:rsidR="0005779A" w:rsidRPr="007B3DA4">
        <w:rPr>
          <w:rFonts w:asciiTheme="minorHAnsi" w:hAnsiTheme="minorHAnsi"/>
        </w:rPr>
        <w:t>The PSCR</w:t>
      </w:r>
      <w:r w:rsidR="00A57396">
        <w:rPr>
          <w:rFonts w:asciiTheme="minorHAnsi" w:hAnsiTheme="minorHAnsi"/>
        </w:rPr>
        <w:t xml:space="preserve"> </w:t>
      </w:r>
      <w:r w:rsidR="00393053">
        <w:rPr>
          <w:rFonts w:asciiTheme="minorHAnsi" w:hAnsiTheme="minorHAnsi"/>
        </w:rPr>
        <w:t>noted</w:t>
      </w:r>
      <w:r w:rsidR="00393053" w:rsidRPr="007B3DA4">
        <w:rPr>
          <w:rFonts w:asciiTheme="minorHAnsi" w:hAnsiTheme="minorHAnsi"/>
        </w:rPr>
        <w:t xml:space="preserve"> </w:t>
      </w:r>
      <w:r w:rsidR="0005779A" w:rsidRPr="007B3DA4">
        <w:rPr>
          <w:rFonts w:asciiTheme="minorHAnsi" w:hAnsiTheme="minorHAnsi"/>
        </w:rPr>
        <w:t xml:space="preserve">that the Sponsor is currently providing compassionate access to 7 patients with Type 1 SMA and expects approximately 20 patients with Type 2 SMA to start treatment on the program in due course. </w:t>
      </w:r>
    </w:p>
    <w:p w14:paraId="3891E919" w14:textId="77777777" w:rsidR="008B2944" w:rsidRPr="00831A0A" w:rsidRDefault="00E93168" w:rsidP="0054789B">
      <w:pPr>
        <w:pStyle w:val="ListParagraph"/>
        <w:widowControl/>
        <w:numPr>
          <w:ilvl w:val="1"/>
          <w:numId w:val="2"/>
        </w:numPr>
        <w:rPr>
          <w:iCs/>
        </w:rPr>
      </w:pPr>
      <w:r>
        <w:t>T</w:t>
      </w:r>
      <w:r w:rsidR="008B2944" w:rsidRPr="00831A0A">
        <w:t xml:space="preserve">he submission’s financial estimates </w:t>
      </w:r>
      <w:r w:rsidR="0054789B" w:rsidRPr="00831A0A">
        <w:t xml:space="preserve">in population 1 and 2 </w:t>
      </w:r>
      <w:r w:rsidR="008B2944" w:rsidRPr="00831A0A">
        <w:t>may have been overestimated as</w:t>
      </w:r>
      <w:r w:rsidR="0054789B" w:rsidRPr="00831A0A">
        <w:t xml:space="preserve"> t</w:t>
      </w:r>
      <w:r w:rsidR="008B2944" w:rsidRPr="00831A0A">
        <w:t xml:space="preserve">he submission assumed that a rate of 10 per 100,000 live births to be diagnosed with SMA, instead of the 8.66 per 100,000 </w:t>
      </w:r>
      <w:r w:rsidR="0054789B" w:rsidRPr="00831A0A">
        <w:t xml:space="preserve">reported </w:t>
      </w:r>
      <w:r w:rsidR="008B2944" w:rsidRPr="00831A0A">
        <w:t>in Kariyawasam 2020</w:t>
      </w:r>
      <w:r w:rsidR="008B6B4C" w:rsidRPr="00831A0A">
        <w:t>, which slightly overestimated use in incident patients</w:t>
      </w:r>
      <w:r w:rsidR="0054789B" w:rsidRPr="00831A0A">
        <w:t>.</w:t>
      </w:r>
    </w:p>
    <w:p w14:paraId="50A83707" w14:textId="77777777" w:rsidR="00233E37" w:rsidRPr="00831A0A" w:rsidRDefault="0005779A" w:rsidP="004422FA">
      <w:pPr>
        <w:pStyle w:val="ListParagraph"/>
        <w:widowControl/>
        <w:numPr>
          <w:ilvl w:val="1"/>
          <w:numId w:val="2"/>
        </w:numPr>
      </w:pPr>
      <w:r w:rsidRPr="007B3DA4">
        <w:t xml:space="preserve">The ESC agreed with the evaluation that </w:t>
      </w:r>
      <w:r>
        <w:t>o</w:t>
      </w:r>
      <w:r w:rsidR="00233E37" w:rsidRPr="00831A0A">
        <w:t xml:space="preserve">verall, it was likely that the number of patients </w:t>
      </w:r>
      <w:r>
        <w:t xml:space="preserve">predicted to be </w:t>
      </w:r>
      <w:r w:rsidR="00233E37" w:rsidRPr="00831A0A">
        <w:t>treated with risdiplam</w:t>
      </w:r>
      <w:r>
        <w:t>,</w:t>
      </w:r>
      <w:r w:rsidR="00233E37" w:rsidRPr="00831A0A">
        <w:t xml:space="preserve"> and therefore the financial estimates</w:t>
      </w:r>
      <w:r>
        <w:t>,</w:t>
      </w:r>
      <w:r w:rsidR="00233E37" w:rsidRPr="00831A0A">
        <w:t xml:space="preserve"> were underestimated, even though there were assumptions made by the submission which may counterbalance </w:t>
      </w:r>
      <w:r w:rsidR="00692ABD" w:rsidRPr="00831A0A">
        <w:t>the estimates.</w:t>
      </w:r>
    </w:p>
    <w:p w14:paraId="6053E44D" w14:textId="77777777" w:rsidR="00F66657" w:rsidRDefault="005E3243" w:rsidP="004422FA">
      <w:pPr>
        <w:pStyle w:val="ListParagraph"/>
        <w:widowControl/>
        <w:numPr>
          <w:ilvl w:val="1"/>
          <w:numId w:val="2"/>
        </w:numPr>
      </w:pPr>
      <w:r w:rsidRPr="00831A0A">
        <w:t>T</w:t>
      </w:r>
      <w:r w:rsidR="00F66657" w:rsidRPr="00831A0A">
        <w:t xml:space="preserve">he </w:t>
      </w:r>
      <w:r w:rsidRPr="00831A0A">
        <w:t>financial estimates were sensitive to the assumed diagnostic rate</w:t>
      </w:r>
      <w:r w:rsidR="00F66657" w:rsidRPr="00831A0A">
        <w:t xml:space="preserve">. Changing the number of cases per 100,000 live births in the sensitivity analysis had a substantial impact on the financial estimates, with a doubling of the incidence rate more than doubling the expected cost to the PBS based on published prices. </w:t>
      </w:r>
      <w:r w:rsidR="00911CF0">
        <w:t>The i</w:t>
      </w:r>
      <w:r w:rsidR="00D05CAE" w:rsidRPr="00831A0A">
        <w:t xml:space="preserve">ncidence rate may be higher than </w:t>
      </w:r>
      <w:r w:rsidR="00911CF0">
        <w:t>assumed in the submission</w:t>
      </w:r>
      <w:r w:rsidR="00911CF0" w:rsidRPr="00831A0A">
        <w:t xml:space="preserve"> </w:t>
      </w:r>
      <w:r w:rsidR="001F5E1D" w:rsidRPr="00831A0A">
        <w:t xml:space="preserve">if </w:t>
      </w:r>
      <w:r w:rsidR="00D05CAE" w:rsidRPr="00831A0A">
        <w:t>newborn screening become</w:t>
      </w:r>
      <w:r w:rsidR="00911CF0">
        <w:t>s</w:t>
      </w:r>
      <w:r w:rsidR="00D05CAE" w:rsidRPr="00831A0A">
        <w:t xml:space="preserve"> widely adopted</w:t>
      </w:r>
      <w:r w:rsidR="001F5E1D" w:rsidRPr="00831A0A">
        <w:t xml:space="preserve"> in Australia</w:t>
      </w:r>
      <w:r w:rsidR="007D3771" w:rsidRPr="00831A0A">
        <w:t>, and there was variance in the incidence rates reported in literature</w:t>
      </w:r>
      <w:r w:rsidR="00D05CAE" w:rsidRPr="00831A0A">
        <w:t xml:space="preserve">. </w:t>
      </w:r>
    </w:p>
    <w:p w14:paraId="0D6A593C" w14:textId="77777777" w:rsidR="00F66657" w:rsidRPr="00C9624D" w:rsidRDefault="00F66657" w:rsidP="0037240C">
      <w:pPr>
        <w:pStyle w:val="4-SubsectionHeading"/>
      </w:pPr>
      <w:bookmarkStart w:id="53" w:name="_Toc58338009"/>
      <w:bookmarkStart w:id="54" w:name="_Toc61959941"/>
      <w:r w:rsidRPr="00C9624D">
        <w:t>Financial Management – Risk Sharing Arrangements</w:t>
      </w:r>
      <w:bookmarkEnd w:id="53"/>
      <w:bookmarkEnd w:id="54"/>
    </w:p>
    <w:p w14:paraId="43EDFE8E" w14:textId="77777777" w:rsidR="00F66657" w:rsidRDefault="00F66657" w:rsidP="004422FA">
      <w:pPr>
        <w:pStyle w:val="ListParagraph"/>
        <w:widowControl/>
        <w:numPr>
          <w:ilvl w:val="1"/>
          <w:numId w:val="2"/>
        </w:numPr>
      </w:pPr>
      <w:r w:rsidRPr="001B7BBE">
        <w:t xml:space="preserve">While the submission did not propose a subsidisation cap, the </w:t>
      </w:r>
      <w:r w:rsidR="0005779A">
        <w:t>S</w:t>
      </w:r>
      <w:r w:rsidRPr="001B7BBE">
        <w:t xml:space="preserve">ponsor stated that they were willing in principle to enter the existing nusinersen Deed for </w:t>
      </w:r>
      <w:r w:rsidR="00446B1A">
        <w:t>p</w:t>
      </w:r>
      <w:r w:rsidRPr="001B7BBE">
        <w:t xml:space="preserve">opulation 1, and willing to explore opportunities in order to progress the listing for risdiplam for patients in </w:t>
      </w:r>
      <w:r w:rsidR="00446B1A">
        <w:t>p</w:t>
      </w:r>
      <w:r>
        <w:t>opulation</w:t>
      </w:r>
      <w:r w:rsidRPr="001B7BBE">
        <w:t xml:space="preserve"> 2 and </w:t>
      </w:r>
      <w:r w:rsidR="00446B1A">
        <w:t>p</w:t>
      </w:r>
      <w:r>
        <w:t xml:space="preserve">opulation </w:t>
      </w:r>
      <w:r w:rsidRPr="001B7BBE">
        <w:t xml:space="preserve">3. </w:t>
      </w:r>
    </w:p>
    <w:p w14:paraId="1C4B6A6D" w14:textId="77777777" w:rsidR="00115229" w:rsidRDefault="00D1373E" w:rsidP="004422FA">
      <w:pPr>
        <w:pStyle w:val="ListParagraph"/>
        <w:widowControl/>
        <w:numPr>
          <w:ilvl w:val="1"/>
          <w:numId w:val="2"/>
        </w:numPr>
      </w:pPr>
      <w:r w:rsidRPr="007B3DA4">
        <w:t xml:space="preserve">The ESC noted that the </w:t>
      </w:r>
      <w:r w:rsidR="00F21DBA" w:rsidRPr="007B3DA4">
        <w:t>PSCR</w:t>
      </w:r>
      <w:r w:rsidRPr="007B3DA4">
        <w:t xml:space="preserve"> proposed </w:t>
      </w:r>
      <w:r w:rsidR="003A37B7">
        <w:rPr>
          <w:noProof/>
          <w:color w:val="000000"/>
          <w:highlight w:val="black"/>
        </w:rPr>
        <w:t>''''''''''''''''' ''''''''''''''''''' ''' '''''''' '''''' '''''''''''''''''''' ''' ''''''''''''''''''' ''''''''''''''</w:t>
      </w:r>
      <w:r w:rsidR="00990380" w:rsidRPr="007B3DA4">
        <w:t xml:space="preserve"> </w:t>
      </w:r>
      <w:r w:rsidR="00F21DBA" w:rsidRPr="007B3DA4">
        <w:t xml:space="preserve">The PSCR </w:t>
      </w:r>
      <w:r w:rsidR="00217601" w:rsidRPr="007B3DA4">
        <w:t>stated</w:t>
      </w:r>
      <w:r w:rsidR="00F21DBA" w:rsidRPr="007B3DA4">
        <w:t xml:space="preserve"> that this may be achievable through savings associated with risdiplam</w:t>
      </w:r>
      <w:r w:rsidR="00415FBA" w:rsidRPr="007B3DA4">
        <w:t xml:space="preserve"> </w:t>
      </w:r>
      <w:r w:rsidR="0052266A">
        <w:t xml:space="preserve">compared with nusinersen </w:t>
      </w:r>
      <w:r w:rsidR="00415FBA" w:rsidRPr="007B3DA4">
        <w:t>and would allow access to effective treatment for this small population</w:t>
      </w:r>
      <w:r w:rsidR="006E68DA" w:rsidRPr="007B3DA4">
        <w:t xml:space="preserve"> (estimated to be around 6 patients</w:t>
      </w:r>
      <w:r w:rsidR="00F4796E">
        <w:t xml:space="preserve"> per year, though up to 20 were expected to be enrolled in compassionate access programs</w:t>
      </w:r>
      <w:r w:rsidR="006E68DA" w:rsidRPr="007B3DA4">
        <w:t>)</w:t>
      </w:r>
      <w:r w:rsidR="00217601" w:rsidRPr="007B3DA4">
        <w:t xml:space="preserve">. </w:t>
      </w:r>
      <w:r w:rsidR="00911CF0" w:rsidRPr="007B3DA4">
        <w:t xml:space="preserve">The </w:t>
      </w:r>
      <w:r w:rsidR="0052266A">
        <w:t>PBAC considered</w:t>
      </w:r>
      <w:r w:rsidR="00911CF0" w:rsidRPr="007B3DA4">
        <w:t xml:space="preserve"> that </w:t>
      </w:r>
      <w:r w:rsidR="003A37B7">
        <w:rPr>
          <w:noProof/>
          <w:color w:val="000000"/>
          <w:highlight w:val="black"/>
        </w:rPr>
        <w:t>'''''''''''''''''''' ''''''''''''''''''' ''' ''''''' '''''' ''''''''''''''''''' ''' '''''''''''''''''' ''''''''''''''</w:t>
      </w:r>
      <w:r w:rsidR="00F4796E" w:rsidRPr="007B3DA4">
        <w:t xml:space="preserve"> </w:t>
      </w:r>
      <w:r w:rsidR="00F4796E">
        <w:t xml:space="preserve">required </w:t>
      </w:r>
      <w:r w:rsidR="00911CF0" w:rsidRPr="007B3DA4">
        <w:t>accepting the same level of cost-effectiveness for population 2</w:t>
      </w:r>
      <w:r w:rsidR="00F4796E">
        <w:t xml:space="preserve">. </w:t>
      </w:r>
      <w:r w:rsidR="00911CF0" w:rsidRPr="007B3DA4">
        <w:t xml:space="preserve"> </w:t>
      </w:r>
      <w:r w:rsidR="005925F1">
        <w:t xml:space="preserve">The PBAC considered this </w:t>
      </w:r>
      <w:r w:rsidR="0052266A">
        <w:t>was</w:t>
      </w:r>
      <w:r w:rsidR="0052266A" w:rsidRPr="007B3DA4">
        <w:t xml:space="preserve"> </w:t>
      </w:r>
      <w:r w:rsidR="00911CF0" w:rsidRPr="007B3DA4">
        <w:t>not reasonable due to the lack of any clinical evidence in this patient population.</w:t>
      </w:r>
      <w:r w:rsidRPr="007B3DA4">
        <w:t xml:space="preserve"> </w:t>
      </w:r>
    </w:p>
    <w:p w14:paraId="143E8D19" w14:textId="77777777" w:rsidR="00414B4D" w:rsidRPr="001B7BBE" w:rsidRDefault="00414B4D" w:rsidP="00414B4D">
      <w:pPr>
        <w:pStyle w:val="ListParagraph"/>
        <w:widowControl/>
      </w:pPr>
      <w:r w:rsidRPr="00C33D30">
        <w:rPr>
          <w:rFonts w:asciiTheme="minorHAnsi" w:hAnsiTheme="minorHAnsi"/>
          <w:i/>
        </w:rPr>
        <w:t>For more detail on PBAC’s view, see section 7 PBAC outcome.</w:t>
      </w:r>
    </w:p>
    <w:p w14:paraId="3EB7C615" w14:textId="77777777" w:rsidR="00C23FBC" w:rsidRPr="00D52702" w:rsidRDefault="00C23FBC" w:rsidP="00FD21D1">
      <w:pPr>
        <w:pStyle w:val="2-SectionHeading"/>
      </w:pPr>
      <w:r w:rsidRPr="00FD21D1">
        <w:lastRenderedPageBreak/>
        <w:t>PBAC</w:t>
      </w:r>
      <w:r w:rsidRPr="00D52702">
        <w:t xml:space="preserve"> Outcome</w:t>
      </w:r>
    </w:p>
    <w:p w14:paraId="2B36F0D7" w14:textId="77777777" w:rsidR="00FD21D1" w:rsidRDefault="00FD21D1" w:rsidP="00FD21D1">
      <w:pPr>
        <w:pStyle w:val="5-Subsectionsubheading"/>
      </w:pPr>
      <w:r w:rsidRPr="00701FDF">
        <w:t>Population 1</w:t>
      </w:r>
      <w:r w:rsidR="005925F1">
        <w:t xml:space="preserve"> (</w:t>
      </w:r>
      <w:r w:rsidR="005925F1">
        <w:rPr>
          <w:rFonts w:cs="Calibri"/>
        </w:rPr>
        <w:t>≤</w:t>
      </w:r>
      <w:r w:rsidR="005925F1">
        <w:t>18 years of age, SMA Type 1, 2 or 3a)</w:t>
      </w:r>
    </w:p>
    <w:p w14:paraId="75C24071" w14:textId="77777777" w:rsidR="00964059" w:rsidRPr="005925F1" w:rsidRDefault="003D6E2F" w:rsidP="005925F1">
      <w:pPr>
        <w:pStyle w:val="3-BodyText"/>
        <w:rPr>
          <w:rFonts w:cs="Calibri"/>
          <w:snapToGrid/>
          <w:sz w:val="22"/>
        </w:rPr>
      </w:pPr>
      <w:r w:rsidRPr="00964059">
        <w:rPr>
          <w:rFonts w:asciiTheme="minorHAnsi" w:hAnsiTheme="minorHAnsi"/>
          <w:bCs/>
          <w:lang w:val="en-GB"/>
        </w:rPr>
        <w:t xml:space="preserve">The PBAC recommended the listing of </w:t>
      </w:r>
      <w:r>
        <w:t>risdiplam (Evrysdi®)</w:t>
      </w:r>
      <w:r w:rsidRPr="00964059">
        <w:rPr>
          <w:rFonts w:asciiTheme="minorHAnsi" w:hAnsiTheme="minorHAnsi"/>
          <w:bCs/>
          <w:lang w:val="en-GB"/>
        </w:rPr>
        <w:t xml:space="preserve"> </w:t>
      </w:r>
      <w:r>
        <w:t xml:space="preserve">for patients with Spinal Muscular Atrophy (SMA) Types </w:t>
      </w:r>
      <w:r w:rsidR="005925F1">
        <w:t>1</w:t>
      </w:r>
      <w:r>
        <w:t xml:space="preserve">, </w:t>
      </w:r>
      <w:r w:rsidR="005925F1">
        <w:t>2</w:t>
      </w:r>
      <w:r>
        <w:t xml:space="preserve"> or </w:t>
      </w:r>
      <w:r w:rsidR="005925F1">
        <w:t>3</w:t>
      </w:r>
      <w:r>
        <w:t>a who are aged 18 years or under at treatment initiation</w:t>
      </w:r>
      <w:r w:rsidR="00964059" w:rsidRPr="00964059">
        <w:rPr>
          <w:rFonts w:asciiTheme="minorHAnsi" w:hAnsiTheme="minorHAnsi"/>
          <w:bCs/>
          <w:lang w:val="en-GB"/>
        </w:rPr>
        <w:t>, on the basis that it should be available only under special arrangements under Section 100</w:t>
      </w:r>
      <w:r>
        <w:t xml:space="preserve">. </w:t>
      </w:r>
      <w:r w:rsidR="005925F1" w:rsidRPr="00294DE9">
        <w:rPr>
          <w:noProof/>
          <w:lang w:val="en-US"/>
        </w:rPr>
        <w:t xml:space="preserve">The PBAC’s recommendation for listing was based on, among other matters, its assessment, as described above, that the cost-effectiveness of </w:t>
      </w:r>
      <w:r w:rsidR="005925F1">
        <w:rPr>
          <w:noProof/>
          <w:lang w:val="en-US"/>
        </w:rPr>
        <w:t>risdiplam</w:t>
      </w:r>
      <w:r w:rsidR="005925F1" w:rsidRPr="00294DE9">
        <w:rPr>
          <w:noProof/>
          <w:lang w:val="en-US"/>
        </w:rPr>
        <w:t xml:space="preserve"> would be acceptable if it were cost-minimised against </w:t>
      </w:r>
      <w:r w:rsidR="005925F1">
        <w:rPr>
          <w:noProof/>
          <w:lang w:val="en-US"/>
        </w:rPr>
        <w:t>nusinersen.</w:t>
      </w:r>
    </w:p>
    <w:p w14:paraId="382F352C" w14:textId="77777777" w:rsidR="006A0F07" w:rsidRPr="00B5412A" w:rsidRDefault="006A0F07" w:rsidP="006A0F07">
      <w:pPr>
        <w:pStyle w:val="3-BodyText"/>
        <w:rPr>
          <w:lang w:val="en-GB"/>
        </w:rPr>
      </w:pPr>
      <w:r>
        <w:t xml:space="preserve">The PBAC’s recommendation was based on equi-effective doses </w:t>
      </w:r>
      <w:r w:rsidR="00BA5F4B">
        <w:t>of</w:t>
      </w:r>
      <w:r w:rsidR="00BA5F4B" w:rsidRPr="00B51162">
        <w:t xml:space="preserve"> </w:t>
      </w:r>
      <w:r w:rsidRPr="00F71866">
        <w:t xml:space="preserve">5 mg of risdiplam </w:t>
      </w:r>
      <w:r>
        <w:t xml:space="preserve">daily </w:t>
      </w:r>
      <w:r w:rsidR="00BA5F4B">
        <w:t>and</w:t>
      </w:r>
      <w:r w:rsidRPr="00F71866">
        <w:t xml:space="preserve"> nusinersen 12 mg (5 mL) per administration </w:t>
      </w:r>
      <w:r w:rsidR="00FF2EE8">
        <w:t xml:space="preserve">every 4 months (3 per year, </w:t>
      </w:r>
      <w:r w:rsidRPr="00F71866">
        <w:t>i.e. excluding nusinersen loading doses).</w:t>
      </w:r>
    </w:p>
    <w:p w14:paraId="0617B839" w14:textId="77777777" w:rsidR="00BD384A" w:rsidRPr="00525B39" w:rsidRDefault="00BD384A" w:rsidP="00BD384A">
      <w:pPr>
        <w:numPr>
          <w:ilvl w:val="1"/>
          <w:numId w:val="2"/>
        </w:numPr>
        <w:spacing w:after="120"/>
        <w:rPr>
          <w:rFonts w:asciiTheme="minorHAnsi" w:hAnsiTheme="minorHAnsi"/>
          <w:bCs/>
          <w:lang w:val="en-GB"/>
        </w:rPr>
      </w:pPr>
      <w:r>
        <w:t xml:space="preserve">The PBAC acknowledged that there is a clinical need for an orally administered treatment for SMA, noting the important factors for patients and carers associated with the less invasive route of administration. As identified in the sponsor hearing and consumer comments, </w:t>
      </w:r>
      <w:r w:rsidR="00631253">
        <w:t>risdiplam has advantages in reducing the treatment burden for patients in terms of potential pain, stress or complications from the intrathecal administration (lumbar puncture) procedure and also in reducing the need for patients to travel to specialist hospitals for administration of treatment</w:t>
      </w:r>
      <w:r>
        <w:t xml:space="preserve">.  </w:t>
      </w:r>
    </w:p>
    <w:p w14:paraId="57031103" w14:textId="77777777" w:rsidR="00340FAC" w:rsidRPr="00CE3643" w:rsidRDefault="00340FAC" w:rsidP="00340FAC">
      <w:pPr>
        <w:pStyle w:val="3-BodyText"/>
      </w:pPr>
      <w:r>
        <w:t xml:space="preserve">The PBAC noted that the proposed restriction would need to be revised to reflect the population for whom PBS listing was recommended (population 1). The PBAC noted that the proposed restriction, appropriately does not allow concomitant use of risdiplam with other </w:t>
      </w:r>
      <w:r w:rsidRPr="005D4C8F">
        <w:t xml:space="preserve">disease modifying treatments for SMA. The PBAC noted that </w:t>
      </w:r>
      <w:r w:rsidRPr="009842DF">
        <w:rPr>
          <w:rFonts w:asciiTheme="minorHAnsi" w:hAnsiTheme="minorHAnsi"/>
        </w:rPr>
        <w:t>flow-on changes would be required for the nusinersen listings to prevent concomitant treatment with risdiplam. The PBAC noted</w:t>
      </w:r>
      <w:r>
        <w:t xml:space="preserve"> no restrictions on previous disease modifying treatments were proposed. </w:t>
      </w:r>
      <w:r w:rsidRPr="001F6FC5">
        <w:t xml:space="preserve">The PBAC considered that for patients who had previously been treated with nusinersen, a wash out period may be required when swapping therapy to risdiplam. The PBAC considered it appropriate that decisions about a washout periods should be at the clinical judgement of the prescriber. </w:t>
      </w:r>
      <w:r w:rsidRPr="00F1695F">
        <w:t>The PBAC considered it appropriate that decisions about a washout periods should be at the clinical judgement of the prescriber. The PBAC considered that it would be appropriate for patients diagnosed with symptomatic type I, II or IIIa spinal muscular atrophy, who are eligible for continuing therapy with nusinersen, to be able to swap therapy to risdiplam without requiring prescribers to</w:t>
      </w:r>
      <w:r>
        <w:t xml:space="preserve"> resubmit the initial evidence </w:t>
      </w:r>
      <w:r w:rsidRPr="00F1695F">
        <w:t xml:space="preserve">of eligibility. The PBAC also considered that it would be appropriate for eligible patients to swap therapy from risdiplam to nusinersen, should a clinician deem it appropriate. </w:t>
      </w:r>
      <w:r>
        <w:t xml:space="preserve">The PBAC foreshadowed that if additional disease modifying treatments for SMA are listed on the PBS further consideration may need to be given to restrictions regarding their use prior to risdiplam. </w:t>
      </w:r>
    </w:p>
    <w:p w14:paraId="2BB083AC" w14:textId="77777777" w:rsidR="003F2A4F" w:rsidRPr="003F2A4F" w:rsidRDefault="00FE5B9C" w:rsidP="00FD21D1">
      <w:pPr>
        <w:numPr>
          <w:ilvl w:val="1"/>
          <w:numId w:val="2"/>
        </w:numPr>
        <w:spacing w:after="120"/>
        <w:rPr>
          <w:rFonts w:asciiTheme="minorHAnsi" w:hAnsiTheme="minorHAnsi"/>
          <w:bCs/>
          <w:lang w:val="en-GB"/>
        </w:rPr>
      </w:pPr>
      <w:r>
        <w:t>The PBAC accepted nusinersen as the appropriate comparator for risdiplam for population 1 in the submission.</w:t>
      </w:r>
      <w:r w:rsidR="00B9236E" w:rsidRPr="00B9236E">
        <w:t xml:space="preserve"> </w:t>
      </w:r>
    </w:p>
    <w:p w14:paraId="2DB82052" w14:textId="77777777" w:rsidR="005F2D1F" w:rsidRPr="005F2D1F" w:rsidRDefault="003F2A4F" w:rsidP="005F2D1F">
      <w:pPr>
        <w:pStyle w:val="3-BodyText"/>
        <w:rPr>
          <w:snapToGrid/>
        </w:rPr>
      </w:pPr>
      <w:r>
        <w:rPr>
          <w:rFonts w:asciiTheme="minorHAnsi" w:hAnsiTheme="minorHAnsi"/>
          <w:bCs/>
          <w:lang w:val="en-GB"/>
        </w:rPr>
        <w:lastRenderedPageBreak/>
        <w:t xml:space="preserve">The PBAC </w:t>
      </w:r>
      <w:r w:rsidRPr="001E2035">
        <w:t>noted</w:t>
      </w:r>
      <w:r>
        <w:rPr>
          <w:rFonts w:asciiTheme="minorHAnsi" w:hAnsiTheme="minorHAnsi"/>
          <w:bCs/>
          <w:lang w:val="en-GB"/>
        </w:rPr>
        <w:t xml:space="preserve"> that </w:t>
      </w:r>
      <w:r>
        <w:t xml:space="preserve">as no RCT was available for risdiplam in patients with SMA Type 1, the submission presented an unanchored MAIC </w:t>
      </w:r>
      <w:r w:rsidR="005F2D1F">
        <w:t xml:space="preserve">for patients in FIREFISH and ENDEAR </w:t>
      </w:r>
      <w:r>
        <w:t>to inform the comparative efficacy of risdiplam and nusinersen</w:t>
      </w:r>
      <w:r w:rsidR="009251DE">
        <w:t xml:space="preserve">. </w:t>
      </w:r>
      <w:r>
        <w:t>The PBAC noted that the baseline characteristics were reasonably well-balanced after propensity matching and the results for OS and EFS strongly favoured risdiplam over nusinersen</w:t>
      </w:r>
      <w:r w:rsidR="00FF2EE8">
        <w:t xml:space="preserve">. </w:t>
      </w:r>
      <w:r w:rsidR="00FF2EE8">
        <w:rPr>
          <w:rFonts w:cs="Calibri"/>
          <w:snapToGrid/>
          <w:szCs w:val="24"/>
          <w:lang w:eastAsia="en-AU"/>
        </w:rPr>
        <w:t>T</w:t>
      </w:r>
      <w:r w:rsidR="00FF2EE8" w:rsidRPr="00CE3643">
        <w:rPr>
          <w:rFonts w:cs="Calibri"/>
          <w:snapToGrid/>
          <w:szCs w:val="24"/>
          <w:lang w:eastAsia="en-AU"/>
        </w:rPr>
        <w:t>he</w:t>
      </w:r>
      <w:r w:rsidR="00FF2EE8">
        <w:rPr>
          <w:rFonts w:cs="Calibri"/>
          <w:snapToGrid/>
          <w:szCs w:val="24"/>
          <w:lang w:eastAsia="en-AU"/>
        </w:rPr>
        <w:t xml:space="preserve"> PBAC</w:t>
      </w:r>
      <w:r w:rsidR="00FF2EE8" w:rsidRPr="007B3DA4">
        <w:rPr>
          <w:rFonts w:cs="Calibri"/>
          <w:snapToGrid/>
          <w:szCs w:val="24"/>
          <w:lang w:eastAsia="en-AU"/>
        </w:rPr>
        <w:t xml:space="preserve"> noted </w:t>
      </w:r>
      <w:r w:rsidR="00FF2EE8" w:rsidRPr="00CE3643">
        <w:rPr>
          <w:rFonts w:cs="Calibri"/>
          <w:snapToGrid/>
          <w:szCs w:val="24"/>
          <w:lang w:eastAsia="en-AU"/>
        </w:rPr>
        <w:t xml:space="preserve">the results </w:t>
      </w:r>
      <w:r w:rsidR="00FF2EE8">
        <w:rPr>
          <w:rFonts w:cs="Calibri"/>
          <w:snapToGrid/>
          <w:szCs w:val="24"/>
          <w:lang w:eastAsia="en-AU"/>
        </w:rPr>
        <w:t xml:space="preserve">of the MAIC were </w:t>
      </w:r>
      <w:r w:rsidR="00FF2EE8" w:rsidRPr="00CE3643">
        <w:rPr>
          <w:rFonts w:cs="Calibri"/>
          <w:snapToGrid/>
          <w:szCs w:val="24"/>
          <w:lang w:eastAsia="en-AU"/>
        </w:rPr>
        <w:t>uncertain</w:t>
      </w:r>
      <w:r w:rsidR="00FF2EE8">
        <w:rPr>
          <w:rFonts w:cs="Calibri"/>
          <w:snapToGrid/>
          <w:szCs w:val="24"/>
          <w:lang w:eastAsia="en-AU"/>
        </w:rPr>
        <w:t xml:space="preserve"> and </w:t>
      </w:r>
      <w:r w:rsidR="00FF2EE8">
        <w:t>had</w:t>
      </w:r>
      <w:r w:rsidR="00FF2EE8" w:rsidRPr="00CE3643">
        <w:t xml:space="preserve"> </w:t>
      </w:r>
      <w:r w:rsidR="00FF2EE8">
        <w:t xml:space="preserve">a </w:t>
      </w:r>
      <w:r w:rsidR="00FF2EE8" w:rsidRPr="00CE3643">
        <w:t xml:space="preserve">high risk of bias </w:t>
      </w:r>
      <w:r w:rsidR="00FF2EE8">
        <w:rPr>
          <w:rFonts w:cs="Calibri"/>
          <w:snapToGrid/>
          <w:szCs w:val="24"/>
          <w:lang w:eastAsia="en-AU"/>
        </w:rPr>
        <w:t xml:space="preserve">as FIREFISH was a small </w:t>
      </w:r>
      <w:r w:rsidR="00FF2EE8" w:rsidRPr="00CE3643">
        <w:t>single arm open-label study</w:t>
      </w:r>
      <w:r w:rsidR="00E70D2A">
        <w:t xml:space="preserve">. Overall the PBAC considered the evidence in this population </w:t>
      </w:r>
      <w:r>
        <w:t xml:space="preserve">sufficiently </w:t>
      </w:r>
      <w:r w:rsidR="00E70D2A">
        <w:t xml:space="preserve">supported </w:t>
      </w:r>
      <w:r>
        <w:t>the claim of non-inferior efficacy.</w:t>
      </w:r>
      <w:r w:rsidR="009251DE">
        <w:t xml:space="preserve"> </w:t>
      </w:r>
    </w:p>
    <w:p w14:paraId="0BBCC488" w14:textId="77777777" w:rsidR="003F2A4F" w:rsidRPr="00D158C5" w:rsidRDefault="009251DE" w:rsidP="005F2D1F">
      <w:pPr>
        <w:pStyle w:val="3-BodyText"/>
        <w:rPr>
          <w:rFonts w:asciiTheme="minorHAnsi" w:hAnsiTheme="minorHAnsi"/>
          <w:bCs/>
          <w:lang w:val="en-GB"/>
        </w:rPr>
      </w:pPr>
      <w:r w:rsidRPr="003D158D">
        <w:t xml:space="preserve">The PBAC </w:t>
      </w:r>
      <w:r>
        <w:t xml:space="preserve">noted that </w:t>
      </w:r>
      <w:r w:rsidR="009842DF">
        <w:t xml:space="preserve">anchored </w:t>
      </w:r>
      <w:r>
        <w:t xml:space="preserve">MAICs were presented for </w:t>
      </w:r>
      <w:r w:rsidRPr="003D158D">
        <w:t xml:space="preserve">patients with SMA Type </w:t>
      </w:r>
      <w:r>
        <w:t>2</w:t>
      </w:r>
      <w:r w:rsidRPr="003D158D">
        <w:t xml:space="preserve"> and </w:t>
      </w:r>
      <w:r>
        <w:t>3</w:t>
      </w:r>
      <w:r w:rsidRPr="003D158D">
        <w:t>a</w:t>
      </w:r>
      <w:r w:rsidR="009842DF">
        <w:t xml:space="preserve"> for the point estimate of RULM change and the proportion of RULM responders from </w:t>
      </w:r>
      <w:r w:rsidR="009842DF" w:rsidRPr="003D158D">
        <w:t>SUNFISH Part 2 and CHERISH</w:t>
      </w:r>
      <w:r w:rsidR="009842DF">
        <w:t>. H</w:t>
      </w:r>
      <w:r w:rsidR="005F2D1F">
        <w:t>owever</w:t>
      </w:r>
      <w:r>
        <w:t xml:space="preserve"> </w:t>
      </w:r>
      <w:r w:rsidRPr="003D158D">
        <w:t xml:space="preserve">significant transitivity issues existed between </w:t>
      </w:r>
      <w:r>
        <w:t>the trial</w:t>
      </w:r>
      <w:r w:rsidR="009842DF">
        <w:t xml:space="preserve"> populations </w:t>
      </w:r>
      <w:r w:rsidRPr="003D158D">
        <w:t xml:space="preserve">and the MAIC was not completely successful in matching patients including across some factors that would be predictive of outcomes. </w:t>
      </w:r>
      <w:r w:rsidR="00AC614A">
        <w:rPr>
          <w:rFonts w:cs="Calibri"/>
          <w:szCs w:val="24"/>
          <w:lang w:eastAsia="en-AU"/>
        </w:rPr>
        <w:t>The PBAC noted that for the point estimate of RULM non-inferiority was not well-supported based on the results of the MAIC</w:t>
      </w:r>
      <w:r w:rsidR="00D66CF6">
        <w:rPr>
          <w:rFonts w:cs="Calibri"/>
          <w:szCs w:val="24"/>
          <w:lang w:eastAsia="en-AU"/>
        </w:rPr>
        <w:t xml:space="preserve"> but that the comparison of RULM responders numerically favoured risdiplam</w:t>
      </w:r>
      <w:r w:rsidR="00AC614A">
        <w:rPr>
          <w:rFonts w:cs="Calibri"/>
          <w:szCs w:val="24"/>
          <w:lang w:eastAsia="en-AU"/>
        </w:rPr>
        <w:t xml:space="preserve">. The PBAC noted the limitations of the MAIC </w:t>
      </w:r>
      <w:r w:rsidR="00D158C5">
        <w:rPr>
          <w:rFonts w:cs="Calibri"/>
          <w:szCs w:val="24"/>
          <w:lang w:eastAsia="en-AU"/>
        </w:rPr>
        <w:t xml:space="preserve">and </w:t>
      </w:r>
      <w:r w:rsidR="00AC614A">
        <w:rPr>
          <w:rFonts w:cs="Calibri"/>
          <w:szCs w:val="24"/>
          <w:lang w:eastAsia="en-AU"/>
        </w:rPr>
        <w:t>the inherent lack of precision in the confidence estimat</w:t>
      </w:r>
      <w:r w:rsidR="00D158C5">
        <w:rPr>
          <w:rFonts w:cs="Calibri"/>
          <w:szCs w:val="24"/>
          <w:lang w:eastAsia="en-AU"/>
        </w:rPr>
        <w:t>es for the indirect comparisons</w:t>
      </w:r>
      <w:r w:rsidR="00AC614A">
        <w:rPr>
          <w:rFonts w:cs="Calibri"/>
          <w:szCs w:val="24"/>
          <w:lang w:eastAsia="en-AU"/>
        </w:rPr>
        <w:t xml:space="preserve"> </w:t>
      </w:r>
      <w:r w:rsidR="00D158C5">
        <w:rPr>
          <w:rFonts w:cs="Calibri"/>
          <w:szCs w:val="24"/>
          <w:lang w:eastAsia="en-AU"/>
        </w:rPr>
        <w:t>(</w:t>
      </w:r>
      <w:r w:rsidR="00AC614A">
        <w:rPr>
          <w:rFonts w:cs="Calibri"/>
          <w:szCs w:val="24"/>
          <w:lang w:eastAsia="en-AU"/>
        </w:rPr>
        <w:t>where there the trial populations were small</w:t>
      </w:r>
      <w:r w:rsidR="00D158C5">
        <w:rPr>
          <w:rFonts w:cs="Calibri"/>
          <w:szCs w:val="24"/>
          <w:lang w:eastAsia="en-AU"/>
        </w:rPr>
        <w:t>)</w:t>
      </w:r>
      <w:r w:rsidR="00AC614A">
        <w:rPr>
          <w:rFonts w:cs="Calibri"/>
          <w:szCs w:val="24"/>
          <w:lang w:eastAsia="en-AU"/>
        </w:rPr>
        <w:t xml:space="preserve"> and on balance, the PBAC considered that it was reasonable to conclude that risdiplam appears to be non-inferior to nusinersen for patients </w:t>
      </w:r>
      <w:r w:rsidR="00541435">
        <w:rPr>
          <w:rFonts w:cs="Calibri"/>
        </w:rPr>
        <w:t>≤</w:t>
      </w:r>
      <w:r w:rsidR="00AC614A">
        <w:t>18 years of age with SMA Type 2 and 3a</w:t>
      </w:r>
      <w:r w:rsidR="00AC614A">
        <w:rPr>
          <w:rFonts w:cs="Calibri"/>
          <w:szCs w:val="24"/>
          <w:lang w:eastAsia="en-AU"/>
        </w:rPr>
        <w:t xml:space="preserve">.  </w:t>
      </w:r>
    </w:p>
    <w:p w14:paraId="63CC479B" w14:textId="77777777" w:rsidR="00FE5B9C" w:rsidRPr="007E1D3E" w:rsidRDefault="00FE5B9C" w:rsidP="007E1D3E">
      <w:pPr>
        <w:pStyle w:val="ListParagraph"/>
        <w:widowControl/>
        <w:numPr>
          <w:ilvl w:val="1"/>
          <w:numId w:val="2"/>
        </w:numPr>
        <w:rPr>
          <w:iCs/>
        </w:rPr>
      </w:pPr>
      <w:r>
        <w:t>The PBAC noted that although there was no direct comparison o</w:t>
      </w:r>
      <w:r w:rsidR="007E1D3E">
        <w:t>f</w:t>
      </w:r>
      <w:r>
        <w:t xml:space="preserve"> safety between risdiplam versus nusinersen, </w:t>
      </w:r>
      <w:r w:rsidR="007E1D3E" w:rsidRPr="00831A0A">
        <w:t xml:space="preserve">given the less invasive route of administration of risdiplam compared to nusinersen the </w:t>
      </w:r>
      <w:r w:rsidR="007E1D3E">
        <w:t xml:space="preserve">PBAC considered that the </w:t>
      </w:r>
      <w:r w:rsidR="007E1D3E" w:rsidRPr="00831A0A">
        <w:t xml:space="preserve">conclusion that risdiplam has a favourable safety profile in some patients </w:t>
      </w:r>
      <w:r w:rsidR="007E1D3E">
        <w:t>was</w:t>
      </w:r>
      <w:r w:rsidR="007E1D3E" w:rsidRPr="00831A0A">
        <w:t xml:space="preserve"> reasonable.</w:t>
      </w:r>
      <w:r w:rsidR="007E1D3E">
        <w:t xml:space="preserve"> </w:t>
      </w:r>
    </w:p>
    <w:p w14:paraId="2EE3F9F9" w14:textId="77777777" w:rsidR="001E2035" w:rsidRDefault="001E2035" w:rsidP="002A67A6">
      <w:pPr>
        <w:pStyle w:val="3-BodyText"/>
        <w:rPr>
          <w:snapToGrid/>
        </w:rPr>
      </w:pPr>
      <w:r>
        <w:t xml:space="preserve">The </w:t>
      </w:r>
      <w:r w:rsidR="009842DF">
        <w:t xml:space="preserve">PBAC noted that the submission’s </w:t>
      </w:r>
      <w:r w:rsidR="00BA5F4B">
        <w:t>cost minimisation analysis</w:t>
      </w:r>
      <w:r w:rsidR="009842DF">
        <w:t xml:space="preserve"> </w:t>
      </w:r>
      <w:r>
        <w:t>assumed that all patients treated with risdiplam would require the highest dose of 5 mg per day and did not include costs for nusinersen loading doses or administration costs. The PBAC co</w:t>
      </w:r>
      <w:r w:rsidR="00C226D4">
        <w:t xml:space="preserve">nsidered that this approach was </w:t>
      </w:r>
      <w:r>
        <w:t>appropriate</w:t>
      </w:r>
      <w:r w:rsidR="00E20EDB">
        <w:t>, even though</w:t>
      </w:r>
      <w:r>
        <w:t xml:space="preserve"> conservative, </w:t>
      </w:r>
      <w:r w:rsidR="00E20EDB">
        <w:t>given the limitations of the available evidence for risdiplam and nusinersen and the treatment costs</w:t>
      </w:r>
      <w:r>
        <w:t xml:space="preserve">.  </w:t>
      </w:r>
    </w:p>
    <w:p w14:paraId="7AF9982D" w14:textId="77777777" w:rsidR="008E0F3E" w:rsidRPr="005D4C8F" w:rsidRDefault="009842DF" w:rsidP="006F6701">
      <w:pPr>
        <w:pStyle w:val="3-BodyText"/>
        <w:rPr>
          <w:lang w:val="en-GB"/>
        </w:rPr>
      </w:pPr>
      <w:r>
        <w:rPr>
          <w:rFonts w:asciiTheme="minorHAnsi" w:hAnsiTheme="minorHAnsi"/>
          <w:bCs/>
          <w:lang w:val="en-GB"/>
        </w:rPr>
        <w:t xml:space="preserve">The PBAC noted that </w:t>
      </w:r>
      <w:r w:rsidR="00C226D4">
        <w:rPr>
          <w:rFonts w:asciiTheme="minorHAnsi" w:hAnsiTheme="minorHAnsi"/>
          <w:bCs/>
          <w:lang w:val="en-GB"/>
        </w:rPr>
        <w:t xml:space="preserve">the sponsor indicated an in-principle willingness to share the existing nusinersen caps for population 1. The PBAC noted that the </w:t>
      </w:r>
      <w:r w:rsidR="00C76E39">
        <w:rPr>
          <w:rFonts w:asciiTheme="minorHAnsi" w:hAnsiTheme="minorHAnsi"/>
          <w:bCs/>
          <w:lang w:val="en-GB"/>
        </w:rPr>
        <w:t xml:space="preserve">sponsor’s </w:t>
      </w:r>
      <w:r w:rsidR="00C226D4">
        <w:rPr>
          <w:rFonts w:asciiTheme="minorHAnsi" w:hAnsiTheme="minorHAnsi"/>
          <w:bCs/>
          <w:lang w:val="en-GB"/>
        </w:rPr>
        <w:t xml:space="preserve">financial estimates for population 1 </w:t>
      </w:r>
      <w:r w:rsidR="008F04B9">
        <w:rPr>
          <w:rFonts w:asciiTheme="minorHAnsi" w:hAnsiTheme="minorHAnsi"/>
          <w:bCs/>
          <w:lang w:val="en-GB"/>
        </w:rPr>
        <w:t>assumed there would</w:t>
      </w:r>
      <w:r w:rsidR="00C226D4">
        <w:rPr>
          <w:rFonts w:asciiTheme="minorHAnsi" w:hAnsiTheme="minorHAnsi"/>
          <w:bCs/>
          <w:lang w:val="en-GB"/>
        </w:rPr>
        <w:t xml:space="preserve"> be</w:t>
      </w:r>
      <w:r w:rsidR="008F04B9">
        <w:rPr>
          <w:rFonts w:asciiTheme="minorHAnsi" w:hAnsiTheme="minorHAnsi"/>
          <w:bCs/>
          <w:lang w:val="en-GB"/>
        </w:rPr>
        <w:t xml:space="preserve"> no</w:t>
      </w:r>
      <w:r w:rsidR="00C226D4">
        <w:rPr>
          <w:rFonts w:asciiTheme="minorHAnsi" w:hAnsiTheme="minorHAnsi"/>
          <w:bCs/>
          <w:lang w:val="en-GB"/>
        </w:rPr>
        <w:t xml:space="preserve"> patients currently unable or unwilling to receive nusinersen</w:t>
      </w:r>
      <w:r w:rsidR="006F6701">
        <w:rPr>
          <w:rFonts w:asciiTheme="minorHAnsi" w:hAnsiTheme="minorHAnsi"/>
          <w:bCs/>
          <w:lang w:val="en-GB"/>
        </w:rPr>
        <w:t xml:space="preserve"> and that patients currently on compassionate access programs (7 Type 1 </w:t>
      </w:r>
      <w:r w:rsidR="00C76E39">
        <w:rPr>
          <w:rFonts w:asciiTheme="minorHAnsi" w:hAnsiTheme="minorHAnsi"/>
          <w:bCs/>
          <w:lang w:val="en-GB"/>
        </w:rPr>
        <w:t xml:space="preserve">SMA </w:t>
      </w:r>
      <w:r w:rsidR="006F6701">
        <w:rPr>
          <w:rFonts w:asciiTheme="minorHAnsi" w:hAnsiTheme="minorHAnsi"/>
          <w:bCs/>
          <w:lang w:val="en-GB"/>
        </w:rPr>
        <w:t xml:space="preserve">patients) would be </w:t>
      </w:r>
      <w:r w:rsidR="00775B57">
        <w:rPr>
          <w:rFonts w:asciiTheme="minorHAnsi" w:hAnsiTheme="minorHAnsi"/>
          <w:bCs/>
          <w:lang w:val="en-GB"/>
        </w:rPr>
        <w:t>captured in the submission’s patient</w:t>
      </w:r>
      <w:r w:rsidR="00C76E39">
        <w:rPr>
          <w:rFonts w:asciiTheme="minorHAnsi" w:hAnsiTheme="minorHAnsi"/>
          <w:bCs/>
          <w:lang w:val="en-GB"/>
        </w:rPr>
        <w:t xml:space="preserve"> </w:t>
      </w:r>
      <w:r w:rsidR="006F6701">
        <w:rPr>
          <w:rFonts w:asciiTheme="minorHAnsi" w:hAnsiTheme="minorHAnsi"/>
          <w:bCs/>
          <w:lang w:val="en-GB"/>
        </w:rPr>
        <w:t>estimates</w:t>
      </w:r>
      <w:r w:rsidR="00C226D4">
        <w:rPr>
          <w:rFonts w:asciiTheme="minorHAnsi" w:hAnsiTheme="minorHAnsi"/>
          <w:bCs/>
          <w:lang w:val="en-GB"/>
        </w:rPr>
        <w:t xml:space="preserve">. The </w:t>
      </w:r>
      <w:r w:rsidR="00C226D4" w:rsidRPr="007B3DA4">
        <w:t xml:space="preserve">PSCR </w:t>
      </w:r>
      <w:r w:rsidR="00775B57">
        <w:t>stated</w:t>
      </w:r>
      <w:r w:rsidR="00C226D4" w:rsidRPr="007B3DA4">
        <w:t xml:space="preserve"> that clinicians report most eligible patients are being treated</w:t>
      </w:r>
      <w:r w:rsidR="00C226D4">
        <w:t xml:space="preserve">. The PBAC noted that the submission </w:t>
      </w:r>
      <w:r w:rsidR="008F04B9">
        <w:t>estimated that</w:t>
      </w:r>
      <w:r w:rsidR="00C226D4">
        <w:t xml:space="preserve"> risdiplam would be cost saving to the PBS/RPBS on the basis of reduced </w:t>
      </w:r>
      <w:r w:rsidR="008F04B9">
        <w:t>loading doses for nusinersen</w:t>
      </w:r>
      <w:r w:rsidR="00CB737E">
        <w:t>, the PBAC noted that this was uncertain</w:t>
      </w:r>
      <w:r w:rsidR="006F6701">
        <w:t>. T</w:t>
      </w:r>
      <w:r w:rsidR="00C226D4">
        <w:t xml:space="preserve">herefore </w:t>
      </w:r>
      <w:r w:rsidR="008F04B9">
        <w:t xml:space="preserve">the PBAC considered that </w:t>
      </w:r>
      <w:r w:rsidR="00CB737E">
        <w:t xml:space="preserve">it was appropriate </w:t>
      </w:r>
      <w:r w:rsidR="00CB737E">
        <w:lastRenderedPageBreak/>
        <w:t xml:space="preserve">that risdiplam be included in the existing RSA for nusinersen for this population and that </w:t>
      </w:r>
      <w:r w:rsidR="008F04B9">
        <w:t xml:space="preserve">there </w:t>
      </w:r>
      <w:r w:rsidR="006F6701">
        <w:t>would be</w:t>
      </w:r>
      <w:r w:rsidR="008F04B9">
        <w:t xml:space="preserve"> </w:t>
      </w:r>
      <w:r w:rsidR="00C226D4">
        <w:t xml:space="preserve">no basis for increasing the existing caps.  </w:t>
      </w:r>
      <w:r w:rsidR="00C226D4">
        <w:rPr>
          <w:rFonts w:asciiTheme="minorHAnsi" w:hAnsiTheme="minorHAnsi"/>
          <w:bCs/>
          <w:lang w:val="en-GB"/>
        </w:rPr>
        <w:t xml:space="preserve">  </w:t>
      </w:r>
    </w:p>
    <w:p w14:paraId="544FE491" w14:textId="77777777" w:rsidR="005D4C8F" w:rsidRPr="00525B39" w:rsidRDefault="005D4C8F" w:rsidP="005D4C8F">
      <w:pPr>
        <w:pStyle w:val="3-BodyText"/>
        <w:rPr>
          <w:lang w:val="en-GB"/>
        </w:rPr>
      </w:pPr>
      <w:r w:rsidRPr="00525B39">
        <w:rPr>
          <w:lang w:val="en-GB"/>
        </w:rPr>
        <w:t xml:space="preserve">The </w:t>
      </w:r>
      <w:r w:rsidRPr="00A26B1C">
        <w:t>PBAC</w:t>
      </w:r>
      <w:r w:rsidRPr="00525B39">
        <w:rPr>
          <w:lang w:val="en-GB"/>
        </w:rPr>
        <w:t xml:space="preserve"> reco</w:t>
      </w:r>
      <w:r>
        <w:rPr>
          <w:lang w:val="en-GB"/>
        </w:rPr>
        <w:t>mmended that risdiplam</w:t>
      </w:r>
      <w:r w:rsidRPr="00525B39">
        <w:rPr>
          <w:lang w:val="en-GB"/>
        </w:rPr>
        <w:t xml:space="preserve"> should be treated as interchangeable on an individual patient basis with </w:t>
      </w:r>
      <w:r>
        <w:rPr>
          <w:lang w:val="en-GB"/>
        </w:rPr>
        <w:t>nusinersen</w:t>
      </w:r>
      <w:r w:rsidRPr="00525B39">
        <w:rPr>
          <w:lang w:val="en-GB"/>
        </w:rPr>
        <w:t xml:space="preserve">. </w:t>
      </w:r>
    </w:p>
    <w:p w14:paraId="18007003" w14:textId="77777777" w:rsidR="005D4C8F" w:rsidRPr="00525B39" w:rsidRDefault="005D4C8F" w:rsidP="005D4C8F">
      <w:pPr>
        <w:pStyle w:val="3-BodyText"/>
        <w:rPr>
          <w:lang w:val="en-GB"/>
        </w:rPr>
      </w:pPr>
      <w:r w:rsidRPr="00525B39">
        <w:rPr>
          <w:lang w:val="en-GB"/>
        </w:rPr>
        <w:t xml:space="preserve">The PBAC advised that </w:t>
      </w:r>
      <w:r>
        <w:rPr>
          <w:lang w:val="en-GB"/>
        </w:rPr>
        <w:t>risdiplam</w:t>
      </w:r>
      <w:r w:rsidRPr="00525B39">
        <w:rPr>
          <w:lang w:val="en-GB"/>
        </w:rPr>
        <w:t xml:space="preserve"> is not suitable for presc</w:t>
      </w:r>
      <w:r>
        <w:rPr>
          <w:lang w:val="en-GB"/>
        </w:rPr>
        <w:t xml:space="preserve">ribing by nurse practitioners. </w:t>
      </w:r>
    </w:p>
    <w:p w14:paraId="63D5D4B1" w14:textId="77777777" w:rsidR="005D4C8F" w:rsidRPr="00525B39" w:rsidRDefault="005D4C8F" w:rsidP="005D4C8F">
      <w:pPr>
        <w:pStyle w:val="3-BodyText"/>
        <w:rPr>
          <w:lang w:val="en-GB"/>
        </w:rPr>
      </w:pPr>
      <w:r w:rsidRPr="00525B39">
        <w:rPr>
          <w:lang w:val="en-GB"/>
        </w:rPr>
        <w:t>The PBAC recommended that the Early Supp</w:t>
      </w:r>
      <w:r>
        <w:rPr>
          <w:lang w:val="en-GB"/>
        </w:rPr>
        <w:t>ly Rule should apply</w:t>
      </w:r>
      <w:r w:rsidR="00775B57">
        <w:rPr>
          <w:lang w:val="en-GB"/>
        </w:rPr>
        <w:t>.</w:t>
      </w:r>
    </w:p>
    <w:p w14:paraId="1D4D6D95" w14:textId="77777777" w:rsidR="00775B57" w:rsidRPr="00E70D2A" w:rsidRDefault="005D4C8F" w:rsidP="00E70D2A">
      <w:pPr>
        <w:pStyle w:val="3-BodyText"/>
        <w:rPr>
          <w:b/>
          <w:bCs/>
          <w:lang w:val="en-GB"/>
        </w:rPr>
      </w:pPr>
      <w:r w:rsidRPr="00A26B1C">
        <w:t>The</w:t>
      </w:r>
      <w:r w:rsidRPr="00D121C5">
        <w:rPr>
          <w:lang w:val="en-GB"/>
        </w:rPr>
        <w:t xml:space="preserve"> PBAC noted that its recommendation was on a cost-minimisation basis and advised that, because </w:t>
      </w:r>
      <w:r>
        <w:rPr>
          <w:lang w:val="en-GB"/>
        </w:rPr>
        <w:t xml:space="preserve">risdiplam </w:t>
      </w:r>
      <w:r w:rsidRPr="00D121C5">
        <w:rPr>
          <w:lang w:val="en-GB"/>
        </w:rPr>
        <w:t>is not expected to provide a substantial</w:t>
      </w:r>
      <w:r w:rsidRPr="00D121C5">
        <w:rPr>
          <w:bCs/>
          <w:lang w:val="en-GB"/>
        </w:rPr>
        <w:t xml:space="preserve"> and</w:t>
      </w:r>
      <w:r w:rsidRPr="00531A05">
        <w:rPr>
          <w:bCs/>
          <w:lang w:val="en-GB"/>
        </w:rPr>
        <w:t xml:space="preserve"> clinically relevant improvement in efficacy, or reduction of toxicity, over </w:t>
      </w:r>
      <w:r>
        <w:rPr>
          <w:bCs/>
          <w:lang w:val="en-GB"/>
        </w:rPr>
        <w:t>nusinersen</w:t>
      </w:r>
      <w:r w:rsidRPr="00531A05">
        <w:rPr>
          <w:bCs/>
          <w:lang w:val="en-GB"/>
        </w:rPr>
        <w:t xml:space="preserve">, or not expected to address a high and urgent unmet clinical need given the presence of an alternative therapy, the criteria prescribed by the </w:t>
      </w:r>
      <w:r w:rsidRPr="007A5703">
        <w:rPr>
          <w:bCs/>
          <w:i/>
          <w:lang w:val="en-GB"/>
        </w:rPr>
        <w:t>National Health (Pharmaceuticals and Vaccines – Cost Recovery) Regulations 2009</w:t>
      </w:r>
      <w:r w:rsidRPr="00531A05">
        <w:rPr>
          <w:bCs/>
          <w:lang w:val="en-GB"/>
        </w:rPr>
        <w:t xml:space="preserve"> for Pricing Pathway A were not met.</w:t>
      </w:r>
    </w:p>
    <w:p w14:paraId="3E71BA75" w14:textId="77777777" w:rsidR="005D4C8F" w:rsidRPr="002244B2" w:rsidRDefault="005D4C8F" w:rsidP="005D4C8F">
      <w:pPr>
        <w:numPr>
          <w:ilvl w:val="1"/>
          <w:numId w:val="2"/>
        </w:numPr>
        <w:spacing w:after="120"/>
        <w:rPr>
          <w:rFonts w:asciiTheme="minorHAnsi" w:hAnsiTheme="minorHAnsi"/>
          <w:bCs/>
          <w:lang w:val="en-GB"/>
        </w:rPr>
      </w:pPr>
      <w:r w:rsidRPr="00525B39">
        <w:rPr>
          <w:lang w:val="en-GB"/>
        </w:rPr>
        <w:t>The PBA</w:t>
      </w:r>
      <w:r>
        <w:rPr>
          <w:lang w:val="en-GB"/>
        </w:rPr>
        <w:t xml:space="preserve">C noted that this submission </w:t>
      </w:r>
      <w:r w:rsidRPr="00525B39">
        <w:rPr>
          <w:lang w:val="en-GB"/>
        </w:rPr>
        <w:t>is not eligible for an Independent Review</w:t>
      </w:r>
      <w:r>
        <w:rPr>
          <w:lang w:val="en-GB"/>
        </w:rPr>
        <w:t xml:space="preserve"> because it received a positive recommendation</w:t>
      </w:r>
      <w:r w:rsidRPr="00525B39">
        <w:rPr>
          <w:lang w:val="en-GB"/>
        </w:rPr>
        <w:t>.</w:t>
      </w:r>
    </w:p>
    <w:p w14:paraId="2C0ADF5D" w14:textId="77777777" w:rsidR="00FD21D1" w:rsidRPr="00FD21D1" w:rsidRDefault="00FD21D1" w:rsidP="00FD21D1">
      <w:pPr>
        <w:pStyle w:val="5-Subsectionsubheading"/>
        <w:rPr>
          <w:rFonts w:asciiTheme="minorHAnsi" w:hAnsiTheme="minorHAnsi"/>
          <w:bCs/>
          <w:lang w:val="en-GB"/>
        </w:rPr>
      </w:pPr>
      <w:r w:rsidRPr="00701FDF">
        <w:t>Population</w:t>
      </w:r>
      <w:r>
        <w:t>s</w:t>
      </w:r>
      <w:r w:rsidRPr="00701FDF">
        <w:t xml:space="preserve"> 2 </w:t>
      </w:r>
      <w:r w:rsidR="002A67A6">
        <w:t>(</w:t>
      </w:r>
      <w:r w:rsidR="00AA1A87">
        <w:rPr>
          <w:rFonts w:cs="Calibri"/>
        </w:rPr>
        <w:t>≤</w:t>
      </w:r>
      <w:r w:rsidR="00AA1A87">
        <w:t xml:space="preserve">18 years of age, Type 3b SMA) </w:t>
      </w:r>
      <w:r w:rsidRPr="00701FDF">
        <w:t>and 3</w:t>
      </w:r>
      <w:r w:rsidR="00AA1A87">
        <w:t xml:space="preserve"> (&gt;18 years, T</w:t>
      </w:r>
      <w:r w:rsidR="00E20EDB">
        <w:t>y</w:t>
      </w:r>
      <w:r w:rsidR="00AA1A87">
        <w:t>pe 1, 2 or 3 SMA)</w:t>
      </w:r>
    </w:p>
    <w:p w14:paraId="3827C9DA" w14:textId="77777777" w:rsidR="00FD21D1" w:rsidRPr="00FD21D1" w:rsidRDefault="003D6E2F" w:rsidP="003D6E2F">
      <w:pPr>
        <w:numPr>
          <w:ilvl w:val="1"/>
          <w:numId w:val="2"/>
        </w:numPr>
        <w:spacing w:after="120"/>
        <w:rPr>
          <w:rFonts w:asciiTheme="minorHAnsi" w:hAnsiTheme="minorHAnsi"/>
          <w:bCs/>
          <w:lang w:val="en-GB"/>
        </w:rPr>
      </w:pPr>
      <w:r w:rsidRPr="002A67A6">
        <w:t>T</w:t>
      </w:r>
      <w:r>
        <w:t>he PBAC did not recommend the listing of risdiplam for</w:t>
      </w:r>
      <w:r w:rsidR="00964059">
        <w:t>:</w:t>
      </w:r>
      <w:r>
        <w:t xml:space="preserve"> patients with Type </w:t>
      </w:r>
      <w:r w:rsidR="002A67A6">
        <w:t xml:space="preserve">3b </w:t>
      </w:r>
      <w:r>
        <w:t>SMA aged 18 years o</w:t>
      </w:r>
      <w:r w:rsidR="00964059">
        <w:t>r under at treatment initiation</w:t>
      </w:r>
      <w:r w:rsidR="00FD21D1">
        <w:t xml:space="preserve"> (population 2)</w:t>
      </w:r>
      <w:r w:rsidR="00964059">
        <w:t>;</w:t>
      </w:r>
      <w:r>
        <w:t xml:space="preserve"> or for patients with SMA Types </w:t>
      </w:r>
      <w:r w:rsidR="002A67A6">
        <w:t>1</w:t>
      </w:r>
      <w:r>
        <w:t xml:space="preserve">, </w:t>
      </w:r>
      <w:r w:rsidR="002A67A6">
        <w:t xml:space="preserve">2 </w:t>
      </w:r>
      <w:r>
        <w:t xml:space="preserve">or </w:t>
      </w:r>
      <w:r w:rsidR="002A67A6">
        <w:t xml:space="preserve">3 </w:t>
      </w:r>
      <w:r>
        <w:t>aged over 18 years at treatment initiation</w:t>
      </w:r>
      <w:r w:rsidR="00FD21D1">
        <w:t xml:space="preserve"> (population 3)</w:t>
      </w:r>
      <w:r>
        <w:t xml:space="preserve">. </w:t>
      </w:r>
    </w:p>
    <w:p w14:paraId="69778C94" w14:textId="77777777" w:rsidR="003D6E2F" w:rsidRPr="00DF7856" w:rsidRDefault="00DF7856" w:rsidP="003D6E2F">
      <w:pPr>
        <w:numPr>
          <w:ilvl w:val="1"/>
          <w:numId w:val="2"/>
        </w:numPr>
        <w:spacing w:after="120"/>
        <w:rPr>
          <w:rFonts w:asciiTheme="minorHAnsi" w:hAnsiTheme="minorHAnsi"/>
          <w:bCs/>
          <w:lang w:val="en-GB"/>
        </w:rPr>
      </w:pPr>
      <w:r>
        <w:t>T</w:t>
      </w:r>
      <w:r w:rsidR="003D6E2F">
        <w:t xml:space="preserve">he PBAC considered that the submission did not provide evidence demonstrating a clinical benefit for risdiplam </w:t>
      </w:r>
      <w:r w:rsidR="00E70D2A">
        <w:t xml:space="preserve">in population 2 and the </w:t>
      </w:r>
      <w:r w:rsidR="003D6E2F">
        <w:t xml:space="preserve">evidence </w:t>
      </w:r>
      <w:r w:rsidR="00E70D2A">
        <w:t xml:space="preserve">for population 3 did not demonstrate </w:t>
      </w:r>
      <w:r w:rsidR="003D6E2F">
        <w:t>that risdiplam delays or prevents progression in these patients</w:t>
      </w:r>
      <w:r w:rsidR="00E70D2A">
        <w:t>. T</w:t>
      </w:r>
      <w:r w:rsidR="003D6E2F">
        <w:t>herefore the cost-effectiveness of risdiplam</w:t>
      </w:r>
      <w:r w:rsidR="00964059">
        <w:t xml:space="preserve"> </w:t>
      </w:r>
      <w:r w:rsidR="00AA1A87">
        <w:t xml:space="preserve">compared with </w:t>
      </w:r>
      <w:r w:rsidR="00964059">
        <w:t>best supportive care</w:t>
      </w:r>
      <w:r w:rsidR="00FD21D1">
        <w:t xml:space="preserve"> (BSC)</w:t>
      </w:r>
      <w:r w:rsidR="003D6E2F">
        <w:t xml:space="preserve"> in these populations could not be determined.</w:t>
      </w:r>
    </w:p>
    <w:p w14:paraId="2A59088C" w14:textId="77777777" w:rsidR="00DF7856" w:rsidRPr="00DF7856" w:rsidRDefault="00DF7856" w:rsidP="003D6E2F">
      <w:pPr>
        <w:numPr>
          <w:ilvl w:val="1"/>
          <w:numId w:val="2"/>
        </w:numPr>
        <w:spacing w:after="120"/>
        <w:rPr>
          <w:rFonts w:asciiTheme="minorHAnsi" w:hAnsiTheme="minorHAnsi"/>
          <w:bCs/>
          <w:lang w:val="en-GB"/>
        </w:rPr>
      </w:pPr>
      <w:r>
        <w:t xml:space="preserve">The PBAC acknowledged the clinical need for effective treatments in the adult patient population with SMA, </w:t>
      </w:r>
      <w:r w:rsidR="002A67A6">
        <w:t xml:space="preserve">where </w:t>
      </w:r>
      <w:r>
        <w:t xml:space="preserve">there are currently no treatments </w:t>
      </w:r>
      <w:r w:rsidR="002A67A6">
        <w:t xml:space="preserve">available on the PBS </w:t>
      </w:r>
      <w:r>
        <w:t>to delay the progression of muscular degeneration in adults with SMA of any type.</w:t>
      </w:r>
      <w:r w:rsidR="002A67A6">
        <w:t xml:space="preserve"> The PBAC noted that </w:t>
      </w:r>
      <w:r w:rsidR="00D66CF6">
        <w:t>many of the consumer comments focused on the importance of maintaining independence and the ability to work and communicate for adult SMA patients.</w:t>
      </w:r>
    </w:p>
    <w:p w14:paraId="34A9A339" w14:textId="77777777" w:rsidR="002244B2" w:rsidRPr="002244B2" w:rsidRDefault="002244B2" w:rsidP="003D6E2F">
      <w:pPr>
        <w:numPr>
          <w:ilvl w:val="1"/>
          <w:numId w:val="2"/>
        </w:numPr>
        <w:spacing w:after="120"/>
        <w:rPr>
          <w:rFonts w:asciiTheme="minorHAnsi" w:hAnsiTheme="minorHAnsi"/>
          <w:bCs/>
          <w:lang w:val="en-GB"/>
        </w:rPr>
      </w:pPr>
      <w:r>
        <w:rPr>
          <w:rFonts w:asciiTheme="minorHAnsi" w:hAnsiTheme="minorHAnsi"/>
          <w:bCs/>
          <w:lang w:val="en-GB"/>
        </w:rPr>
        <w:t xml:space="preserve">The PBAC accepted that BSC was the appropriate comparator for risdiplam in populations 2 and 3 where there currently are no </w:t>
      </w:r>
      <w:r w:rsidR="00D66CF6">
        <w:rPr>
          <w:rFonts w:asciiTheme="minorHAnsi" w:hAnsiTheme="minorHAnsi"/>
          <w:bCs/>
          <w:lang w:val="en-GB"/>
        </w:rPr>
        <w:t xml:space="preserve">PBS listed </w:t>
      </w:r>
      <w:r>
        <w:rPr>
          <w:rFonts w:asciiTheme="minorHAnsi" w:hAnsiTheme="minorHAnsi"/>
          <w:bCs/>
          <w:lang w:val="en-GB"/>
        </w:rPr>
        <w:t xml:space="preserve">treatments. </w:t>
      </w:r>
    </w:p>
    <w:p w14:paraId="6AE79CAB" w14:textId="77777777" w:rsidR="004C4C59" w:rsidRPr="00831A0A" w:rsidRDefault="004C4C59" w:rsidP="004C4C59">
      <w:pPr>
        <w:pStyle w:val="ListParagraph"/>
        <w:widowControl/>
        <w:numPr>
          <w:ilvl w:val="1"/>
          <w:numId w:val="2"/>
        </w:numPr>
        <w:rPr>
          <w:iCs/>
        </w:rPr>
      </w:pPr>
      <w:r w:rsidRPr="007B3DA4">
        <w:t xml:space="preserve">The </w:t>
      </w:r>
      <w:r>
        <w:t>PBAC</w:t>
      </w:r>
      <w:r w:rsidRPr="007B3DA4">
        <w:t xml:space="preserve"> noted that </w:t>
      </w:r>
      <w:r>
        <w:t xml:space="preserve">no clinical evidence was specifically provided by the submission to support the efficacy or safety of risdiplam in patients with SMA Type 3b (population 2). Only 6 patients (3 in each treatment arm) enrolled in SUNFISH Part 2 could have been diagnosed as SMA Type 3b. </w:t>
      </w:r>
    </w:p>
    <w:p w14:paraId="52723997" w14:textId="77777777" w:rsidR="000125B2" w:rsidRPr="000125B2" w:rsidRDefault="000125B2" w:rsidP="00A42C1A">
      <w:pPr>
        <w:pStyle w:val="3-BodyText"/>
        <w:rPr>
          <w:snapToGrid/>
        </w:rPr>
      </w:pPr>
      <w:r>
        <w:t xml:space="preserve">The PBAC noted that evidence for risdiplam in patients in population 3 was based on efficacy outcomes of risdiplam versus BSC for patients aged 18 to 25 years from the </w:t>
      </w:r>
      <w:r>
        <w:lastRenderedPageBreak/>
        <w:t xml:space="preserve">SUNFISH Part 2 trial. The PBAC noted the very small patient numbers (n=22) for this cohort. </w:t>
      </w:r>
      <w:r w:rsidR="004C4C59">
        <w:t>Overall, the PBAC noted the SUNFISH Part 2 trial was underpowered and did not demonstrate statistically significant differences for the efficacy outcomes, with the possible exception of caregiver reported SMAIS.</w:t>
      </w:r>
      <w:r>
        <w:t xml:space="preserve"> </w:t>
      </w:r>
      <w:r w:rsidRPr="000125B2">
        <w:rPr>
          <w:rFonts w:eastAsiaTheme="minorEastAsia"/>
          <w:lang w:eastAsia="zh-CN"/>
        </w:rPr>
        <w:t xml:space="preserve">The data presented to support efficacy in population 3 was also not entirely applicable to the requested population due to </w:t>
      </w:r>
      <w:r w:rsidR="00084078">
        <w:rPr>
          <w:rFonts w:eastAsiaTheme="minorEastAsia"/>
          <w:lang w:eastAsia="zh-CN"/>
        </w:rPr>
        <w:t>the inclusion of patients aged 18 and exclusion of patients older than 25 years</w:t>
      </w:r>
      <w:r w:rsidRPr="000125B2">
        <w:rPr>
          <w:rFonts w:eastAsiaTheme="minorEastAsia"/>
          <w:lang w:eastAsia="zh-CN"/>
        </w:rPr>
        <w:t>. For population 3, the PBAC considered that the claim of superior comparative effectiveness versus BSC was not adequately supported</w:t>
      </w:r>
      <w:r w:rsidR="00084078">
        <w:rPr>
          <w:rFonts w:eastAsiaTheme="minorEastAsia"/>
          <w:lang w:eastAsia="zh-CN"/>
        </w:rPr>
        <w:t xml:space="preserve"> by the data presented.</w:t>
      </w:r>
    </w:p>
    <w:p w14:paraId="03183E3C" w14:textId="77777777" w:rsidR="00DF7856" w:rsidRPr="00C051CD" w:rsidRDefault="00DF7856" w:rsidP="003D6E2F">
      <w:pPr>
        <w:numPr>
          <w:ilvl w:val="1"/>
          <w:numId w:val="2"/>
        </w:numPr>
        <w:spacing w:after="120"/>
        <w:rPr>
          <w:rFonts w:asciiTheme="minorHAnsi" w:hAnsiTheme="minorHAnsi"/>
          <w:bCs/>
          <w:lang w:val="en-GB"/>
        </w:rPr>
      </w:pPr>
      <w:r>
        <w:t xml:space="preserve">The PBAC </w:t>
      </w:r>
      <w:r w:rsidR="00D66CF6">
        <w:t>considere</w:t>
      </w:r>
      <w:r w:rsidR="00084078">
        <w:t>d</w:t>
      </w:r>
      <w:r w:rsidR="00D66CF6">
        <w:t xml:space="preserve"> the clinical claim</w:t>
      </w:r>
      <w:r w:rsidR="008F58BD">
        <w:t xml:space="preserve"> </w:t>
      </w:r>
      <w:r>
        <w:t>that risdiplam would be inferior in terms of safety compared to BSC but with manageable adverse effects</w:t>
      </w:r>
      <w:r w:rsidR="00D66CF6">
        <w:t xml:space="preserve"> was reasonable, </w:t>
      </w:r>
      <w:r w:rsidR="00D66CF6" w:rsidRPr="00831A0A">
        <w:rPr>
          <w:rFonts w:eastAsiaTheme="minorEastAsia" w:cstheme="minorBidi"/>
          <w:snapToGrid/>
          <w:szCs w:val="24"/>
          <w:lang w:eastAsia="zh-CN"/>
        </w:rPr>
        <w:t>supported by the safety results of the ITT population in SUNFISH Part 2 for patients in populations 2 and 3</w:t>
      </w:r>
      <w:r>
        <w:t xml:space="preserve">. </w:t>
      </w:r>
    </w:p>
    <w:p w14:paraId="5418383F" w14:textId="77777777" w:rsidR="000125B2" w:rsidRPr="000125B2" w:rsidRDefault="000125B2" w:rsidP="003D6E2F">
      <w:pPr>
        <w:numPr>
          <w:ilvl w:val="1"/>
          <w:numId w:val="2"/>
        </w:numPr>
        <w:spacing w:after="120"/>
        <w:rPr>
          <w:rFonts w:asciiTheme="minorHAnsi" w:hAnsiTheme="minorHAnsi"/>
          <w:bCs/>
          <w:lang w:val="en-GB"/>
        </w:rPr>
      </w:pPr>
      <w:r w:rsidRPr="000125B2">
        <w:t>The PBAC noted that there was no economic evaluation presented for population 2 due to the absence of any standalone clinical evidence for that population. The PSCR pr</w:t>
      </w:r>
      <w:r>
        <w:t>o</w:t>
      </w:r>
      <w:r w:rsidRPr="000125B2">
        <w:t xml:space="preserve">posed </w:t>
      </w:r>
      <w:r w:rsidR="003A37B7">
        <w:rPr>
          <w:noProof/>
          <w:color w:val="000000"/>
          <w:highlight w:val="black"/>
        </w:rPr>
        <w:t>''''''''''''''''''' ''''''' ''''''''' '''''' '''''''''''''''''''''' ''' ''''''' ''''''' ''''''''''''''''''' ''' ''''''''''''''''''' ''''''''''''</w:t>
      </w:r>
      <w:r w:rsidRPr="000125B2">
        <w:t xml:space="preserve">. </w:t>
      </w:r>
      <w:r>
        <w:t xml:space="preserve">The </w:t>
      </w:r>
      <w:r w:rsidRPr="000125B2">
        <w:t xml:space="preserve">PBAC considered that </w:t>
      </w:r>
      <w:r>
        <w:t>this approach</w:t>
      </w:r>
      <w:r w:rsidRPr="000125B2">
        <w:t xml:space="preserve"> required accepting the same level of cost-effectiveness for population 2</w:t>
      </w:r>
      <w:r>
        <w:t xml:space="preserve"> as for population 1</w:t>
      </w:r>
      <w:r w:rsidRPr="000125B2">
        <w:t>. The PBAC considered this was not reasonable due to the lack</w:t>
      </w:r>
      <w:r w:rsidRPr="007B3DA4">
        <w:t xml:space="preserve"> of any clinical evidence in this patient population. </w:t>
      </w:r>
    </w:p>
    <w:p w14:paraId="4032A86C" w14:textId="77777777" w:rsidR="00096BF8" w:rsidRPr="00A42C1A" w:rsidRDefault="00084078" w:rsidP="00A42C1A">
      <w:pPr>
        <w:pStyle w:val="ListParagraph"/>
        <w:widowControl/>
        <w:numPr>
          <w:ilvl w:val="1"/>
          <w:numId w:val="2"/>
        </w:numPr>
        <w:spacing w:after="120"/>
        <w:rPr>
          <w:rFonts w:asciiTheme="minorHAnsi" w:hAnsiTheme="minorHAnsi"/>
          <w:bCs/>
          <w:lang w:val="en-GB"/>
        </w:rPr>
      </w:pPr>
      <w:r>
        <w:t>As t</w:t>
      </w:r>
      <w:r w:rsidRPr="007B3DA4">
        <w:t xml:space="preserve">he </w:t>
      </w:r>
      <w:r>
        <w:t>PBAC</w:t>
      </w:r>
      <w:r w:rsidRPr="007B3DA4">
        <w:t xml:space="preserve"> </w:t>
      </w:r>
      <w:r>
        <w:t>considered</w:t>
      </w:r>
      <w:r w:rsidR="00A42C1A">
        <w:t xml:space="preserve"> </w:t>
      </w:r>
      <w:r w:rsidRPr="00831A0A">
        <w:t xml:space="preserve">the claim for superior efficacy of risdiplam over BSC in population 3 </w:t>
      </w:r>
      <w:r>
        <w:t>was</w:t>
      </w:r>
      <w:r w:rsidRPr="00831A0A">
        <w:t xml:space="preserve"> not supported by the clinical evidence, </w:t>
      </w:r>
      <w:r>
        <w:t>the</w:t>
      </w:r>
      <w:r w:rsidRPr="00831A0A">
        <w:t xml:space="preserve"> cost-utility analysis in this population</w:t>
      </w:r>
      <w:r>
        <w:t xml:space="preserve"> was not informative</w:t>
      </w:r>
      <w:r w:rsidRPr="00831A0A">
        <w:t xml:space="preserve">. </w:t>
      </w:r>
      <w:r>
        <w:t xml:space="preserve">Further, the PBAC </w:t>
      </w:r>
      <w:r w:rsidR="00FA31CE">
        <w:t xml:space="preserve">noted </w:t>
      </w:r>
      <w:r>
        <w:t xml:space="preserve">that </w:t>
      </w:r>
      <w:r w:rsidR="000D5127">
        <w:t xml:space="preserve">applying the clinical trial data from the subgroup in SUNFISH Part 2 in </w:t>
      </w:r>
      <w:r w:rsidR="00FA31CE">
        <w:t>the economic model</w:t>
      </w:r>
      <w:r w:rsidR="000D5127">
        <w:t>, where no statistically significant differences in outcomes were demonstrated</w:t>
      </w:r>
      <w:r w:rsidR="00FA31CE">
        <w:t>,</w:t>
      </w:r>
      <w:r w:rsidR="00917873">
        <w:t xml:space="preserve"> </w:t>
      </w:r>
      <w:r w:rsidR="00FA31CE">
        <w:t>resulted in highly uncertain cost-effectiveness estimates</w:t>
      </w:r>
      <w:r w:rsidR="000D5127">
        <w:t xml:space="preserve">. </w:t>
      </w:r>
      <w:r w:rsidR="00096BF8">
        <w:t xml:space="preserve">The PBAC noted that without the caregiver utility included, the model </w:t>
      </w:r>
      <w:r w:rsidR="00FA31CE">
        <w:t>estimated a small</w:t>
      </w:r>
      <w:r w:rsidR="00096BF8">
        <w:t xml:space="preserve"> benefit for risdiplam (0.218 QALYs over the 62 year time horizon). The PBAC noted that this reflected the clinical data used </w:t>
      </w:r>
      <w:r w:rsidR="00FA31CE">
        <w:t>to inform the model,</w:t>
      </w:r>
      <w:r w:rsidR="00096BF8">
        <w:t xml:space="preserve"> but </w:t>
      </w:r>
      <w:r w:rsidR="00FA31CE">
        <w:t xml:space="preserve">it </w:t>
      </w:r>
      <w:r w:rsidR="00096BF8">
        <w:t xml:space="preserve">was not consistent with the expectations expressed in the consumer comments regarding the potential QoL benefit associated with risdiplam treatment for </w:t>
      </w:r>
      <w:r w:rsidR="007825A0">
        <w:t>adult patients</w:t>
      </w:r>
      <w:r w:rsidR="00096BF8">
        <w:t>.</w:t>
      </w:r>
    </w:p>
    <w:p w14:paraId="7274186A" w14:textId="77777777" w:rsidR="00A42C1A" w:rsidRPr="0051651F" w:rsidRDefault="00A42C1A" w:rsidP="004C4C59">
      <w:pPr>
        <w:pStyle w:val="3-BodyText"/>
        <w:rPr>
          <w:iCs/>
          <w:snapToGrid/>
        </w:rPr>
      </w:pPr>
      <w:r w:rsidRPr="00831A0A">
        <w:t xml:space="preserve">The </w:t>
      </w:r>
      <w:r>
        <w:t>PBAC</w:t>
      </w:r>
      <w:r w:rsidRPr="007B3DA4">
        <w:t xml:space="preserve"> noted that the </w:t>
      </w:r>
      <w:r w:rsidRPr="00831A0A">
        <w:t xml:space="preserve">base case ICER presented by the submission was </w:t>
      </w:r>
      <w:r w:rsidR="008B5340">
        <w:t>&gt; $1,055,000</w:t>
      </w:r>
      <w:r w:rsidRPr="00831A0A">
        <w:t>/QALY when c</w:t>
      </w:r>
      <w:r>
        <w:t>onsidering patient utility only</w:t>
      </w:r>
      <w:r w:rsidRPr="00831A0A">
        <w:t xml:space="preserve">. </w:t>
      </w:r>
      <w:r>
        <w:t xml:space="preserve">The PBAC noted that in no reasonable scenario considered in the sensitivity analyses did the ICER fall below </w:t>
      </w:r>
      <w:r w:rsidR="008B5340">
        <w:t>&gt; $1,055,000</w:t>
      </w:r>
      <w:r>
        <w:t xml:space="preserve"> /QALY.</w:t>
      </w:r>
      <w:r w:rsidRPr="00A42C1A">
        <w:t xml:space="preserve"> </w:t>
      </w:r>
      <w:r>
        <w:t>The PBAC considered that even in the context of the high clinical need for disease modifying treatments for adult patients</w:t>
      </w:r>
      <w:r w:rsidRPr="00A42C1A">
        <w:t xml:space="preserve"> </w:t>
      </w:r>
      <w:r>
        <w:t xml:space="preserve">to halt or slow progression of disability resulting from SMA, the ICERs for the model presented were very high based on the requested price for risdiplam. The PSCR acknowledged the </w:t>
      </w:r>
      <w:r>
        <w:rPr>
          <w:rFonts w:eastAsia="Calibri" w:cs="Calibri"/>
        </w:rPr>
        <w:t xml:space="preserve">limitations of the available data in population 3 and the challenge to demonstrate cost-effectiveness for this population. In its pre-PBAC response the sponsor </w:t>
      </w:r>
      <w:r>
        <w:t>expressed a</w:t>
      </w:r>
      <w:r w:rsidR="003F10F2">
        <w:t>n openness to suggestions and collaboration</w:t>
      </w:r>
      <w:r>
        <w:t xml:space="preserve"> to enable PBS subsidy for risdiplam for these patients. However, the PBAC considered that</w:t>
      </w:r>
      <w:r w:rsidR="003F10F2">
        <w:t>, in the submission presented,</w:t>
      </w:r>
      <w:r>
        <w:t xml:space="preserve"> the sponsor </w:t>
      </w:r>
      <w:r w:rsidR="003F10F2">
        <w:t xml:space="preserve">did not </w:t>
      </w:r>
      <w:r w:rsidR="003F10F2">
        <w:lastRenderedPageBreak/>
        <w:t>provide</w:t>
      </w:r>
      <w:r>
        <w:t xml:space="preserve"> sufficient </w:t>
      </w:r>
      <w:r w:rsidR="003F10F2">
        <w:t xml:space="preserve">basis for acceptance of the cost-effectiveness of risdiplam in populations 2 and 3. </w:t>
      </w:r>
    </w:p>
    <w:p w14:paraId="6AD98AE6" w14:textId="77777777" w:rsidR="0051651F" w:rsidRPr="003F10F2" w:rsidRDefault="00955DAC" w:rsidP="004C4C59">
      <w:pPr>
        <w:pStyle w:val="3-BodyText"/>
        <w:snapToGrid w:val="0"/>
        <w:rPr>
          <w:iCs/>
          <w:snapToGrid/>
        </w:rPr>
      </w:pPr>
      <w:r>
        <w:t xml:space="preserve">The PBAC considered that the </w:t>
      </w:r>
      <w:r w:rsidR="00540314">
        <w:t>financial</w:t>
      </w:r>
      <w:r>
        <w:t xml:space="preserve"> estimates for populations 2 and 3 </w:t>
      </w:r>
      <w:r w:rsidR="00540314">
        <w:t>were uncertain and may be underestimated because (1)</w:t>
      </w:r>
      <w:r>
        <w:t xml:space="preserve"> the uptake in population 3 </w:t>
      </w:r>
      <w:r w:rsidR="00540314">
        <w:t>appears to</w:t>
      </w:r>
      <w:r>
        <w:t xml:space="preserve"> be underestimated due to strong patient interest in accessing treatment </w:t>
      </w:r>
      <w:r w:rsidR="00540314">
        <w:t>and (2) t</w:t>
      </w:r>
      <w:r>
        <w:t xml:space="preserve">he submission </w:t>
      </w:r>
      <w:r w:rsidR="00540314">
        <w:t xml:space="preserve">estimates </w:t>
      </w:r>
      <w:r>
        <w:t>only considered patients born after 1975.</w:t>
      </w:r>
    </w:p>
    <w:p w14:paraId="36B28514" w14:textId="77777777" w:rsidR="005A0953" w:rsidRPr="00917415" w:rsidRDefault="003F10F2" w:rsidP="005A0953">
      <w:pPr>
        <w:pStyle w:val="3-BodyText"/>
        <w:spacing w:after="120"/>
        <w:rPr>
          <w:bCs/>
        </w:rPr>
      </w:pPr>
      <w:r>
        <w:rPr>
          <w:lang w:val="en-GB"/>
        </w:rPr>
        <w:t xml:space="preserve">The PBAC </w:t>
      </w:r>
      <w:r w:rsidRPr="009C2BD4">
        <w:rPr>
          <w:lang w:val="en-GB"/>
        </w:rPr>
        <w:t xml:space="preserve">noted that as part of a decision at the November 2020 meeting, a stakeholder meeting for treatments related to SMA was held in December 2020 which included the sponsor of risdiplam. The PBAC </w:t>
      </w:r>
      <w:r w:rsidRPr="009C2BD4">
        <w:t xml:space="preserve">had recommended, </w:t>
      </w:r>
      <w:r w:rsidR="005A0953" w:rsidRPr="00917415">
        <w:t xml:space="preserve">it was in the interests of patients and families, prescribers and payers for a decision support analysis </w:t>
      </w:r>
      <w:r w:rsidR="005A0953" w:rsidRPr="00FE17C9">
        <w:rPr>
          <w:lang w:val="en-GB"/>
        </w:rPr>
        <w:t xml:space="preserve">for SMA </w:t>
      </w:r>
      <w:r w:rsidR="005A0953">
        <w:rPr>
          <w:lang w:val="en-GB"/>
        </w:rPr>
        <w:t xml:space="preserve">treatment </w:t>
      </w:r>
      <w:r w:rsidR="005A0953" w:rsidRPr="00FE17C9">
        <w:rPr>
          <w:lang w:val="en-GB"/>
        </w:rPr>
        <w:t xml:space="preserve">that takes into account all the currently available clinical data and </w:t>
      </w:r>
      <w:r w:rsidR="005A0953">
        <w:rPr>
          <w:lang w:val="en-GB"/>
        </w:rPr>
        <w:t xml:space="preserve">informs a broader </w:t>
      </w:r>
      <w:r w:rsidR="005A0953" w:rsidRPr="00FE17C9">
        <w:rPr>
          <w:lang w:val="en-GB"/>
        </w:rPr>
        <w:t>“whole of disease” economic and financial analyses.</w:t>
      </w:r>
      <w:r w:rsidR="005A0953">
        <w:rPr>
          <w:lang w:val="en-GB"/>
        </w:rPr>
        <w:t xml:space="preserve"> </w:t>
      </w:r>
    </w:p>
    <w:p w14:paraId="79A81CEA" w14:textId="77777777" w:rsidR="003F10F2" w:rsidRPr="009C2BD4" w:rsidRDefault="003F10F2" w:rsidP="003F10F2">
      <w:pPr>
        <w:pStyle w:val="3-BodyText"/>
        <w:rPr>
          <w:lang w:val="en-GB"/>
        </w:rPr>
      </w:pPr>
      <w:r w:rsidRPr="009C2BD4">
        <w:rPr>
          <w:lang w:val="en-GB"/>
        </w:rPr>
        <w:t xml:space="preserve">The PBAC </w:t>
      </w:r>
      <w:r>
        <w:rPr>
          <w:lang w:val="en-GB"/>
        </w:rPr>
        <w:t xml:space="preserve">noted that work with Australian clinicians will continue </w:t>
      </w:r>
      <w:r w:rsidR="0051651F">
        <w:rPr>
          <w:lang w:val="en-GB"/>
        </w:rPr>
        <w:t xml:space="preserve">in an effort to progress the available evidence in this population based on clinical experience and registry data. </w:t>
      </w:r>
    </w:p>
    <w:p w14:paraId="416A363E" w14:textId="77777777" w:rsidR="0051651F" w:rsidRPr="00540314" w:rsidRDefault="0051651F" w:rsidP="00540314">
      <w:pPr>
        <w:pStyle w:val="3-BodyText"/>
        <w:rPr>
          <w:lang w:val="en-GB"/>
        </w:rPr>
      </w:pPr>
      <w:r w:rsidRPr="00C6512B">
        <w:rPr>
          <w:lang w:val="en-GB"/>
        </w:rPr>
        <w:t xml:space="preserve">The PBAC considered a resubmission for </w:t>
      </w:r>
      <w:r>
        <w:rPr>
          <w:lang w:val="en-GB"/>
        </w:rPr>
        <w:t>risdiplam</w:t>
      </w:r>
      <w:r w:rsidRPr="00C6512B">
        <w:rPr>
          <w:lang w:val="en-GB"/>
        </w:rPr>
        <w:t xml:space="preserve"> should address the </w:t>
      </w:r>
      <w:r w:rsidR="00540314">
        <w:rPr>
          <w:lang w:val="en-GB"/>
        </w:rPr>
        <w:t xml:space="preserve">lack of evidence to support the efficacy of risdiplam in populations 2 and 3. </w:t>
      </w:r>
      <w:r w:rsidRPr="00540314">
        <w:rPr>
          <w:lang w:val="en-GB"/>
        </w:rPr>
        <w:t>The resubmission may be lodged at any future standard due date for PBAC submissions using the standard re-entry pathway.</w:t>
      </w:r>
    </w:p>
    <w:p w14:paraId="22AFBE78" w14:textId="77777777" w:rsidR="00C23FBC" w:rsidRPr="00525B39" w:rsidRDefault="00C23FBC" w:rsidP="00C23FBC">
      <w:pPr>
        <w:spacing w:before="240"/>
        <w:rPr>
          <w:rFonts w:asciiTheme="minorHAnsi" w:hAnsiTheme="minorHAnsi"/>
          <w:b/>
          <w:bCs/>
          <w:lang w:val="en-GB"/>
        </w:rPr>
      </w:pPr>
      <w:r w:rsidRPr="00525B39">
        <w:rPr>
          <w:rFonts w:asciiTheme="minorHAnsi" w:hAnsiTheme="minorHAnsi"/>
          <w:b/>
          <w:bCs/>
          <w:lang w:val="en-GB"/>
        </w:rPr>
        <w:t>Outcome:</w:t>
      </w:r>
    </w:p>
    <w:p w14:paraId="4B2AC22E" w14:textId="77777777" w:rsidR="00C23FBC" w:rsidRDefault="00C23FBC" w:rsidP="00C23FBC">
      <w:r w:rsidRPr="00525B39">
        <w:rPr>
          <w:rFonts w:asciiTheme="minorHAnsi" w:hAnsiTheme="minorHAnsi"/>
          <w:bCs/>
          <w:lang w:val="en-GB"/>
        </w:rPr>
        <w:t xml:space="preserve">Recommended </w:t>
      </w:r>
      <w:r w:rsidR="00917873">
        <w:t xml:space="preserve">for patients </w:t>
      </w:r>
      <w:r w:rsidR="00917873">
        <w:rPr>
          <w:rFonts w:cs="Calibri"/>
        </w:rPr>
        <w:t>≤</w:t>
      </w:r>
      <w:r w:rsidR="00917873">
        <w:t xml:space="preserve">18 years of age at treatment initiation, </w:t>
      </w:r>
      <w:r w:rsidR="00540314">
        <w:t xml:space="preserve">with </w:t>
      </w:r>
      <w:r w:rsidR="00917873">
        <w:t>SMA Type 1, 2 or 3a.</w:t>
      </w:r>
    </w:p>
    <w:p w14:paraId="42684E94" w14:textId="77777777" w:rsidR="00C23FBC" w:rsidRPr="00525B39" w:rsidRDefault="00C23FBC" w:rsidP="000A15C6">
      <w:pPr>
        <w:pStyle w:val="2-SectionHeading"/>
        <w:rPr>
          <w:i/>
          <w:lang w:val="en-GB"/>
        </w:rPr>
      </w:pPr>
      <w:r w:rsidRPr="000A15C6">
        <w:t>Recommended</w:t>
      </w:r>
      <w:r w:rsidRPr="00525B39">
        <w:rPr>
          <w:lang w:val="en-GB"/>
        </w:rPr>
        <w:t xml:space="preserve"> listing</w:t>
      </w:r>
    </w:p>
    <w:p w14:paraId="369B64E0" w14:textId="77777777" w:rsidR="00C23FBC" w:rsidRPr="00525B39" w:rsidRDefault="00C23FBC" w:rsidP="000A15C6">
      <w:pPr>
        <w:pStyle w:val="3-BodyText"/>
      </w:pPr>
      <w:r w:rsidRPr="00525B39">
        <w:t>Add new item</w:t>
      </w:r>
      <w:r w:rsidR="007D373E">
        <w:t>s</w:t>
      </w:r>
      <w:r w:rsidRPr="00525B39">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708"/>
        <w:gridCol w:w="1275"/>
        <w:gridCol w:w="1276"/>
        <w:gridCol w:w="1134"/>
        <w:gridCol w:w="1134"/>
        <w:gridCol w:w="1559"/>
      </w:tblGrid>
      <w:tr w:rsidR="00340FAC" w14:paraId="209072E7" w14:textId="77777777" w:rsidTr="003C43F8">
        <w:trPr>
          <w:cantSplit/>
          <w:trHeight w:val="471"/>
        </w:trPr>
        <w:tc>
          <w:tcPr>
            <w:tcW w:w="2689" w:type="dxa"/>
            <w:gridSpan w:val="2"/>
            <w:tcBorders>
              <w:top w:val="single" w:sz="4" w:space="0" w:color="auto"/>
              <w:left w:val="single" w:sz="4" w:space="0" w:color="auto"/>
              <w:bottom w:val="single" w:sz="4" w:space="0" w:color="auto"/>
              <w:right w:val="single" w:sz="4" w:space="0" w:color="auto"/>
            </w:tcBorders>
            <w:hideMark/>
          </w:tcPr>
          <w:p w14:paraId="0279A871" w14:textId="77777777" w:rsidR="00340FAC" w:rsidRDefault="00340FAC" w:rsidP="003C43F8">
            <w:pPr>
              <w:keepNext/>
              <w:spacing w:line="276" w:lineRule="auto"/>
              <w:ind w:left="-57"/>
              <w:rPr>
                <w:rFonts w:ascii="Arial Narrow" w:hAnsi="Arial Narrow"/>
                <w:b/>
                <w:snapToGrid/>
                <w:sz w:val="18"/>
                <w:szCs w:val="18"/>
              </w:rPr>
            </w:pPr>
            <w:r>
              <w:rPr>
                <w:rFonts w:ascii="Arial Narrow" w:hAnsi="Arial Narrow"/>
                <w:b/>
                <w:sz w:val="18"/>
                <w:szCs w:val="18"/>
              </w:rPr>
              <w:t xml:space="preserve">MEDICINAL PRODUCT </w:t>
            </w:r>
          </w:p>
          <w:p w14:paraId="103F99F8" w14:textId="77777777" w:rsidR="00340FAC" w:rsidRDefault="00340FAC" w:rsidP="003C43F8">
            <w:pPr>
              <w:keepNext/>
              <w:spacing w:line="276" w:lineRule="auto"/>
              <w:ind w:left="-57"/>
              <w:rPr>
                <w:rFonts w:ascii="Arial Narrow" w:hAnsi="Arial Narrow"/>
                <w:b/>
                <w:sz w:val="18"/>
                <w:szCs w:val="18"/>
              </w:rPr>
            </w:pPr>
            <w:r>
              <w:rPr>
                <w:rFonts w:ascii="Arial Narrow" w:hAnsi="Arial Narrow"/>
                <w:b/>
                <w:sz w:val="18"/>
                <w:szCs w:val="18"/>
              </w:rPr>
              <w:t>medicinal product pack</w:t>
            </w:r>
          </w:p>
        </w:tc>
        <w:tc>
          <w:tcPr>
            <w:tcW w:w="1275" w:type="dxa"/>
            <w:tcBorders>
              <w:top w:val="single" w:sz="4" w:space="0" w:color="auto"/>
              <w:left w:val="single" w:sz="4" w:space="0" w:color="auto"/>
              <w:bottom w:val="single" w:sz="4" w:space="0" w:color="auto"/>
              <w:right w:val="single" w:sz="4" w:space="0" w:color="auto"/>
            </w:tcBorders>
            <w:hideMark/>
          </w:tcPr>
          <w:p w14:paraId="73028B4C"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PBS item code</w:t>
            </w:r>
          </w:p>
        </w:tc>
        <w:tc>
          <w:tcPr>
            <w:tcW w:w="1276" w:type="dxa"/>
            <w:tcBorders>
              <w:top w:val="single" w:sz="4" w:space="0" w:color="auto"/>
              <w:left w:val="single" w:sz="4" w:space="0" w:color="auto"/>
              <w:bottom w:val="single" w:sz="4" w:space="0" w:color="auto"/>
              <w:right w:val="single" w:sz="4" w:space="0" w:color="auto"/>
            </w:tcBorders>
            <w:hideMark/>
          </w:tcPr>
          <w:p w14:paraId="43A6C909"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Max. qty packs</w:t>
            </w:r>
          </w:p>
        </w:tc>
        <w:tc>
          <w:tcPr>
            <w:tcW w:w="1134" w:type="dxa"/>
            <w:tcBorders>
              <w:top w:val="single" w:sz="4" w:space="0" w:color="auto"/>
              <w:left w:val="single" w:sz="4" w:space="0" w:color="auto"/>
              <w:bottom w:val="single" w:sz="4" w:space="0" w:color="auto"/>
              <w:right w:val="single" w:sz="4" w:space="0" w:color="auto"/>
            </w:tcBorders>
            <w:hideMark/>
          </w:tcPr>
          <w:p w14:paraId="707B43CB"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Max. qty units</w:t>
            </w:r>
          </w:p>
        </w:tc>
        <w:tc>
          <w:tcPr>
            <w:tcW w:w="1134" w:type="dxa"/>
            <w:tcBorders>
              <w:top w:val="single" w:sz="4" w:space="0" w:color="auto"/>
              <w:left w:val="single" w:sz="4" w:space="0" w:color="auto"/>
              <w:bottom w:val="single" w:sz="4" w:space="0" w:color="auto"/>
              <w:right w:val="single" w:sz="4" w:space="0" w:color="auto"/>
            </w:tcBorders>
            <w:hideMark/>
          </w:tcPr>
          <w:p w14:paraId="43E4C7AB"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№.of</w:t>
            </w:r>
          </w:p>
          <w:p w14:paraId="3ACCCDF4"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Rpts</w:t>
            </w:r>
          </w:p>
        </w:tc>
        <w:tc>
          <w:tcPr>
            <w:tcW w:w="1559" w:type="dxa"/>
            <w:tcBorders>
              <w:top w:val="single" w:sz="4" w:space="0" w:color="auto"/>
              <w:left w:val="single" w:sz="4" w:space="0" w:color="auto"/>
              <w:bottom w:val="single" w:sz="4" w:space="0" w:color="auto"/>
              <w:right w:val="single" w:sz="4" w:space="0" w:color="auto"/>
            </w:tcBorders>
            <w:hideMark/>
          </w:tcPr>
          <w:p w14:paraId="5E05D385" w14:textId="77777777" w:rsidR="00340FAC" w:rsidRDefault="00340FAC" w:rsidP="003C43F8">
            <w:pPr>
              <w:keepNext/>
              <w:spacing w:line="276" w:lineRule="auto"/>
              <w:rPr>
                <w:rFonts w:ascii="Arial Narrow" w:hAnsi="Arial Narrow"/>
                <w:b/>
                <w:sz w:val="18"/>
                <w:szCs w:val="18"/>
                <w:lang w:val="fr-FR"/>
              </w:rPr>
            </w:pPr>
            <w:r>
              <w:rPr>
                <w:rFonts w:ascii="Arial Narrow" w:hAnsi="Arial Narrow"/>
                <w:b/>
                <w:sz w:val="18"/>
                <w:szCs w:val="18"/>
              </w:rPr>
              <w:t>Available brands</w:t>
            </w:r>
          </w:p>
        </w:tc>
      </w:tr>
      <w:tr w:rsidR="00340FAC" w14:paraId="49E509D0" w14:textId="77777777" w:rsidTr="003C43F8">
        <w:trPr>
          <w:cantSplit/>
          <w:trHeight w:val="266"/>
        </w:trPr>
        <w:tc>
          <w:tcPr>
            <w:tcW w:w="9067" w:type="dxa"/>
            <w:gridSpan w:val="7"/>
            <w:tcBorders>
              <w:top w:val="single" w:sz="4" w:space="0" w:color="auto"/>
              <w:left w:val="single" w:sz="4" w:space="0" w:color="auto"/>
              <w:bottom w:val="single" w:sz="4" w:space="0" w:color="auto"/>
              <w:right w:val="single" w:sz="4" w:space="0" w:color="auto"/>
            </w:tcBorders>
            <w:hideMark/>
          </w:tcPr>
          <w:p w14:paraId="6094DCBC" w14:textId="77777777" w:rsidR="00340FAC" w:rsidRDefault="00340FAC" w:rsidP="003C43F8">
            <w:pPr>
              <w:keepNext/>
              <w:spacing w:line="276" w:lineRule="auto"/>
              <w:ind w:left="-57"/>
              <w:rPr>
                <w:rFonts w:ascii="Arial Narrow" w:hAnsi="Arial Narrow"/>
                <w:sz w:val="18"/>
                <w:szCs w:val="18"/>
              </w:rPr>
            </w:pPr>
            <w:r>
              <w:rPr>
                <w:rFonts w:ascii="Arial Narrow" w:hAnsi="Arial Narrow"/>
                <w:sz w:val="18"/>
                <w:szCs w:val="18"/>
              </w:rPr>
              <w:t>RISDIPLAM</w:t>
            </w:r>
          </w:p>
        </w:tc>
      </w:tr>
      <w:tr w:rsidR="00340FAC" w14:paraId="166582EE" w14:textId="77777777" w:rsidTr="003C43F8">
        <w:trPr>
          <w:cantSplit/>
          <w:trHeight w:val="413"/>
        </w:trPr>
        <w:tc>
          <w:tcPr>
            <w:tcW w:w="2689" w:type="dxa"/>
            <w:gridSpan w:val="2"/>
            <w:tcBorders>
              <w:top w:val="single" w:sz="4" w:space="0" w:color="auto"/>
              <w:left w:val="single" w:sz="4" w:space="0" w:color="auto"/>
              <w:bottom w:val="single" w:sz="4" w:space="0" w:color="auto"/>
              <w:right w:val="single" w:sz="4" w:space="0" w:color="auto"/>
            </w:tcBorders>
            <w:hideMark/>
          </w:tcPr>
          <w:p w14:paraId="72B65184" w14:textId="77777777" w:rsidR="00340FAC" w:rsidRDefault="00340FAC" w:rsidP="003C43F8">
            <w:pPr>
              <w:keepNext/>
              <w:spacing w:line="276" w:lineRule="auto"/>
              <w:ind w:left="-57"/>
              <w:rPr>
                <w:rFonts w:ascii="Arial Narrow" w:hAnsi="Arial Narrow"/>
                <w:sz w:val="18"/>
                <w:szCs w:val="18"/>
              </w:rPr>
            </w:pPr>
            <w:r>
              <w:rPr>
                <w:rFonts w:ascii="Arial Narrow" w:hAnsi="Arial Narrow"/>
                <w:sz w:val="18"/>
                <w:szCs w:val="18"/>
              </w:rPr>
              <w:t>risdiplam 750 microgram/mL powder for oral liquid, 80 mL</w:t>
            </w:r>
          </w:p>
        </w:tc>
        <w:tc>
          <w:tcPr>
            <w:tcW w:w="1275" w:type="dxa"/>
            <w:tcBorders>
              <w:top w:val="single" w:sz="4" w:space="0" w:color="auto"/>
              <w:left w:val="single" w:sz="4" w:space="0" w:color="auto"/>
              <w:bottom w:val="single" w:sz="4" w:space="0" w:color="auto"/>
              <w:right w:val="single" w:sz="4" w:space="0" w:color="auto"/>
            </w:tcBorders>
            <w:hideMark/>
          </w:tcPr>
          <w:p w14:paraId="576236CE"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NEW (Public)</w:t>
            </w:r>
          </w:p>
          <w:p w14:paraId="6DDD4E6E"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TMP04177</w:t>
            </w:r>
          </w:p>
          <w:p w14:paraId="5E16CABE"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NEW (Private)</w:t>
            </w:r>
          </w:p>
          <w:p w14:paraId="2B6CD3BC"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TMP04178</w:t>
            </w:r>
          </w:p>
        </w:tc>
        <w:tc>
          <w:tcPr>
            <w:tcW w:w="1276" w:type="dxa"/>
            <w:tcBorders>
              <w:top w:val="single" w:sz="4" w:space="0" w:color="auto"/>
              <w:left w:val="single" w:sz="4" w:space="0" w:color="auto"/>
              <w:bottom w:val="single" w:sz="4" w:space="0" w:color="auto"/>
              <w:right w:val="single" w:sz="4" w:space="0" w:color="auto"/>
            </w:tcBorders>
            <w:hideMark/>
          </w:tcPr>
          <w:p w14:paraId="09039EAE"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6AEB2258"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tcPr>
          <w:p w14:paraId="59917F74" w14:textId="77777777" w:rsidR="00340FAC" w:rsidRDefault="00340FAC" w:rsidP="003C43F8">
            <w:pPr>
              <w:keepNext/>
              <w:tabs>
                <w:tab w:val="left" w:pos="136"/>
                <w:tab w:val="center" w:pos="192"/>
              </w:tabs>
              <w:spacing w:line="276" w:lineRule="auto"/>
              <w:jc w:val="center"/>
              <w:rPr>
                <w:rFonts w:ascii="Arial Narrow" w:hAnsi="Arial Narrow"/>
                <w:sz w:val="18"/>
                <w:szCs w:val="18"/>
              </w:rPr>
            </w:pPr>
            <w:r>
              <w:rPr>
                <w:rFonts w:ascii="Arial Narrow" w:hAnsi="Arial Narrow"/>
                <w:sz w:val="18"/>
                <w:szCs w:val="18"/>
              </w:rPr>
              <w:t>0</w:t>
            </w:r>
          </w:p>
          <w:p w14:paraId="3DD37E26" w14:textId="77777777" w:rsidR="00340FAC" w:rsidRDefault="00340FAC" w:rsidP="003C43F8">
            <w:pPr>
              <w:keepNext/>
              <w:spacing w:line="276" w:lineRule="auto"/>
              <w:jc w:val="center"/>
              <w:rPr>
                <w:rFonts w:ascii="Arial Narrow" w:hAnsi="Arial Narrow"/>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59B5F0E" w14:textId="77777777" w:rsidR="00340FAC" w:rsidRDefault="00340FAC" w:rsidP="003C43F8">
            <w:pPr>
              <w:keepNext/>
              <w:spacing w:line="276" w:lineRule="auto"/>
              <w:rPr>
                <w:rFonts w:ascii="Arial Narrow" w:hAnsi="Arial Narrow"/>
                <w:sz w:val="18"/>
                <w:szCs w:val="18"/>
              </w:rPr>
            </w:pPr>
            <w:r>
              <w:rPr>
                <w:rFonts w:ascii="Arial Narrow" w:hAnsi="Arial Narrow"/>
                <w:sz w:val="18"/>
                <w:szCs w:val="18"/>
              </w:rPr>
              <w:t>Evrysdi</w:t>
            </w:r>
          </w:p>
          <w:p w14:paraId="649A8176" w14:textId="77777777" w:rsidR="00340FAC" w:rsidRDefault="00340FAC" w:rsidP="003C43F8">
            <w:pPr>
              <w:keepNext/>
              <w:spacing w:line="276" w:lineRule="auto"/>
              <w:rPr>
                <w:rFonts w:ascii="Arial Narrow" w:hAnsi="Arial Narrow"/>
                <w:sz w:val="18"/>
                <w:szCs w:val="18"/>
              </w:rPr>
            </w:pPr>
          </w:p>
        </w:tc>
      </w:tr>
      <w:tr w:rsidR="00340FAC" w14:paraId="57304460" w14:textId="77777777" w:rsidTr="003C43F8">
        <w:trPr>
          <w:cantSplit/>
          <w:trHeight w:val="70"/>
        </w:trPr>
        <w:tc>
          <w:tcPr>
            <w:tcW w:w="3964" w:type="dxa"/>
            <w:gridSpan w:val="3"/>
            <w:tcBorders>
              <w:top w:val="single" w:sz="4" w:space="0" w:color="auto"/>
              <w:left w:val="single" w:sz="4" w:space="0" w:color="auto"/>
              <w:bottom w:val="single" w:sz="4" w:space="0" w:color="auto"/>
              <w:right w:val="single" w:sz="4" w:space="0" w:color="auto"/>
            </w:tcBorders>
          </w:tcPr>
          <w:p w14:paraId="4F5CAFFD" w14:textId="77777777" w:rsidR="00340FAC" w:rsidRDefault="00340FAC" w:rsidP="003C43F8">
            <w:pPr>
              <w:keepNext/>
              <w:spacing w:line="276" w:lineRule="auto"/>
              <w:jc w:val="center"/>
              <w:rPr>
                <w:rFonts w:ascii="Arial Narrow" w:hAnsi="Arial Narrow"/>
                <w:sz w:val="18"/>
                <w:szCs w:val="18"/>
              </w:rPr>
            </w:pPr>
          </w:p>
        </w:tc>
        <w:tc>
          <w:tcPr>
            <w:tcW w:w="3544" w:type="dxa"/>
            <w:gridSpan w:val="3"/>
            <w:tcBorders>
              <w:top w:val="single" w:sz="4" w:space="0" w:color="auto"/>
              <w:left w:val="single" w:sz="4" w:space="0" w:color="auto"/>
              <w:bottom w:val="single" w:sz="4" w:space="0" w:color="auto"/>
              <w:right w:val="single" w:sz="4" w:space="0" w:color="auto"/>
            </w:tcBorders>
            <w:hideMark/>
          </w:tcPr>
          <w:p w14:paraId="31D85A59" w14:textId="77777777" w:rsidR="00340FAC" w:rsidRDefault="00340FAC" w:rsidP="003C43F8">
            <w:pPr>
              <w:keepNext/>
              <w:tabs>
                <w:tab w:val="left" w:pos="136"/>
                <w:tab w:val="center" w:pos="192"/>
              </w:tabs>
              <w:spacing w:line="276" w:lineRule="auto"/>
              <w:jc w:val="center"/>
              <w:rPr>
                <w:rFonts w:ascii="Arial Narrow" w:hAnsi="Arial Narrow"/>
                <w:sz w:val="18"/>
                <w:szCs w:val="18"/>
              </w:rPr>
            </w:pPr>
            <w:r>
              <w:rPr>
                <w:rFonts w:ascii="Arial Narrow" w:hAnsi="Arial Narrow"/>
                <w:sz w:val="18"/>
                <w:szCs w:val="18"/>
              </w:rPr>
              <w:t>Max.Qty multiplier = 3, Repeat increase: 0</w:t>
            </w:r>
          </w:p>
        </w:tc>
        <w:tc>
          <w:tcPr>
            <w:tcW w:w="1559" w:type="dxa"/>
            <w:tcBorders>
              <w:top w:val="single" w:sz="4" w:space="0" w:color="auto"/>
              <w:left w:val="single" w:sz="4" w:space="0" w:color="auto"/>
              <w:bottom w:val="single" w:sz="4" w:space="0" w:color="auto"/>
              <w:right w:val="single" w:sz="4" w:space="0" w:color="auto"/>
            </w:tcBorders>
          </w:tcPr>
          <w:p w14:paraId="540ECF37" w14:textId="77777777" w:rsidR="00340FAC" w:rsidRDefault="00340FAC" w:rsidP="003C43F8">
            <w:pPr>
              <w:keepNext/>
              <w:spacing w:line="276" w:lineRule="auto"/>
              <w:rPr>
                <w:rFonts w:ascii="Arial Narrow" w:hAnsi="Arial Narrow"/>
                <w:sz w:val="18"/>
                <w:szCs w:val="18"/>
              </w:rPr>
            </w:pPr>
          </w:p>
        </w:tc>
      </w:tr>
      <w:tr w:rsidR="00340FAC" w14:paraId="5302C329" w14:textId="77777777" w:rsidTr="003C43F8">
        <w:tc>
          <w:tcPr>
            <w:tcW w:w="906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BF715" w14:textId="77777777" w:rsidR="00340FAC" w:rsidRDefault="00340FAC" w:rsidP="003C43F8">
            <w:pPr>
              <w:spacing w:line="276" w:lineRule="auto"/>
              <w:rPr>
                <w:rFonts w:ascii="Arial Narrow" w:hAnsi="Arial Narrow"/>
                <w:b/>
                <w:sz w:val="18"/>
                <w:szCs w:val="18"/>
              </w:rPr>
            </w:pPr>
          </w:p>
        </w:tc>
      </w:tr>
      <w:tr w:rsidR="00340FAC" w14:paraId="7B047CAD" w14:textId="77777777" w:rsidTr="003C43F8">
        <w:tc>
          <w:tcPr>
            <w:tcW w:w="98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05D057" w14:textId="77777777" w:rsidR="00340FAC" w:rsidRDefault="00340FAC" w:rsidP="003C43F8">
            <w:pPr>
              <w:spacing w:line="276" w:lineRule="auto"/>
              <w:jc w:val="center"/>
              <w:rPr>
                <w:rFonts w:ascii="Arial Narrow" w:hAnsi="Arial Narrow"/>
                <w:b/>
                <w:sz w:val="18"/>
                <w:szCs w:val="18"/>
              </w:rPr>
            </w:pPr>
            <w:r>
              <w:rPr>
                <w:rFonts w:ascii="Arial Narrow" w:hAnsi="Arial Narrow"/>
                <w:b/>
                <w:sz w:val="18"/>
                <w:szCs w:val="18"/>
              </w:rPr>
              <w:t>Concept ID</w:t>
            </w:r>
          </w:p>
          <w:p w14:paraId="76166847" w14:textId="77777777" w:rsidR="00340FAC" w:rsidRDefault="00340FAC" w:rsidP="003C43F8">
            <w:pPr>
              <w:spacing w:line="276" w:lineRule="auto"/>
              <w:rPr>
                <w:rFonts w:ascii="Arial Narrow" w:hAnsi="Arial Narrow"/>
                <w:sz w:val="18"/>
                <w:szCs w:val="18"/>
              </w:rPr>
            </w:pPr>
          </w:p>
          <w:p w14:paraId="54AB615B" w14:textId="77777777" w:rsidR="00340FAC" w:rsidRDefault="00340FAC" w:rsidP="003C43F8">
            <w:pPr>
              <w:spacing w:line="276" w:lineRule="auto"/>
              <w:jc w:val="center"/>
              <w:rPr>
                <w:rFonts w:ascii="Arial Narrow" w:hAnsi="Arial Narrow"/>
                <w:sz w:val="18"/>
                <w:szCs w:val="18"/>
              </w:rPr>
            </w:pPr>
            <w:r>
              <w:rPr>
                <w:rFonts w:ascii="Arial Narrow" w:hAnsi="Arial Narrow"/>
                <w:sz w:val="18"/>
                <w:szCs w:val="18"/>
              </w:rPr>
              <w:t>(for internal Dept. use)</w:t>
            </w:r>
          </w:p>
          <w:p w14:paraId="4DC2B9BF" w14:textId="77777777" w:rsidR="00340FAC" w:rsidRDefault="00340FAC" w:rsidP="003C43F8">
            <w:pPr>
              <w:spacing w:line="276" w:lineRule="auto"/>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5CBE7C" w14:textId="77777777" w:rsidR="00340FAC" w:rsidRDefault="00340FAC" w:rsidP="003C43F8">
            <w:pPr>
              <w:spacing w:line="276" w:lineRule="auto"/>
              <w:rPr>
                <w:rFonts w:ascii="Arial Narrow" w:hAnsi="Arial Narrow"/>
                <w:sz w:val="18"/>
                <w:szCs w:val="18"/>
              </w:rPr>
            </w:pPr>
            <w:r>
              <w:rPr>
                <w:rFonts w:ascii="Arial Narrow" w:hAnsi="Arial Narrow"/>
                <w:b/>
                <w:sz w:val="18"/>
                <w:szCs w:val="18"/>
              </w:rPr>
              <w:t xml:space="preserve">Category / Program:   </w:t>
            </w:r>
            <w:r>
              <w:rPr>
                <w:rFonts w:ascii="Arial Narrow" w:hAnsi="Arial Narrow"/>
                <w:sz w:val="18"/>
                <w:szCs w:val="18"/>
              </w:rPr>
              <w:t>Section 100 – Highly Specialised Drugs Program  (Public/Private hospitals code)</w:t>
            </w:r>
          </w:p>
        </w:tc>
      </w:tr>
      <w:tr w:rsidR="00340FAC" w14:paraId="0AB430F1" w14:textId="77777777" w:rsidTr="003C43F8">
        <w:trPr>
          <w:trHeight w:val="240"/>
        </w:trPr>
        <w:tc>
          <w:tcPr>
            <w:tcW w:w="981" w:type="dxa"/>
            <w:vMerge/>
            <w:tcBorders>
              <w:top w:val="single" w:sz="4" w:space="0" w:color="auto"/>
              <w:left w:val="single" w:sz="4" w:space="0" w:color="auto"/>
              <w:bottom w:val="single" w:sz="4" w:space="0" w:color="auto"/>
              <w:right w:val="single" w:sz="4" w:space="0" w:color="auto"/>
            </w:tcBorders>
            <w:vAlign w:val="center"/>
            <w:hideMark/>
          </w:tcPr>
          <w:p w14:paraId="762FECAF" w14:textId="77777777" w:rsidR="00340FAC" w:rsidRDefault="00340FAC" w:rsidP="003C43F8">
            <w:pPr>
              <w:widowControl/>
              <w:spacing w:line="276" w:lineRule="auto"/>
              <w:jc w:val="left"/>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97EEE3" w14:textId="77777777" w:rsidR="00340FAC" w:rsidRDefault="00340FAC" w:rsidP="003C43F8">
            <w:pPr>
              <w:spacing w:line="276" w:lineRule="auto"/>
              <w:rPr>
                <w:rFonts w:ascii="Arial Narrow" w:hAnsi="Arial Narrow"/>
                <w:b/>
                <w:sz w:val="18"/>
                <w:szCs w:val="18"/>
              </w:rPr>
            </w:pPr>
            <w:r>
              <w:rPr>
                <w:rFonts w:ascii="Arial Narrow" w:hAnsi="Arial Narrow"/>
                <w:b/>
                <w:sz w:val="18"/>
                <w:szCs w:val="18"/>
              </w:rPr>
              <w:t xml:space="preserve">Prescriber type: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A87B03">
              <w:rPr>
                <w:rFonts w:ascii="Arial Narrow" w:hAnsi="Arial Narrow"/>
                <w:sz w:val="18"/>
                <w:szCs w:val="18"/>
              </w:rPr>
            </w:r>
            <w:r w:rsidR="00A87B03">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Medical Practitioners    </w:t>
            </w:r>
          </w:p>
        </w:tc>
      </w:tr>
      <w:tr w:rsidR="00340FAC" w14:paraId="7D25F16A" w14:textId="77777777" w:rsidTr="003C43F8">
        <w:tc>
          <w:tcPr>
            <w:tcW w:w="981" w:type="dxa"/>
            <w:vMerge/>
            <w:tcBorders>
              <w:top w:val="single" w:sz="4" w:space="0" w:color="auto"/>
              <w:left w:val="single" w:sz="4" w:space="0" w:color="auto"/>
              <w:bottom w:val="single" w:sz="4" w:space="0" w:color="auto"/>
              <w:right w:val="single" w:sz="4" w:space="0" w:color="auto"/>
            </w:tcBorders>
            <w:vAlign w:val="center"/>
            <w:hideMark/>
          </w:tcPr>
          <w:p w14:paraId="3DC6430D" w14:textId="77777777" w:rsidR="00340FAC" w:rsidRDefault="00340FAC" w:rsidP="003C43F8">
            <w:pPr>
              <w:widowControl/>
              <w:spacing w:line="276" w:lineRule="auto"/>
              <w:jc w:val="left"/>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0717B8" w14:textId="77777777" w:rsidR="00340FAC" w:rsidRDefault="00340FAC" w:rsidP="003C43F8">
            <w:pPr>
              <w:spacing w:line="276" w:lineRule="auto"/>
              <w:rPr>
                <w:rFonts w:ascii="Arial Narrow" w:eastAsia="Calibri" w:hAnsi="Arial Narrow"/>
                <w:sz w:val="18"/>
                <w:szCs w:val="18"/>
              </w:rPr>
            </w:pPr>
            <w:r>
              <w:rPr>
                <w:rFonts w:ascii="Arial Narrow" w:hAnsi="Arial Narrow"/>
                <w:b/>
                <w:sz w:val="18"/>
                <w:szCs w:val="18"/>
              </w:rPr>
              <w:t xml:space="preserve">Restriction Type </w:t>
            </w: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A87B03">
              <w:rPr>
                <w:rFonts w:ascii="Arial Narrow" w:eastAsia="Calibri" w:hAnsi="Arial Narrow"/>
                <w:sz w:val="18"/>
                <w:szCs w:val="18"/>
              </w:rPr>
            </w:r>
            <w:r w:rsidR="00A87B03">
              <w:rPr>
                <w:rFonts w:ascii="Arial Narrow" w:eastAsia="Calibri" w:hAnsi="Arial Narrow"/>
                <w:sz w:val="18"/>
                <w:szCs w:val="18"/>
              </w:rPr>
              <w:fldChar w:fldCharType="separate"/>
            </w:r>
            <w:r>
              <w:rPr>
                <w:rFonts w:ascii="Arial Narrow" w:eastAsia="Calibri" w:hAnsi="Arial Narrow"/>
                <w:sz w:val="18"/>
                <w:szCs w:val="18"/>
              </w:rPr>
              <w:fldChar w:fldCharType="end"/>
            </w:r>
            <w:r>
              <w:rPr>
                <w:rFonts w:ascii="Arial Narrow" w:eastAsia="Calibri" w:hAnsi="Arial Narrow"/>
                <w:sz w:val="18"/>
                <w:szCs w:val="18"/>
              </w:rPr>
              <w:t xml:space="preserve">Authority Required – non-immediate/delayed assessment by Services Australia </w:t>
            </w:r>
          </w:p>
        </w:tc>
      </w:tr>
      <w:tr w:rsidR="00340FAC" w14:paraId="42353AD4" w14:textId="77777777" w:rsidTr="003C43F8">
        <w:tc>
          <w:tcPr>
            <w:tcW w:w="98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AB6E36"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AFED73" w14:textId="77777777" w:rsidR="00340FAC" w:rsidRDefault="00340FAC" w:rsidP="003C43F8">
            <w:pPr>
              <w:spacing w:line="276" w:lineRule="auto"/>
              <w:rPr>
                <w:rFonts w:ascii="Arial Narrow" w:hAnsi="Arial Narrow"/>
                <w:bCs/>
                <w:i/>
                <w:sz w:val="18"/>
                <w:szCs w:val="18"/>
                <w:lang w:eastAsia="en-AU"/>
              </w:rPr>
            </w:pPr>
            <w:r>
              <w:rPr>
                <w:rFonts w:ascii="Arial Narrow" w:hAnsi="Arial Narrow"/>
                <w:b/>
                <w:bCs/>
                <w:sz w:val="18"/>
                <w:szCs w:val="18"/>
                <w:lang w:eastAsia="en-AU"/>
              </w:rPr>
              <w:t xml:space="preserve">Episodicity: </w:t>
            </w:r>
            <w:r>
              <w:rPr>
                <w:rFonts w:ascii="Arial Narrow" w:hAnsi="Arial Narrow"/>
                <w:bCs/>
                <w:sz w:val="18"/>
                <w:szCs w:val="18"/>
                <w:lang w:eastAsia="en-AU"/>
              </w:rPr>
              <w:t>Symptomatic</w:t>
            </w:r>
          </w:p>
        </w:tc>
      </w:tr>
      <w:tr w:rsidR="00340FAC" w14:paraId="1B73A5BD" w14:textId="77777777" w:rsidTr="003C43F8">
        <w:tc>
          <w:tcPr>
            <w:tcW w:w="981" w:type="dxa"/>
            <w:vMerge/>
            <w:tcBorders>
              <w:top w:val="single" w:sz="4" w:space="0" w:color="auto"/>
              <w:left w:val="single" w:sz="4" w:space="0" w:color="auto"/>
              <w:bottom w:val="single" w:sz="4" w:space="0" w:color="auto"/>
              <w:right w:val="single" w:sz="4" w:space="0" w:color="auto"/>
            </w:tcBorders>
            <w:vAlign w:val="center"/>
            <w:hideMark/>
          </w:tcPr>
          <w:p w14:paraId="0F1EBFFE" w14:textId="77777777" w:rsidR="00340FAC" w:rsidRDefault="00340FAC" w:rsidP="003C43F8">
            <w:pPr>
              <w:widowControl/>
              <w:spacing w:line="276" w:lineRule="auto"/>
              <w:jc w:val="left"/>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B8391C" w14:textId="77777777" w:rsidR="00340FAC" w:rsidRDefault="00340FAC" w:rsidP="003C43F8">
            <w:pPr>
              <w:spacing w:line="276" w:lineRule="auto"/>
              <w:rPr>
                <w:rFonts w:ascii="Arial Narrow" w:hAnsi="Arial Narrow"/>
                <w:b/>
                <w:bCs/>
                <w:sz w:val="18"/>
                <w:szCs w:val="18"/>
                <w:lang w:eastAsia="en-AU"/>
              </w:rPr>
            </w:pPr>
            <w:r>
              <w:rPr>
                <w:rFonts w:ascii="Arial Narrow" w:hAnsi="Arial Narrow"/>
                <w:b/>
                <w:bCs/>
                <w:sz w:val="18"/>
                <w:szCs w:val="18"/>
                <w:lang w:eastAsia="en-AU"/>
              </w:rPr>
              <w:t xml:space="preserve">Severity: </w:t>
            </w:r>
            <w:r>
              <w:rPr>
                <w:rFonts w:ascii="Arial Narrow" w:hAnsi="Arial Narrow"/>
                <w:bCs/>
                <w:sz w:val="18"/>
                <w:szCs w:val="18"/>
                <w:lang w:eastAsia="en-AU"/>
              </w:rPr>
              <w:t>Type I, II or IIIa</w:t>
            </w:r>
            <w:r>
              <w:rPr>
                <w:rFonts w:ascii="Arial Narrow" w:hAnsi="Arial Narrow"/>
                <w:bCs/>
                <w:i/>
                <w:sz w:val="18"/>
                <w:szCs w:val="18"/>
                <w:lang w:eastAsia="en-AU"/>
              </w:rPr>
              <w:t xml:space="preserve"> </w:t>
            </w:r>
          </w:p>
        </w:tc>
      </w:tr>
      <w:tr w:rsidR="00340FAC" w14:paraId="57314EDA" w14:textId="77777777" w:rsidTr="003C43F8">
        <w:tc>
          <w:tcPr>
            <w:tcW w:w="981" w:type="dxa"/>
            <w:vMerge/>
            <w:tcBorders>
              <w:top w:val="single" w:sz="4" w:space="0" w:color="auto"/>
              <w:left w:val="single" w:sz="4" w:space="0" w:color="auto"/>
              <w:bottom w:val="single" w:sz="4" w:space="0" w:color="auto"/>
              <w:right w:val="single" w:sz="4" w:space="0" w:color="auto"/>
            </w:tcBorders>
            <w:vAlign w:val="center"/>
            <w:hideMark/>
          </w:tcPr>
          <w:p w14:paraId="3EAA10D6" w14:textId="77777777" w:rsidR="00340FAC" w:rsidRDefault="00340FAC" w:rsidP="003C43F8">
            <w:pPr>
              <w:widowControl/>
              <w:spacing w:line="276" w:lineRule="auto"/>
              <w:jc w:val="left"/>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54BF08" w14:textId="77777777" w:rsidR="00340FAC" w:rsidRDefault="00340FAC" w:rsidP="003C43F8">
            <w:pPr>
              <w:spacing w:line="276" w:lineRule="auto"/>
              <w:rPr>
                <w:rFonts w:ascii="Arial Narrow" w:hAnsi="Arial Narrow"/>
                <w:b/>
                <w:bCs/>
                <w:i/>
                <w:sz w:val="18"/>
                <w:szCs w:val="18"/>
                <w:lang w:eastAsia="en-AU"/>
              </w:rPr>
            </w:pPr>
            <w:r>
              <w:rPr>
                <w:rFonts w:ascii="Arial Narrow" w:hAnsi="Arial Narrow"/>
                <w:b/>
                <w:bCs/>
                <w:sz w:val="18"/>
                <w:szCs w:val="18"/>
                <w:lang w:eastAsia="en-AU"/>
              </w:rPr>
              <w:t xml:space="preserve">Condition: </w:t>
            </w:r>
            <w:r>
              <w:rPr>
                <w:rFonts w:ascii="Arial Narrow" w:hAnsi="Arial Narrow"/>
                <w:bCs/>
                <w:sz w:val="18"/>
                <w:szCs w:val="18"/>
                <w:lang w:eastAsia="en-AU"/>
              </w:rPr>
              <w:t>Spinal muscular atrophy (SMA)</w:t>
            </w:r>
          </w:p>
        </w:tc>
      </w:tr>
      <w:tr w:rsidR="00340FAC" w14:paraId="10011952"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AADCD6"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26577</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E6B6D6"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Indication:</w:t>
            </w:r>
            <w:r>
              <w:rPr>
                <w:rFonts w:ascii="Arial Narrow" w:hAnsi="Arial Narrow"/>
                <w:sz w:val="18"/>
                <w:szCs w:val="18"/>
                <w:lang w:eastAsia="en-AU"/>
              </w:rPr>
              <w:t xml:space="preserve"> Symptomatic Type I, II or IIIa spinal muscular atrophy (SMA)</w:t>
            </w:r>
          </w:p>
        </w:tc>
      </w:tr>
      <w:tr w:rsidR="00340FAC" w14:paraId="0C179E18"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350FA5" w14:textId="77777777" w:rsidR="00340FAC" w:rsidRDefault="00340FAC" w:rsidP="003C43F8">
            <w:pP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A5F0E7"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Treatment Phase:</w:t>
            </w:r>
            <w:r>
              <w:rPr>
                <w:rFonts w:ascii="Arial Narrow" w:hAnsi="Arial Narrow"/>
                <w:sz w:val="18"/>
                <w:szCs w:val="18"/>
                <w:lang w:eastAsia="en-AU"/>
              </w:rPr>
              <w:t xml:space="preserve"> Initial treatment </w:t>
            </w:r>
          </w:p>
        </w:tc>
      </w:tr>
      <w:tr w:rsidR="00340FAC" w14:paraId="4124A83C"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18BFD6"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26575</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84224D"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Clinical criteria:</w:t>
            </w:r>
          </w:p>
        </w:tc>
      </w:tr>
      <w:tr w:rsidR="00340FAC" w14:paraId="6BFC448C"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56D6FC" w14:textId="77777777" w:rsidR="00340FAC" w:rsidRDefault="00340FAC" w:rsidP="003C43F8">
            <w:pPr>
              <w:spacing w:line="276" w:lineRule="auto"/>
              <w:jc w:val="center"/>
              <w:rPr>
                <w:rFonts w:ascii="Arial Narrow" w:hAnsi="Arial Narrow" w:cs="Arial Narrow"/>
                <w:iCs/>
                <w:sz w:val="18"/>
                <w:szCs w:val="18"/>
              </w:rPr>
            </w:pPr>
            <w:r>
              <w:rPr>
                <w:rFonts w:ascii="Arial Narrow" w:hAnsi="Arial Narrow" w:cs="Arial Narrow"/>
                <w:iCs/>
                <w:sz w:val="18"/>
                <w:szCs w:val="18"/>
              </w:rPr>
              <w:t>26573</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8240C9"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The condition must have genetic confirmation of 5q homozygous deletion of the survival motor neuron 1 (SMN1) gene; or</w:t>
            </w:r>
          </w:p>
        </w:tc>
      </w:tr>
      <w:tr w:rsidR="00340FAC" w14:paraId="2E60D745"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DE8D6B" w14:textId="77777777" w:rsidR="00340FAC" w:rsidRDefault="00340FAC" w:rsidP="003C43F8">
            <w:pPr>
              <w:spacing w:line="276" w:lineRule="auto"/>
              <w:jc w:val="center"/>
              <w:rPr>
                <w:rFonts w:ascii="Arial Narrow" w:hAnsi="Arial Narrow" w:cs="Arial Narrow"/>
                <w:iCs/>
                <w:sz w:val="18"/>
                <w:szCs w:val="18"/>
              </w:rPr>
            </w:pPr>
            <w:r>
              <w:rPr>
                <w:rFonts w:ascii="Arial Narrow" w:hAnsi="Arial Narrow" w:cs="Arial Narrow"/>
                <w:iCs/>
                <w:sz w:val="18"/>
                <w:szCs w:val="18"/>
              </w:rPr>
              <w:t>26574</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E424B4"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The condition must have genetic confirmation of deletion of one copy of the SMN1 gene in addition to a pathogenic/likely pathogenic variant in the remaining single copy of the SMN1 gene.</w:t>
            </w:r>
          </w:p>
        </w:tc>
      </w:tr>
      <w:tr w:rsidR="00340FAC" w14:paraId="0DDA1C91"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2F4FA7"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0F8E7D" w14:textId="77777777" w:rsidR="00340FAC" w:rsidRDefault="00340FAC" w:rsidP="003C43F8">
            <w:pPr>
              <w:spacing w:line="276" w:lineRule="auto"/>
              <w:rPr>
                <w:rFonts w:ascii="Arial Narrow" w:hAnsi="Arial Narrow" w:cs="Arial Narrow"/>
                <w:b/>
                <w:iCs/>
                <w:sz w:val="18"/>
                <w:szCs w:val="18"/>
              </w:rPr>
            </w:pPr>
            <w:r>
              <w:rPr>
                <w:rFonts w:ascii="Arial Narrow" w:hAnsi="Arial Narrow" w:cs="Arial Narrow"/>
                <w:b/>
                <w:iCs/>
                <w:sz w:val="18"/>
                <w:szCs w:val="18"/>
              </w:rPr>
              <w:t>AND</w:t>
            </w:r>
          </w:p>
        </w:tc>
      </w:tr>
      <w:tr w:rsidR="00340FAC" w14:paraId="2C8CAC1C"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86A146"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22123</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E5AF8D" w14:textId="77777777" w:rsidR="00340FAC" w:rsidRDefault="00340FAC" w:rsidP="003C43F8">
            <w:pPr>
              <w:spacing w:line="276" w:lineRule="auto"/>
              <w:rPr>
                <w:rFonts w:ascii="Arial Narrow" w:hAnsi="Arial Narrow" w:cs="Arial Narrow"/>
                <w:b/>
                <w:iCs/>
                <w:sz w:val="18"/>
                <w:szCs w:val="18"/>
              </w:rPr>
            </w:pPr>
            <w:r>
              <w:rPr>
                <w:rFonts w:ascii="Arial Narrow" w:hAnsi="Arial Narrow" w:cs="Arial Narrow"/>
                <w:b/>
                <w:iCs/>
                <w:sz w:val="18"/>
                <w:szCs w:val="18"/>
              </w:rPr>
              <w:t>Clinical criteria</w:t>
            </w:r>
          </w:p>
        </w:tc>
      </w:tr>
      <w:tr w:rsidR="00340FAC" w14:paraId="05A2233A"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B379A0"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22122</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4DC598"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Patient must have experienced at least two of the defined signs and symptoms of SMA type I, II or IIIa prior to 3 years of age</w:t>
            </w:r>
          </w:p>
        </w:tc>
      </w:tr>
      <w:tr w:rsidR="00340FAC" w14:paraId="12CAE5C0"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2E14BA"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DE074C"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AND</w:t>
            </w:r>
          </w:p>
        </w:tc>
      </w:tr>
      <w:tr w:rsidR="00340FAC" w14:paraId="45147D21"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DCA2E3"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22077</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61916B"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Clinical criteria:</w:t>
            </w:r>
          </w:p>
        </w:tc>
      </w:tr>
      <w:tr w:rsidR="00340FAC" w14:paraId="08EE87DF"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112ADD"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22076</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A62BE4"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The treatment must be given concomitantly with best supportive care for this condition</w:t>
            </w:r>
          </w:p>
        </w:tc>
      </w:tr>
      <w:tr w:rsidR="00340FAC" w14:paraId="150CCAB7"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DF38C6"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91D7B3"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AND</w:t>
            </w:r>
          </w:p>
        </w:tc>
      </w:tr>
      <w:tr w:rsidR="00340FAC" w14:paraId="5CE07AA4"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C99C68"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27580</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821807"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Clinical criteria:</w:t>
            </w:r>
          </w:p>
        </w:tc>
      </w:tr>
      <w:tr w:rsidR="00340FAC" w14:paraId="26FDBFB2"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CDC4F7"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NEW CC1</w:t>
            </w:r>
          </w:p>
          <w:p w14:paraId="3309F3F9"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27579</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E172CC" w14:textId="77777777" w:rsidR="00340FAC" w:rsidRDefault="00340FAC" w:rsidP="003C43F8">
            <w:pPr>
              <w:spacing w:line="276" w:lineRule="auto"/>
              <w:rPr>
                <w:rFonts w:ascii="Arial Narrow" w:hAnsi="Arial Narrow" w:cs="Arial Narrow"/>
                <w:iCs/>
                <w:sz w:val="18"/>
                <w:szCs w:val="18"/>
              </w:rPr>
            </w:pPr>
            <w:r>
              <w:rPr>
                <w:rFonts w:ascii="Arial Narrow" w:hAnsi="Arial Narrow"/>
                <w:sz w:val="18"/>
                <w:szCs w:val="18"/>
                <w:lang w:eastAsia="en-AU"/>
              </w:rPr>
              <w:t>The treatment must not be in combination with PBS-subsidised treatment with nusinersen for this condition</w:t>
            </w:r>
          </w:p>
        </w:tc>
      </w:tr>
      <w:tr w:rsidR="00340FAC" w14:paraId="50083520"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AFE35B"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B21624" w14:textId="77777777" w:rsidR="00340FAC" w:rsidRDefault="00340FAC" w:rsidP="003C43F8">
            <w:pPr>
              <w:spacing w:line="276" w:lineRule="auto"/>
              <w:rPr>
                <w:rFonts w:ascii="Arial Narrow" w:hAnsi="Arial Narrow" w:cstheme="minorHAnsi"/>
                <w:iCs/>
              </w:rPr>
            </w:pPr>
            <w:r>
              <w:rPr>
                <w:rFonts w:ascii="Arial Narrow" w:hAnsi="Arial Narrow"/>
                <w:b/>
                <w:bCs/>
                <w:sz w:val="18"/>
                <w:szCs w:val="18"/>
                <w:lang w:eastAsia="en-AU"/>
              </w:rPr>
              <w:t>AND</w:t>
            </w:r>
          </w:p>
        </w:tc>
      </w:tr>
      <w:tr w:rsidR="00340FAC" w14:paraId="389E6F1A"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EAE27E"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22104</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FFDBC1" w14:textId="77777777" w:rsidR="00340FAC" w:rsidRDefault="00340FAC" w:rsidP="003C43F8">
            <w:pPr>
              <w:spacing w:line="276" w:lineRule="auto"/>
              <w:rPr>
                <w:rFonts w:ascii="Arial Narrow" w:hAnsi="Arial Narrow"/>
                <w:b/>
                <w:bCs/>
                <w:sz w:val="18"/>
                <w:szCs w:val="18"/>
                <w:lang w:eastAsia="en-AU"/>
              </w:rPr>
            </w:pPr>
            <w:r>
              <w:rPr>
                <w:rFonts w:ascii="Arial Narrow" w:hAnsi="Arial Narrow"/>
                <w:b/>
                <w:bCs/>
                <w:sz w:val="18"/>
                <w:szCs w:val="18"/>
                <w:lang w:eastAsia="en-AU"/>
              </w:rPr>
              <w:t>Clinical criteria:</w:t>
            </w:r>
          </w:p>
        </w:tc>
      </w:tr>
      <w:tr w:rsidR="00340FAC" w14:paraId="17C8DB22"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19192E"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 xml:space="preserve">22103  </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E7C04C" w14:textId="77777777" w:rsidR="00340FAC" w:rsidRDefault="00340FAC" w:rsidP="003C43F8">
            <w:pPr>
              <w:spacing w:line="276" w:lineRule="auto"/>
              <w:rPr>
                <w:rFonts w:ascii="Arial Narrow" w:hAnsi="Arial Narrow"/>
                <w:b/>
                <w:bCs/>
                <w:sz w:val="18"/>
                <w:szCs w:val="18"/>
                <w:lang w:eastAsia="en-AU"/>
              </w:rPr>
            </w:pPr>
            <w:r>
              <w:rPr>
                <w:rFonts w:ascii="Arial Narrow" w:hAnsi="Arial Narrow"/>
                <w:sz w:val="18"/>
                <w:szCs w:val="18"/>
                <w:lang w:eastAsia="en-AU"/>
              </w:rPr>
              <w:t>Treatment must be ceased when  invasive permanent assisted ventilation is required in the absence of a potentially reversible cause while being treated with this drug</w:t>
            </w:r>
          </w:p>
        </w:tc>
      </w:tr>
      <w:tr w:rsidR="00340FAC" w14:paraId="365D89FB"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8B71AF"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27587</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95013E" w14:textId="77777777" w:rsidR="00340FAC" w:rsidRDefault="00340FAC" w:rsidP="003C43F8">
            <w:pPr>
              <w:spacing w:line="276" w:lineRule="auto"/>
              <w:rPr>
                <w:rFonts w:ascii="Arial Narrow" w:hAnsi="Arial Narrow"/>
                <w:b/>
                <w:bCs/>
                <w:sz w:val="18"/>
                <w:szCs w:val="18"/>
                <w:lang w:eastAsia="en-AU"/>
              </w:rPr>
            </w:pPr>
            <w:r>
              <w:rPr>
                <w:rFonts w:ascii="Arial Narrow" w:hAnsi="Arial Narrow"/>
                <w:b/>
                <w:bCs/>
                <w:sz w:val="18"/>
                <w:szCs w:val="18"/>
                <w:lang w:eastAsia="en-AU"/>
              </w:rPr>
              <w:t>Treatment criteria:</w:t>
            </w:r>
          </w:p>
        </w:tc>
      </w:tr>
      <w:tr w:rsidR="00340FAC" w14:paraId="468D4584"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832FBC"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NEW 27586</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CB190F" w14:textId="77777777" w:rsidR="00340FAC" w:rsidRDefault="00340FAC" w:rsidP="003C43F8">
            <w:pPr>
              <w:spacing w:line="276" w:lineRule="auto"/>
              <w:rPr>
                <w:rFonts w:ascii="Arial Narrow" w:hAnsi="Arial Narrow"/>
                <w:sz w:val="18"/>
                <w:szCs w:val="18"/>
                <w:lang w:eastAsia="en-AU"/>
              </w:rPr>
            </w:pPr>
            <w:r>
              <w:rPr>
                <w:rFonts w:ascii="Arial Narrow" w:hAnsi="Arial Narrow" w:cs="Arial Narrow"/>
                <w:sz w:val="18"/>
                <w:szCs w:val="18"/>
              </w:rPr>
              <w:t>Must be treated by a specialist medical practitioner experienced in the diagnosis and management of SMA associated with a neuromuscular clinic, or in consultation with a specialist medical practitioner experienced in the diagnosis and management of SMA associated with a neuromuscular clinic.</w:t>
            </w:r>
          </w:p>
        </w:tc>
      </w:tr>
      <w:tr w:rsidR="00340FAC" w14:paraId="0EC67BCC"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B0B68A"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22083</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57A0F3" w14:textId="77777777" w:rsidR="00340FAC" w:rsidRDefault="00340FAC" w:rsidP="003C43F8">
            <w:pPr>
              <w:autoSpaceDE w:val="0"/>
              <w:autoSpaceDN w:val="0"/>
              <w:adjustRightInd w:val="0"/>
              <w:spacing w:line="276" w:lineRule="auto"/>
              <w:rPr>
                <w:rFonts w:ascii="Arial Narrow" w:hAnsi="Arial Narrow" w:cs="Arial Narrow"/>
                <w:i/>
                <w:iCs/>
                <w:sz w:val="20"/>
                <w:szCs w:val="20"/>
              </w:rPr>
            </w:pPr>
            <w:r>
              <w:rPr>
                <w:rFonts w:ascii="Arial Narrow" w:hAnsi="Arial Narrow"/>
                <w:b/>
                <w:bCs/>
                <w:sz w:val="18"/>
                <w:szCs w:val="18"/>
                <w:lang w:eastAsia="en-AU"/>
              </w:rPr>
              <w:t>Population criteria:</w:t>
            </w:r>
          </w:p>
        </w:tc>
      </w:tr>
      <w:tr w:rsidR="00340FAC" w14:paraId="0B780A4E"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87FBC7"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22082</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D2E3C0"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Patient must be 18 years of age or under</w:t>
            </w:r>
          </w:p>
        </w:tc>
      </w:tr>
      <w:tr w:rsidR="00340FAC" w14:paraId="3E6E60DE"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3005BD"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22084</w:t>
            </w:r>
          </w:p>
          <w:p w14:paraId="2858EE5E"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22085</w:t>
            </w:r>
          </w:p>
          <w:p w14:paraId="76BD434B"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22086</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CB8875" w14:textId="77777777" w:rsidR="00340FAC" w:rsidRDefault="00340FAC" w:rsidP="003C43F8">
            <w:pPr>
              <w:spacing w:line="276" w:lineRule="auto"/>
              <w:rPr>
                <w:rFonts w:ascii="Arial Narrow" w:hAnsi="Arial Narrow"/>
                <w:b/>
                <w:bCs/>
                <w:sz w:val="18"/>
                <w:szCs w:val="18"/>
                <w:lang w:eastAsia="en-AU"/>
              </w:rPr>
            </w:pPr>
            <w:r>
              <w:rPr>
                <w:rFonts w:ascii="Arial Narrow" w:hAnsi="Arial Narrow"/>
                <w:b/>
                <w:bCs/>
                <w:sz w:val="18"/>
                <w:szCs w:val="18"/>
                <w:lang w:eastAsia="en-AU"/>
              </w:rPr>
              <w:t>Prescribing Instructions:</w:t>
            </w:r>
          </w:p>
          <w:p w14:paraId="7C3EE637"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Defined signs and symptoms of Type I SMA are:</w:t>
            </w:r>
          </w:p>
          <w:p w14:paraId="1412B389"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 Onset before 6 months of age; and</w:t>
            </w:r>
          </w:p>
          <w:p w14:paraId="2C7E4372"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ii) Failure to meet or regression in ability to perform age-appropriate motor milestones; or</w:t>
            </w:r>
          </w:p>
          <w:p w14:paraId="02EE3A7E"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iii) Proximal weakness; or</w:t>
            </w:r>
          </w:p>
          <w:p w14:paraId="0846B198"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iv) Hypotonia; or</w:t>
            </w:r>
          </w:p>
          <w:p w14:paraId="1B17C214"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 Absence of deep tendon reflexes; or</w:t>
            </w:r>
          </w:p>
          <w:p w14:paraId="797D4A07"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vi) Failure to gain weight appropriate for age; or</w:t>
            </w:r>
          </w:p>
          <w:p w14:paraId="568DD827"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vii) Any active chronic neurogenic changes; or</w:t>
            </w:r>
          </w:p>
          <w:p w14:paraId="1AAA3E17"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viii) A compound muscle action potential below normative values for an age-matched child. </w:t>
            </w:r>
          </w:p>
          <w:p w14:paraId="101CBDBE" w14:textId="77777777" w:rsidR="00340FAC" w:rsidRDefault="00340FAC" w:rsidP="003C43F8">
            <w:pPr>
              <w:spacing w:line="276" w:lineRule="auto"/>
              <w:rPr>
                <w:rFonts w:ascii="Arial Narrow" w:hAnsi="Arial Narrow"/>
                <w:bCs/>
                <w:sz w:val="18"/>
                <w:szCs w:val="18"/>
                <w:lang w:eastAsia="en-AU"/>
              </w:rPr>
            </w:pPr>
          </w:p>
          <w:p w14:paraId="39A7DD24"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Defined signs and symptoms of Type II SMA are:</w:t>
            </w:r>
          </w:p>
          <w:p w14:paraId="77DB93FA"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 Onset between 6 and 18 months of age; and</w:t>
            </w:r>
          </w:p>
          <w:p w14:paraId="3DC8DF39"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ii) Failure to meet or regression in ability to perform age-appropriate motor milestones; or</w:t>
            </w:r>
          </w:p>
          <w:p w14:paraId="5E285BDB"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iii) Proximal weakness; or</w:t>
            </w:r>
          </w:p>
          <w:p w14:paraId="4D58CBB5"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iv) Weakness in trunk righting/derotation; or</w:t>
            </w:r>
          </w:p>
          <w:p w14:paraId="628BAEDA"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 Hypotonia; or</w:t>
            </w:r>
          </w:p>
          <w:p w14:paraId="23BFC1B4"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vi) Absence of deep tendon reflexes; or</w:t>
            </w:r>
          </w:p>
          <w:p w14:paraId="0E76EE6F"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vii) Failure to gain weight appropriate for age; or</w:t>
            </w:r>
          </w:p>
          <w:p w14:paraId="03A5DC37"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viii) Any active chronic neurogenic changes; or</w:t>
            </w:r>
          </w:p>
          <w:p w14:paraId="0CFDCCD3"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ix) A compound muscle action potential below normative values for an age-matched child. </w:t>
            </w:r>
          </w:p>
          <w:p w14:paraId="7FA77FE2" w14:textId="77777777" w:rsidR="00340FAC" w:rsidRDefault="00340FAC" w:rsidP="003C43F8">
            <w:pPr>
              <w:spacing w:line="276" w:lineRule="auto"/>
              <w:rPr>
                <w:rFonts w:ascii="Arial Narrow" w:hAnsi="Arial Narrow"/>
                <w:bCs/>
                <w:sz w:val="18"/>
                <w:szCs w:val="18"/>
                <w:lang w:eastAsia="en-AU"/>
              </w:rPr>
            </w:pPr>
          </w:p>
          <w:p w14:paraId="57E1FB02"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lastRenderedPageBreak/>
              <w:t>Defined signs and symptoms of Type IIIa SMA are:</w:t>
            </w:r>
          </w:p>
          <w:p w14:paraId="136769F3"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 Onset between 18 months and 3 years of age; and</w:t>
            </w:r>
          </w:p>
          <w:p w14:paraId="01584A2D"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ii) Failure to meet or regression in ability to perform age-appropriate motor milestones; or</w:t>
            </w:r>
          </w:p>
          <w:p w14:paraId="33224AFC"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iii) Proximal weakness; or</w:t>
            </w:r>
          </w:p>
          <w:p w14:paraId="45A36696"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iv) Hypotonia; or</w:t>
            </w:r>
          </w:p>
          <w:p w14:paraId="28A360F2"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 Absence of deep tendon reflexes; or</w:t>
            </w:r>
          </w:p>
          <w:p w14:paraId="1ECAFAFC"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vi) Failure to gain weight appropriate for age; or</w:t>
            </w:r>
          </w:p>
          <w:p w14:paraId="6C0B4B91"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vii) Any active chronic neurogenic changes; or</w:t>
            </w:r>
          </w:p>
          <w:p w14:paraId="085EF875" w14:textId="77777777" w:rsidR="00340FAC" w:rsidRDefault="00340FAC" w:rsidP="003C43F8">
            <w:pPr>
              <w:spacing w:line="276" w:lineRule="auto"/>
              <w:rPr>
                <w:rFonts w:ascii="Arial Narrow" w:hAnsi="Arial Narrow" w:cs="Arial Narrow"/>
                <w:iCs/>
                <w:sz w:val="18"/>
                <w:szCs w:val="18"/>
              </w:rPr>
            </w:pPr>
            <w:r>
              <w:rPr>
                <w:rFonts w:ascii="Arial Narrow" w:hAnsi="Arial Narrow"/>
                <w:sz w:val="18"/>
                <w:szCs w:val="18"/>
                <w:lang w:eastAsia="en-AU"/>
              </w:rPr>
              <w:t>viii) A compound muscle action potential below normative values for an age-matched child.</w:t>
            </w:r>
          </w:p>
        </w:tc>
      </w:tr>
      <w:tr w:rsidR="00340FAC" w14:paraId="75218F15"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86FF9D"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lastRenderedPageBreak/>
              <w:t>22105</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08F124" w14:textId="77777777" w:rsidR="00340FAC" w:rsidRDefault="00340FAC" w:rsidP="003C43F8">
            <w:pPr>
              <w:spacing w:line="276" w:lineRule="auto"/>
              <w:rPr>
                <w:rFonts w:ascii="Arial Narrow" w:hAnsi="Arial Narrow"/>
                <w:b/>
                <w:sz w:val="18"/>
                <w:szCs w:val="18"/>
                <w:lang w:eastAsia="en-AU"/>
              </w:rPr>
            </w:pPr>
            <w:r>
              <w:rPr>
                <w:rFonts w:ascii="Arial Narrow" w:hAnsi="Arial Narrow"/>
                <w:b/>
                <w:sz w:val="18"/>
                <w:szCs w:val="18"/>
                <w:lang w:eastAsia="en-AU"/>
              </w:rPr>
              <w:t>Prescribing Instructions:</w:t>
            </w:r>
          </w:p>
          <w:p w14:paraId="7317DA60" w14:textId="77777777" w:rsidR="00340FAC" w:rsidRDefault="00340FAC" w:rsidP="003C43F8">
            <w:pPr>
              <w:spacing w:line="276" w:lineRule="auto"/>
              <w:rPr>
                <w:rFonts w:ascii="Arial Narrow" w:hAnsi="Arial Narrow"/>
                <w:b/>
                <w:bCs/>
                <w:sz w:val="18"/>
                <w:szCs w:val="18"/>
                <w:lang w:eastAsia="en-AU"/>
              </w:rPr>
            </w:pPr>
            <w:r>
              <w:rPr>
                <w:rFonts w:ascii="Arial Narrow" w:hAnsi="Arial Narrow"/>
                <w:sz w:val="18"/>
                <w:szCs w:val="18"/>
                <w:lang w:eastAsia="en-AU"/>
              </w:rPr>
              <w:t>Invasive permanent assisted ventilation means ventilation via tracheostomy tube for greater than or equal to 16 hours per day.</w:t>
            </w:r>
          </w:p>
        </w:tc>
      </w:tr>
      <w:tr w:rsidR="00340FAC" w14:paraId="13F84DD3"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7AFC5C"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26600</w:t>
            </w:r>
          </w:p>
          <w:p w14:paraId="40302645"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FULL</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38FE89" w14:textId="77777777" w:rsidR="00340FAC" w:rsidRDefault="00340FAC" w:rsidP="003C43F8">
            <w:pPr>
              <w:spacing w:line="276" w:lineRule="auto"/>
              <w:rPr>
                <w:rFonts w:ascii="Arial Narrow" w:hAnsi="Arial Narrow" w:cs="Arial Narrow"/>
                <w:b/>
                <w:iCs/>
                <w:sz w:val="18"/>
                <w:szCs w:val="18"/>
              </w:rPr>
            </w:pPr>
            <w:r>
              <w:rPr>
                <w:rFonts w:ascii="Arial Narrow" w:hAnsi="Arial Narrow" w:cs="Arial Narrow"/>
                <w:b/>
                <w:iCs/>
                <w:sz w:val="18"/>
                <w:szCs w:val="18"/>
              </w:rPr>
              <w:t>Prescribing Instructions:</w:t>
            </w:r>
          </w:p>
          <w:p w14:paraId="2F897C9A"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Application for authorisation of initial treatment must be in writing and must include:</w:t>
            </w:r>
          </w:p>
          <w:p w14:paraId="487DE794"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(a) a completed authority prescription form; and</w:t>
            </w:r>
          </w:p>
          <w:p w14:paraId="2129E51F"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(b) a completed Spinal muscular atrophy PBS Authority Application Form which includes the following:</w:t>
            </w:r>
          </w:p>
          <w:p w14:paraId="5F478D42"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i) specification of SMA type (I, II or IIIa); and</w:t>
            </w:r>
          </w:p>
          <w:p w14:paraId="57030341"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(ii) sign(s) and symptom(s) that the patient has experienced; and</w:t>
            </w:r>
          </w:p>
          <w:p w14:paraId="29A0AC22" w14:textId="77777777" w:rsidR="00340FAC" w:rsidRDefault="00340FAC" w:rsidP="003C43F8">
            <w:pPr>
              <w:spacing w:line="276" w:lineRule="auto"/>
              <w:rPr>
                <w:rFonts w:ascii="Arial Narrow" w:hAnsi="Arial Narrow"/>
                <w:b/>
                <w:bCs/>
                <w:sz w:val="18"/>
                <w:szCs w:val="18"/>
                <w:lang w:eastAsia="en-AU"/>
              </w:rPr>
            </w:pPr>
            <w:r>
              <w:rPr>
                <w:rFonts w:ascii="Arial Narrow" w:hAnsi="Arial Narrow" w:cs="Arial Narrow"/>
                <w:iCs/>
                <w:sz w:val="18"/>
                <w:szCs w:val="18"/>
              </w:rPr>
              <w:t>(iii) patient's age at the onset of sign(s) and symptom(s).</w:t>
            </w:r>
          </w:p>
        </w:tc>
      </w:tr>
      <w:tr w:rsidR="00340FAC" w14:paraId="33B1AD54"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CE5758"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25744</w:t>
            </w:r>
          </w:p>
          <w:p w14:paraId="01F98D96"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CAR flag</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B952F6" w14:textId="77777777" w:rsidR="00340FAC" w:rsidRDefault="00340FAC" w:rsidP="003C43F8">
            <w:pPr>
              <w:spacing w:line="276" w:lineRule="auto"/>
              <w:rPr>
                <w:rFonts w:ascii="Arial Narrow" w:hAnsi="Arial Narrow"/>
                <w:b/>
                <w:sz w:val="18"/>
                <w:szCs w:val="18"/>
                <w:lang w:eastAsia="en-AU"/>
              </w:rPr>
            </w:pPr>
            <w:r>
              <w:rPr>
                <w:rFonts w:ascii="Arial Narrow" w:hAnsi="Arial Narrow"/>
                <w:b/>
                <w:sz w:val="18"/>
                <w:szCs w:val="18"/>
                <w:lang w:eastAsia="en-AU"/>
              </w:rPr>
              <w:t>Administrative Advice:</w:t>
            </w:r>
          </w:p>
          <w:p w14:paraId="29B08C4D"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Any queries concerning the arrangements to prescribe may be directed to Services Australia on 1800 700 270 (hours of operation 8 a.m. to 5 p.m. EST Monday to Friday).</w:t>
            </w:r>
          </w:p>
          <w:p w14:paraId="750323C9" w14:textId="77777777" w:rsidR="00340FAC" w:rsidRDefault="00340FAC" w:rsidP="003C43F8">
            <w:pPr>
              <w:spacing w:line="276" w:lineRule="auto"/>
              <w:rPr>
                <w:rFonts w:ascii="Arial Narrow" w:hAnsi="Arial Narrow"/>
                <w:sz w:val="18"/>
                <w:szCs w:val="18"/>
                <w:lang w:eastAsia="en-AU"/>
              </w:rPr>
            </w:pPr>
          </w:p>
          <w:p w14:paraId="1480D09B"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 xml:space="preserve">Prescribing information (including Authority Application forms and other relevant documentation as applicable) is available on the Services Australia website at www.servicesaustralia.gov.au, </w:t>
            </w:r>
          </w:p>
          <w:p w14:paraId="2CCF8414" w14:textId="77777777" w:rsidR="00340FAC" w:rsidRDefault="00340FAC" w:rsidP="003C43F8">
            <w:pPr>
              <w:spacing w:line="276" w:lineRule="auto"/>
              <w:rPr>
                <w:rFonts w:ascii="Arial Narrow" w:hAnsi="Arial Narrow"/>
                <w:sz w:val="18"/>
                <w:szCs w:val="18"/>
                <w:lang w:eastAsia="en-AU"/>
              </w:rPr>
            </w:pPr>
          </w:p>
          <w:p w14:paraId="300ACED4"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 xml:space="preserve">Applications for authority to prescribe should be submitted online using the form upload facility in Health Professional Online Services (HPOS) at </w:t>
            </w:r>
            <w:hyperlink r:id="rId11" w:history="1">
              <w:r>
                <w:rPr>
                  <w:rStyle w:val="Hyperlink"/>
                  <w:rFonts w:ascii="Arial Narrow" w:hAnsi="Arial Narrow"/>
                  <w:sz w:val="18"/>
                  <w:szCs w:val="18"/>
                  <w:lang w:eastAsia="en-AU"/>
                </w:rPr>
                <w:t>www.servicesaustralia.gov.au/hpos</w:t>
              </w:r>
            </w:hyperlink>
            <w:r>
              <w:rPr>
                <w:rFonts w:ascii="Arial Narrow" w:hAnsi="Arial Narrow"/>
                <w:sz w:val="18"/>
                <w:szCs w:val="18"/>
                <w:lang w:eastAsia="en-AU"/>
              </w:rPr>
              <w:t xml:space="preserve">, </w:t>
            </w:r>
          </w:p>
          <w:p w14:paraId="29AD7382" w14:textId="77777777" w:rsidR="00340FAC" w:rsidRDefault="00340FAC" w:rsidP="003C43F8">
            <w:pPr>
              <w:spacing w:line="276" w:lineRule="auto"/>
              <w:rPr>
                <w:rFonts w:ascii="Arial Narrow" w:hAnsi="Arial Narrow"/>
                <w:sz w:val="18"/>
                <w:szCs w:val="18"/>
                <w:lang w:eastAsia="en-AU"/>
              </w:rPr>
            </w:pPr>
          </w:p>
          <w:p w14:paraId="7E35098E"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Or mailed to:</w:t>
            </w:r>
          </w:p>
          <w:p w14:paraId="53BC89CA"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 xml:space="preserve">Services Australia, Complex Drugs, </w:t>
            </w:r>
          </w:p>
          <w:p w14:paraId="02FEF84F"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 xml:space="preserve">Reply Paid 9826, </w:t>
            </w:r>
          </w:p>
          <w:p w14:paraId="0A888DB9" w14:textId="77777777" w:rsidR="00340FAC" w:rsidRDefault="00340FAC" w:rsidP="003C43F8">
            <w:pPr>
              <w:widowControl/>
              <w:spacing w:line="276" w:lineRule="auto"/>
              <w:textAlignment w:val="baseline"/>
              <w:rPr>
                <w:rFonts w:ascii="Arial Narrow" w:hAnsi="Arial Narrow"/>
                <w:b/>
                <w:bCs/>
                <w:sz w:val="18"/>
                <w:szCs w:val="18"/>
                <w:lang w:eastAsia="en-AU"/>
              </w:rPr>
            </w:pPr>
            <w:r>
              <w:rPr>
                <w:rFonts w:ascii="Arial Narrow" w:hAnsi="Arial Narrow"/>
                <w:sz w:val="18"/>
                <w:szCs w:val="18"/>
                <w:lang w:eastAsia="en-AU"/>
              </w:rPr>
              <w:t>HOBART TAS 7001</w:t>
            </w:r>
          </w:p>
        </w:tc>
      </w:tr>
      <w:tr w:rsidR="00340FAC" w14:paraId="6663AFEB"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53460C"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7607</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B32373"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 xml:space="preserve">Administrative Advice: </w:t>
            </w:r>
            <w:r>
              <w:rPr>
                <w:rFonts w:ascii="Arial Narrow" w:hAnsi="Arial Narrow"/>
                <w:sz w:val="18"/>
                <w:szCs w:val="18"/>
                <w:lang w:eastAsia="en-AU"/>
              </w:rPr>
              <w:t>No increase in the maximum number of repeats may be authorised.</w:t>
            </w:r>
          </w:p>
        </w:tc>
      </w:tr>
      <w:tr w:rsidR="00340FAC" w14:paraId="6D09AD06"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60AC9B"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7608</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CA6ECE" w14:textId="77777777" w:rsidR="00340FAC" w:rsidRDefault="00340FAC" w:rsidP="003C43F8">
            <w:pPr>
              <w:spacing w:line="276" w:lineRule="auto"/>
              <w:rPr>
                <w:rFonts w:ascii="Arial Narrow" w:hAnsi="Arial Narrow"/>
                <w:b/>
                <w:sz w:val="18"/>
                <w:szCs w:val="18"/>
                <w:lang w:eastAsia="en-AU"/>
              </w:rPr>
            </w:pPr>
            <w:r>
              <w:rPr>
                <w:rFonts w:ascii="Arial Narrow" w:hAnsi="Arial Narrow"/>
                <w:b/>
                <w:bCs/>
                <w:sz w:val="18"/>
                <w:szCs w:val="18"/>
                <w:lang w:eastAsia="en-AU"/>
              </w:rPr>
              <w:t xml:space="preserve">Administrative Advice: </w:t>
            </w:r>
            <w:r>
              <w:rPr>
                <w:rFonts w:ascii="Arial Narrow" w:hAnsi="Arial Narrow"/>
                <w:sz w:val="18"/>
                <w:szCs w:val="18"/>
                <w:lang w:eastAsia="en-AU"/>
              </w:rPr>
              <w:t>Special Pricing Arrangements apply.</w:t>
            </w:r>
          </w:p>
        </w:tc>
      </w:tr>
    </w:tbl>
    <w:p w14:paraId="273FB75E" w14:textId="77777777" w:rsidR="00340FAC" w:rsidRDefault="00340FAC" w:rsidP="00340FAC">
      <w:pPr>
        <w:widowControl/>
        <w:jc w:val="left"/>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715"/>
        <w:gridCol w:w="1275"/>
        <w:gridCol w:w="1276"/>
        <w:gridCol w:w="1134"/>
        <w:gridCol w:w="1134"/>
        <w:gridCol w:w="1559"/>
      </w:tblGrid>
      <w:tr w:rsidR="00340FAC" w14:paraId="49B880A8" w14:textId="77777777" w:rsidTr="003C43F8">
        <w:trPr>
          <w:cantSplit/>
          <w:trHeight w:val="471"/>
        </w:trPr>
        <w:tc>
          <w:tcPr>
            <w:tcW w:w="2689" w:type="dxa"/>
            <w:gridSpan w:val="2"/>
            <w:tcBorders>
              <w:top w:val="single" w:sz="4" w:space="0" w:color="auto"/>
              <w:left w:val="single" w:sz="4" w:space="0" w:color="auto"/>
              <w:bottom w:val="single" w:sz="4" w:space="0" w:color="auto"/>
              <w:right w:val="single" w:sz="4" w:space="0" w:color="auto"/>
            </w:tcBorders>
            <w:hideMark/>
          </w:tcPr>
          <w:p w14:paraId="526A521C" w14:textId="77777777" w:rsidR="00340FAC" w:rsidRDefault="00340FAC" w:rsidP="003C43F8">
            <w:pPr>
              <w:keepNext/>
              <w:spacing w:line="276" w:lineRule="auto"/>
              <w:ind w:left="-57"/>
              <w:rPr>
                <w:rFonts w:ascii="Arial Narrow" w:hAnsi="Arial Narrow"/>
                <w:b/>
                <w:snapToGrid/>
                <w:sz w:val="18"/>
                <w:szCs w:val="18"/>
              </w:rPr>
            </w:pPr>
            <w:r>
              <w:rPr>
                <w:rFonts w:ascii="Arial Narrow" w:hAnsi="Arial Narrow"/>
                <w:b/>
                <w:sz w:val="18"/>
                <w:szCs w:val="18"/>
              </w:rPr>
              <w:t xml:space="preserve">MEDICINAL PRODUCT </w:t>
            </w:r>
          </w:p>
          <w:p w14:paraId="53DCE884" w14:textId="77777777" w:rsidR="00340FAC" w:rsidRDefault="00340FAC" w:rsidP="003C43F8">
            <w:pPr>
              <w:keepNext/>
              <w:spacing w:line="276" w:lineRule="auto"/>
              <w:ind w:left="-57"/>
              <w:rPr>
                <w:rFonts w:ascii="Arial Narrow" w:hAnsi="Arial Narrow"/>
                <w:b/>
                <w:sz w:val="18"/>
                <w:szCs w:val="18"/>
              </w:rPr>
            </w:pPr>
            <w:r>
              <w:rPr>
                <w:rFonts w:ascii="Arial Narrow" w:hAnsi="Arial Narrow"/>
                <w:b/>
                <w:sz w:val="18"/>
                <w:szCs w:val="18"/>
              </w:rPr>
              <w:t>medicinal product pack</w:t>
            </w:r>
          </w:p>
        </w:tc>
        <w:tc>
          <w:tcPr>
            <w:tcW w:w="1275" w:type="dxa"/>
            <w:tcBorders>
              <w:top w:val="single" w:sz="4" w:space="0" w:color="auto"/>
              <w:left w:val="single" w:sz="4" w:space="0" w:color="auto"/>
              <w:bottom w:val="single" w:sz="4" w:space="0" w:color="auto"/>
              <w:right w:val="single" w:sz="4" w:space="0" w:color="auto"/>
            </w:tcBorders>
            <w:hideMark/>
          </w:tcPr>
          <w:p w14:paraId="5CD102D1"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PBS item code</w:t>
            </w:r>
          </w:p>
        </w:tc>
        <w:tc>
          <w:tcPr>
            <w:tcW w:w="1276" w:type="dxa"/>
            <w:tcBorders>
              <w:top w:val="single" w:sz="4" w:space="0" w:color="auto"/>
              <w:left w:val="single" w:sz="4" w:space="0" w:color="auto"/>
              <w:bottom w:val="single" w:sz="4" w:space="0" w:color="auto"/>
              <w:right w:val="single" w:sz="4" w:space="0" w:color="auto"/>
            </w:tcBorders>
            <w:hideMark/>
          </w:tcPr>
          <w:p w14:paraId="5965F739"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Max. qty packs</w:t>
            </w:r>
          </w:p>
        </w:tc>
        <w:tc>
          <w:tcPr>
            <w:tcW w:w="1134" w:type="dxa"/>
            <w:tcBorders>
              <w:top w:val="single" w:sz="4" w:space="0" w:color="auto"/>
              <w:left w:val="single" w:sz="4" w:space="0" w:color="auto"/>
              <w:bottom w:val="single" w:sz="4" w:space="0" w:color="auto"/>
              <w:right w:val="single" w:sz="4" w:space="0" w:color="auto"/>
            </w:tcBorders>
            <w:hideMark/>
          </w:tcPr>
          <w:p w14:paraId="37CA23BE"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Max. qty units</w:t>
            </w:r>
          </w:p>
        </w:tc>
        <w:tc>
          <w:tcPr>
            <w:tcW w:w="1134" w:type="dxa"/>
            <w:tcBorders>
              <w:top w:val="single" w:sz="4" w:space="0" w:color="auto"/>
              <w:left w:val="single" w:sz="4" w:space="0" w:color="auto"/>
              <w:bottom w:val="single" w:sz="4" w:space="0" w:color="auto"/>
              <w:right w:val="single" w:sz="4" w:space="0" w:color="auto"/>
            </w:tcBorders>
            <w:hideMark/>
          </w:tcPr>
          <w:p w14:paraId="60CA084A"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№.of</w:t>
            </w:r>
          </w:p>
          <w:p w14:paraId="41ACD7AC"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Rpts</w:t>
            </w:r>
          </w:p>
        </w:tc>
        <w:tc>
          <w:tcPr>
            <w:tcW w:w="1559" w:type="dxa"/>
            <w:tcBorders>
              <w:top w:val="single" w:sz="4" w:space="0" w:color="auto"/>
              <w:left w:val="single" w:sz="4" w:space="0" w:color="auto"/>
              <w:bottom w:val="single" w:sz="4" w:space="0" w:color="auto"/>
              <w:right w:val="single" w:sz="4" w:space="0" w:color="auto"/>
            </w:tcBorders>
            <w:hideMark/>
          </w:tcPr>
          <w:p w14:paraId="1EDAC4B1" w14:textId="77777777" w:rsidR="00340FAC" w:rsidRDefault="00340FAC" w:rsidP="003C43F8">
            <w:pPr>
              <w:keepNext/>
              <w:spacing w:line="276" w:lineRule="auto"/>
              <w:rPr>
                <w:rFonts w:ascii="Arial Narrow" w:hAnsi="Arial Narrow"/>
                <w:b/>
                <w:sz w:val="18"/>
                <w:szCs w:val="18"/>
                <w:lang w:val="fr-FR"/>
              </w:rPr>
            </w:pPr>
            <w:r>
              <w:rPr>
                <w:rFonts w:ascii="Arial Narrow" w:hAnsi="Arial Narrow"/>
                <w:b/>
                <w:sz w:val="18"/>
                <w:szCs w:val="18"/>
              </w:rPr>
              <w:t>Available brands</w:t>
            </w:r>
          </w:p>
        </w:tc>
      </w:tr>
      <w:tr w:rsidR="00340FAC" w14:paraId="3877E591" w14:textId="77777777" w:rsidTr="003C43F8">
        <w:trPr>
          <w:cantSplit/>
          <w:trHeight w:val="266"/>
        </w:trPr>
        <w:tc>
          <w:tcPr>
            <w:tcW w:w="9067" w:type="dxa"/>
            <w:gridSpan w:val="7"/>
            <w:tcBorders>
              <w:top w:val="single" w:sz="4" w:space="0" w:color="auto"/>
              <w:left w:val="single" w:sz="4" w:space="0" w:color="auto"/>
              <w:bottom w:val="single" w:sz="4" w:space="0" w:color="auto"/>
              <w:right w:val="single" w:sz="4" w:space="0" w:color="auto"/>
            </w:tcBorders>
            <w:hideMark/>
          </w:tcPr>
          <w:p w14:paraId="462C9C60" w14:textId="77777777" w:rsidR="00340FAC" w:rsidRDefault="00340FAC" w:rsidP="003C43F8">
            <w:pPr>
              <w:keepNext/>
              <w:spacing w:line="276" w:lineRule="auto"/>
              <w:ind w:left="-57"/>
              <w:rPr>
                <w:rFonts w:ascii="Arial Narrow" w:hAnsi="Arial Narrow"/>
                <w:sz w:val="18"/>
                <w:szCs w:val="18"/>
              </w:rPr>
            </w:pPr>
            <w:r>
              <w:rPr>
                <w:rFonts w:ascii="Arial Narrow" w:hAnsi="Arial Narrow"/>
                <w:sz w:val="18"/>
                <w:szCs w:val="18"/>
              </w:rPr>
              <w:t>RISDIPLAM</w:t>
            </w:r>
          </w:p>
        </w:tc>
      </w:tr>
      <w:tr w:rsidR="00340FAC" w14:paraId="57899DE7" w14:textId="77777777" w:rsidTr="003C43F8">
        <w:trPr>
          <w:cantSplit/>
          <w:trHeight w:val="413"/>
        </w:trPr>
        <w:tc>
          <w:tcPr>
            <w:tcW w:w="2689" w:type="dxa"/>
            <w:gridSpan w:val="2"/>
            <w:tcBorders>
              <w:top w:val="single" w:sz="4" w:space="0" w:color="auto"/>
              <w:left w:val="single" w:sz="4" w:space="0" w:color="auto"/>
              <w:bottom w:val="single" w:sz="4" w:space="0" w:color="auto"/>
              <w:right w:val="single" w:sz="4" w:space="0" w:color="auto"/>
            </w:tcBorders>
            <w:hideMark/>
          </w:tcPr>
          <w:p w14:paraId="6AAECB95" w14:textId="77777777" w:rsidR="00340FAC" w:rsidRDefault="00340FAC" w:rsidP="003C43F8">
            <w:pPr>
              <w:keepNext/>
              <w:spacing w:line="276" w:lineRule="auto"/>
              <w:ind w:left="-57"/>
              <w:rPr>
                <w:rFonts w:ascii="Arial Narrow" w:hAnsi="Arial Narrow"/>
                <w:sz w:val="18"/>
                <w:szCs w:val="18"/>
              </w:rPr>
            </w:pPr>
            <w:r>
              <w:rPr>
                <w:rFonts w:ascii="Arial Narrow" w:hAnsi="Arial Narrow"/>
                <w:sz w:val="18"/>
                <w:szCs w:val="18"/>
              </w:rPr>
              <w:t>risdiplam 750 microgram/mL powder for oral liquid, 80 mL</w:t>
            </w:r>
          </w:p>
        </w:tc>
        <w:tc>
          <w:tcPr>
            <w:tcW w:w="1275" w:type="dxa"/>
            <w:tcBorders>
              <w:top w:val="single" w:sz="4" w:space="0" w:color="auto"/>
              <w:left w:val="single" w:sz="4" w:space="0" w:color="auto"/>
              <w:bottom w:val="single" w:sz="4" w:space="0" w:color="auto"/>
              <w:right w:val="single" w:sz="4" w:space="0" w:color="auto"/>
            </w:tcBorders>
            <w:hideMark/>
          </w:tcPr>
          <w:p w14:paraId="4EC50026"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NEW (Public)</w:t>
            </w:r>
          </w:p>
          <w:p w14:paraId="76A396A8"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TMP04179</w:t>
            </w:r>
          </w:p>
          <w:p w14:paraId="7CD79799"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NEW (Private) TMP04180</w:t>
            </w:r>
          </w:p>
        </w:tc>
        <w:tc>
          <w:tcPr>
            <w:tcW w:w="1276" w:type="dxa"/>
            <w:tcBorders>
              <w:top w:val="single" w:sz="4" w:space="0" w:color="auto"/>
              <w:left w:val="single" w:sz="4" w:space="0" w:color="auto"/>
              <w:bottom w:val="single" w:sz="4" w:space="0" w:color="auto"/>
              <w:right w:val="single" w:sz="4" w:space="0" w:color="auto"/>
            </w:tcBorders>
            <w:hideMark/>
          </w:tcPr>
          <w:p w14:paraId="75DFD06D"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264BCB94"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tcPr>
          <w:p w14:paraId="44CDA87C" w14:textId="77777777" w:rsidR="00340FAC" w:rsidRDefault="00340FAC" w:rsidP="003C43F8">
            <w:pPr>
              <w:keepNext/>
              <w:tabs>
                <w:tab w:val="left" w:pos="136"/>
                <w:tab w:val="center" w:pos="192"/>
              </w:tabs>
              <w:spacing w:line="276" w:lineRule="auto"/>
              <w:jc w:val="center"/>
              <w:rPr>
                <w:rFonts w:ascii="Arial Narrow" w:hAnsi="Arial Narrow"/>
                <w:sz w:val="18"/>
                <w:szCs w:val="18"/>
              </w:rPr>
            </w:pPr>
            <w:r>
              <w:rPr>
                <w:rFonts w:ascii="Arial Narrow" w:hAnsi="Arial Narrow"/>
                <w:sz w:val="18"/>
                <w:szCs w:val="18"/>
              </w:rPr>
              <w:t>5</w:t>
            </w:r>
          </w:p>
          <w:p w14:paraId="20C56DF9" w14:textId="77777777" w:rsidR="00340FAC" w:rsidRDefault="00340FAC" w:rsidP="003C43F8">
            <w:pPr>
              <w:keepNext/>
              <w:spacing w:line="276" w:lineRule="auto"/>
              <w:jc w:val="center"/>
              <w:rPr>
                <w:rFonts w:ascii="Arial Narrow" w:hAnsi="Arial Narrow"/>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118A387" w14:textId="77777777" w:rsidR="00340FAC" w:rsidRDefault="00340FAC" w:rsidP="003C43F8">
            <w:pPr>
              <w:keepNext/>
              <w:spacing w:line="276" w:lineRule="auto"/>
              <w:rPr>
                <w:rFonts w:ascii="Arial Narrow" w:hAnsi="Arial Narrow"/>
                <w:sz w:val="18"/>
                <w:szCs w:val="18"/>
              </w:rPr>
            </w:pPr>
            <w:r>
              <w:rPr>
                <w:rFonts w:ascii="Arial Narrow" w:hAnsi="Arial Narrow"/>
                <w:sz w:val="18"/>
                <w:szCs w:val="18"/>
              </w:rPr>
              <w:t>Evrysdi</w:t>
            </w:r>
          </w:p>
          <w:p w14:paraId="3946431E" w14:textId="77777777" w:rsidR="00340FAC" w:rsidRDefault="00340FAC" w:rsidP="003C43F8">
            <w:pPr>
              <w:keepNext/>
              <w:spacing w:line="276" w:lineRule="auto"/>
              <w:rPr>
                <w:rFonts w:ascii="Arial Narrow" w:hAnsi="Arial Narrow"/>
                <w:sz w:val="18"/>
                <w:szCs w:val="18"/>
              </w:rPr>
            </w:pPr>
          </w:p>
        </w:tc>
      </w:tr>
      <w:tr w:rsidR="00340FAC" w14:paraId="6209992D" w14:textId="77777777" w:rsidTr="003C43F8">
        <w:trPr>
          <w:cantSplit/>
          <w:trHeight w:val="87"/>
        </w:trPr>
        <w:tc>
          <w:tcPr>
            <w:tcW w:w="3964" w:type="dxa"/>
            <w:gridSpan w:val="3"/>
            <w:tcBorders>
              <w:top w:val="single" w:sz="4" w:space="0" w:color="auto"/>
              <w:left w:val="single" w:sz="4" w:space="0" w:color="auto"/>
              <w:bottom w:val="single" w:sz="4" w:space="0" w:color="auto"/>
              <w:right w:val="single" w:sz="4" w:space="0" w:color="auto"/>
            </w:tcBorders>
          </w:tcPr>
          <w:p w14:paraId="557B961C" w14:textId="77777777" w:rsidR="00340FAC" w:rsidRDefault="00340FAC" w:rsidP="003C43F8">
            <w:pPr>
              <w:keepNext/>
              <w:spacing w:line="276" w:lineRule="auto"/>
              <w:jc w:val="center"/>
              <w:rPr>
                <w:rFonts w:ascii="Arial Narrow" w:hAnsi="Arial Narrow"/>
                <w:sz w:val="18"/>
                <w:szCs w:val="18"/>
              </w:rPr>
            </w:pPr>
          </w:p>
        </w:tc>
        <w:tc>
          <w:tcPr>
            <w:tcW w:w="3544" w:type="dxa"/>
            <w:gridSpan w:val="3"/>
            <w:tcBorders>
              <w:top w:val="single" w:sz="4" w:space="0" w:color="auto"/>
              <w:left w:val="single" w:sz="4" w:space="0" w:color="auto"/>
              <w:bottom w:val="single" w:sz="4" w:space="0" w:color="auto"/>
              <w:right w:val="single" w:sz="4" w:space="0" w:color="auto"/>
            </w:tcBorders>
            <w:hideMark/>
          </w:tcPr>
          <w:p w14:paraId="013A9F4B" w14:textId="77777777" w:rsidR="00340FAC" w:rsidRDefault="00340FAC" w:rsidP="003C43F8">
            <w:pPr>
              <w:keepNext/>
              <w:tabs>
                <w:tab w:val="left" w:pos="136"/>
                <w:tab w:val="center" w:pos="192"/>
              </w:tabs>
              <w:spacing w:line="276" w:lineRule="auto"/>
              <w:jc w:val="center"/>
              <w:rPr>
                <w:rFonts w:ascii="Arial Narrow" w:hAnsi="Arial Narrow"/>
                <w:sz w:val="18"/>
                <w:szCs w:val="18"/>
              </w:rPr>
            </w:pPr>
            <w:r>
              <w:rPr>
                <w:rFonts w:ascii="Arial Narrow" w:hAnsi="Arial Narrow"/>
                <w:sz w:val="18"/>
                <w:szCs w:val="18"/>
              </w:rPr>
              <w:t>Max.Qty multiplier = 3, Repeat increase: 0</w:t>
            </w:r>
          </w:p>
        </w:tc>
        <w:tc>
          <w:tcPr>
            <w:tcW w:w="1559" w:type="dxa"/>
            <w:tcBorders>
              <w:top w:val="single" w:sz="4" w:space="0" w:color="auto"/>
              <w:left w:val="single" w:sz="4" w:space="0" w:color="auto"/>
              <w:bottom w:val="single" w:sz="4" w:space="0" w:color="auto"/>
              <w:right w:val="single" w:sz="4" w:space="0" w:color="auto"/>
            </w:tcBorders>
          </w:tcPr>
          <w:p w14:paraId="40FDC209" w14:textId="77777777" w:rsidR="00340FAC" w:rsidRDefault="00340FAC" w:rsidP="003C43F8">
            <w:pPr>
              <w:keepNext/>
              <w:spacing w:line="276" w:lineRule="auto"/>
              <w:rPr>
                <w:rFonts w:ascii="Arial Narrow" w:hAnsi="Arial Narrow"/>
                <w:sz w:val="18"/>
                <w:szCs w:val="18"/>
              </w:rPr>
            </w:pPr>
          </w:p>
        </w:tc>
      </w:tr>
      <w:tr w:rsidR="00340FAC" w14:paraId="14ACE928" w14:textId="77777777" w:rsidTr="003C43F8">
        <w:tc>
          <w:tcPr>
            <w:tcW w:w="906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464AB6" w14:textId="77777777" w:rsidR="00340FAC" w:rsidRDefault="00340FAC" w:rsidP="003C43F8">
            <w:pPr>
              <w:spacing w:line="276" w:lineRule="auto"/>
              <w:ind w:right="70"/>
              <w:rPr>
                <w:rFonts w:ascii="Arial Narrow" w:hAnsi="Arial Narrow"/>
                <w:b/>
                <w:sz w:val="18"/>
                <w:szCs w:val="18"/>
              </w:rPr>
            </w:pPr>
          </w:p>
        </w:tc>
      </w:tr>
      <w:tr w:rsidR="00340FAC" w14:paraId="4D0A3FF0" w14:textId="77777777" w:rsidTr="003C43F8">
        <w:tc>
          <w:tcPr>
            <w:tcW w:w="97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79707B" w14:textId="77777777" w:rsidR="00340FAC" w:rsidRDefault="00340FAC" w:rsidP="003C43F8">
            <w:pPr>
              <w:spacing w:line="276" w:lineRule="auto"/>
              <w:jc w:val="center"/>
              <w:rPr>
                <w:rFonts w:ascii="Arial Narrow" w:hAnsi="Arial Narrow"/>
                <w:b/>
                <w:sz w:val="18"/>
                <w:szCs w:val="18"/>
              </w:rPr>
            </w:pPr>
            <w:r>
              <w:rPr>
                <w:rFonts w:ascii="Arial Narrow" w:hAnsi="Arial Narrow"/>
                <w:b/>
                <w:sz w:val="18"/>
                <w:szCs w:val="18"/>
              </w:rPr>
              <w:t>Concept ID</w:t>
            </w:r>
          </w:p>
          <w:p w14:paraId="75DD0D6D" w14:textId="77777777" w:rsidR="00340FAC" w:rsidRDefault="00340FAC" w:rsidP="003C43F8">
            <w:pPr>
              <w:spacing w:line="276" w:lineRule="auto"/>
              <w:rPr>
                <w:rFonts w:ascii="Arial Narrow" w:hAnsi="Arial Narrow"/>
                <w:i/>
                <w:sz w:val="18"/>
                <w:szCs w:val="18"/>
              </w:rPr>
            </w:pPr>
          </w:p>
          <w:p w14:paraId="3C58FA45" w14:textId="77777777" w:rsidR="00340FAC" w:rsidRDefault="00340FAC" w:rsidP="003C43F8">
            <w:pPr>
              <w:spacing w:line="276" w:lineRule="auto"/>
              <w:jc w:val="center"/>
              <w:rPr>
                <w:rFonts w:ascii="Arial Narrow" w:hAnsi="Arial Narrow"/>
                <w:sz w:val="18"/>
                <w:szCs w:val="18"/>
              </w:rPr>
            </w:pPr>
            <w:r>
              <w:rPr>
                <w:rFonts w:ascii="Arial Narrow" w:hAnsi="Arial Narrow"/>
                <w:sz w:val="18"/>
                <w:szCs w:val="18"/>
              </w:rPr>
              <w:t>(for internal Dept. use)</w:t>
            </w:r>
          </w:p>
          <w:p w14:paraId="3C8603A8" w14:textId="77777777" w:rsidR="00340FAC" w:rsidRDefault="00340FAC" w:rsidP="003C43F8">
            <w:pPr>
              <w:spacing w:line="276" w:lineRule="auto"/>
              <w:jc w:val="center"/>
              <w:rPr>
                <w:rFonts w:ascii="Arial Narrow" w:hAnsi="Arial Narrow"/>
                <w:sz w:val="18"/>
                <w:szCs w:val="18"/>
              </w:rPr>
            </w:pP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470EA8" w14:textId="77777777" w:rsidR="00340FAC" w:rsidRDefault="00340FAC" w:rsidP="003C43F8">
            <w:pPr>
              <w:spacing w:line="276" w:lineRule="auto"/>
              <w:rPr>
                <w:rFonts w:ascii="Arial Narrow" w:hAnsi="Arial Narrow"/>
                <w:sz w:val="18"/>
                <w:szCs w:val="18"/>
              </w:rPr>
            </w:pPr>
            <w:r>
              <w:rPr>
                <w:rFonts w:ascii="Arial Narrow" w:hAnsi="Arial Narrow"/>
                <w:b/>
                <w:sz w:val="18"/>
                <w:szCs w:val="18"/>
              </w:rPr>
              <w:t xml:space="preserve">Category / Program:   </w:t>
            </w:r>
            <w:r>
              <w:rPr>
                <w:rFonts w:ascii="Arial Narrow" w:hAnsi="Arial Narrow"/>
                <w:sz w:val="18"/>
                <w:szCs w:val="18"/>
              </w:rPr>
              <w:t>Section 100 – Highly Specialised Drugs Program  (Public/Private hospitals code)</w:t>
            </w:r>
          </w:p>
        </w:tc>
      </w:tr>
      <w:tr w:rsidR="00340FAC" w14:paraId="73840CBD" w14:textId="77777777" w:rsidTr="003C43F8">
        <w:trPr>
          <w:trHeight w:val="240"/>
        </w:trPr>
        <w:tc>
          <w:tcPr>
            <w:tcW w:w="974" w:type="dxa"/>
            <w:vMerge/>
            <w:tcBorders>
              <w:top w:val="single" w:sz="4" w:space="0" w:color="auto"/>
              <w:left w:val="single" w:sz="4" w:space="0" w:color="auto"/>
              <w:bottom w:val="single" w:sz="4" w:space="0" w:color="auto"/>
              <w:right w:val="single" w:sz="4" w:space="0" w:color="auto"/>
            </w:tcBorders>
            <w:vAlign w:val="center"/>
            <w:hideMark/>
          </w:tcPr>
          <w:p w14:paraId="1D43AC3D" w14:textId="77777777" w:rsidR="00340FAC" w:rsidRDefault="00340FAC" w:rsidP="003C43F8">
            <w:pPr>
              <w:widowControl/>
              <w:spacing w:line="276" w:lineRule="auto"/>
              <w:jc w:val="left"/>
              <w:rPr>
                <w:rFonts w:ascii="Arial Narrow" w:hAnsi="Arial Narrow"/>
                <w:sz w:val="18"/>
                <w:szCs w:val="18"/>
              </w:rPr>
            </w:pP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334FAA" w14:textId="77777777" w:rsidR="00340FAC" w:rsidRDefault="00340FAC" w:rsidP="003C43F8">
            <w:pPr>
              <w:spacing w:line="276" w:lineRule="auto"/>
              <w:rPr>
                <w:rFonts w:ascii="Arial Narrow" w:hAnsi="Arial Narrow"/>
                <w:b/>
                <w:sz w:val="18"/>
                <w:szCs w:val="18"/>
              </w:rPr>
            </w:pPr>
            <w:r>
              <w:rPr>
                <w:rFonts w:ascii="Arial Narrow" w:hAnsi="Arial Narrow"/>
                <w:b/>
                <w:sz w:val="18"/>
                <w:szCs w:val="18"/>
              </w:rPr>
              <w:t xml:space="preserve">Prescriber type:   </w:t>
            </w:r>
            <w:r>
              <w:rPr>
                <w:rFonts w:ascii="Arial Narrow" w:hAnsi="Arial Narrow"/>
                <w:sz w:val="18"/>
                <w:szCs w:val="18"/>
              </w:rPr>
              <w:t xml:space="preserv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A87B03">
              <w:rPr>
                <w:rFonts w:ascii="Arial Narrow" w:hAnsi="Arial Narrow"/>
                <w:sz w:val="18"/>
                <w:szCs w:val="18"/>
              </w:rPr>
            </w:r>
            <w:r w:rsidR="00A87B03">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Medical Practitioners    </w:t>
            </w:r>
          </w:p>
        </w:tc>
      </w:tr>
      <w:tr w:rsidR="00340FAC" w14:paraId="24EA3CDE" w14:textId="77777777" w:rsidTr="003C43F8">
        <w:tc>
          <w:tcPr>
            <w:tcW w:w="974" w:type="dxa"/>
            <w:vMerge/>
            <w:tcBorders>
              <w:top w:val="single" w:sz="4" w:space="0" w:color="auto"/>
              <w:left w:val="single" w:sz="4" w:space="0" w:color="auto"/>
              <w:bottom w:val="single" w:sz="4" w:space="0" w:color="auto"/>
              <w:right w:val="single" w:sz="4" w:space="0" w:color="auto"/>
            </w:tcBorders>
            <w:vAlign w:val="center"/>
            <w:hideMark/>
          </w:tcPr>
          <w:p w14:paraId="2BE9A2A7" w14:textId="77777777" w:rsidR="00340FAC" w:rsidRDefault="00340FAC" w:rsidP="003C43F8">
            <w:pPr>
              <w:widowControl/>
              <w:spacing w:line="276" w:lineRule="auto"/>
              <w:jc w:val="left"/>
              <w:rPr>
                <w:rFonts w:ascii="Arial Narrow" w:hAnsi="Arial Narrow"/>
                <w:sz w:val="18"/>
                <w:szCs w:val="18"/>
              </w:rPr>
            </w:pP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119B0A" w14:textId="77777777" w:rsidR="00340FAC" w:rsidRDefault="00340FAC" w:rsidP="003C43F8">
            <w:pPr>
              <w:spacing w:line="276" w:lineRule="auto"/>
              <w:rPr>
                <w:rFonts w:ascii="Arial Narrow" w:hAnsi="Arial Narrow"/>
                <w:b/>
                <w:sz w:val="18"/>
                <w:szCs w:val="18"/>
              </w:rPr>
            </w:pPr>
            <w:r>
              <w:rPr>
                <w:rFonts w:ascii="Arial Narrow" w:hAnsi="Arial Narrow"/>
                <w:b/>
                <w:sz w:val="18"/>
                <w:szCs w:val="18"/>
              </w:rPr>
              <w:t xml:space="preserve">Restriction Type </w:t>
            </w:r>
          </w:p>
          <w:p w14:paraId="67759537" w14:textId="77777777" w:rsidR="00340FAC" w:rsidRDefault="00340FAC" w:rsidP="003C43F8">
            <w:pPr>
              <w:spacing w:line="276" w:lineRule="auto"/>
              <w:rPr>
                <w:rFonts w:ascii="Arial Narrow" w:eastAsia="Calibri" w:hAnsi="Arial Narrow"/>
                <w:sz w:val="18"/>
                <w:szCs w:val="18"/>
              </w:rPr>
            </w:pPr>
            <w:r>
              <w:rPr>
                <w:rFonts w:ascii="Arial Narrow" w:eastAsia="Calibri" w:hAnsi="Arial Narrow"/>
                <w:sz w:val="18"/>
                <w:szCs w:val="18"/>
              </w:rPr>
              <w:fldChar w:fldCharType="begin">
                <w:ffData>
                  <w:name w:val="Check3"/>
                  <w:enabled/>
                  <w:calcOnExit w:val="0"/>
                  <w:checkBox>
                    <w:sizeAuto/>
                    <w:default w:val="1"/>
                  </w:checkBox>
                </w:ffData>
              </w:fldChar>
            </w:r>
            <w:r>
              <w:rPr>
                <w:rFonts w:ascii="Arial Narrow" w:eastAsia="Calibri" w:hAnsi="Arial Narrow"/>
                <w:sz w:val="18"/>
                <w:szCs w:val="18"/>
              </w:rPr>
              <w:instrText xml:space="preserve"> FORMCHECKBOX </w:instrText>
            </w:r>
            <w:r w:rsidR="00A87B03">
              <w:rPr>
                <w:rFonts w:ascii="Arial Narrow" w:eastAsia="Calibri" w:hAnsi="Arial Narrow"/>
                <w:sz w:val="18"/>
                <w:szCs w:val="18"/>
              </w:rPr>
            </w:r>
            <w:r w:rsidR="00A87B03">
              <w:rPr>
                <w:rFonts w:ascii="Arial Narrow" w:eastAsia="Calibri" w:hAnsi="Arial Narrow"/>
                <w:sz w:val="18"/>
                <w:szCs w:val="18"/>
              </w:rPr>
              <w:fldChar w:fldCharType="separate"/>
            </w:r>
            <w:r>
              <w:rPr>
                <w:rFonts w:ascii="Arial Narrow" w:eastAsia="Calibri" w:hAnsi="Arial Narrow"/>
                <w:sz w:val="18"/>
                <w:szCs w:val="18"/>
              </w:rPr>
              <w:fldChar w:fldCharType="end"/>
            </w:r>
            <w:r>
              <w:rPr>
                <w:rFonts w:ascii="Arial Narrow" w:eastAsia="Calibri" w:hAnsi="Arial Narrow"/>
                <w:sz w:val="18"/>
                <w:szCs w:val="18"/>
              </w:rPr>
              <w:t>Authority Required – immediate/real time assessment by Services Australia (telephone/online)</w:t>
            </w:r>
          </w:p>
        </w:tc>
      </w:tr>
      <w:tr w:rsidR="00340FAC" w14:paraId="6A5352A6"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2DDAFA"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26577</w:t>
            </w: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3689D9"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Indication:</w:t>
            </w:r>
            <w:r>
              <w:rPr>
                <w:rFonts w:ascii="Arial Narrow" w:hAnsi="Arial Narrow"/>
                <w:sz w:val="18"/>
                <w:szCs w:val="18"/>
                <w:lang w:eastAsia="en-AU"/>
              </w:rPr>
              <w:t xml:space="preserve"> Symptomatic Type I, II or IIIa spinal muscular atrophy (SMA)</w:t>
            </w:r>
          </w:p>
        </w:tc>
      </w:tr>
      <w:tr w:rsidR="00340FAC" w14:paraId="44E490E0"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969E39" w14:textId="77777777" w:rsidR="00340FAC" w:rsidRDefault="00340FAC" w:rsidP="003C43F8">
            <w:pPr>
              <w:rPr>
                <w:rFonts w:ascii="Arial Narrow" w:hAnsi="Arial Narrow"/>
                <w:sz w:val="18"/>
                <w:szCs w:val="18"/>
                <w:lang w:eastAsia="en-AU"/>
              </w:rPr>
            </w:pP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40A41C"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Treatment Phase:</w:t>
            </w:r>
            <w:r>
              <w:rPr>
                <w:rFonts w:ascii="Arial Narrow" w:hAnsi="Arial Narrow"/>
                <w:sz w:val="18"/>
                <w:szCs w:val="18"/>
                <w:lang w:eastAsia="en-AU"/>
              </w:rPr>
              <w:t xml:space="preserve"> Continuing treatment </w:t>
            </w:r>
          </w:p>
        </w:tc>
      </w:tr>
      <w:tr w:rsidR="00340FAC" w14:paraId="6A52359C"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96BEE4" w14:textId="77777777" w:rsidR="00340FAC" w:rsidRDefault="00340FAC" w:rsidP="003C43F8">
            <w:pPr>
              <w:spacing w:line="276" w:lineRule="auto"/>
              <w:jc w:val="center"/>
              <w:rPr>
                <w:rFonts w:ascii="Arial Narrow" w:hAnsi="Arial Narrow"/>
                <w:strike/>
                <w:sz w:val="18"/>
                <w:szCs w:val="18"/>
                <w:lang w:eastAsia="en-AU"/>
              </w:rPr>
            </w:pPr>
            <w:r>
              <w:rPr>
                <w:rFonts w:ascii="Arial Narrow" w:hAnsi="Arial Narrow"/>
                <w:strike/>
                <w:sz w:val="18"/>
                <w:szCs w:val="18"/>
                <w:lang w:eastAsia="en-AU"/>
              </w:rPr>
              <w:t>11365</w:t>
            </w:r>
          </w:p>
          <w:p w14:paraId="2525D851"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NEW 27600</w:t>
            </w: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E86AB3"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Clinical criteria:</w:t>
            </w:r>
          </w:p>
        </w:tc>
      </w:tr>
      <w:tr w:rsidR="00340FAC" w14:paraId="564B09EF"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DF80AE"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11364</w:t>
            </w:r>
          </w:p>
          <w:p w14:paraId="0F587957" w14:textId="77777777" w:rsidR="00340FAC" w:rsidRDefault="00340FAC" w:rsidP="003C43F8">
            <w:pPr>
              <w:spacing w:line="276" w:lineRule="auto"/>
              <w:jc w:val="center"/>
              <w:rPr>
                <w:rFonts w:ascii="Arial Narrow" w:hAnsi="Arial Narrow"/>
                <w:sz w:val="18"/>
                <w:szCs w:val="18"/>
                <w:lang w:eastAsia="en-AU"/>
              </w:rPr>
            </w:pPr>
          </w:p>
          <w:p w14:paraId="5033C842"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27599</w:t>
            </w: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967B05"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Patient must have previously received PBS-subsidised treatment with this drug for this condition</w:t>
            </w:r>
          </w:p>
          <w:p w14:paraId="40FA5000"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OR</w:t>
            </w:r>
          </w:p>
          <w:p w14:paraId="5DDBDA1A" w14:textId="77777777" w:rsidR="00340FAC" w:rsidRDefault="00340FAC" w:rsidP="003C43F8">
            <w:pPr>
              <w:spacing w:line="276" w:lineRule="auto"/>
              <w:rPr>
                <w:rFonts w:ascii="Arial Narrow" w:hAnsi="Arial Narrow" w:cs="Arial Narrow"/>
                <w:iCs/>
                <w:sz w:val="18"/>
                <w:szCs w:val="18"/>
              </w:rPr>
            </w:pPr>
            <w:r>
              <w:rPr>
                <w:rFonts w:ascii="Arial Narrow" w:hAnsi="Arial Narrow"/>
                <w:sz w:val="18"/>
                <w:szCs w:val="18"/>
                <w:lang w:eastAsia="en-AU"/>
              </w:rPr>
              <w:t xml:space="preserve">Patient must be eligible for continuing PBS-subsidised treatment with nusinersen for this condition. </w:t>
            </w:r>
          </w:p>
        </w:tc>
      </w:tr>
      <w:tr w:rsidR="00340FAC" w14:paraId="1A630CBD"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C904A5" w14:textId="77777777" w:rsidR="00340FAC" w:rsidRDefault="00340FAC" w:rsidP="003C43F8">
            <w:pPr>
              <w:spacing w:line="276" w:lineRule="auto"/>
              <w:jc w:val="center"/>
              <w:rPr>
                <w:rFonts w:ascii="Arial Narrow" w:hAnsi="Arial Narrow"/>
                <w:sz w:val="18"/>
                <w:szCs w:val="18"/>
                <w:lang w:eastAsia="en-AU"/>
              </w:rPr>
            </w:pP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C3FA39"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AND</w:t>
            </w:r>
          </w:p>
        </w:tc>
      </w:tr>
      <w:tr w:rsidR="00340FAC" w14:paraId="31C7DB31"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EC72B1"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27580</w:t>
            </w: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F8EDCE"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Clinical criteria:</w:t>
            </w:r>
          </w:p>
        </w:tc>
      </w:tr>
      <w:tr w:rsidR="00340FAC" w14:paraId="37BDEFE0"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30BB18"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 xml:space="preserve"> NEW CC1</w:t>
            </w:r>
          </w:p>
          <w:p w14:paraId="77866ED1"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27579</w:t>
            </w: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5645BA" w14:textId="77777777" w:rsidR="00340FAC" w:rsidRDefault="00340FAC" w:rsidP="003C43F8">
            <w:pPr>
              <w:spacing w:line="276" w:lineRule="auto"/>
              <w:rPr>
                <w:rFonts w:ascii="Arial Narrow" w:hAnsi="Arial Narrow" w:cs="Arial Narrow"/>
                <w:iCs/>
                <w:sz w:val="18"/>
                <w:szCs w:val="18"/>
              </w:rPr>
            </w:pPr>
            <w:r>
              <w:rPr>
                <w:rFonts w:ascii="Arial Narrow" w:hAnsi="Arial Narrow"/>
                <w:sz w:val="18"/>
                <w:szCs w:val="18"/>
                <w:lang w:eastAsia="en-AU"/>
              </w:rPr>
              <w:t>The treatment must not be in combination with PBS-subsidised treatment with nusinersen for this condition</w:t>
            </w:r>
          </w:p>
        </w:tc>
      </w:tr>
      <w:tr w:rsidR="00340FAC" w14:paraId="52E246ED" w14:textId="77777777" w:rsidTr="003C43F8">
        <w:trPr>
          <w:trHeight w:val="300"/>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A82F3B" w14:textId="77777777" w:rsidR="00340FAC" w:rsidRDefault="00340FAC" w:rsidP="003C43F8">
            <w:pPr>
              <w:spacing w:line="276" w:lineRule="auto"/>
              <w:jc w:val="center"/>
              <w:rPr>
                <w:rFonts w:ascii="Arial Narrow" w:hAnsi="Arial Narrow"/>
                <w:sz w:val="18"/>
                <w:szCs w:val="18"/>
                <w:lang w:eastAsia="en-AU"/>
              </w:rPr>
            </w:pP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28AF85"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AND</w:t>
            </w:r>
          </w:p>
        </w:tc>
      </w:tr>
      <w:tr w:rsidR="00340FAC" w14:paraId="534BACA2"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C7C21F"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22104</w:t>
            </w: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6EF8CE"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Clinical criteria:</w:t>
            </w:r>
          </w:p>
        </w:tc>
      </w:tr>
      <w:tr w:rsidR="00340FAC" w14:paraId="19E3C573"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2AACBA"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22103</w:t>
            </w: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31284D" w14:textId="77777777" w:rsidR="00340FAC" w:rsidRDefault="00340FAC" w:rsidP="003C43F8">
            <w:pPr>
              <w:spacing w:line="276" w:lineRule="auto"/>
              <w:rPr>
                <w:rFonts w:ascii="Arial Narrow" w:hAnsi="Arial Narrow" w:cs="Arial Narrow"/>
                <w:iCs/>
                <w:sz w:val="18"/>
                <w:szCs w:val="18"/>
              </w:rPr>
            </w:pPr>
            <w:r>
              <w:rPr>
                <w:rFonts w:ascii="Arial Narrow" w:hAnsi="Arial Narrow"/>
                <w:sz w:val="18"/>
                <w:szCs w:val="18"/>
                <w:lang w:eastAsia="en-AU"/>
              </w:rPr>
              <w:t>The treatment must be ceased when invasive permanent assisted ventilation is required in the absence of a potentially reversible cause while being treated with this drug</w:t>
            </w:r>
          </w:p>
        </w:tc>
      </w:tr>
      <w:tr w:rsidR="00340FAC" w14:paraId="6BAAEED8"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1A9E73" w14:textId="77777777" w:rsidR="00340FAC" w:rsidRDefault="00340FAC" w:rsidP="003C43F8">
            <w:pPr>
              <w:spacing w:line="276" w:lineRule="auto"/>
              <w:jc w:val="center"/>
              <w:rPr>
                <w:rFonts w:ascii="Arial Narrow" w:hAnsi="Arial Narrow"/>
                <w:sz w:val="18"/>
                <w:szCs w:val="18"/>
                <w:lang w:eastAsia="en-AU"/>
              </w:rPr>
            </w:pP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3D7B2A" w14:textId="77777777" w:rsidR="00340FAC" w:rsidRDefault="00340FAC" w:rsidP="003C43F8">
            <w:pPr>
              <w:spacing w:line="276" w:lineRule="auto"/>
              <w:rPr>
                <w:rFonts w:ascii="Arial Narrow" w:hAnsi="Arial Narrow" w:cstheme="minorHAnsi"/>
                <w:iCs/>
              </w:rPr>
            </w:pPr>
            <w:r>
              <w:rPr>
                <w:rFonts w:ascii="Arial Narrow" w:hAnsi="Arial Narrow"/>
                <w:b/>
                <w:bCs/>
                <w:sz w:val="18"/>
                <w:szCs w:val="18"/>
                <w:lang w:eastAsia="en-AU"/>
              </w:rPr>
              <w:t>AND</w:t>
            </w:r>
          </w:p>
        </w:tc>
      </w:tr>
      <w:tr w:rsidR="00340FAC" w14:paraId="7C40A058"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99C696"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22077</w:t>
            </w: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64348C"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Clinical criteria:</w:t>
            </w:r>
          </w:p>
        </w:tc>
      </w:tr>
      <w:tr w:rsidR="00340FAC" w14:paraId="45216927"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5446BB"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22076</w:t>
            </w: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2A5590"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The treatment must be given concomitantly with best supportive care</w:t>
            </w:r>
            <w:r>
              <w:rPr>
                <w:rFonts w:ascii="Arial Narrow" w:hAnsi="Arial Narrow" w:cs="Arial Narrow"/>
                <w:i/>
                <w:iCs/>
                <w:sz w:val="18"/>
                <w:szCs w:val="18"/>
              </w:rPr>
              <w:t xml:space="preserve"> </w:t>
            </w:r>
            <w:r>
              <w:rPr>
                <w:rFonts w:ascii="Arial Narrow" w:hAnsi="Arial Narrow" w:cs="Arial Narrow"/>
                <w:iCs/>
                <w:sz w:val="18"/>
                <w:szCs w:val="18"/>
              </w:rPr>
              <w:t>for this condition</w:t>
            </w:r>
          </w:p>
        </w:tc>
      </w:tr>
      <w:tr w:rsidR="00340FAC" w14:paraId="1BCCC981"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CBD01D"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27587</w:t>
            </w: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FBC54B"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Treatment criteria:</w:t>
            </w:r>
          </w:p>
        </w:tc>
      </w:tr>
      <w:tr w:rsidR="00340FAC" w14:paraId="03D9D85C"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5B2C10"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NEW 27586</w:t>
            </w: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B61F41" w14:textId="77777777" w:rsidR="00340FAC" w:rsidRDefault="00340FAC" w:rsidP="003C43F8">
            <w:pPr>
              <w:autoSpaceDE w:val="0"/>
              <w:autoSpaceDN w:val="0"/>
              <w:adjustRightInd w:val="0"/>
              <w:spacing w:line="276" w:lineRule="auto"/>
              <w:rPr>
                <w:rFonts w:ascii="Arial Narrow" w:hAnsi="Arial Narrow" w:cs="Arial Narrow"/>
                <w:i/>
                <w:iCs/>
                <w:sz w:val="20"/>
                <w:szCs w:val="20"/>
              </w:rPr>
            </w:pPr>
            <w:r>
              <w:rPr>
                <w:rFonts w:ascii="Arial Narrow" w:hAnsi="Arial Narrow" w:cs="Arial Narrow"/>
                <w:sz w:val="18"/>
                <w:szCs w:val="18"/>
              </w:rPr>
              <w:t>Must be treated by a specialist medical practitioner experienced in the diagnosis and management of SMA associated with a neuromuscular clinic, or in consultation with a specialist medical practitioner experienced in the diagnosis and management of SMA associated with a neuromuscular clinic.</w:t>
            </w:r>
          </w:p>
        </w:tc>
      </w:tr>
      <w:tr w:rsidR="00340FAC" w14:paraId="1AFCC512"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4DE96F"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22105</w:t>
            </w: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012103" w14:textId="77777777" w:rsidR="00340FAC" w:rsidRDefault="00340FAC" w:rsidP="003C43F8">
            <w:pPr>
              <w:spacing w:line="276" w:lineRule="auto"/>
              <w:rPr>
                <w:rFonts w:ascii="Arial Narrow" w:hAnsi="Arial Narrow"/>
                <w:b/>
                <w:sz w:val="18"/>
                <w:szCs w:val="18"/>
                <w:lang w:eastAsia="en-AU"/>
              </w:rPr>
            </w:pPr>
            <w:r>
              <w:rPr>
                <w:rFonts w:ascii="Arial Narrow" w:hAnsi="Arial Narrow"/>
                <w:b/>
                <w:sz w:val="18"/>
                <w:szCs w:val="18"/>
                <w:lang w:eastAsia="en-AU"/>
              </w:rPr>
              <w:t>Prescribing Instructions:</w:t>
            </w:r>
          </w:p>
          <w:p w14:paraId="3D5C5A30"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Invasive permanent assisted ventilation means ventilation via tracheostomy tube for greater than or equal to 16 hours per day.</w:t>
            </w:r>
          </w:p>
        </w:tc>
      </w:tr>
      <w:tr w:rsidR="00340FAC" w14:paraId="7D81FB25"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211103" w14:textId="77777777" w:rsidR="00340FAC" w:rsidRDefault="00340FAC" w:rsidP="003C43F8">
            <w:pPr>
              <w:spacing w:line="276" w:lineRule="auto"/>
              <w:jc w:val="center"/>
              <w:rPr>
                <w:rFonts w:ascii="Arial Narrow" w:hAnsi="Arial Narrow"/>
                <w:sz w:val="18"/>
                <w:szCs w:val="18"/>
                <w:lang w:eastAsia="en-AU"/>
              </w:rPr>
            </w:pP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969941" w14:textId="77777777" w:rsidR="00340FAC" w:rsidRDefault="00340FAC" w:rsidP="003C43F8">
            <w:pPr>
              <w:spacing w:line="276" w:lineRule="auto"/>
              <w:rPr>
                <w:rFonts w:ascii="Arial Narrow" w:hAnsi="Arial Narrow"/>
                <w:b/>
                <w:sz w:val="18"/>
                <w:szCs w:val="18"/>
                <w:lang w:eastAsia="en-AU"/>
              </w:rPr>
            </w:pPr>
            <w:r>
              <w:rPr>
                <w:rFonts w:ascii="Arial Narrow" w:hAnsi="Arial Narrow"/>
                <w:b/>
                <w:sz w:val="18"/>
                <w:szCs w:val="18"/>
                <w:lang w:eastAsia="en-AU"/>
              </w:rPr>
              <w:t>AND</w:t>
            </w:r>
          </w:p>
        </w:tc>
      </w:tr>
      <w:tr w:rsidR="00340FAC" w14:paraId="1696948D"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8CC4E8"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NEW 27609</w:t>
            </w: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6AEBE4" w14:textId="77777777" w:rsidR="00340FAC" w:rsidRDefault="00340FAC" w:rsidP="003C43F8">
            <w:pPr>
              <w:spacing w:line="276" w:lineRule="auto"/>
              <w:rPr>
                <w:rFonts w:ascii="Arial Narrow" w:hAnsi="Arial Narrow"/>
                <w:b/>
                <w:sz w:val="18"/>
                <w:szCs w:val="18"/>
                <w:lang w:eastAsia="en-AU"/>
              </w:rPr>
            </w:pPr>
            <w:r>
              <w:rPr>
                <w:rFonts w:ascii="Arial Narrow" w:hAnsi="Arial Narrow"/>
                <w:b/>
                <w:sz w:val="18"/>
                <w:szCs w:val="18"/>
                <w:lang w:eastAsia="en-AU"/>
              </w:rPr>
              <w:t>Prescribing Instructions:</w:t>
            </w:r>
          </w:p>
          <w:p w14:paraId="15E89486" w14:textId="77777777" w:rsidR="00340FAC" w:rsidRDefault="00340FAC" w:rsidP="003C43F8">
            <w:pPr>
              <w:spacing w:line="276" w:lineRule="auto"/>
              <w:rPr>
                <w:rFonts w:ascii="Arial Narrow" w:hAnsi="Arial Narrow"/>
                <w:b/>
                <w:sz w:val="18"/>
                <w:szCs w:val="18"/>
                <w:lang w:eastAsia="en-AU"/>
              </w:rPr>
            </w:pPr>
            <w:r>
              <w:rPr>
                <w:rFonts w:ascii="Arial Narrow" w:hAnsi="Arial Narrow"/>
                <w:sz w:val="18"/>
                <w:szCs w:val="18"/>
                <w:lang w:eastAsia="en-AU"/>
              </w:rPr>
              <w:t>In a patient who wishes to switch from PBS-subsidised nusinersen to PBS-subsidised risdiplam for this condition a wash out period may be required.</w:t>
            </w:r>
          </w:p>
        </w:tc>
      </w:tr>
      <w:tr w:rsidR="00340FAC" w14:paraId="6D965B8E"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CD9DB8" w14:textId="77777777" w:rsidR="00340FAC" w:rsidRDefault="00340FAC" w:rsidP="003C43F8">
            <w:pPr>
              <w:spacing w:line="276" w:lineRule="auto"/>
              <w:jc w:val="center"/>
              <w:rPr>
                <w:rFonts w:ascii="Arial Narrow" w:hAnsi="Arial Narrow"/>
                <w:bCs/>
                <w:sz w:val="18"/>
                <w:szCs w:val="18"/>
              </w:rPr>
            </w:pPr>
            <w:r>
              <w:rPr>
                <w:rFonts w:ascii="Arial Narrow" w:hAnsi="Arial Narrow"/>
                <w:bCs/>
                <w:sz w:val="18"/>
                <w:szCs w:val="18"/>
              </w:rPr>
              <w:t>25745</w:t>
            </w:r>
          </w:p>
          <w:p w14:paraId="50287409" w14:textId="77777777" w:rsidR="00340FAC" w:rsidRDefault="00340FAC" w:rsidP="003C43F8">
            <w:pPr>
              <w:spacing w:line="276" w:lineRule="auto"/>
              <w:jc w:val="center"/>
              <w:rPr>
                <w:rFonts w:ascii="Arial Narrow" w:hAnsi="Arial Narrow"/>
                <w:bCs/>
                <w:sz w:val="18"/>
                <w:szCs w:val="18"/>
              </w:rPr>
            </w:pPr>
            <w:r>
              <w:rPr>
                <w:rFonts w:ascii="Arial Narrow" w:hAnsi="Arial Narrow"/>
                <w:bCs/>
                <w:sz w:val="18"/>
                <w:szCs w:val="18"/>
              </w:rPr>
              <w:t>CAR flag</w:t>
            </w: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F84F18" w14:textId="77777777" w:rsidR="00340FAC" w:rsidRDefault="00340FAC" w:rsidP="003C43F8">
            <w:pPr>
              <w:spacing w:line="276" w:lineRule="auto"/>
              <w:ind w:left="5" w:hanging="5"/>
              <w:rPr>
                <w:rFonts w:ascii="Arial Narrow" w:hAnsi="Arial Narrow"/>
                <w:b/>
                <w:bCs/>
                <w:sz w:val="18"/>
                <w:szCs w:val="18"/>
              </w:rPr>
            </w:pPr>
            <w:r>
              <w:rPr>
                <w:rFonts w:ascii="Arial Narrow" w:hAnsi="Arial Narrow"/>
                <w:b/>
                <w:bCs/>
                <w:sz w:val="18"/>
                <w:szCs w:val="18"/>
              </w:rPr>
              <w:t>Administrative advice:</w:t>
            </w:r>
          </w:p>
          <w:p w14:paraId="62FF0CAE" w14:textId="77777777" w:rsidR="00340FAC" w:rsidRDefault="00340FAC" w:rsidP="003C43F8">
            <w:pPr>
              <w:spacing w:line="276" w:lineRule="auto"/>
              <w:ind w:left="5"/>
              <w:rPr>
                <w:rFonts w:ascii="Arial Narrow" w:hAnsi="Arial Narrow"/>
                <w:bCs/>
                <w:sz w:val="18"/>
                <w:szCs w:val="18"/>
              </w:rPr>
            </w:pPr>
            <w:r>
              <w:rPr>
                <w:rFonts w:ascii="Arial Narrow" w:hAnsi="Arial Narrow"/>
                <w:bCs/>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340FAC" w14:paraId="638A12CE"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434974"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7607</w:t>
            </w: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65AC25" w14:textId="77777777" w:rsidR="00340FAC" w:rsidRDefault="00340FAC" w:rsidP="003C43F8">
            <w:pPr>
              <w:spacing w:line="276" w:lineRule="auto"/>
              <w:rPr>
                <w:rFonts w:ascii="Arial Narrow" w:hAnsi="Arial Narrow"/>
                <w:b/>
                <w:sz w:val="18"/>
                <w:szCs w:val="18"/>
                <w:lang w:eastAsia="en-AU"/>
              </w:rPr>
            </w:pPr>
            <w:r>
              <w:rPr>
                <w:rFonts w:ascii="Arial Narrow" w:hAnsi="Arial Narrow"/>
                <w:b/>
                <w:bCs/>
                <w:sz w:val="18"/>
                <w:szCs w:val="18"/>
                <w:lang w:eastAsia="en-AU"/>
              </w:rPr>
              <w:t xml:space="preserve">Administrative Advice: </w:t>
            </w:r>
            <w:r>
              <w:rPr>
                <w:rFonts w:ascii="Arial Narrow" w:hAnsi="Arial Narrow"/>
                <w:sz w:val="18"/>
                <w:szCs w:val="18"/>
                <w:lang w:eastAsia="en-AU"/>
              </w:rPr>
              <w:t>No increase in the maximum number of repeats may be authorised.</w:t>
            </w:r>
          </w:p>
        </w:tc>
      </w:tr>
      <w:tr w:rsidR="00340FAC" w14:paraId="1241F80A" w14:textId="77777777" w:rsidTr="003C43F8">
        <w:tc>
          <w:tcPr>
            <w:tcW w:w="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006358"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7608</w:t>
            </w:r>
          </w:p>
        </w:tc>
        <w:tc>
          <w:tcPr>
            <w:tcW w:w="809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F00023"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 xml:space="preserve">Administrative Advice: </w:t>
            </w:r>
            <w:r>
              <w:rPr>
                <w:rFonts w:ascii="Arial Narrow" w:hAnsi="Arial Narrow"/>
                <w:sz w:val="18"/>
                <w:szCs w:val="18"/>
                <w:lang w:eastAsia="en-AU"/>
              </w:rPr>
              <w:t>Special Pricing Arrangements apply.</w:t>
            </w:r>
          </w:p>
        </w:tc>
      </w:tr>
    </w:tbl>
    <w:p w14:paraId="07D54964" w14:textId="77777777" w:rsidR="00340FAC" w:rsidRDefault="00340FAC" w:rsidP="00340FAC">
      <w:pPr>
        <w:widowControl/>
        <w:jc w:val="left"/>
        <w:rPr>
          <w:b/>
        </w:rPr>
      </w:pPr>
    </w:p>
    <w:p w14:paraId="1C6D3152" w14:textId="77777777" w:rsidR="00340FAC" w:rsidRDefault="00340FAC" w:rsidP="00340FAC">
      <w:pPr>
        <w:keepNext/>
        <w:keepLines/>
        <w:rPr>
          <w:rFonts w:ascii="Arial Narrow" w:hAnsi="Arial Narrow"/>
          <w:b/>
          <w:snapToGrid/>
          <w:sz w:val="18"/>
          <w:szCs w:val="18"/>
        </w:rPr>
      </w:pPr>
      <w:r>
        <w:rPr>
          <w:rFonts w:ascii="Arial Narrow" w:hAnsi="Arial Narrow"/>
          <w:b/>
          <w:sz w:val="18"/>
          <w:szCs w:val="18"/>
        </w:rPr>
        <w:t>Grandfather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708"/>
        <w:gridCol w:w="1275"/>
        <w:gridCol w:w="1276"/>
        <w:gridCol w:w="1134"/>
        <w:gridCol w:w="1134"/>
        <w:gridCol w:w="1559"/>
      </w:tblGrid>
      <w:tr w:rsidR="00340FAC" w14:paraId="7B9F74D5" w14:textId="77777777" w:rsidTr="003C43F8">
        <w:trPr>
          <w:cantSplit/>
          <w:trHeight w:val="471"/>
        </w:trPr>
        <w:tc>
          <w:tcPr>
            <w:tcW w:w="2689" w:type="dxa"/>
            <w:gridSpan w:val="2"/>
            <w:tcBorders>
              <w:top w:val="single" w:sz="4" w:space="0" w:color="auto"/>
              <w:left w:val="single" w:sz="4" w:space="0" w:color="auto"/>
              <w:bottom w:val="single" w:sz="4" w:space="0" w:color="auto"/>
              <w:right w:val="single" w:sz="4" w:space="0" w:color="auto"/>
            </w:tcBorders>
            <w:hideMark/>
          </w:tcPr>
          <w:p w14:paraId="2409EA86" w14:textId="77777777" w:rsidR="00340FAC" w:rsidRDefault="00340FAC" w:rsidP="003C43F8">
            <w:pPr>
              <w:keepNext/>
              <w:spacing w:line="276" w:lineRule="auto"/>
              <w:ind w:left="-57"/>
              <w:rPr>
                <w:rFonts w:ascii="Arial Narrow" w:hAnsi="Arial Narrow"/>
                <w:b/>
                <w:sz w:val="18"/>
                <w:szCs w:val="18"/>
              </w:rPr>
            </w:pPr>
            <w:r>
              <w:rPr>
                <w:rFonts w:ascii="Arial Narrow" w:hAnsi="Arial Narrow"/>
                <w:b/>
                <w:sz w:val="18"/>
                <w:szCs w:val="18"/>
              </w:rPr>
              <w:t xml:space="preserve">MEDICINAL PRODUCT </w:t>
            </w:r>
          </w:p>
          <w:p w14:paraId="2B76DCB4" w14:textId="77777777" w:rsidR="00340FAC" w:rsidRDefault="00340FAC" w:rsidP="003C43F8">
            <w:pPr>
              <w:keepNext/>
              <w:spacing w:line="276" w:lineRule="auto"/>
              <w:ind w:left="-57"/>
              <w:rPr>
                <w:rFonts w:ascii="Arial Narrow" w:hAnsi="Arial Narrow"/>
                <w:b/>
                <w:sz w:val="18"/>
                <w:szCs w:val="18"/>
              </w:rPr>
            </w:pPr>
            <w:r>
              <w:rPr>
                <w:rFonts w:ascii="Arial Narrow" w:hAnsi="Arial Narrow"/>
                <w:b/>
                <w:sz w:val="18"/>
                <w:szCs w:val="18"/>
              </w:rPr>
              <w:t>medicinal product pack</w:t>
            </w:r>
          </w:p>
        </w:tc>
        <w:tc>
          <w:tcPr>
            <w:tcW w:w="1275" w:type="dxa"/>
            <w:tcBorders>
              <w:top w:val="single" w:sz="4" w:space="0" w:color="auto"/>
              <w:left w:val="single" w:sz="4" w:space="0" w:color="auto"/>
              <w:bottom w:val="single" w:sz="4" w:space="0" w:color="auto"/>
              <w:right w:val="single" w:sz="4" w:space="0" w:color="auto"/>
            </w:tcBorders>
            <w:hideMark/>
          </w:tcPr>
          <w:p w14:paraId="09FDA233"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PBS item code</w:t>
            </w:r>
          </w:p>
        </w:tc>
        <w:tc>
          <w:tcPr>
            <w:tcW w:w="1276" w:type="dxa"/>
            <w:tcBorders>
              <w:top w:val="single" w:sz="4" w:space="0" w:color="auto"/>
              <w:left w:val="single" w:sz="4" w:space="0" w:color="auto"/>
              <w:bottom w:val="single" w:sz="4" w:space="0" w:color="auto"/>
              <w:right w:val="single" w:sz="4" w:space="0" w:color="auto"/>
            </w:tcBorders>
            <w:hideMark/>
          </w:tcPr>
          <w:p w14:paraId="62442E38"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Max. qty packs</w:t>
            </w:r>
          </w:p>
        </w:tc>
        <w:tc>
          <w:tcPr>
            <w:tcW w:w="1134" w:type="dxa"/>
            <w:tcBorders>
              <w:top w:val="single" w:sz="4" w:space="0" w:color="auto"/>
              <w:left w:val="single" w:sz="4" w:space="0" w:color="auto"/>
              <w:bottom w:val="single" w:sz="4" w:space="0" w:color="auto"/>
              <w:right w:val="single" w:sz="4" w:space="0" w:color="auto"/>
            </w:tcBorders>
            <w:hideMark/>
          </w:tcPr>
          <w:p w14:paraId="6CADF890"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Max. qty units</w:t>
            </w:r>
          </w:p>
        </w:tc>
        <w:tc>
          <w:tcPr>
            <w:tcW w:w="1134" w:type="dxa"/>
            <w:tcBorders>
              <w:top w:val="single" w:sz="4" w:space="0" w:color="auto"/>
              <w:left w:val="single" w:sz="4" w:space="0" w:color="auto"/>
              <w:bottom w:val="single" w:sz="4" w:space="0" w:color="auto"/>
              <w:right w:val="single" w:sz="4" w:space="0" w:color="auto"/>
            </w:tcBorders>
            <w:hideMark/>
          </w:tcPr>
          <w:p w14:paraId="6925A924"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№.of</w:t>
            </w:r>
          </w:p>
          <w:p w14:paraId="64D6BB98"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Rpts</w:t>
            </w:r>
          </w:p>
        </w:tc>
        <w:tc>
          <w:tcPr>
            <w:tcW w:w="1559" w:type="dxa"/>
            <w:tcBorders>
              <w:top w:val="single" w:sz="4" w:space="0" w:color="auto"/>
              <w:left w:val="single" w:sz="4" w:space="0" w:color="auto"/>
              <w:bottom w:val="single" w:sz="4" w:space="0" w:color="auto"/>
              <w:right w:val="single" w:sz="4" w:space="0" w:color="auto"/>
            </w:tcBorders>
            <w:hideMark/>
          </w:tcPr>
          <w:p w14:paraId="1CE7972E" w14:textId="77777777" w:rsidR="00340FAC" w:rsidRDefault="00340FAC" w:rsidP="003C43F8">
            <w:pPr>
              <w:keepNext/>
              <w:spacing w:line="276" w:lineRule="auto"/>
              <w:rPr>
                <w:rFonts w:ascii="Arial Narrow" w:hAnsi="Arial Narrow"/>
                <w:b/>
                <w:sz w:val="18"/>
                <w:szCs w:val="18"/>
                <w:lang w:val="fr-FR"/>
              </w:rPr>
            </w:pPr>
            <w:r>
              <w:rPr>
                <w:rFonts w:ascii="Arial Narrow" w:hAnsi="Arial Narrow"/>
                <w:b/>
                <w:sz w:val="18"/>
                <w:szCs w:val="18"/>
              </w:rPr>
              <w:t>Available brands</w:t>
            </w:r>
          </w:p>
        </w:tc>
      </w:tr>
      <w:tr w:rsidR="00340FAC" w14:paraId="78ED8727" w14:textId="77777777" w:rsidTr="003C43F8">
        <w:trPr>
          <w:cantSplit/>
          <w:trHeight w:val="266"/>
        </w:trPr>
        <w:tc>
          <w:tcPr>
            <w:tcW w:w="9067" w:type="dxa"/>
            <w:gridSpan w:val="7"/>
            <w:tcBorders>
              <w:top w:val="single" w:sz="4" w:space="0" w:color="auto"/>
              <w:left w:val="single" w:sz="4" w:space="0" w:color="auto"/>
              <w:bottom w:val="single" w:sz="4" w:space="0" w:color="auto"/>
              <w:right w:val="single" w:sz="4" w:space="0" w:color="auto"/>
            </w:tcBorders>
            <w:hideMark/>
          </w:tcPr>
          <w:p w14:paraId="2F520744" w14:textId="77777777" w:rsidR="00340FAC" w:rsidRDefault="00340FAC" w:rsidP="003C43F8">
            <w:pPr>
              <w:keepNext/>
              <w:spacing w:line="276" w:lineRule="auto"/>
              <w:ind w:left="-57"/>
              <w:rPr>
                <w:rFonts w:ascii="Arial Narrow" w:hAnsi="Arial Narrow"/>
                <w:sz w:val="18"/>
                <w:szCs w:val="18"/>
              </w:rPr>
            </w:pPr>
            <w:r>
              <w:rPr>
                <w:rFonts w:ascii="Arial Narrow" w:hAnsi="Arial Narrow"/>
                <w:sz w:val="18"/>
                <w:szCs w:val="18"/>
              </w:rPr>
              <w:t>RISDIPLAM</w:t>
            </w:r>
          </w:p>
        </w:tc>
      </w:tr>
      <w:tr w:rsidR="00340FAC" w14:paraId="3E35808F" w14:textId="77777777" w:rsidTr="003C43F8">
        <w:trPr>
          <w:cantSplit/>
          <w:trHeight w:val="413"/>
        </w:trPr>
        <w:tc>
          <w:tcPr>
            <w:tcW w:w="2689" w:type="dxa"/>
            <w:gridSpan w:val="2"/>
            <w:tcBorders>
              <w:top w:val="single" w:sz="4" w:space="0" w:color="auto"/>
              <w:left w:val="single" w:sz="4" w:space="0" w:color="auto"/>
              <w:bottom w:val="single" w:sz="4" w:space="0" w:color="auto"/>
              <w:right w:val="single" w:sz="4" w:space="0" w:color="auto"/>
            </w:tcBorders>
            <w:hideMark/>
          </w:tcPr>
          <w:p w14:paraId="4B66E000" w14:textId="77777777" w:rsidR="00340FAC" w:rsidRDefault="00340FAC" w:rsidP="003C43F8">
            <w:pPr>
              <w:keepNext/>
              <w:spacing w:line="276" w:lineRule="auto"/>
              <w:ind w:left="-57"/>
              <w:rPr>
                <w:rFonts w:ascii="Arial Narrow" w:hAnsi="Arial Narrow"/>
                <w:sz w:val="18"/>
                <w:szCs w:val="18"/>
              </w:rPr>
            </w:pPr>
            <w:r>
              <w:rPr>
                <w:rFonts w:ascii="Arial Narrow" w:hAnsi="Arial Narrow"/>
                <w:sz w:val="18"/>
                <w:szCs w:val="18"/>
              </w:rPr>
              <w:t>risdiplam 750 microgram/mL powder for oral liquid, 80 mL</w:t>
            </w:r>
          </w:p>
        </w:tc>
        <w:tc>
          <w:tcPr>
            <w:tcW w:w="1275" w:type="dxa"/>
            <w:tcBorders>
              <w:top w:val="single" w:sz="4" w:space="0" w:color="auto"/>
              <w:left w:val="single" w:sz="4" w:space="0" w:color="auto"/>
              <w:bottom w:val="single" w:sz="4" w:space="0" w:color="auto"/>
              <w:right w:val="single" w:sz="4" w:space="0" w:color="auto"/>
            </w:tcBorders>
            <w:hideMark/>
          </w:tcPr>
          <w:p w14:paraId="44AC2B27"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NEW (Public)</w:t>
            </w:r>
          </w:p>
          <w:p w14:paraId="1C005821"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TMP04181</w:t>
            </w:r>
          </w:p>
          <w:p w14:paraId="54419F1D"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NEW (Private)</w:t>
            </w:r>
          </w:p>
          <w:p w14:paraId="7481ED0E"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TMP04182</w:t>
            </w:r>
          </w:p>
        </w:tc>
        <w:tc>
          <w:tcPr>
            <w:tcW w:w="1276" w:type="dxa"/>
            <w:tcBorders>
              <w:top w:val="single" w:sz="4" w:space="0" w:color="auto"/>
              <w:left w:val="single" w:sz="4" w:space="0" w:color="auto"/>
              <w:bottom w:val="single" w:sz="4" w:space="0" w:color="auto"/>
              <w:right w:val="single" w:sz="4" w:space="0" w:color="auto"/>
            </w:tcBorders>
            <w:hideMark/>
          </w:tcPr>
          <w:p w14:paraId="377023E7"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641E2B75"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tcPr>
          <w:p w14:paraId="74761FD6" w14:textId="77777777" w:rsidR="00340FAC" w:rsidRDefault="00340FAC" w:rsidP="003C43F8">
            <w:pPr>
              <w:keepNext/>
              <w:tabs>
                <w:tab w:val="left" w:pos="136"/>
                <w:tab w:val="center" w:pos="192"/>
              </w:tabs>
              <w:spacing w:line="276" w:lineRule="auto"/>
              <w:jc w:val="center"/>
              <w:rPr>
                <w:rFonts w:ascii="Arial Narrow" w:hAnsi="Arial Narrow"/>
                <w:sz w:val="18"/>
                <w:szCs w:val="18"/>
              </w:rPr>
            </w:pPr>
            <w:r>
              <w:rPr>
                <w:rFonts w:ascii="Arial Narrow" w:hAnsi="Arial Narrow"/>
                <w:sz w:val="18"/>
                <w:szCs w:val="18"/>
              </w:rPr>
              <w:t>0</w:t>
            </w:r>
          </w:p>
          <w:p w14:paraId="72B04A01" w14:textId="77777777" w:rsidR="00340FAC" w:rsidRDefault="00340FAC" w:rsidP="003C43F8">
            <w:pPr>
              <w:keepNext/>
              <w:spacing w:line="276" w:lineRule="auto"/>
              <w:jc w:val="center"/>
              <w:rPr>
                <w:rFonts w:ascii="Arial Narrow" w:hAnsi="Arial Narrow"/>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013EC8A" w14:textId="77777777" w:rsidR="00340FAC" w:rsidRDefault="00340FAC" w:rsidP="003C43F8">
            <w:pPr>
              <w:keepNext/>
              <w:spacing w:line="276" w:lineRule="auto"/>
              <w:rPr>
                <w:rFonts w:ascii="Arial Narrow" w:hAnsi="Arial Narrow"/>
                <w:sz w:val="18"/>
                <w:szCs w:val="18"/>
              </w:rPr>
            </w:pPr>
            <w:r>
              <w:rPr>
                <w:rFonts w:ascii="Arial Narrow" w:hAnsi="Arial Narrow"/>
                <w:sz w:val="18"/>
                <w:szCs w:val="18"/>
              </w:rPr>
              <w:t>Evrysdi</w:t>
            </w:r>
          </w:p>
          <w:p w14:paraId="476664CA" w14:textId="77777777" w:rsidR="00340FAC" w:rsidRDefault="00340FAC" w:rsidP="003C43F8">
            <w:pPr>
              <w:keepNext/>
              <w:spacing w:line="276" w:lineRule="auto"/>
              <w:rPr>
                <w:rFonts w:ascii="Arial Narrow" w:hAnsi="Arial Narrow"/>
                <w:sz w:val="18"/>
                <w:szCs w:val="18"/>
              </w:rPr>
            </w:pPr>
          </w:p>
        </w:tc>
      </w:tr>
      <w:tr w:rsidR="00340FAC" w14:paraId="62C90EEA" w14:textId="77777777" w:rsidTr="003C43F8">
        <w:trPr>
          <w:cantSplit/>
          <w:trHeight w:val="70"/>
        </w:trPr>
        <w:tc>
          <w:tcPr>
            <w:tcW w:w="3964" w:type="dxa"/>
            <w:gridSpan w:val="3"/>
            <w:tcBorders>
              <w:top w:val="single" w:sz="4" w:space="0" w:color="auto"/>
              <w:left w:val="single" w:sz="4" w:space="0" w:color="auto"/>
              <w:bottom w:val="single" w:sz="4" w:space="0" w:color="auto"/>
              <w:right w:val="single" w:sz="4" w:space="0" w:color="auto"/>
            </w:tcBorders>
          </w:tcPr>
          <w:p w14:paraId="2591CC5C" w14:textId="77777777" w:rsidR="00340FAC" w:rsidRDefault="00340FAC" w:rsidP="003C43F8">
            <w:pPr>
              <w:keepNext/>
              <w:spacing w:line="276" w:lineRule="auto"/>
              <w:jc w:val="center"/>
              <w:rPr>
                <w:rFonts w:ascii="Arial Narrow" w:hAnsi="Arial Narrow"/>
                <w:sz w:val="18"/>
                <w:szCs w:val="18"/>
              </w:rPr>
            </w:pPr>
          </w:p>
        </w:tc>
        <w:tc>
          <w:tcPr>
            <w:tcW w:w="3544" w:type="dxa"/>
            <w:gridSpan w:val="3"/>
            <w:tcBorders>
              <w:top w:val="single" w:sz="4" w:space="0" w:color="auto"/>
              <w:left w:val="single" w:sz="4" w:space="0" w:color="auto"/>
              <w:bottom w:val="single" w:sz="4" w:space="0" w:color="auto"/>
              <w:right w:val="single" w:sz="4" w:space="0" w:color="auto"/>
            </w:tcBorders>
            <w:hideMark/>
          </w:tcPr>
          <w:p w14:paraId="6559BA2A" w14:textId="77777777" w:rsidR="00340FAC" w:rsidRDefault="00340FAC" w:rsidP="003C43F8">
            <w:pPr>
              <w:keepNext/>
              <w:tabs>
                <w:tab w:val="left" w:pos="136"/>
                <w:tab w:val="center" w:pos="192"/>
              </w:tabs>
              <w:spacing w:line="276" w:lineRule="auto"/>
              <w:jc w:val="center"/>
              <w:rPr>
                <w:rFonts w:ascii="Arial Narrow" w:hAnsi="Arial Narrow"/>
                <w:sz w:val="18"/>
                <w:szCs w:val="18"/>
              </w:rPr>
            </w:pPr>
            <w:r>
              <w:rPr>
                <w:rFonts w:ascii="Arial Narrow" w:hAnsi="Arial Narrow"/>
                <w:sz w:val="18"/>
                <w:szCs w:val="18"/>
              </w:rPr>
              <w:t>Max.Qty multiplier = 3, Repeat increase: 0</w:t>
            </w:r>
          </w:p>
        </w:tc>
        <w:tc>
          <w:tcPr>
            <w:tcW w:w="1559" w:type="dxa"/>
            <w:tcBorders>
              <w:top w:val="single" w:sz="4" w:space="0" w:color="auto"/>
              <w:left w:val="single" w:sz="4" w:space="0" w:color="auto"/>
              <w:bottom w:val="single" w:sz="4" w:space="0" w:color="auto"/>
              <w:right w:val="single" w:sz="4" w:space="0" w:color="auto"/>
            </w:tcBorders>
          </w:tcPr>
          <w:p w14:paraId="3E47C7CE" w14:textId="77777777" w:rsidR="00340FAC" w:rsidRDefault="00340FAC" w:rsidP="003C43F8">
            <w:pPr>
              <w:keepNext/>
              <w:spacing w:line="276" w:lineRule="auto"/>
              <w:rPr>
                <w:rFonts w:ascii="Arial Narrow" w:hAnsi="Arial Narrow"/>
                <w:sz w:val="18"/>
                <w:szCs w:val="18"/>
              </w:rPr>
            </w:pPr>
          </w:p>
        </w:tc>
      </w:tr>
      <w:tr w:rsidR="00340FAC" w14:paraId="09B4344F" w14:textId="77777777" w:rsidTr="003C43F8">
        <w:tc>
          <w:tcPr>
            <w:tcW w:w="906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4E021F" w14:textId="77777777" w:rsidR="00340FAC" w:rsidRDefault="00340FAC" w:rsidP="003C43F8">
            <w:pPr>
              <w:spacing w:line="276" w:lineRule="auto"/>
              <w:rPr>
                <w:rFonts w:ascii="Arial Narrow" w:hAnsi="Arial Narrow"/>
                <w:b/>
                <w:sz w:val="18"/>
                <w:szCs w:val="18"/>
              </w:rPr>
            </w:pPr>
          </w:p>
        </w:tc>
      </w:tr>
      <w:tr w:rsidR="00340FAC" w14:paraId="033F3011" w14:textId="77777777" w:rsidTr="003C43F8">
        <w:tc>
          <w:tcPr>
            <w:tcW w:w="98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477464" w14:textId="77777777" w:rsidR="00340FAC" w:rsidRDefault="00340FAC" w:rsidP="003C43F8">
            <w:pPr>
              <w:spacing w:line="276" w:lineRule="auto"/>
              <w:jc w:val="center"/>
              <w:rPr>
                <w:rFonts w:ascii="Arial Narrow" w:hAnsi="Arial Narrow"/>
                <w:b/>
                <w:sz w:val="18"/>
                <w:szCs w:val="18"/>
              </w:rPr>
            </w:pPr>
            <w:r>
              <w:rPr>
                <w:rFonts w:ascii="Arial Narrow" w:hAnsi="Arial Narrow"/>
                <w:b/>
                <w:sz w:val="18"/>
                <w:szCs w:val="18"/>
              </w:rPr>
              <w:t>Concept ID</w:t>
            </w:r>
          </w:p>
          <w:p w14:paraId="0D491B4A" w14:textId="77777777" w:rsidR="00340FAC" w:rsidRDefault="00340FAC" w:rsidP="003C43F8">
            <w:pPr>
              <w:spacing w:line="276" w:lineRule="auto"/>
              <w:rPr>
                <w:rFonts w:ascii="Arial Narrow" w:hAnsi="Arial Narrow"/>
                <w:i/>
                <w:sz w:val="18"/>
                <w:szCs w:val="18"/>
              </w:rPr>
            </w:pPr>
          </w:p>
          <w:p w14:paraId="48A89C21" w14:textId="77777777" w:rsidR="00340FAC" w:rsidRDefault="00340FAC" w:rsidP="003C43F8">
            <w:pPr>
              <w:spacing w:line="276" w:lineRule="auto"/>
              <w:jc w:val="center"/>
              <w:rPr>
                <w:rFonts w:ascii="Arial Narrow" w:hAnsi="Arial Narrow"/>
                <w:i/>
                <w:sz w:val="18"/>
                <w:szCs w:val="18"/>
              </w:rPr>
            </w:pPr>
            <w:r>
              <w:rPr>
                <w:rFonts w:ascii="Arial Narrow" w:hAnsi="Arial Narrow"/>
                <w:sz w:val="18"/>
                <w:szCs w:val="18"/>
              </w:rPr>
              <w:t xml:space="preserve">(for internal Dept. use) </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7A8B50" w14:textId="77777777" w:rsidR="00340FAC" w:rsidRDefault="00340FAC" w:rsidP="003C43F8">
            <w:pPr>
              <w:spacing w:line="276" w:lineRule="auto"/>
              <w:rPr>
                <w:rFonts w:ascii="Arial Narrow" w:hAnsi="Arial Narrow"/>
                <w:sz w:val="18"/>
                <w:szCs w:val="18"/>
              </w:rPr>
            </w:pPr>
            <w:r>
              <w:rPr>
                <w:rFonts w:ascii="Arial Narrow" w:hAnsi="Arial Narrow"/>
                <w:b/>
                <w:sz w:val="18"/>
                <w:szCs w:val="18"/>
              </w:rPr>
              <w:t xml:space="preserve">Category / Program:   </w:t>
            </w:r>
            <w:r>
              <w:rPr>
                <w:rFonts w:ascii="Arial Narrow" w:hAnsi="Arial Narrow"/>
                <w:sz w:val="18"/>
                <w:szCs w:val="18"/>
              </w:rPr>
              <w:t xml:space="preserve">Section 100 – Highly Specialised Drugs Program (Public/Private hospitals code) </w:t>
            </w:r>
          </w:p>
        </w:tc>
      </w:tr>
      <w:tr w:rsidR="00340FAC" w14:paraId="016141B9" w14:textId="77777777" w:rsidTr="003C43F8">
        <w:trPr>
          <w:trHeight w:val="240"/>
        </w:trPr>
        <w:tc>
          <w:tcPr>
            <w:tcW w:w="981" w:type="dxa"/>
            <w:vMerge/>
            <w:tcBorders>
              <w:top w:val="single" w:sz="4" w:space="0" w:color="auto"/>
              <w:left w:val="single" w:sz="4" w:space="0" w:color="auto"/>
              <w:bottom w:val="single" w:sz="4" w:space="0" w:color="auto"/>
              <w:right w:val="single" w:sz="4" w:space="0" w:color="auto"/>
            </w:tcBorders>
            <w:vAlign w:val="center"/>
            <w:hideMark/>
          </w:tcPr>
          <w:p w14:paraId="2A23B1E7" w14:textId="77777777" w:rsidR="00340FAC" w:rsidRDefault="00340FAC" w:rsidP="003C43F8">
            <w:pPr>
              <w:widowControl/>
              <w:spacing w:line="276" w:lineRule="auto"/>
              <w:jc w:val="left"/>
              <w:rPr>
                <w:rFonts w:ascii="Arial Narrow" w:hAnsi="Arial Narrow"/>
                <w:i/>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6CA777" w14:textId="77777777" w:rsidR="00340FAC" w:rsidRDefault="00340FAC" w:rsidP="003C43F8">
            <w:pPr>
              <w:spacing w:line="276" w:lineRule="auto"/>
              <w:rPr>
                <w:rFonts w:ascii="Arial Narrow" w:hAnsi="Arial Narrow"/>
                <w:b/>
                <w:sz w:val="18"/>
                <w:szCs w:val="18"/>
              </w:rPr>
            </w:pPr>
            <w:r>
              <w:rPr>
                <w:rFonts w:ascii="Arial Narrow" w:hAnsi="Arial Narrow"/>
                <w:b/>
                <w:sz w:val="18"/>
                <w:szCs w:val="18"/>
              </w:rPr>
              <w:t xml:space="preserve">Prescriber type:   </w:t>
            </w:r>
            <w:r>
              <w:rPr>
                <w:rFonts w:ascii="Arial Narrow" w:hAnsi="Arial Narrow"/>
                <w:sz w:val="18"/>
                <w:szCs w:val="18"/>
              </w:rPr>
              <w:t xml:space="preserv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A87B03">
              <w:rPr>
                <w:rFonts w:ascii="Arial Narrow" w:hAnsi="Arial Narrow"/>
                <w:sz w:val="18"/>
                <w:szCs w:val="18"/>
              </w:rPr>
            </w:r>
            <w:r w:rsidR="00A87B03">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Medical Practitioners    </w:t>
            </w:r>
          </w:p>
        </w:tc>
      </w:tr>
      <w:tr w:rsidR="00340FAC" w14:paraId="5066478E" w14:textId="77777777" w:rsidTr="003C43F8">
        <w:tc>
          <w:tcPr>
            <w:tcW w:w="981" w:type="dxa"/>
            <w:vMerge/>
            <w:tcBorders>
              <w:top w:val="single" w:sz="4" w:space="0" w:color="auto"/>
              <w:left w:val="single" w:sz="4" w:space="0" w:color="auto"/>
              <w:bottom w:val="single" w:sz="4" w:space="0" w:color="auto"/>
              <w:right w:val="single" w:sz="4" w:space="0" w:color="auto"/>
            </w:tcBorders>
            <w:vAlign w:val="center"/>
            <w:hideMark/>
          </w:tcPr>
          <w:p w14:paraId="0B23003F" w14:textId="77777777" w:rsidR="00340FAC" w:rsidRDefault="00340FAC" w:rsidP="003C43F8">
            <w:pPr>
              <w:widowControl/>
              <w:spacing w:line="276" w:lineRule="auto"/>
              <w:jc w:val="left"/>
              <w:rPr>
                <w:rFonts w:ascii="Arial Narrow" w:hAnsi="Arial Narrow"/>
                <w:i/>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CD208B" w14:textId="77777777" w:rsidR="00340FAC" w:rsidRDefault="00340FAC" w:rsidP="003C43F8">
            <w:pPr>
              <w:spacing w:line="276" w:lineRule="auto"/>
              <w:rPr>
                <w:rFonts w:ascii="Arial Narrow" w:eastAsia="Calibri" w:hAnsi="Arial Narrow"/>
                <w:sz w:val="18"/>
                <w:szCs w:val="18"/>
              </w:rPr>
            </w:pPr>
            <w:r>
              <w:rPr>
                <w:rFonts w:ascii="Arial Narrow" w:hAnsi="Arial Narrow"/>
                <w:b/>
                <w:sz w:val="18"/>
                <w:szCs w:val="18"/>
              </w:rPr>
              <w:t>Restriction Type –</w:t>
            </w: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A87B03">
              <w:rPr>
                <w:rFonts w:ascii="Arial Narrow" w:eastAsia="Calibri" w:hAnsi="Arial Narrow"/>
                <w:sz w:val="18"/>
                <w:szCs w:val="18"/>
              </w:rPr>
            </w:r>
            <w:r w:rsidR="00A87B03">
              <w:rPr>
                <w:rFonts w:ascii="Arial Narrow" w:eastAsia="Calibri" w:hAnsi="Arial Narrow"/>
                <w:sz w:val="18"/>
                <w:szCs w:val="18"/>
              </w:rPr>
              <w:fldChar w:fldCharType="separate"/>
            </w:r>
            <w:r>
              <w:rPr>
                <w:rFonts w:ascii="Arial Narrow" w:eastAsia="Calibri" w:hAnsi="Arial Narrow"/>
                <w:sz w:val="18"/>
                <w:szCs w:val="18"/>
              </w:rPr>
              <w:fldChar w:fldCharType="end"/>
            </w:r>
            <w:r>
              <w:rPr>
                <w:rFonts w:ascii="Arial Narrow" w:eastAsia="Calibri" w:hAnsi="Arial Narrow"/>
                <w:sz w:val="18"/>
                <w:szCs w:val="18"/>
              </w:rPr>
              <w:t>Authority Required – non-immediate/delayed assessment by Services Australia</w:t>
            </w:r>
          </w:p>
        </w:tc>
      </w:tr>
      <w:tr w:rsidR="00340FAC" w14:paraId="3AEACDF3"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D3E6A7"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lastRenderedPageBreak/>
              <w:t>26577</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448D3B"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Indication:</w:t>
            </w:r>
            <w:r>
              <w:rPr>
                <w:rFonts w:ascii="Arial Narrow" w:hAnsi="Arial Narrow"/>
                <w:sz w:val="18"/>
                <w:szCs w:val="18"/>
                <w:lang w:eastAsia="en-AU"/>
              </w:rPr>
              <w:t xml:space="preserve"> Symptomatic Type I, II or IIIa spinal muscular atrophy (SMA)</w:t>
            </w:r>
          </w:p>
        </w:tc>
      </w:tr>
      <w:tr w:rsidR="00340FAC" w14:paraId="04CE1253"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EBC1FC" w14:textId="77777777" w:rsidR="00340FAC" w:rsidRDefault="00340FAC" w:rsidP="003C43F8">
            <w:pP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7DD12A"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Treatment Phase:</w:t>
            </w:r>
            <w:r>
              <w:rPr>
                <w:rFonts w:ascii="Arial Narrow" w:hAnsi="Arial Narrow"/>
                <w:sz w:val="18"/>
                <w:szCs w:val="18"/>
                <w:lang w:eastAsia="en-AU"/>
              </w:rPr>
              <w:t xml:space="preserve"> </w:t>
            </w:r>
            <w:r>
              <w:rPr>
                <w:rFonts w:ascii="Arial Narrow" w:hAnsi="Arial Narrow"/>
                <w:bCs/>
                <w:sz w:val="18"/>
                <w:szCs w:val="18"/>
                <w:lang w:eastAsia="en-AU"/>
              </w:rPr>
              <w:t>Transitioning from non-PBS to PBS subsided treatment – ‘Grandfather’ treatment</w:t>
            </w:r>
          </w:p>
        </w:tc>
      </w:tr>
      <w:tr w:rsidR="00340FAC" w14:paraId="0CD70EB3"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A1BA5D"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26575</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77752E"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Clinical criteria:</w:t>
            </w:r>
          </w:p>
        </w:tc>
      </w:tr>
      <w:tr w:rsidR="00340FAC" w14:paraId="56E25D26"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5BAA37" w14:textId="77777777" w:rsidR="00340FAC" w:rsidRDefault="00340FAC" w:rsidP="003C43F8">
            <w:pPr>
              <w:spacing w:line="276" w:lineRule="auto"/>
              <w:jc w:val="center"/>
              <w:rPr>
                <w:rFonts w:ascii="Arial Narrow" w:hAnsi="Arial Narrow" w:cs="Arial Narrow"/>
                <w:iCs/>
                <w:sz w:val="18"/>
                <w:szCs w:val="18"/>
              </w:rPr>
            </w:pPr>
            <w:r>
              <w:rPr>
                <w:rFonts w:ascii="Arial Narrow" w:hAnsi="Arial Narrow" w:cs="Arial Narrow"/>
                <w:iCs/>
                <w:sz w:val="18"/>
                <w:szCs w:val="18"/>
              </w:rPr>
              <w:t>26573</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9DDADF" w14:textId="77777777" w:rsidR="00340FAC" w:rsidRDefault="00340FAC" w:rsidP="003C43F8">
            <w:pPr>
              <w:spacing w:line="276" w:lineRule="auto"/>
              <w:rPr>
                <w:rFonts w:ascii="Arial Narrow" w:hAnsi="Arial Narrow" w:cs="Arial Narrow"/>
                <w:sz w:val="18"/>
                <w:szCs w:val="18"/>
              </w:rPr>
            </w:pPr>
            <w:r>
              <w:rPr>
                <w:rFonts w:ascii="Arial Narrow" w:hAnsi="Arial Narrow" w:cs="Arial Narrow"/>
                <w:sz w:val="18"/>
                <w:szCs w:val="18"/>
              </w:rPr>
              <w:t>The condition must have genetic confirmation of 5q homozygous deletion of the survival motor neuron 1 (SMN1) gene; or</w:t>
            </w:r>
          </w:p>
        </w:tc>
      </w:tr>
      <w:tr w:rsidR="00340FAC" w14:paraId="37E2684F"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1C673A" w14:textId="77777777" w:rsidR="00340FAC" w:rsidRDefault="00340FAC" w:rsidP="003C43F8">
            <w:pPr>
              <w:spacing w:line="276" w:lineRule="auto"/>
              <w:jc w:val="center"/>
              <w:rPr>
                <w:rFonts w:ascii="Arial Narrow" w:hAnsi="Arial Narrow" w:cs="Arial Narrow"/>
                <w:iCs/>
                <w:sz w:val="18"/>
                <w:szCs w:val="18"/>
              </w:rPr>
            </w:pPr>
            <w:r>
              <w:rPr>
                <w:rFonts w:ascii="Arial Narrow" w:hAnsi="Arial Narrow" w:cs="Arial Narrow"/>
                <w:iCs/>
                <w:sz w:val="18"/>
                <w:szCs w:val="18"/>
              </w:rPr>
              <w:t>26574</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B0EF8A"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The condition must have genetic confirmation of deletion of one copy of the SMN1 gene in addition to a pathogenic/likely pathogenic variant in the remaining single copy of the SMN1 gene.</w:t>
            </w:r>
          </w:p>
        </w:tc>
      </w:tr>
      <w:tr w:rsidR="00340FAC" w14:paraId="253CB873"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C87D30"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774FC9" w14:textId="77777777" w:rsidR="00340FAC" w:rsidRDefault="00340FAC" w:rsidP="003C43F8">
            <w:pPr>
              <w:spacing w:line="276" w:lineRule="auto"/>
              <w:rPr>
                <w:rFonts w:ascii="Arial Narrow" w:hAnsi="Arial Narrow"/>
                <w:b/>
                <w:bCs/>
                <w:sz w:val="18"/>
                <w:szCs w:val="18"/>
                <w:lang w:eastAsia="en-AU"/>
              </w:rPr>
            </w:pPr>
            <w:r>
              <w:rPr>
                <w:rFonts w:ascii="Arial Narrow" w:hAnsi="Arial Narrow"/>
                <w:b/>
                <w:bCs/>
                <w:sz w:val="18"/>
                <w:szCs w:val="18"/>
                <w:lang w:eastAsia="en-AU"/>
              </w:rPr>
              <w:t>AND</w:t>
            </w:r>
          </w:p>
        </w:tc>
      </w:tr>
      <w:tr w:rsidR="00340FAC" w14:paraId="170918F7"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7CD2DE"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22123</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B2663D" w14:textId="77777777" w:rsidR="00340FAC" w:rsidRDefault="00340FAC" w:rsidP="003C43F8">
            <w:pPr>
              <w:spacing w:line="276" w:lineRule="auto"/>
              <w:rPr>
                <w:rFonts w:ascii="Arial Narrow" w:hAnsi="Arial Narrow"/>
                <w:b/>
                <w:bCs/>
                <w:sz w:val="18"/>
                <w:szCs w:val="18"/>
                <w:lang w:eastAsia="en-AU"/>
              </w:rPr>
            </w:pPr>
            <w:r>
              <w:rPr>
                <w:rFonts w:ascii="Arial Narrow" w:hAnsi="Arial Narrow"/>
                <w:b/>
                <w:bCs/>
                <w:sz w:val="18"/>
                <w:szCs w:val="18"/>
                <w:lang w:eastAsia="en-AU"/>
              </w:rPr>
              <w:t>Clinical criteria:</w:t>
            </w:r>
          </w:p>
        </w:tc>
      </w:tr>
      <w:tr w:rsidR="00340FAC" w14:paraId="794CAAAD"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0F774C"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22122</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6087F6" w14:textId="77777777" w:rsidR="00340FAC" w:rsidRDefault="00340FAC" w:rsidP="003C43F8">
            <w:pPr>
              <w:spacing w:line="276" w:lineRule="auto"/>
              <w:rPr>
                <w:rFonts w:ascii="Arial Narrow" w:hAnsi="Arial Narrow"/>
                <w:b/>
                <w:bCs/>
                <w:sz w:val="18"/>
                <w:szCs w:val="18"/>
                <w:lang w:eastAsia="en-AU"/>
              </w:rPr>
            </w:pPr>
            <w:r>
              <w:rPr>
                <w:rFonts w:ascii="Arial Narrow" w:hAnsi="Arial Narrow" w:cs="Arial Narrow"/>
                <w:iCs/>
                <w:sz w:val="18"/>
                <w:szCs w:val="18"/>
              </w:rPr>
              <w:t>Patient must have experienced at least two of the defined signs and symptoms of SMA type I, II or IIIa prior to 3 years of age</w:t>
            </w:r>
          </w:p>
        </w:tc>
      </w:tr>
      <w:tr w:rsidR="00340FAC" w14:paraId="2E7B0EF8"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3CA58A"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A747D1" w14:textId="77777777" w:rsidR="00340FAC" w:rsidRDefault="00340FAC" w:rsidP="003C43F8">
            <w:pPr>
              <w:spacing w:line="276" w:lineRule="auto"/>
              <w:rPr>
                <w:rFonts w:ascii="Arial Narrow" w:hAnsi="Arial Narrow"/>
                <w:b/>
                <w:bCs/>
                <w:sz w:val="18"/>
                <w:szCs w:val="18"/>
                <w:lang w:eastAsia="en-AU"/>
              </w:rPr>
            </w:pPr>
            <w:r>
              <w:rPr>
                <w:rFonts w:ascii="Arial Narrow" w:hAnsi="Arial Narrow"/>
                <w:b/>
                <w:bCs/>
                <w:sz w:val="18"/>
                <w:szCs w:val="18"/>
                <w:lang w:eastAsia="en-AU"/>
              </w:rPr>
              <w:t>AND</w:t>
            </w:r>
          </w:p>
        </w:tc>
      </w:tr>
      <w:tr w:rsidR="00340FAC" w14:paraId="03705CE7"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FA051A" w14:textId="77777777" w:rsidR="00340FAC" w:rsidRDefault="00340FAC" w:rsidP="003C43F8">
            <w:pPr>
              <w:spacing w:line="276" w:lineRule="auto"/>
              <w:jc w:val="center"/>
              <w:rPr>
                <w:rFonts w:ascii="Arial Narrow" w:hAnsi="Arial Narrow"/>
                <w:strike/>
                <w:sz w:val="18"/>
                <w:szCs w:val="18"/>
                <w:lang w:eastAsia="en-AU"/>
              </w:rPr>
            </w:pPr>
            <w:r>
              <w:rPr>
                <w:rFonts w:ascii="Arial Narrow" w:hAnsi="Arial Narrow"/>
                <w:strike/>
                <w:sz w:val="18"/>
                <w:szCs w:val="18"/>
                <w:lang w:eastAsia="en-AU"/>
              </w:rPr>
              <w:t>24453</w:t>
            </w:r>
          </w:p>
          <w:p w14:paraId="2FA29B73"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27602</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325EED"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Clinical criteria:</w:t>
            </w:r>
          </w:p>
        </w:tc>
      </w:tr>
      <w:tr w:rsidR="00340FAC" w14:paraId="2CEF4664"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A8C33E" w14:textId="77777777" w:rsidR="00340FAC" w:rsidRDefault="00340FAC" w:rsidP="003C43F8">
            <w:pPr>
              <w:spacing w:line="276" w:lineRule="auto"/>
              <w:jc w:val="center"/>
              <w:rPr>
                <w:rFonts w:ascii="Arial Narrow" w:hAnsi="Arial Narrow"/>
                <w:strike/>
                <w:sz w:val="18"/>
                <w:szCs w:val="18"/>
                <w:lang w:eastAsia="en-AU"/>
              </w:rPr>
            </w:pPr>
            <w:r>
              <w:rPr>
                <w:rFonts w:ascii="Arial Narrow" w:hAnsi="Arial Narrow"/>
                <w:strike/>
                <w:sz w:val="18"/>
                <w:szCs w:val="18"/>
                <w:lang w:eastAsia="en-AU"/>
              </w:rPr>
              <w:t>24452</w:t>
            </w:r>
          </w:p>
          <w:p w14:paraId="4D56D346"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NEW 27601</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F415A6" w14:textId="77777777" w:rsidR="00340FAC" w:rsidRDefault="00340FAC" w:rsidP="003C43F8">
            <w:pPr>
              <w:spacing w:line="276" w:lineRule="auto"/>
              <w:rPr>
                <w:rFonts w:ascii="Arial Narrow" w:hAnsi="Arial Narrow" w:cs="Arial Narrow"/>
                <w:iCs/>
                <w:sz w:val="18"/>
                <w:szCs w:val="18"/>
              </w:rPr>
            </w:pPr>
            <w:r>
              <w:rPr>
                <w:rFonts w:ascii="Arial Narrow" w:hAnsi="Arial Narrow"/>
                <w:bCs/>
                <w:sz w:val="18"/>
                <w:szCs w:val="18"/>
                <w:lang w:eastAsia="en-AU"/>
              </w:rPr>
              <w:t>Patient must have previously received non-PBS subsidised treatment with this drug for this condition prior to 1 August 2021.</w:t>
            </w:r>
          </w:p>
        </w:tc>
      </w:tr>
      <w:tr w:rsidR="00340FAC" w14:paraId="7FFB2327"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6C2FEF"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77DA36"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AND</w:t>
            </w:r>
          </w:p>
        </w:tc>
      </w:tr>
      <w:tr w:rsidR="00340FAC" w14:paraId="320BD3D1"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8091B1"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27583</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621D53" w14:textId="77777777" w:rsidR="00340FAC" w:rsidRDefault="00340FAC" w:rsidP="003C43F8">
            <w:pPr>
              <w:spacing w:line="276" w:lineRule="auto"/>
              <w:rPr>
                <w:rFonts w:ascii="Arial Narrow" w:hAnsi="Arial Narrow"/>
                <w:b/>
                <w:bCs/>
                <w:sz w:val="18"/>
                <w:szCs w:val="18"/>
                <w:lang w:eastAsia="en-AU"/>
              </w:rPr>
            </w:pPr>
            <w:r>
              <w:rPr>
                <w:rFonts w:ascii="Arial Narrow" w:hAnsi="Arial Narrow"/>
                <w:b/>
                <w:bCs/>
                <w:sz w:val="18"/>
                <w:szCs w:val="18"/>
                <w:lang w:eastAsia="en-AU"/>
              </w:rPr>
              <w:t>Clinical criteria:</w:t>
            </w:r>
          </w:p>
        </w:tc>
      </w:tr>
      <w:tr w:rsidR="00340FAC" w14:paraId="35890333"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C9CA87"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New CC3</w:t>
            </w:r>
          </w:p>
          <w:p w14:paraId="7A6B4919"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27582</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E03CCC" w14:textId="77777777" w:rsidR="00340FAC" w:rsidRDefault="00340FAC" w:rsidP="003C43F8">
            <w:pPr>
              <w:spacing w:line="276" w:lineRule="auto"/>
              <w:rPr>
                <w:rFonts w:ascii="Arial Narrow" w:hAnsi="Arial Narrow"/>
                <w:b/>
                <w:bCs/>
                <w:sz w:val="18"/>
                <w:szCs w:val="18"/>
                <w:lang w:eastAsia="en-AU"/>
              </w:rPr>
            </w:pPr>
            <w:r>
              <w:rPr>
                <w:rFonts w:ascii="Arial Narrow" w:hAnsi="Arial Narrow"/>
                <w:sz w:val="18"/>
                <w:szCs w:val="18"/>
                <w:lang w:eastAsia="en-AU"/>
              </w:rPr>
              <w:t>Patient must not be receiving invasive permanent assisted ventilation in the absence of a potentially reversible cause while being treated with this drug</w:t>
            </w:r>
          </w:p>
        </w:tc>
      </w:tr>
      <w:tr w:rsidR="00340FAC" w14:paraId="06B568D1"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4C91FE"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89BA1A" w14:textId="77777777" w:rsidR="00340FAC" w:rsidRDefault="00340FAC" w:rsidP="003C43F8">
            <w:pPr>
              <w:spacing w:line="276" w:lineRule="auto"/>
              <w:rPr>
                <w:rFonts w:ascii="Arial Narrow" w:hAnsi="Arial Narrow"/>
                <w:b/>
                <w:bCs/>
                <w:sz w:val="18"/>
                <w:szCs w:val="18"/>
                <w:lang w:eastAsia="en-AU"/>
              </w:rPr>
            </w:pPr>
            <w:r>
              <w:rPr>
                <w:rFonts w:ascii="Arial Narrow" w:hAnsi="Arial Narrow"/>
                <w:b/>
                <w:bCs/>
                <w:sz w:val="18"/>
                <w:szCs w:val="18"/>
                <w:lang w:eastAsia="en-AU"/>
              </w:rPr>
              <w:t>AND</w:t>
            </w:r>
          </w:p>
        </w:tc>
      </w:tr>
      <w:tr w:rsidR="00340FAC" w14:paraId="15FE39C6"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82C694"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27580</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0925DC"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Clinical criteria:</w:t>
            </w:r>
          </w:p>
        </w:tc>
      </w:tr>
      <w:tr w:rsidR="00340FAC" w14:paraId="4840509E"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FB1408"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NEW CC1</w:t>
            </w:r>
          </w:p>
          <w:p w14:paraId="3F3C4C1A"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27579</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404915" w14:textId="77777777" w:rsidR="00340FAC" w:rsidRDefault="00340FAC" w:rsidP="003C43F8">
            <w:pPr>
              <w:spacing w:line="276" w:lineRule="auto"/>
              <w:rPr>
                <w:rFonts w:ascii="Arial Narrow" w:hAnsi="Arial Narrow" w:cs="Arial Narrow"/>
                <w:iCs/>
                <w:sz w:val="18"/>
                <w:szCs w:val="18"/>
              </w:rPr>
            </w:pPr>
            <w:r>
              <w:rPr>
                <w:rFonts w:ascii="Arial Narrow" w:hAnsi="Arial Narrow"/>
                <w:sz w:val="18"/>
                <w:szCs w:val="18"/>
                <w:lang w:eastAsia="en-AU"/>
              </w:rPr>
              <w:t>The treatment must not be in combination with PBS-subsidised treatment with nusinersen for this condition</w:t>
            </w:r>
          </w:p>
        </w:tc>
      </w:tr>
      <w:tr w:rsidR="00340FAC" w14:paraId="0B8CC5A2"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619AC2"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7AEAC1" w14:textId="77777777" w:rsidR="00340FAC" w:rsidRDefault="00340FAC" w:rsidP="003C43F8">
            <w:pPr>
              <w:spacing w:line="276" w:lineRule="auto"/>
              <w:rPr>
                <w:rFonts w:ascii="Arial Narrow" w:hAnsi="Arial Narrow" w:cstheme="minorHAnsi"/>
                <w:iCs/>
              </w:rPr>
            </w:pPr>
            <w:r>
              <w:rPr>
                <w:rFonts w:ascii="Arial Narrow" w:hAnsi="Arial Narrow"/>
                <w:b/>
                <w:bCs/>
                <w:sz w:val="18"/>
                <w:szCs w:val="18"/>
                <w:lang w:eastAsia="en-AU"/>
              </w:rPr>
              <w:t>AND</w:t>
            </w:r>
          </w:p>
        </w:tc>
      </w:tr>
      <w:tr w:rsidR="00340FAC" w14:paraId="64020D14"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869153"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NEW 27604</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81DCD7"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Clinical criteria:</w:t>
            </w:r>
          </w:p>
        </w:tc>
      </w:tr>
      <w:tr w:rsidR="00340FAC" w14:paraId="078FF42E"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BCA48A"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27603</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0107AC"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The treatment must be given concomitantly with best supportive care for this condition</w:t>
            </w:r>
          </w:p>
        </w:tc>
      </w:tr>
      <w:tr w:rsidR="00340FAC" w14:paraId="3BD956FC"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974002"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7F6884"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b/>
                <w:iCs/>
                <w:sz w:val="18"/>
                <w:szCs w:val="18"/>
              </w:rPr>
              <w:t>AND</w:t>
            </w:r>
          </w:p>
        </w:tc>
      </w:tr>
      <w:tr w:rsidR="00340FAC" w14:paraId="569141AB"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EAE2E2"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27608</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0EA9B5" w14:textId="77777777" w:rsidR="00340FAC" w:rsidRDefault="00340FAC" w:rsidP="003C43F8">
            <w:pPr>
              <w:spacing w:line="276" w:lineRule="auto"/>
              <w:rPr>
                <w:rFonts w:ascii="Arial Narrow" w:hAnsi="Arial Narrow" w:cs="Arial Narrow"/>
                <w:iCs/>
                <w:sz w:val="18"/>
                <w:szCs w:val="18"/>
              </w:rPr>
            </w:pPr>
            <w:r>
              <w:rPr>
                <w:rFonts w:ascii="Arial Narrow" w:hAnsi="Arial Narrow"/>
                <w:b/>
                <w:bCs/>
                <w:sz w:val="18"/>
                <w:szCs w:val="18"/>
                <w:lang w:eastAsia="en-AU"/>
              </w:rPr>
              <w:t>Clinical criteria:</w:t>
            </w:r>
          </w:p>
        </w:tc>
      </w:tr>
      <w:tr w:rsidR="00340FAC" w14:paraId="3721E64D"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9130D0"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27606</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0A606B"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Patient must be responding to non-PBS subsidised risdiplam for this condition at the time of application</w:t>
            </w:r>
          </w:p>
        </w:tc>
      </w:tr>
      <w:tr w:rsidR="00340FAC" w14:paraId="6C8F0977"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8CF45C"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8745D5" w14:textId="77777777" w:rsidR="00340FAC" w:rsidRDefault="00340FAC" w:rsidP="003C43F8">
            <w:pPr>
              <w:spacing w:line="276" w:lineRule="auto"/>
              <w:rPr>
                <w:rFonts w:ascii="Arial Narrow" w:hAnsi="Arial Narrow" w:cs="Arial Narrow"/>
                <w:b/>
                <w:iCs/>
                <w:sz w:val="18"/>
                <w:szCs w:val="18"/>
              </w:rPr>
            </w:pPr>
            <w:r>
              <w:rPr>
                <w:rFonts w:ascii="Arial Narrow" w:hAnsi="Arial Narrow" w:cs="Arial Narrow"/>
                <w:b/>
                <w:iCs/>
                <w:sz w:val="18"/>
                <w:szCs w:val="18"/>
              </w:rPr>
              <w:t>AND</w:t>
            </w:r>
          </w:p>
        </w:tc>
      </w:tr>
      <w:tr w:rsidR="00340FAC" w14:paraId="7AAABF25"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6B1BA2"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27587</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0FE401"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Treatment criteria:</w:t>
            </w:r>
          </w:p>
        </w:tc>
      </w:tr>
      <w:tr w:rsidR="00340FAC" w14:paraId="29667C5B"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73E4E8"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New TC1</w:t>
            </w:r>
          </w:p>
          <w:p w14:paraId="10215281"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27586</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66D782" w14:textId="77777777" w:rsidR="00340FAC" w:rsidRDefault="00340FAC" w:rsidP="003C43F8">
            <w:pPr>
              <w:spacing w:line="276" w:lineRule="auto"/>
              <w:rPr>
                <w:rFonts w:ascii="Arial Narrow" w:hAnsi="Arial Narrow"/>
                <w:sz w:val="18"/>
                <w:szCs w:val="18"/>
                <w:lang w:eastAsia="en-AU"/>
              </w:rPr>
            </w:pPr>
            <w:r>
              <w:rPr>
                <w:rFonts w:ascii="Arial Narrow" w:hAnsi="Arial Narrow" w:cs="Arial Narrow"/>
                <w:iCs/>
                <w:sz w:val="18"/>
                <w:szCs w:val="18"/>
              </w:rPr>
              <w:t>Must be treated by a specialist medical practitioner experienced in the diagnosis and management of SMA associated with a neuromuscular clinic, or in consultation with a specialist medical practitioner experienced in the diagnosis and management of SMA associated with a neuromuscular clinic.</w:t>
            </w:r>
          </w:p>
        </w:tc>
      </w:tr>
      <w:tr w:rsidR="00340FAC" w14:paraId="73A1152F"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BD78A3"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27596</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C9ED4B" w14:textId="77777777" w:rsidR="00340FAC" w:rsidRDefault="00340FAC" w:rsidP="003C43F8">
            <w:pPr>
              <w:spacing w:line="276" w:lineRule="auto"/>
              <w:rPr>
                <w:rFonts w:ascii="Arial Narrow" w:hAnsi="Arial Narrow" w:cs="Arial Narrow"/>
                <w:b/>
                <w:iCs/>
                <w:sz w:val="18"/>
                <w:szCs w:val="18"/>
              </w:rPr>
            </w:pPr>
            <w:r>
              <w:rPr>
                <w:rFonts w:ascii="Arial Narrow" w:hAnsi="Arial Narrow" w:cs="Arial Narrow"/>
                <w:b/>
                <w:iCs/>
                <w:sz w:val="18"/>
                <w:szCs w:val="18"/>
              </w:rPr>
              <w:t>Population criteria:</w:t>
            </w:r>
          </w:p>
        </w:tc>
      </w:tr>
      <w:tr w:rsidR="00340FAC" w14:paraId="09BE1E2A"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B69C19"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New GFPC1</w:t>
            </w:r>
          </w:p>
          <w:p w14:paraId="498F0D79"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27595</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04C31C" w14:textId="77777777" w:rsidR="00340FAC" w:rsidRDefault="00340FAC" w:rsidP="003C43F8">
            <w:pPr>
              <w:spacing w:line="276" w:lineRule="auto"/>
              <w:rPr>
                <w:rFonts w:ascii="Arial Narrow" w:hAnsi="Arial Narrow" w:cs="Arial Narrow"/>
                <w:iCs/>
                <w:sz w:val="18"/>
                <w:szCs w:val="18"/>
              </w:rPr>
            </w:pPr>
          </w:p>
          <w:p w14:paraId="21BDCF15"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Patient must have been 18 years of age or under at the time non-PBS subsidised treatment with this drug was initiated for this condition</w:t>
            </w:r>
          </w:p>
        </w:tc>
      </w:tr>
      <w:tr w:rsidR="00340FAC" w14:paraId="2572AD65"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97FA50"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26600</w:t>
            </w:r>
          </w:p>
          <w:p w14:paraId="2A6AACB9"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FULL</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7110FE" w14:textId="77777777" w:rsidR="00340FAC" w:rsidRDefault="00340FAC" w:rsidP="003C43F8">
            <w:pPr>
              <w:spacing w:line="276" w:lineRule="auto"/>
              <w:rPr>
                <w:rFonts w:ascii="Arial Narrow" w:hAnsi="Arial Narrow" w:cs="Arial Narrow"/>
                <w:b/>
                <w:iCs/>
                <w:sz w:val="18"/>
                <w:szCs w:val="18"/>
              </w:rPr>
            </w:pPr>
            <w:r>
              <w:rPr>
                <w:rFonts w:ascii="Arial Narrow" w:hAnsi="Arial Narrow" w:cs="Arial Narrow"/>
                <w:b/>
                <w:iCs/>
                <w:sz w:val="18"/>
                <w:szCs w:val="18"/>
              </w:rPr>
              <w:t>Prescribing Instructions:</w:t>
            </w:r>
          </w:p>
          <w:p w14:paraId="61A5CDAB"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Application for authorisation of initial treatment must be in writing and must include:</w:t>
            </w:r>
          </w:p>
          <w:p w14:paraId="30CFFA74"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(a) a completed authority prescription form; and</w:t>
            </w:r>
          </w:p>
          <w:p w14:paraId="35C80C1B"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(b) a completed Spinal muscular atrophy PBS Authority Application Form which includes the following:</w:t>
            </w:r>
          </w:p>
          <w:p w14:paraId="56854B16"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i) specification of SMA type (I, II or IIIa); and</w:t>
            </w:r>
          </w:p>
          <w:p w14:paraId="529E7EAE"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(ii) sign(s) and symptom(s) that the patient has experienced; and</w:t>
            </w:r>
          </w:p>
          <w:p w14:paraId="256EC46F" w14:textId="77777777" w:rsidR="00340FAC" w:rsidRDefault="00340FAC" w:rsidP="003C43F8">
            <w:pPr>
              <w:widowControl/>
              <w:spacing w:line="276" w:lineRule="auto"/>
              <w:textAlignment w:val="baseline"/>
              <w:rPr>
                <w:rFonts w:ascii="Arial Narrow" w:hAnsi="Arial Narrow"/>
                <w:b/>
                <w:bCs/>
                <w:sz w:val="18"/>
                <w:szCs w:val="18"/>
                <w:lang w:eastAsia="en-AU"/>
              </w:rPr>
            </w:pPr>
            <w:r>
              <w:rPr>
                <w:rFonts w:ascii="Arial Narrow" w:hAnsi="Arial Narrow" w:cs="Arial Narrow"/>
                <w:iCs/>
                <w:sz w:val="18"/>
                <w:szCs w:val="18"/>
              </w:rPr>
              <w:t>(iii) patient's age at the onset of sign(s) and symptom(s).</w:t>
            </w:r>
          </w:p>
        </w:tc>
      </w:tr>
      <w:tr w:rsidR="00340FAC" w14:paraId="2B3AA7DB"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72B1B7"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22084</w:t>
            </w:r>
          </w:p>
          <w:p w14:paraId="3A1891E6"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22085</w:t>
            </w:r>
          </w:p>
          <w:p w14:paraId="5BA1E4EB"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22086</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D7E655" w14:textId="77777777" w:rsidR="00340FAC" w:rsidRDefault="00340FAC" w:rsidP="003C43F8">
            <w:pPr>
              <w:spacing w:line="276" w:lineRule="auto"/>
              <w:rPr>
                <w:rFonts w:ascii="Arial Narrow" w:hAnsi="Arial Narrow"/>
                <w:b/>
                <w:bCs/>
                <w:sz w:val="18"/>
                <w:szCs w:val="18"/>
                <w:lang w:eastAsia="en-AU"/>
              </w:rPr>
            </w:pPr>
            <w:r>
              <w:rPr>
                <w:rFonts w:ascii="Arial Narrow" w:hAnsi="Arial Narrow"/>
                <w:b/>
                <w:bCs/>
                <w:sz w:val="18"/>
                <w:szCs w:val="18"/>
                <w:lang w:eastAsia="en-AU"/>
              </w:rPr>
              <w:t>Prescribing Instructions:</w:t>
            </w:r>
          </w:p>
          <w:p w14:paraId="31AC385A"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Defined signs and symptoms of Type I SMA are:</w:t>
            </w:r>
          </w:p>
          <w:p w14:paraId="36FA96B5"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 Onset before 6 months of age; and</w:t>
            </w:r>
          </w:p>
          <w:p w14:paraId="46747891"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ii) Failure to meet or regression in ability to perform age-appropriate motor milestones; or</w:t>
            </w:r>
          </w:p>
          <w:p w14:paraId="7D423235"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lastRenderedPageBreak/>
              <w:t>iii) Proximal weakness; or</w:t>
            </w:r>
          </w:p>
          <w:p w14:paraId="6F8D0BCB"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iv) Hypotonia; or</w:t>
            </w:r>
          </w:p>
          <w:p w14:paraId="110A645C"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 Absence of deep tendon reflexes; or</w:t>
            </w:r>
          </w:p>
          <w:p w14:paraId="56B8C967"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vi) Failure to gain weight appropriate for age; or</w:t>
            </w:r>
          </w:p>
          <w:p w14:paraId="0A13662A"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vii) Any active chronic neurogenic changes; or</w:t>
            </w:r>
          </w:p>
          <w:p w14:paraId="25430265"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viii) A compound muscle action potential below normative values for an age-matched child. </w:t>
            </w:r>
          </w:p>
          <w:p w14:paraId="16BFABD2" w14:textId="77777777" w:rsidR="00340FAC" w:rsidRDefault="00340FAC" w:rsidP="003C43F8">
            <w:pPr>
              <w:spacing w:line="276" w:lineRule="auto"/>
              <w:rPr>
                <w:rFonts w:ascii="Arial Narrow" w:hAnsi="Arial Narrow"/>
                <w:bCs/>
                <w:sz w:val="18"/>
                <w:szCs w:val="18"/>
                <w:lang w:eastAsia="en-AU"/>
              </w:rPr>
            </w:pPr>
          </w:p>
          <w:p w14:paraId="522F4392"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Defined signs and symptoms of Type II SMA are:</w:t>
            </w:r>
          </w:p>
          <w:p w14:paraId="7A401F49"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 Onset between 6 and 18 months of age; and</w:t>
            </w:r>
          </w:p>
          <w:p w14:paraId="08FD3F44"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ii) Failure to meet or regression in ability to perform age-appropriate motor milestones; or</w:t>
            </w:r>
          </w:p>
          <w:p w14:paraId="7670BE09"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iii) Proximal weakness; or</w:t>
            </w:r>
          </w:p>
          <w:p w14:paraId="5E375129"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iv) Weakness in trunk righting/derotation; or</w:t>
            </w:r>
          </w:p>
          <w:p w14:paraId="0B316F55"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 Hypotonia; or</w:t>
            </w:r>
          </w:p>
          <w:p w14:paraId="0288D6C4"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vi) Absence of deep tendon reflexes; or</w:t>
            </w:r>
          </w:p>
          <w:p w14:paraId="56A3CA3C"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vii) Failure to gain weight appropriate for age; or</w:t>
            </w:r>
          </w:p>
          <w:p w14:paraId="64924001"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viii) Any active chronic neurogenic changes; or</w:t>
            </w:r>
          </w:p>
          <w:p w14:paraId="59AE5FE5"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ix) A compound muscle action potential below normative values for an age-matched child. </w:t>
            </w:r>
          </w:p>
          <w:p w14:paraId="11A1C5DC" w14:textId="77777777" w:rsidR="00340FAC" w:rsidRDefault="00340FAC" w:rsidP="003C43F8">
            <w:pPr>
              <w:spacing w:line="276" w:lineRule="auto"/>
              <w:rPr>
                <w:rFonts w:ascii="Arial Narrow" w:hAnsi="Arial Narrow"/>
                <w:bCs/>
                <w:sz w:val="18"/>
                <w:szCs w:val="18"/>
                <w:lang w:eastAsia="en-AU"/>
              </w:rPr>
            </w:pPr>
          </w:p>
          <w:p w14:paraId="06305175"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Defined signs and symptoms of Type IIIa SMA are:</w:t>
            </w:r>
          </w:p>
          <w:p w14:paraId="06B1A264"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 Onset between 18 months and 3 years of age; and</w:t>
            </w:r>
          </w:p>
          <w:p w14:paraId="67AF823C"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ii) Failure to meet or regression in ability to perform age-appropriate motor milestones; or</w:t>
            </w:r>
          </w:p>
          <w:p w14:paraId="53242292"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iii) Proximal weakness; or</w:t>
            </w:r>
          </w:p>
          <w:p w14:paraId="2C4F0EA9"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iv) Hypotonia; or</w:t>
            </w:r>
          </w:p>
          <w:p w14:paraId="6FF23824"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 Absence of deep tendon reflexes; or</w:t>
            </w:r>
          </w:p>
          <w:p w14:paraId="3A60B99C"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vi) Failure to gain weight appropriate for age; or</w:t>
            </w:r>
          </w:p>
          <w:p w14:paraId="2BBD6B51"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vii) Any active chronic neurogenic changes; or</w:t>
            </w:r>
          </w:p>
          <w:p w14:paraId="1CCACD82" w14:textId="77777777" w:rsidR="00340FAC" w:rsidRDefault="00340FAC" w:rsidP="003C43F8">
            <w:pPr>
              <w:spacing w:line="276" w:lineRule="auto"/>
              <w:rPr>
                <w:rFonts w:ascii="Arial Narrow" w:hAnsi="Arial Narrow"/>
                <w:b/>
                <w:bCs/>
                <w:strike/>
                <w:sz w:val="18"/>
                <w:szCs w:val="18"/>
                <w:lang w:eastAsia="en-AU"/>
              </w:rPr>
            </w:pPr>
            <w:r>
              <w:rPr>
                <w:rFonts w:ascii="Arial Narrow" w:hAnsi="Arial Narrow"/>
                <w:sz w:val="18"/>
                <w:szCs w:val="18"/>
                <w:lang w:eastAsia="en-AU"/>
              </w:rPr>
              <w:t>viii) A compound muscle action potential below normative values for an age-matched child.</w:t>
            </w:r>
          </w:p>
        </w:tc>
      </w:tr>
      <w:tr w:rsidR="00340FAC" w14:paraId="2D806C9A"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4635CF"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lastRenderedPageBreak/>
              <w:t>25744</w:t>
            </w:r>
          </w:p>
          <w:p w14:paraId="148AF0FC"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CAR flag</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4BC286" w14:textId="77777777" w:rsidR="00340FAC" w:rsidRDefault="00340FAC" w:rsidP="003C43F8">
            <w:pPr>
              <w:spacing w:line="276" w:lineRule="auto"/>
              <w:rPr>
                <w:rFonts w:ascii="Arial Narrow" w:hAnsi="Arial Narrow"/>
                <w:b/>
                <w:sz w:val="18"/>
                <w:szCs w:val="18"/>
                <w:lang w:eastAsia="en-AU"/>
              </w:rPr>
            </w:pPr>
            <w:r>
              <w:rPr>
                <w:rFonts w:ascii="Arial Narrow" w:hAnsi="Arial Narrow"/>
                <w:b/>
                <w:sz w:val="18"/>
                <w:szCs w:val="18"/>
                <w:lang w:eastAsia="en-AU"/>
              </w:rPr>
              <w:t>Administrative Advice:</w:t>
            </w:r>
          </w:p>
          <w:p w14:paraId="42725364"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Any queries concerning the arrangements to prescribe may be directed to Services Australia on 1800 700 270 (hours of operation 8 a.m. to 5 p.m. EST Monday to Friday).</w:t>
            </w:r>
          </w:p>
          <w:p w14:paraId="36F5EC76" w14:textId="77777777" w:rsidR="00340FAC" w:rsidRDefault="00340FAC" w:rsidP="003C43F8">
            <w:pPr>
              <w:spacing w:line="276" w:lineRule="auto"/>
              <w:rPr>
                <w:rFonts w:ascii="Arial Narrow" w:hAnsi="Arial Narrow"/>
                <w:sz w:val="18"/>
                <w:szCs w:val="18"/>
                <w:lang w:eastAsia="en-AU"/>
              </w:rPr>
            </w:pPr>
          </w:p>
          <w:p w14:paraId="137D2923"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 xml:space="preserve">Prescribing information (including Authority Application forms and other relevant documentation as applicable) is available on the Services Australia website at www.servicesaustralia.gov.au, </w:t>
            </w:r>
          </w:p>
          <w:p w14:paraId="439FD505" w14:textId="77777777" w:rsidR="00340FAC" w:rsidRDefault="00340FAC" w:rsidP="003C43F8">
            <w:pPr>
              <w:spacing w:line="276" w:lineRule="auto"/>
              <w:rPr>
                <w:rFonts w:ascii="Arial Narrow" w:hAnsi="Arial Narrow"/>
                <w:sz w:val="18"/>
                <w:szCs w:val="18"/>
                <w:lang w:eastAsia="en-AU"/>
              </w:rPr>
            </w:pPr>
          </w:p>
          <w:p w14:paraId="65BBE839"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 xml:space="preserve">Applications for authority to prescribe should be submitted online using the form upload facility in Health Professional Online Services (HPOS) at </w:t>
            </w:r>
            <w:hyperlink r:id="rId12" w:history="1">
              <w:r>
                <w:rPr>
                  <w:rStyle w:val="Hyperlink"/>
                  <w:rFonts w:ascii="Arial Narrow" w:hAnsi="Arial Narrow"/>
                  <w:sz w:val="18"/>
                  <w:szCs w:val="18"/>
                  <w:lang w:eastAsia="en-AU"/>
                </w:rPr>
                <w:t>www.servicesaustralia.gov.au/hpos</w:t>
              </w:r>
            </w:hyperlink>
            <w:r>
              <w:rPr>
                <w:rFonts w:ascii="Arial Narrow" w:hAnsi="Arial Narrow"/>
                <w:sz w:val="18"/>
                <w:szCs w:val="18"/>
                <w:lang w:eastAsia="en-AU"/>
              </w:rPr>
              <w:t xml:space="preserve">, </w:t>
            </w:r>
          </w:p>
          <w:p w14:paraId="74C8B084" w14:textId="77777777" w:rsidR="00340FAC" w:rsidRDefault="00340FAC" w:rsidP="003C43F8">
            <w:pPr>
              <w:spacing w:line="276" w:lineRule="auto"/>
              <w:rPr>
                <w:rFonts w:ascii="Arial Narrow" w:hAnsi="Arial Narrow"/>
                <w:sz w:val="18"/>
                <w:szCs w:val="18"/>
                <w:lang w:eastAsia="en-AU"/>
              </w:rPr>
            </w:pPr>
          </w:p>
          <w:p w14:paraId="5228A1AD"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Or mailed to:</w:t>
            </w:r>
          </w:p>
          <w:p w14:paraId="7BCF4F13"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 xml:space="preserve">Services Australia, Complex Drugs, </w:t>
            </w:r>
          </w:p>
          <w:p w14:paraId="5B1974F3"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 xml:space="preserve">Reply Paid 9826, </w:t>
            </w:r>
          </w:p>
          <w:p w14:paraId="7AA88197"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HOBART TAS 7001</w:t>
            </w:r>
          </w:p>
        </w:tc>
      </w:tr>
      <w:tr w:rsidR="00340FAC" w14:paraId="12A03E6F"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D31568"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 xml:space="preserve"> </w:t>
            </w:r>
            <w:r>
              <w:rPr>
                <w:rFonts w:ascii="Arial Narrow" w:hAnsi="Arial Narrow"/>
                <w:strike/>
                <w:sz w:val="18"/>
                <w:szCs w:val="18"/>
                <w:lang w:eastAsia="en-AU"/>
              </w:rPr>
              <w:t xml:space="preserve">20162      </w:t>
            </w:r>
            <w:r>
              <w:rPr>
                <w:rFonts w:ascii="Arial Narrow" w:hAnsi="Arial Narrow"/>
                <w:sz w:val="18"/>
                <w:szCs w:val="18"/>
                <w:lang w:eastAsia="en-AU"/>
              </w:rPr>
              <w:t>NEW 27528</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E8F8DE" w14:textId="77777777" w:rsidR="00340FAC" w:rsidRDefault="00340FAC" w:rsidP="003C43F8">
            <w:pPr>
              <w:spacing w:line="276" w:lineRule="auto"/>
              <w:rPr>
                <w:rFonts w:ascii="Arial Narrow" w:hAnsi="Arial Narrow"/>
                <w:sz w:val="18"/>
                <w:szCs w:val="18"/>
                <w:lang w:eastAsia="en-AU"/>
              </w:rPr>
            </w:pPr>
            <w:r>
              <w:rPr>
                <w:rFonts w:ascii="Arial Narrow" w:hAnsi="Arial Narrow"/>
                <w:b/>
                <w:sz w:val="18"/>
                <w:szCs w:val="18"/>
                <w:lang w:eastAsia="en-AU"/>
              </w:rPr>
              <w:t>Prescribing Instructions</w:t>
            </w:r>
            <w:r>
              <w:rPr>
                <w:rFonts w:ascii="Arial Narrow" w:hAnsi="Arial Narrow"/>
                <w:sz w:val="18"/>
                <w:szCs w:val="18"/>
                <w:lang w:eastAsia="en-AU"/>
              </w:rPr>
              <w:t>: A patient may qualify for PBS-subsidised treatment under this restriction once only. For continuing PBS-subsidised treatment, a Grandfathered patient must qualify under the Continuing treatment criteria.</w:t>
            </w:r>
          </w:p>
        </w:tc>
      </w:tr>
      <w:tr w:rsidR="00340FAC" w14:paraId="0080298A"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87DD60"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25398</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44766D" w14:textId="77777777" w:rsidR="00340FAC" w:rsidRDefault="00340FAC" w:rsidP="003C43F8">
            <w:pPr>
              <w:spacing w:line="276" w:lineRule="auto"/>
              <w:rPr>
                <w:rFonts w:ascii="Arial Narrow" w:hAnsi="Arial Narrow"/>
                <w:b/>
                <w:bCs/>
                <w:sz w:val="18"/>
                <w:szCs w:val="18"/>
                <w:lang w:eastAsia="en-AU"/>
              </w:rPr>
            </w:pPr>
            <w:r>
              <w:rPr>
                <w:rFonts w:ascii="Arial Narrow" w:hAnsi="Arial Narrow"/>
                <w:b/>
                <w:sz w:val="18"/>
                <w:szCs w:val="18"/>
                <w:lang w:eastAsia="en-AU"/>
              </w:rPr>
              <w:t>Administrative Advice</w:t>
            </w:r>
            <w:r>
              <w:rPr>
                <w:rFonts w:ascii="Arial Narrow" w:hAnsi="Arial Narrow"/>
                <w:sz w:val="18"/>
                <w:szCs w:val="18"/>
                <w:lang w:eastAsia="en-AU"/>
              </w:rPr>
              <w:t>: This grandfather restriction will cease to operate from 12 months after the date specified in the clinical criteria.</w:t>
            </w:r>
          </w:p>
        </w:tc>
      </w:tr>
      <w:tr w:rsidR="00340FAC" w14:paraId="67D35A11"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C64303"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7607</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05A68E"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 xml:space="preserve">Administrative Advice: </w:t>
            </w:r>
            <w:r>
              <w:rPr>
                <w:rFonts w:ascii="Arial Narrow" w:hAnsi="Arial Narrow"/>
                <w:sz w:val="18"/>
                <w:szCs w:val="18"/>
                <w:lang w:eastAsia="en-AU"/>
              </w:rPr>
              <w:t>No increase in the maximum number of repeats may be authorised.</w:t>
            </w:r>
          </w:p>
        </w:tc>
      </w:tr>
      <w:tr w:rsidR="00340FAC" w14:paraId="533D46F1"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333F21"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7608</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099F9D"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 xml:space="preserve">Administrative Advice: </w:t>
            </w:r>
            <w:r>
              <w:rPr>
                <w:rFonts w:ascii="Arial Narrow" w:hAnsi="Arial Narrow"/>
                <w:sz w:val="18"/>
                <w:szCs w:val="18"/>
                <w:lang w:eastAsia="en-AU"/>
              </w:rPr>
              <w:t>Special Pricing Arrangements apply.</w:t>
            </w:r>
          </w:p>
        </w:tc>
      </w:tr>
    </w:tbl>
    <w:p w14:paraId="70D75D98" w14:textId="77777777" w:rsidR="00340FAC" w:rsidRDefault="00340FAC" w:rsidP="00340FAC">
      <w:pPr>
        <w:widowControl/>
        <w:jc w:val="left"/>
        <w:rPr>
          <w:b/>
        </w:rPr>
      </w:pPr>
    </w:p>
    <w:p w14:paraId="112E8C74" w14:textId="77777777" w:rsidR="00340FAC" w:rsidRPr="00F84E41" w:rsidRDefault="00340FAC" w:rsidP="00340FAC">
      <w:pPr>
        <w:pStyle w:val="BodyText"/>
        <w:rPr>
          <w:b/>
        </w:rPr>
      </w:pPr>
      <w:r w:rsidRPr="00F84E41">
        <w:rPr>
          <w:b/>
        </w:rPr>
        <w:t>Flow-on changes:</w:t>
      </w:r>
    </w:p>
    <w:p w14:paraId="41CEF7E9" w14:textId="77777777" w:rsidR="00340FAC" w:rsidRDefault="00340FAC" w:rsidP="00340FAC">
      <w:pPr>
        <w:pStyle w:val="BodyText"/>
      </w:pPr>
      <w:r>
        <w:t>For nusinersen items 11363C, 11378W, 11472T, 11476B (for treatment of patients with symptomatic Type 1, 2 or 3a SMA) add clinical criterion as follows:</w:t>
      </w:r>
    </w:p>
    <w:p w14:paraId="3C098135" w14:textId="77777777" w:rsidR="00340FAC" w:rsidRDefault="00340FAC" w:rsidP="00340FAC">
      <w:pPr>
        <w:widowControl/>
        <w:jc w:val="left"/>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708"/>
        <w:gridCol w:w="1275"/>
        <w:gridCol w:w="1276"/>
        <w:gridCol w:w="1134"/>
        <w:gridCol w:w="1134"/>
        <w:gridCol w:w="1559"/>
      </w:tblGrid>
      <w:tr w:rsidR="00340FAC" w14:paraId="56ECD610" w14:textId="77777777" w:rsidTr="003C43F8">
        <w:trPr>
          <w:cantSplit/>
          <w:trHeight w:val="471"/>
        </w:trPr>
        <w:tc>
          <w:tcPr>
            <w:tcW w:w="2689" w:type="dxa"/>
            <w:gridSpan w:val="2"/>
            <w:tcBorders>
              <w:top w:val="single" w:sz="4" w:space="0" w:color="auto"/>
              <w:left w:val="single" w:sz="4" w:space="0" w:color="auto"/>
              <w:bottom w:val="single" w:sz="4" w:space="0" w:color="auto"/>
              <w:right w:val="single" w:sz="4" w:space="0" w:color="auto"/>
            </w:tcBorders>
            <w:hideMark/>
          </w:tcPr>
          <w:p w14:paraId="53AEA6BE" w14:textId="77777777" w:rsidR="00340FAC" w:rsidRDefault="00340FAC" w:rsidP="003C43F8">
            <w:pPr>
              <w:keepNext/>
              <w:spacing w:line="276" w:lineRule="auto"/>
              <w:ind w:left="-57"/>
              <w:rPr>
                <w:rFonts w:ascii="Arial Narrow" w:hAnsi="Arial Narrow"/>
                <w:b/>
                <w:snapToGrid/>
                <w:sz w:val="18"/>
                <w:szCs w:val="18"/>
              </w:rPr>
            </w:pPr>
            <w:r>
              <w:rPr>
                <w:rFonts w:ascii="Arial Narrow" w:hAnsi="Arial Narrow"/>
                <w:b/>
                <w:sz w:val="18"/>
                <w:szCs w:val="18"/>
              </w:rPr>
              <w:t xml:space="preserve">MEDICINAL PRODUCT </w:t>
            </w:r>
          </w:p>
          <w:p w14:paraId="6E3FB4B7" w14:textId="77777777" w:rsidR="00340FAC" w:rsidRDefault="00340FAC" w:rsidP="003C43F8">
            <w:pPr>
              <w:keepNext/>
              <w:spacing w:line="276" w:lineRule="auto"/>
              <w:ind w:left="-57"/>
              <w:rPr>
                <w:rFonts w:ascii="Arial Narrow" w:hAnsi="Arial Narrow"/>
                <w:b/>
                <w:sz w:val="18"/>
                <w:szCs w:val="18"/>
              </w:rPr>
            </w:pPr>
            <w:r>
              <w:rPr>
                <w:rFonts w:ascii="Arial Narrow" w:hAnsi="Arial Narrow"/>
                <w:b/>
                <w:sz w:val="18"/>
                <w:szCs w:val="18"/>
              </w:rPr>
              <w:t>medicinal product pack</w:t>
            </w:r>
          </w:p>
        </w:tc>
        <w:tc>
          <w:tcPr>
            <w:tcW w:w="1275" w:type="dxa"/>
            <w:tcBorders>
              <w:top w:val="single" w:sz="4" w:space="0" w:color="auto"/>
              <w:left w:val="single" w:sz="4" w:space="0" w:color="auto"/>
              <w:bottom w:val="single" w:sz="4" w:space="0" w:color="auto"/>
              <w:right w:val="single" w:sz="4" w:space="0" w:color="auto"/>
            </w:tcBorders>
            <w:hideMark/>
          </w:tcPr>
          <w:p w14:paraId="1D04CDB0"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PBS item code</w:t>
            </w:r>
          </w:p>
        </w:tc>
        <w:tc>
          <w:tcPr>
            <w:tcW w:w="1276" w:type="dxa"/>
            <w:tcBorders>
              <w:top w:val="single" w:sz="4" w:space="0" w:color="auto"/>
              <w:left w:val="single" w:sz="4" w:space="0" w:color="auto"/>
              <w:bottom w:val="single" w:sz="4" w:space="0" w:color="auto"/>
              <w:right w:val="single" w:sz="4" w:space="0" w:color="auto"/>
            </w:tcBorders>
            <w:hideMark/>
          </w:tcPr>
          <w:p w14:paraId="5C53A07E"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Max. qty packs</w:t>
            </w:r>
          </w:p>
        </w:tc>
        <w:tc>
          <w:tcPr>
            <w:tcW w:w="1134" w:type="dxa"/>
            <w:tcBorders>
              <w:top w:val="single" w:sz="4" w:space="0" w:color="auto"/>
              <w:left w:val="single" w:sz="4" w:space="0" w:color="auto"/>
              <w:bottom w:val="single" w:sz="4" w:space="0" w:color="auto"/>
              <w:right w:val="single" w:sz="4" w:space="0" w:color="auto"/>
            </w:tcBorders>
            <w:hideMark/>
          </w:tcPr>
          <w:p w14:paraId="0F40ED86"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Max. qty units</w:t>
            </w:r>
          </w:p>
        </w:tc>
        <w:tc>
          <w:tcPr>
            <w:tcW w:w="1134" w:type="dxa"/>
            <w:tcBorders>
              <w:top w:val="single" w:sz="4" w:space="0" w:color="auto"/>
              <w:left w:val="single" w:sz="4" w:space="0" w:color="auto"/>
              <w:bottom w:val="single" w:sz="4" w:space="0" w:color="auto"/>
              <w:right w:val="single" w:sz="4" w:space="0" w:color="auto"/>
            </w:tcBorders>
            <w:hideMark/>
          </w:tcPr>
          <w:p w14:paraId="48E4E8CC"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№.of</w:t>
            </w:r>
          </w:p>
          <w:p w14:paraId="10C3C004"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Rpts</w:t>
            </w:r>
          </w:p>
        </w:tc>
        <w:tc>
          <w:tcPr>
            <w:tcW w:w="1559" w:type="dxa"/>
            <w:tcBorders>
              <w:top w:val="single" w:sz="4" w:space="0" w:color="auto"/>
              <w:left w:val="single" w:sz="4" w:space="0" w:color="auto"/>
              <w:bottom w:val="single" w:sz="4" w:space="0" w:color="auto"/>
              <w:right w:val="single" w:sz="4" w:space="0" w:color="auto"/>
            </w:tcBorders>
            <w:hideMark/>
          </w:tcPr>
          <w:p w14:paraId="40AA0E21" w14:textId="77777777" w:rsidR="00340FAC" w:rsidRDefault="00340FAC" w:rsidP="003C43F8">
            <w:pPr>
              <w:keepNext/>
              <w:spacing w:line="276" w:lineRule="auto"/>
              <w:rPr>
                <w:rFonts w:ascii="Arial Narrow" w:hAnsi="Arial Narrow"/>
                <w:b/>
                <w:sz w:val="18"/>
                <w:szCs w:val="18"/>
                <w:lang w:val="fr-FR"/>
              </w:rPr>
            </w:pPr>
            <w:r>
              <w:rPr>
                <w:rFonts w:ascii="Arial Narrow" w:hAnsi="Arial Narrow"/>
                <w:b/>
                <w:sz w:val="18"/>
                <w:szCs w:val="18"/>
              </w:rPr>
              <w:t>Available brands</w:t>
            </w:r>
          </w:p>
        </w:tc>
      </w:tr>
      <w:tr w:rsidR="00340FAC" w14:paraId="78886F7D" w14:textId="77777777" w:rsidTr="003C43F8">
        <w:trPr>
          <w:cantSplit/>
          <w:trHeight w:val="266"/>
        </w:trPr>
        <w:tc>
          <w:tcPr>
            <w:tcW w:w="9067" w:type="dxa"/>
            <w:gridSpan w:val="7"/>
            <w:tcBorders>
              <w:top w:val="single" w:sz="4" w:space="0" w:color="auto"/>
              <w:left w:val="single" w:sz="4" w:space="0" w:color="auto"/>
              <w:bottom w:val="single" w:sz="4" w:space="0" w:color="auto"/>
              <w:right w:val="single" w:sz="4" w:space="0" w:color="auto"/>
            </w:tcBorders>
            <w:hideMark/>
          </w:tcPr>
          <w:p w14:paraId="56DD07FE" w14:textId="77777777" w:rsidR="00340FAC" w:rsidRDefault="00340FAC" w:rsidP="003C43F8">
            <w:pPr>
              <w:keepNext/>
              <w:spacing w:line="276" w:lineRule="auto"/>
              <w:ind w:left="-57"/>
              <w:rPr>
                <w:rFonts w:ascii="Arial Narrow" w:hAnsi="Arial Narrow"/>
                <w:sz w:val="18"/>
                <w:szCs w:val="18"/>
              </w:rPr>
            </w:pPr>
            <w:r>
              <w:rPr>
                <w:rFonts w:ascii="Arial Narrow" w:hAnsi="Arial Narrow"/>
                <w:sz w:val="18"/>
                <w:szCs w:val="18"/>
              </w:rPr>
              <w:t>NUSINERSEN</w:t>
            </w:r>
          </w:p>
        </w:tc>
      </w:tr>
      <w:tr w:rsidR="00340FAC" w14:paraId="70A230D9" w14:textId="77777777" w:rsidTr="003C43F8">
        <w:trPr>
          <w:cantSplit/>
          <w:trHeight w:val="413"/>
        </w:trPr>
        <w:tc>
          <w:tcPr>
            <w:tcW w:w="2689" w:type="dxa"/>
            <w:gridSpan w:val="2"/>
            <w:tcBorders>
              <w:top w:val="single" w:sz="4" w:space="0" w:color="auto"/>
              <w:left w:val="single" w:sz="4" w:space="0" w:color="auto"/>
              <w:bottom w:val="single" w:sz="4" w:space="0" w:color="auto"/>
              <w:right w:val="single" w:sz="4" w:space="0" w:color="auto"/>
            </w:tcBorders>
            <w:hideMark/>
          </w:tcPr>
          <w:p w14:paraId="252A14E9" w14:textId="77777777" w:rsidR="00340FAC" w:rsidRDefault="00340FAC" w:rsidP="003C43F8">
            <w:pPr>
              <w:keepNext/>
              <w:spacing w:line="276" w:lineRule="auto"/>
              <w:ind w:left="-57"/>
              <w:rPr>
                <w:rFonts w:ascii="Arial Narrow" w:hAnsi="Arial Narrow"/>
                <w:sz w:val="18"/>
                <w:szCs w:val="18"/>
              </w:rPr>
            </w:pPr>
            <w:r>
              <w:rPr>
                <w:rFonts w:ascii="Arial Narrow" w:hAnsi="Arial Narrow"/>
                <w:sz w:val="18"/>
                <w:szCs w:val="18"/>
              </w:rPr>
              <w:t xml:space="preserve">nusinersen 12mg/5ml injection, 5ml vial </w:t>
            </w:r>
          </w:p>
        </w:tc>
        <w:tc>
          <w:tcPr>
            <w:tcW w:w="1275" w:type="dxa"/>
            <w:tcBorders>
              <w:top w:val="single" w:sz="4" w:space="0" w:color="auto"/>
              <w:left w:val="single" w:sz="4" w:space="0" w:color="auto"/>
              <w:bottom w:val="single" w:sz="4" w:space="0" w:color="auto"/>
              <w:right w:val="single" w:sz="4" w:space="0" w:color="auto"/>
            </w:tcBorders>
            <w:hideMark/>
          </w:tcPr>
          <w:p w14:paraId="5A70E3EB"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11363C (Pub)</w:t>
            </w:r>
          </w:p>
          <w:p w14:paraId="37E48DD5"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11472T (Priv)</w:t>
            </w:r>
          </w:p>
        </w:tc>
        <w:tc>
          <w:tcPr>
            <w:tcW w:w="1276" w:type="dxa"/>
            <w:tcBorders>
              <w:top w:val="single" w:sz="4" w:space="0" w:color="auto"/>
              <w:left w:val="single" w:sz="4" w:space="0" w:color="auto"/>
              <w:bottom w:val="single" w:sz="4" w:space="0" w:color="auto"/>
              <w:right w:val="single" w:sz="4" w:space="0" w:color="auto"/>
            </w:tcBorders>
            <w:hideMark/>
          </w:tcPr>
          <w:p w14:paraId="5621E797"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6DBE6312"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3BEB93DD" w14:textId="77777777" w:rsidR="00340FAC" w:rsidRDefault="00340FAC" w:rsidP="003C43F8">
            <w:pPr>
              <w:keepNext/>
              <w:tabs>
                <w:tab w:val="left" w:pos="136"/>
                <w:tab w:val="center" w:pos="192"/>
              </w:tabs>
              <w:spacing w:line="276" w:lineRule="auto"/>
              <w:jc w:val="center"/>
              <w:rPr>
                <w:rFonts w:ascii="Arial Narrow" w:hAnsi="Arial Narrow"/>
                <w:sz w:val="18"/>
                <w:szCs w:val="18"/>
              </w:rPr>
            </w:pPr>
            <w:r>
              <w:rPr>
                <w:rFonts w:ascii="Arial Narrow" w:hAnsi="Arial Narrow"/>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14:paraId="57945588" w14:textId="77777777" w:rsidR="00340FAC" w:rsidRDefault="00340FAC" w:rsidP="003C43F8">
            <w:pPr>
              <w:keepNext/>
              <w:spacing w:line="276" w:lineRule="auto"/>
              <w:rPr>
                <w:rFonts w:ascii="Arial Narrow" w:hAnsi="Arial Narrow"/>
                <w:sz w:val="18"/>
                <w:szCs w:val="18"/>
              </w:rPr>
            </w:pPr>
            <w:r>
              <w:rPr>
                <w:rFonts w:ascii="Arial Narrow" w:hAnsi="Arial Narrow"/>
                <w:sz w:val="18"/>
                <w:szCs w:val="18"/>
              </w:rPr>
              <w:t>Spinraza</w:t>
            </w:r>
          </w:p>
        </w:tc>
      </w:tr>
      <w:tr w:rsidR="00340FAC" w14:paraId="379BFD59" w14:textId="77777777" w:rsidTr="003C43F8">
        <w:tc>
          <w:tcPr>
            <w:tcW w:w="906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38EAFF" w14:textId="77777777" w:rsidR="00340FAC" w:rsidRDefault="00340FAC" w:rsidP="003C43F8">
            <w:pPr>
              <w:spacing w:line="276" w:lineRule="auto"/>
              <w:rPr>
                <w:rFonts w:ascii="Arial Narrow" w:hAnsi="Arial Narrow"/>
                <w:b/>
                <w:sz w:val="18"/>
                <w:szCs w:val="18"/>
              </w:rPr>
            </w:pPr>
          </w:p>
        </w:tc>
      </w:tr>
      <w:tr w:rsidR="00340FAC" w14:paraId="28E69ACF" w14:textId="77777777" w:rsidTr="003C43F8">
        <w:tc>
          <w:tcPr>
            <w:tcW w:w="98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530876" w14:textId="77777777" w:rsidR="00340FAC" w:rsidRDefault="00340FAC" w:rsidP="003C43F8">
            <w:pPr>
              <w:spacing w:line="276" w:lineRule="auto"/>
              <w:jc w:val="center"/>
              <w:rPr>
                <w:rFonts w:ascii="Arial Narrow" w:hAnsi="Arial Narrow"/>
                <w:b/>
                <w:sz w:val="18"/>
                <w:szCs w:val="18"/>
              </w:rPr>
            </w:pPr>
            <w:r>
              <w:rPr>
                <w:rFonts w:ascii="Arial Narrow" w:hAnsi="Arial Narrow"/>
                <w:b/>
                <w:sz w:val="18"/>
                <w:szCs w:val="18"/>
              </w:rPr>
              <w:t>Concept ID</w:t>
            </w:r>
          </w:p>
          <w:p w14:paraId="6A787B7E" w14:textId="77777777" w:rsidR="00340FAC" w:rsidRDefault="00340FAC" w:rsidP="003C43F8">
            <w:pPr>
              <w:spacing w:line="276" w:lineRule="auto"/>
              <w:rPr>
                <w:rFonts w:ascii="Arial Narrow" w:hAnsi="Arial Narrow"/>
                <w:sz w:val="18"/>
                <w:szCs w:val="18"/>
              </w:rPr>
            </w:pPr>
          </w:p>
          <w:p w14:paraId="2B268EE1" w14:textId="77777777" w:rsidR="00340FAC" w:rsidRDefault="00340FAC" w:rsidP="003C43F8">
            <w:pPr>
              <w:spacing w:line="276" w:lineRule="auto"/>
              <w:jc w:val="center"/>
              <w:rPr>
                <w:rFonts w:ascii="Arial Narrow" w:hAnsi="Arial Narrow"/>
                <w:sz w:val="18"/>
                <w:szCs w:val="18"/>
              </w:rPr>
            </w:pPr>
            <w:r>
              <w:rPr>
                <w:rFonts w:ascii="Arial Narrow" w:hAnsi="Arial Narrow"/>
                <w:sz w:val="18"/>
                <w:szCs w:val="18"/>
              </w:rPr>
              <w:t>(for internal Dept. use)</w:t>
            </w:r>
          </w:p>
          <w:p w14:paraId="01441C1E" w14:textId="77777777" w:rsidR="00340FAC" w:rsidRDefault="00340FAC" w:rsidP="003C43F8">
            <w:pPr>
              <w:spacing w:line="276" w:lineRule="auto"/>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F75E3A" w14:textId="77777777" w:rsidR="00340FAC" w:rsidRDefault="00340FAC" w:rsidP="003C43F8">
            <w:pPr>
              <w:spacing w:line="276" w:lineRule="auto"/>
              <w:rPr>
                <w:rFonts w:ascii="Arial Narrow" w:hAnsi="Arial Narrow"/>
                <w:sz w:val="18"/>
                <w:szCs w:val="18"/>
              </w:rPr>
            </w:pPr>
            <w:r>
              <w:rPr>
                <w:rFonts w:ascii="Arial Narrow" w:hAnsi="Arial Narrow"/>
                <w:b/>
                <w:sz w:val="18"/>
                <w:szCs w:val="18"/>
              </w:rPr>
              <w:t xml:space="preserve">Category / Program:   </w:t>
            </w:r>
            <w:r>
              <w:rPr>
                <w:rFonts w:ascii="Arial Narrow" w:hAnsi="Arial Narrow"/>
                <w:sz w:val="18"/>
                <w:szCs w:val="18"/>
              </w:rPr>
              <w:t>Section 100 – Highly Specialised Drugs Program  (Public/Private hospitals code)</w:t>
            </w:r>
          </w:p>
        </w:tc>
      </w:tr>
      <w:tr w:rsidR="00340FAC" w14:paraId="6B37CA8D" w14:textId="77777777" w:rsidTr="003C43F8">
        <w:trPr>
          <w:trHeight w:val="240"/>
        </w:trPr>
        <w:tc>
          <w:tcPr>
            <w:tcW w:w="981" w:type="dxa"/>
            <w:vMerge/>
            <w:tcBorders>
              <w:top w:val="single" w:sz="4" w:space="0" w:color="auto"/>
              <w:left w:val="single" w:sz="4" w:space="0" w:color="auto"/>
              <w:bottom w:val="single" w:sz="4" w:space="0" w:color="auto"/>
              <w:right w:val="single" w:sz="4" w:space="0" w:color="auto"/>
            </w:tcBorders>
            <w:vAlign w:val="center"/>
            <w:hideMark/>
          </w:tcPr>
          <w:p w14:paraId="31CDBDF8" w14:textId="77777777" w:rsidR="00340FAC" w:rsidRDefault="00340FAC" w:rsidP="003C43F8">
            <w:pPr>
              <w:widowControl/>
              <w:spacing w:line="276" w:lineRule="auto"/>
              <w:jc w:val="left"/>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FDAF38" w14:textId="77777777" w:rsidR="00340FAC" w:rsidRDefault="00340FAC" w:rsidP="003C43F8">
            <w:pPr>
              <w:spacing w:line="276" w:lineRule="auto"/>
              <w:rPr>
                <w:rFonts w:ascii="Arial Narrow" w:hAnsi="Arial Narrow"/>
                <w:b/>
                <w:sz w:val="18"/>
                <w:szCs w:val="18"/>
              </w:rPr>
            </w:pPr>
            <w:r>
              <w:rPr>
                <w:rFonts w:ascii="Arial Narrow" w:hAnsi="Arial Narrow"/>
                <w:b/>
                <w:sz w:val="18"/>
                <w:szCs w:val="18"/>
              </w:rPr>
              <w:t xml:space="preserve">Prescriber type: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A87B03">
              <w:rPr>
                <w:rFonts w:ascii="Arial Narrow" w:hAnsi="Arial Narrow"/>
                <w:sz w:val="18"/>
                <w:szCs w:val="18"/>
              </w:rPr>
            </w:r>
            <w:r w:rsidR="00A87B03">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Medical Practitioners    </w:t>
            </w:r>
          </w:p>
        </w:tc>
      </w:tr>
      <w:tr w:rsidR="00340FAC" w14:paraId="7AAF8484" w14:textId="77777777" w:rsidTr="003C43F8">
        <w:tc>
          <w:tcPr>
            <w:tcW w:w="981" w:type="dxa"/>
            <w:vMerge/>
            <w:tcBorders>
              <w:top w:val="single" w:sz="4" w:space="0" w:color="auto"/>
              <w:left w:val="single" w:sz="4" w:space="0" w:color="auto"/>
              <w:bottom w:val="single" w:sz="4" w:space="0" w:color="auto"/>
              <w:right w:val="single" w:sz="4" w:space="0" w:color="auto"/>
            </w:tcBorders>
            <w:vAlign w:val="center"/>
            <w:hideMark/>
          </w:tcPr>
          <w:p w14:paraId="5662653A" w14:textId="77777777" w:rsidR="00340FAC" w:rsidRDefault="00340FAC" w:rsidP="003C43F8">
            <w:pPr>
              <w:widowControl/>
              <w:spacing w:line="276" w:lineRule="auto"/>
              <w:jc w:val="left"/>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D25264" w14:textId="77777777" w:rsidR="00340FAC" w:rsidRDefault="00340FAC" w:rsidP="003C43F8">
            <w:pPr>
              <w:spacing w:line="276" w:lineRule="auto"/>
              <w:rPr>
                <w:rFonts w:ascii="Arial Narrow" w:eastAsia="Calibri" w:hAnsi="Arial Narrow"/>
                <w:sz w:val="18"/>
                <w:szCs w:val="18"/>
              </w:rPr>
            </w:pPr>
            <w:r>
              <w:rPr>
                <w:rFonts w:ascii="Arial Narrow" w:hAnsi="Arial Narrow"/>
                <w:b/>
                <w:sz w:val="18"/>
                <w:szCs w:val="18"/>
              </w:rPr>
              <w:t xml:space="preserve">Restriction Type </w:t>
            </w: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A87B03">
              <w:rPr>
                <w:rFonts w:ascii="Arial Narrow" w:eastAsia="Calibri" w:hAnsi="Arial Narrow"/>
                <w:sz w:val="18"/>
                <w:szCs w:val="18"/>
              </w:rPr>
            </w:r>
            <w:r w:rsidR="00A87B03">
              <w:rPr>
                <w:rFonts w:ascii="Arial Narrow" w:eastAsia="Calibri" w:hAnsi="Arial Narrow"/>
                <w:sz w:val="18"/>
                <w:szCs w:val="18"/>
              </w:rPr>
              <w:fldChar w:fldCharType="separate"/>
            </w:r>
            <w:r>
              <w:rPr>
                <w:rFonts w:ascii="Arial Narrow" w:eastAsia="Calibri" w:hAnsi="Arial Narrow"/>
                <w:sz w:val="18"/>
                <w:szCs w:val="18"/>
              </w:rPr>
              <w:fldChar w:fldCharType="end"/>
            </w:r>
            <w:r>
              <w:rPr>
                <w:rFonts w:ascii="Arial Narrow" w:eastAsia="Calibri" w:hAnsi="Arial Narrow"/>
                <w:sz w:val="18"/>
                <w:szCs w:val="18"/>
              </w:rPr>
              <w:t xml:space="preserve">Authority Required – non-immediate/delayed assessment by Services Australia </w:t>
            </w:r>
          </w:p>
        </w:tc>
      </w:tr>
      <w:tr w:rsidR="00340FAC" w14:paraId="3731397E"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7BB304"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8F6C0F" w14:textId="77777777" w:rsidR="00340FAC" w:rsidRDefault="00340FAC" w:rsidP="003C43F8">
            <w:pPr>
              <w:spacing w:line="276" w:lineRule="auto"/>
              <w:rPr>
                <w:rFonts w:ascii="Arial Narrow" w:hAnsi="Arial Narrow"/>
                <w:bCs/>
                <w:i/>
                <w:sz w:val="18"/>
                <w:szCs w:val="18"/>
                <w:lang w:eastAsia="en-AU"/>
              </w:rPr>
            </w:pPr>
            <w:r>
              <w:rPr>
                <w:rFonts w:ascii="Arial Narrow" w:hAnsi="Arial Narrow"/>
                <w:b/>
                <w:bCs/>
                <w:sz w:val="18"/>
                <w:szCs w:val="18"/>
                <w:lang w:eastAsia="en-AU"/>
              </w:rPr>
              <w:t xml:space="preserve">Episodicity: </w:t>
            </w:r>
            <w:r>
              <w:rPr>
                <w:rFonts w:ascii="Arial Narrow" w:hAnsi="Arial Narrow"/>
                <w:bCs/>
                <w:sz w:val="18"/>
                <w:szCs w:val="18"/>
                <w:lang w:eastAsia="en-AU"/>
              </w:rPr>
              <w:t>Symptomatic</w:t>
            </w:r>
          </w:p>
        </w:tc>
      </w:tr>
      <w:tr w:rsidR="00340FAC" w14:paraId="712B7AF7"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775988"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B2B08A" w14:textId="77777777" w:rsidR="00340FAC" w:rsidRDefault="00340FAC" w:rsidP="003C43F8">
            <w:pPr>
              <w:spacing w:line="276" w:lineRule="auto"/>
              <w:rPr>
                <w:rFonts w:ascii="Arial Narrow" w:hAnsi="Arial Narrow"/>
                <w:b/>
                <w:bCs/>
                <w:sz w:val="18"/>
                <w:szCs w:val="18"/>
                <w:lang w:eastAsia="en-AU"/>
              </w:rPr>
            </w:pPr>
            <w:r>
              <w:rPr>
                <w:rFonts w:ascii="Arial Narrow" w:hAnsi="Arial Narrow"/>
                <w:b/>
                <w:bCs/>
                <w:sz w:val="18"/>
                <w:szCs w:val="18"/>
                <w:lang w:eastAsia="en-AU"/>
              </w:rPr>
              <w:t xml:space="preserve">Severity: </w:t>
            </w:r>
            <w:r>
              <w:rPr>
                <w:rFonts w:ascii="Arial Narrow" w:hAnsi="Arial Narrow"/>
                <w:bCs/>
                <w:sz w:val="18"/>
                <w:szCs w:val="18"/>
                <w:lang w:eastAsia="en-AU"/>
              </w:rPr>
              <w:t>Type I, II or IIIa</w:t>
            </w:r>
            <w:r>
              <w:rPr>
                <w:rFonts w:ascii="Arial Narrow" w:hAnsi="Arial Narrow"/>
                <w:bCs/>
                <w:i/>
                <w:sz w:val="18"/>
                <w:szCs w:val="18"/>
                <w:lang w:eastAsia="en-AU"/>
              </w:rPr>
              <w:t xml:space="preserve"> </w:t>
            </w:r>
          </w:p>
        </w:tc>
      </w:tr>
      <w:tr w:rsidR="00340FAC" w14:paraId="13EE6352"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1957F5"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502027" w14:textId="77777777" w:rsidR="00340FAC" w:rsidRDefault="00340FAC" w:rsidP="003C43F8">
            <w:pPr>
              <w:spacing w:line="276" w:lineRule="auto"/>
              <w:rPr>
                <w:rFonts w:ascii="Arial Narrow" w:hAnsi="Arial Narrow"/>
                <w:b/>
                <w:bCs/>
                <w:i/>
                <w:sz w:val="18"/>
                <w:szCs w:val="18"/>
                <w:lang w:eastAsia="en-AU"/>
              </w:rPr>
            </w:pPr>
            <w:r>
              <w:rPr>
                <w:rFonts w:ascii="Arial Narrow" w:hAnsi="Arial Narrow"/>
                <w:b/>
                <w:bCs/>
                <w:sz w:val="18"/>
                <w:szCs w:val="18"/>
                <w:lang w:eastAsia="en-AU"/>
              </w:rPr>
              <w:t xml:space="preserve">Condition: </w:t>
            </w:r>
            <w:r>
              <w:rPr>
                <w:rFonts w:ascii="Arial Narrow" w:hAnsi="Arial Narrow"/>
                <w:bCs/>
                <w:sz w:val="18"/>
                <w:szCs w:val="18"/>
                <w:lang w:eastAsia="en-AU"/>
              </w:rPr>
              <w:t>Spinal muscular atrophy (SMA)</w:t>
            </w:r>
          </w:p>
        </w:tc>
      </w:tr>
      <w:tr w:rsidR="00340FAC" w14:paraId="1368C47B"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64EA86"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26577</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85F730"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Indication:</w:t>
            </w:r>
            <w:r>
              <w:rPr>
                <w:rFonts w:ascii="Arial Narrow" w:hAnsi="Arial Narrow"/>
                <w:sz w:val="18"/>
                <w:szCs w:val="18"/>
                <w:lang w:eastAsia="en-AU"/>
              </w:rPr>
              <w:t xml:space="preserve"> Symptomatic Type I, II or IIIa spinal muscular atrophy (SMA)</w:t>
            </w:r>
          </w:p>
        </w:tc>
      </w:tr>
      <w:tr w:rsidR="00340FAC" w14:paraId="037E0E20"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466692"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Edit</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D9B83E" w14:textId="77777777" w:rsidR="00340FAC" w:rsidRDefault="00340FAC" w:rsidP="003C43F8">
            <w:pPr>
              <w:spacing w:line="276" w:lineRule="auto"/>
              <w:rPr>
                <w:rFonts w:ascii="Arial Narrow" w:hAnsi="Arial Narrow"/>
                <w:sz w:val="18"/>
                <w:szCs w:val="18"/>
                <w:lang w:eastAsia="en-AU"/>
              </w:rPr>
            </w:pPr>
            <w:r>
              <w:rPr>
                <w:rFonts w:ascii="Arial Narrow" w:hAnsi="Arial Narrow"/>
                <w:b/>
                <w:sz w:val="18"/>
                <w:szCs w:val="18"/>
                <w:lang w:eastAsia="en-AU"/>
              </w:rPr>
              <w:t>Treatment Phase:</w:t>
            </w:r>
            <w:r>
              <w:rPr>
                <w:rFonts w:ascii="Arial Narrow" w:hAnsi="Arial Narrow"/>
                <w:sz w:val="18"/>
                <w:szCs w:val="18"/>
                <w:lang w:eastAsia="en-AU"/>
              </w:rPr>
              <w:t xml:space="preserve"> Initial treatment - Loading doses</w:t>
            </w:r>
          </w:p>
        </w:tc>
      </w:tr>
      <w:tr w:rsidR="00340FAC" w14:paraId="3F191179"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F08ECF"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22093</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A362FB"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Clinical criteria:</w:t>
            </w:r>
          </w:p>
        </w:tc>
      </w:tr>
      <w:tr w:rsidR="00340FAC" w14:paraId="0AB321F0"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C02413" w14:textId="77777777" w:rsidR="00340FAC" w:rsidRDefault="00340FAC" w:rsidP="003C43F8">
            <w:pPr>
              <w:spacing w:line="276" w:lineRule="auto"/>
              <w:jc w:val="center"/>
              <w:rPr>
                <w:rFonts w:ascii="Arial Narrow" w:hAnsi="Arial Narrow" w:cs="Arial Narrow"/>
                <w:iCs/>
                <w:sz w:val="18"/>
                <w:szCs w:val="18"/>
              </w:rPr>
            </w:pPr>
            <w:r>
              <w:rPr>
                <w:rFonts w:ascii="Arial Narrow" w:hAnsi="Arial Narrow" w:cs="Arial Narrow"/>
                <w:iCs/>
                <w:sz w:val="18"/>
                <w:szCs w:val="18"/>
              </w:rPr>
              <w:t>22094</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34D3EE" w14:textId="77777777" w:rsidR="00340FAC" w:rsidRDefault="00340FAC" w:rsidP="003C43F8">
            <w:pPr>
              <w:spacing w:line="276" w:lineRule="auto"/>
              <w:rPr>
                <w:rFonts w:ascii="Arial Narrow" w:hAnsi="Arial Narrow" w:cs="Arial Narrow"/>
                <w:iCs/>
                <w:sz w:val="18"/>
                <w:szCs w:val="18"/>
              </w:rPr>
            </w:pPr>
            <w:r>
              <w:rPr>
                <w:rFonts w:ascii="Arial Narrow" w:hAnsi="Arial Narrow"/>
                <w:sz w:val="18"/>
                <w:szCs w:val="18"/>
                <w:lang w:eastAsia="en-AU"/>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p>
        </w:tc>
      </w:tr>
      <w:tr w:rsidR="00340FAC" w14:paraId="35B512C2"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29AAD0"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8AB0FF" w14:textId="77777777" w:rsidR="00340FAC" w:rsidRDefault="00340FAC" w:rsidP="003C43F8">
            <w:pPr>
              <w:spacing w:line="276" w:lineRule="auto"/>
              <w:rPr>
                <w:rFonts w:ascii="Arial Narrow" w:hAnsi="Arial Narrow" w:cs="Arial Narrow"/>
                <w:b/>
                <w:iCs/>
                <w:sz w:val="18"/>
                <w:szCs w:val="18"/>
              </w:rPr>
            </w:pPr>
            <w:r>
              <w:rPr>
                <w:rFonts w:ascii="Arial Narrow" w:hAnsi="Arial Narrow" w:cs="Arial Narrow"/>
                <w:b/>
                <w:iCs/>
                <w:sz w:val="18"/>
                <w:szCs w:val="18"/>
              </w:rPr>
              <w:t>AND</w:t>
            </w:r>
          </w:p>
        </w:tc>
      </w:tr>
      <w:tr w:rsidR="00340FAC" w14:paraId="7AA6697F"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9D7A82"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26575</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71CBDA" w14:textId="77777777" w:rsidR="00340FAC" w:rsidRDefault="00340FAC" w:rsidP="003C43F8">
            <w:pPr>
              <w:spacing w:line="276" w:lineRule="auto"/>
              <w:rPr>
                <w:rFonts w:ascii="Arial Narrow" w:hAnsi="Arial Narrow" w:cs="Arial Narrow"/>
                <w:b/>
                <w:iCs/>
                <w:sz w:val="18"/>
                <w:szCs w:val="18"/>
              </w:rPr>
            </w:pPr>
            <w:r>
              <w:rPr>
                <w:rFonts w:ascii="Arial Narrow" w:hAnsi="Arial Narrow" w:cs="Arial Narrow"/>
                <w:b/>
                <w:iCs/>
                <w:sz w:val="18"/>
                <w:szCs w:val="18"/>
              </w:rPr>
              <w:t>Clinical criteria</w:t>
            </w:r>
          </w:p>
        </w:tc>
      </w:tr>
      <w:tr w:rsidR="00340FAC" w14:paraId="7F5486EB"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2A1E5A"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26573</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DB4E38" w14:textId="77777777" w:rsidR="00340FAC" w:rsidRDefault="00340FAC" w:rsidP="003C43F8">
            <w:pPr>
              <w:spacing w:line="276" w:lineRule="auto"/>
              <w:rPr>
                <w:rFonts w:ascii="Arial Narrow" w:hAnsi="Arial Narrow" w:cs="Arial Narrow"/>
                <w:iCs/>
                <w:sz w:val="18"/>
                <w:szCs w:val="18"/>
              </w:rPr>
            </w:pPr>
            <w:r>
              <w:rPr>
                <w:rFonts w:ascii="Arial Narrow" w:hAnsi="Arial Narrow"/>
                <w:sz w:val="18"/>
                <w:szCs w:val="18"/>
                <w:lang w:eastAsia="en-AU"/>
              </w:rPr>
              <w:t>The condition must have genetic confirmation of 5q homozygous deletion of the survival motor neuron 1 (SMN1) gene; or</w:t>
            </w:r>
          </w:p>
        </w:tc>
      </w:tr>
      <w:tr w:rsidR="00340FAC" w14:paraId="7595447F"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C8D7A2"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26574</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056233"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The condition must have genetic confirmation of deletion of one copy of the SMN1 gene in addition to a pathogenic/likely pathogenic variant in the remaining single copy of the SMN1 gene</w:t>
            </w:r>
          </w:p>
        </w:tc>
      </w:tr>
      <w:tr w:rsidR="00340FAC" w14:paraId="31318CD0"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71B3A5"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05B65A" w14:textId="77777777" w:rsidR="00340FAC" w:rsidRDefault="00340FAC" w:rsidP="003C43F8">
            <w:pPr>
              <w:spacing w:line="276" w:lineRule="auto"/>
              <w:rPr>
                <w:rFonts w:ascii="Arial Narrow" w:hAnsi="Arial Narrow"/>
                <w:b/>
                <w:bCs/>
                <w:sz w:val="18"/>
                <w:szCs w:val="18"/>
                <w:lang w:eastAsia="en-AU"/>
              </w:rPr>
            </w:pPr>
            <w:r>
              <w:rPr>
                <w:rFonts w:ascii="Arial Narrow" w:hAnsi="Arial Narrow" w:cs="Arial Narrow"/>
                <w:b/>
                <w:iCs/>
                <w:sz w:val="18"/>
                <w:szCs w:val="18"/>
              </w:rPr>
              <w:t>AND</w:t>
            </w:r>
          </w:p>
        </w:tc>
      </w:tr>
      <w:tr w:rsidR="00340FAC" w14:paraId="02F675DE"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F3D39D"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22123</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0A15E3"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Clinical criteria:</w:t>
            </w:r>
          </w:p>
        </w:tc>
      </w:tr>
      <w:tr w:rsidR="00340FAC" w14:paraId="6E2D4593"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14754E"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22122</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E4F8E5" w14:textId="77777777" w:rsidR="00340FAC" w:rsidRDefault="00340FAC" w:rsidP="003C43F8">
            <w:pPr>
              <w:spacing w:line="276" w:lineRule="auto"/>
              <w:rPr>
                <w:rFonts w:ascii="Arial Narrow" w:hAnsi="Arial Narrow" w:cs="Arial Narrow"/>
                <w:iCs/>
                <w:sz w:val="18"/>
                <w:szCs w:val="18"/>
              </w:rPr>
            </w:pPr>
            <w:r>
              <w:rPr>
                <w:rFonts w:ascii="Arial Narrow" w:hAnsi="Arial Narrow"/>
                <w:sz w:val="18"/>
                <w:szCs w:val="18"/>
                <w:lang w:eastAsia="en-AU"/>
              </w:rPr>
              <w:t>Patient must have experienced at least two of the defined signs and symptoms of SMA type I, II or IIIa prior to 3 years of age</w:t>
            </w:r>
          </w:p>
        </w:tc>
      </w:tr>
      <w:tr w:rsidR="00340FAC" w14:paraId="692871A6"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D3172E"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2D2671"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AND</w:t>
            </w:r>
          </w:p>
        </w:tc>
      </w:tr>
      <w:tr w:rsidR="00340FAC" w14:paraId="409E9947"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9CDAC6"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27598</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81C63B"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Clinical criteria:</w:t>
            </w:r>
          </w:p>
        </w:tc>
      </w:tr>
      <w:tr w:rsidR="00340FAC" w14:paraId="3D663354"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6B1C73"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Insert</w:t>
            </w:r>
          </w:p>
          <w:p w14:paraId="6B2F3194"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 xml:space="preserve"> New 27597</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8DF7C0" w14:textId="77777777" w:rsidR="00340FAC" w:rsidRDefault="00340FAC" w:rsidP="003C43F8">
            <w:pPr>
              <w:spacing w:line="276" w:lineRule="auto"/>
              <w:rPr>
                <w:rFonts w:ascii="Arial Narrow" w:hAnsi="Arial Narrow" w:cs="Arial Narrow"/>
                <w:sz w:val="18"/>
                <w:szCs w:val="18"/>
              </w:rPr>
            </w:pPr>
            <w:r>
              <w:rPr>
                <w:rFonts w:ascii="Arial Narrow" w:hAnsi="Arial Narrow" w:cs="Arial Narrow"/>
                <w:iCs/>
                <w:sz w:val="18"/>
                <w:szCs w:val="18"/>
              </w:rPr>
              <w:t>The treatment must not be in combination with PBS-subsidised treatment with risdiplam for this condition</w:t>
            </w:r>
          </w:p>
        </w:tc>
      </w:tr>
      <w:tr w:rsidR="00340FAC" w14:paraId="7E33CE4C"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CBE84C"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9B69B9" w14:textId="77777777" w:rsidR="00340FAC" w:rsidRDefault="00340FAC" w:rsidP="003C43F8">
            <w:pPr>
              <w:spacing w:line="276" w:lineRule="auto"/>
              <w:rPr>
                <w:rFonts w:ascii="Arial Narrow" w:hAnsi="Arial Narrow" w:cstheme="minorHAnsi"/>
                <w:iCs/>
              </w:rPr>
            </w:pPr>
            <w:r>
              <w:rPr>
                <w:rFonts w:ascii="Arial Narrow" w:hAnsi="Arial Narrow"/>
                <w:b/>
                <w:bCs/>
                <w:sz w:val="18"/>
                <w:szCs w:val="18"/>
                <w:lang w:eastAsia="en-AU"/>
              </w:rPr>
              <w:t>AND</w:t>
            </w:r>
          </w:p>
        </w:tc>
      </w:tr>
      <w:tr w:rsidR="00340FAC" w14:paraId="4A691FED"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7E2FA0"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22077</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F5C3E6" w14:textId="77777777" w:rsidR="00340FAC" w:rsidRDefault="00340FAC" w:rsidP="003C43F8">
            <w:pPr>
              <w:spacing w:line="276" w:lineRule="auto"/>
              <w:rPr>
                <w:rFonts w:ascii="Arial Narrow" w:hAnsi="Arial Narrow" w:cstheme="minorHAnsi"/>
                <w:iCs/>
              </w:rPr>
            </w:pPr>
            <w:r>
              <w:rPr>
                <w:rFonts w:ascii="Arial Narrow" w:hAnsi="Arial Narrow"/>
                <w:b/>
                <w:bCs/>
                <w:sz w:val="18"/>
                <w:szCs w:val="18"/>
                <w:lang w:eastAsia="en-AU"/>
              </w:rPr>
              <w:t>Clinical criteria:</w:t>
            </w:r>
          </w:p>
        </w:tc>
      </w:tr>
      <w:tr w:rsidR="00340FAC" w14:paraId="045986AA"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FAAAFA"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22076</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7E1787"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The treatment must be given concomitantly with standard of care for this condition</w:t>
            </w:r>
          </w:p>
        </w:tc>
      </w:tr>
      <w:tr w:rsidR="00340FAC" w14:paraId="053A38BC"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8FDB75"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E2FE15" w14:textId="77777777" w:rsidR="00340FAC" w:rsidRDefault="00340FAC" w:rsidP="003C43F8">
            <w:pPr>
              <w:spacing w:line="276" w:lineRule="auto"/>
              <w:rPr>
                <w:rFonts w:ascii="Arial Narrow" w:hAnsi="Arial Narrow"/>
                <w:b/>
                <w:bCs/>
                <w:sz w:val="18"/>
                <w:szCs w:val="18"/>
                <w:lang w:eastAsia="en-AU"/>
              </w:rPr>
            </w:pPr>
            <w:r>
              <w:rPr>
                <w:rFonts w:ascii="Arial Narrow" w:hAnsi="Arial Narrow"/>
                <w:b/>
                <w:bCs/>
                <w:sz w:val="18"/>
                <w:szCs w:val="18"/>
                <w:lang w:eastAsia="en-AU"/>
              </w:rPr>
              <w:t>AND</w:t>
            </w:r>
          </w:p>
        </w:tc>
      </w:tr>
      <w:tr w:rsidR="00340FAC" w14:paraId="27D1147A"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9F3441"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22079</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A45EAE" w14:textId="77777777" w:rsidR="00340FAC" w:rsidRDefault="00340FAC" w:rsidP="003C43F8">
            <w:pPr>
              <w:spacing w:line="276" w:lineRule="auto"/>
              <w:rPr>
                <w:rFonts w:ascii="Arial Narrow" w:hAnsi="Arial Narrow"/>
                <w:b/>
                <w:bCs/>
                <w:sz w:val="18"/>
                <w:szCs w:val="18"/>
                <w:lang w:eastAsia="en-AU"/>
              </w:rPr>
            </w:pPr>
            <w:r>
              <w:rPr>
                <w:rFonts w:ascii="Arial Narrow" w:hAnsi="Arial Narrow"/>
                <w:b/>
                <w:bCs/>
                <w:sz w:val="18"/>
                <w:szCs w:val="18"/>
                <w:lang w:eastAsia="en-AU"/>
              </w:rPr>
              <w:t>Clinical criteria:</w:t>
            </w:r>
          </w:p>
        </w:tc>
      </w:tr>
      <w:tr w:rsidR="00340FAC" w14:paraId="0285B6B6"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0B48F1"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22080</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F9F702" w14:textId="77777777" w:rsidR="00340FAC" w:rsidRDefault="00340FAC" w:rsidP="003C43F8">
            <w:pPr>
              <w:spacing w:line="276" w:lineRule="auto"/>
              <w:rPr>
                <w:rFonts w:ascii="Arial Narrow" w:hAnsi="Arial Narrow"/>
                <w:b/>
                <w:bCs/>
                <w:sz w:val="18"/>
                <w:szCs w:val="18"/>
                <w:lang w:eastAsia="en-AU"/>
              </w:rPr>
            </w:pPr>
            <w:r>
              <w:rPr>
                <w:rFonts w:ascii="Arial Narrow" w:hAnsi="Arial Narrow" w:cs="Arial Narrow"/>
                <w:iCs/>
                <w:sz w:val="18"/>
                <w:szCs w:val="18"/>
              </w:rPr>
              <w:t>The treatment must not exceed four loading doses (at days 0, 14, 28 and 63) under this restriction</w:t>
            </w:r>
          </w:p>
        </w:tc>
      </w:tr>
      <w:tr w:rsidR="00340FAC" w14:paraId="5303CE74"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BF1352"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551B43" w14:textId="77777777" w:rsidR="00340FAC" w:rsidRDefault="00340FAC" w:rsidP="003C43F8">
            <w:pPr>
              <w:autoSpaceDE w:val="0"/>
              <w:autoSpaceDN w:val="0"/>
              <w:adjustRightInd w:val="0"/>
              <w:spacing w:line="276" w:lineRule="auto"/>
              <w:rPr>
                <w:rFonts w:ascii="Arial Narrow" w:hAnsi="Arial Narrow" w:cs="Arial Narrow"/>
                <w:b/>
                <w:iCs/>
                <w:sz w:val="20"/>
                <w:szCs w:val="20"/>
              </w:rPr>
            </w:pPr>
            <w:r>
              <w:rPr>
                <w:rFonts w:ascii="Arial Narrow" w:hAnsi="Arial Narrow" w:cs="Arial Narrow"/>
                <w:b/>
                <w:iCs/>
                <w:sz w:val="20"/>
                <w:szCs w:val="20"/>
              </w:rPr>
              <w:t>AND</w:t>
            </w:r>
          </w:p>
        </w:tc>
      </w:tr>
      <w:tr w:rsidR="00340FAC" w14:paraId="60A7B54E"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140E4F"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22083</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75C232"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Population criteria:</w:t>
            </w:r>
          </w:p>
        </w:tc>
      </w:tr>
      <w:tr w:rsidR="00340FAC" w14:paraId="092C1FF7"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E35392"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22082</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09C089" w14:textId="77777777" w:rsidR="00340FAC" w:rsidRDefault="00340FAC" w:rsidP="003C43F8">
            <w:pPr>
              <w:spacing w:line="276" w:lineRule="auto"/>
              <w:rPr>
                <w:rFonts w:ascii="Arial Narrow" w:hAnsi="Arial Narrow"/>
                <w:sz w:val="18"/>
                <w:szCs w:val="18"/>
                <w:lang w:eastAsia="en-AU"/>
              </w:rPr>
            </w:pPr>
            <w:r>
              <w:rPr>
                <w:rFonts w:ascii="Arial Narrow" w:hAnsi="Arial Narrow"/>
                <w:sz w:val="18"/>
                <w:szCs w:val="18"/>
                <w:lang w:eastAsia="en-AU"/>
              </w:rPr>
              <w:t>Patient must be 18 years of age or under</w:t>
            </w:r>
          </w:p>
        </w:tc>
      </w:tr>
      <w:tr w:rsidR="00340FAC" w14:paraId="39DB7E8C"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D2F22F"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22084</w:t>
            </w:r>
          </w:p>
          <w:p w14:paraId="43A202C4"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22085</w:t>
            </w:r>
          </w:p>
          <w:p w14:paraId="3950DF43"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22086</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91E0CF"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Prescribing Instructions:</w:t>
            </w:r>
          </w:p>
          <w:p w14:paraId="6D6A4C5F"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Defined signs and symptoms of type I SMA are:</w:t>
            </w:r>
          </w:p>
          <w:p w14:paraId="2200DD5D"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i) Onset before 6 months of age; and</w:t>
            </w:r>
          </w:p>
          <w:p w14:paraId="1638EE36"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ii) Failure to meet or regression in ability to perform age-appropriate motor milestones; or</w:t>
            </w:r>
          </w:p>
          <w:p w14:paraId="211754A7"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iii) Proximal weakness; or</w:t>
            </w:r>
          </w:p>
          <w:p w14:paraId="171745A4"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lastRenderedPageBreak/>
              <w:t>iv) Hypotonia; or</w:t>
            </w:r>
          </w:p>
          <w:p w14:paraId="72D7562E"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v) Absence of deep tendon reflexes; or</w:t>
            </w:r>
          </w:p>
          <w:p w14:paraId="4A1205FE"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vi) Failure to gain weight appropriate for age; or</w:t>
            </w:r>
          </w:p>
          <w:p w14:paraId="307CAEAD"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vii) Any active chronic neurogenic changes; or</w:t>
            </w:r>
          </w:p>
          <w:p w14:paraId="3A45EEAD"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viii) A compound muscle action potential below normative values for an age-matched child.</w:t>
            </w:r>
          </w:p>
          <w:p w14:paraId="27E235CC" w14:textId="77777777" w:rsidR="00340FAC" w:rsidRDefault="00340FAC" w:rsidP="003C43F8">
            <w:pPr>
              <w:spacing w:line="276" w:lineRule="auto"/>
              <w:rPr>
                <w:rFonts w:ascii="Arial Narrow" w:hAnsi="Arial Narrow" w:cs="Arial Narrow"/>
                <w:iCs/>
                <w:sz w:val="18"/>
                <w:szCs w:val="18"/>
              </w:rPr>
            </w:pPr>
          </w:p>
          <w:p w14:paraId="2C368982" w14:textId="77777777" w:rsidR="00340FAC" w:rsidRDefault="00340FAC" w:rsidP="003C43F8">
            <w:pPr>
              <w:widowControl/>
              <w:spacing w:line="276" w:lineRule="auto"/>
              <w:jc w:val="left"/>
              <w:rPr>
                <w:rFonts w:ascii="Arial Narrow" w:hAnsi="Arial Narrow" w:cs="Arial Narrow"/>
                <w:iCs/>
                <w:sz w:val="18"/>
                <w:szCs w:val="18"/>
              </w:rPr>
            </w:pPr>
            <w:r>
              <w:rPr>
                <w:rFonts w:ascii="Arial Narrow" w:hAnsi="Arial Narrow" w:cs="Arial Narrow"/>
                <w:iCs/>
                <w:sz w:val="18"/>
                <w:szCs w:val="18"/>
              </w:rPr>
              <w:t>Defined signs and symptoms of type II SMA are:</w:t>
            </w:r>
          </w:p>
          <w:p w14:paraId="4346151F" w14:textId="77777777" w:rsidR="00340FAC" w:rsidRDefault="00340FAC" w:rsidP="003C43F8">
            <w:pPr>
              <w:widowControl/>
              <w:spacing w:line="276" w:lineRule="auto"/>
              <w:jc w:val="left"/>
              <w:rPr>
                <w:rFonts w:ascii="Arial Narrow" w:hAnsi="Arial Narrow" w:cs="Arial Narrow"/>
                <w:iCs/>
                <w:sz w:val="18"/>
                <w:szCs w:val="18"/>
              </w:rPr>
            </w:pPr>
            <w:r>
              <w:rPr>
                <w:rFonts w:ascii="Arial Narrow" w:hAnsi="Arial Narrow" w:cs="Arial Narrow"/>
                <w:iCs/>
                <w:sz w:val="18"/>
                <w:szCs w:val="18"/>
              </w:rPr>
              <w:t>i) Onset between 6 and 18 months; and</w:t>
            </w:r>
          </w:p>
          <w:p w14:paraId="72A51861" w14:textId="77777777" w:rsidR="00340FAC" w:rsidRDefault="00340FAC" w:rsidP="003C43F8">
            <w:pPr>
              <w:widowControl/>
              <w:spacing w:line="276" w:lineRule="auto"/>
              <w:jc w:val="left"/>
              <w:rPr>
                <w:rFonts w:ascii="Arial Narrow" w:hAnsi="Arial Narrow" w:cs="Arial Narrow"/>
                <w:iCs/>
                <w:sz w:val="18"/>
                <w:szCs w:val="18"/>
              </w:rPr>
            </w:pPr>
            <w:r>
              <w:rPr>
                <w:rFonts w:ascii="Arial Narrow" w:hAnsi="Arial Narrow" w:cs="Arial Narrow"/>
                <w:iCs/>
                <w:sz w:val="18"/>
                <w:szCs w:val="18"/>
              </w:rPr>
              <w:t>ii) Failure to meet or regression in ability to perform age-appropriate motor milestones; or</w:t>
            </w:r>
          </w:p>
          <w:p w14:paraId="42A54470" w14:textId="77777777" w:rsidR="00340FAC" w:rsidRDefault="00340FAC" w:rsidP="003C43F8">
            <w:pPr>
              <w:widowControl/>
              <w:spacing w:line="276" w:lineRule="auto"/>
              <w:jc w:val="left"/>
              <w:rPr>
                <w:rFonts w:ascii="Arial Narrow" w:hAnsi="Arial Narrow" w:cs="Arial Narrow"/>
                <w:iCs/>
                <w:sz w:val="18"/>
                <w:szCs w:val="18"/>
              </w:rPr>
            </w:pPr>
            <w:r>
              <w:rPr>
                <w:rFonts w:ascii="Arial Narrow" w:hAnsi="Arial Narrow" w:cs="Arial Narrow"/>
                <w:iCs/>
                <w:sz w:val="18"/>
                <w:szCs w:val="18"/>
              </w:rPr>
              <w:t>iii) Proximal weakness; or</w:t>
            </w:r>
          </w:p>
          <w:p w14:paraId="593F58A0" w14:textId="77777777" w:rsidR="00340FAC" w:rsidRDefault="00340FAC" w:rsidP="003C43F8">
            <w:pPr>
              <w:widowControl/>
              <w:spacing w:line="276" w:lineRule="auto"/>
              <w:jc w:val="left"/>
              <w:rPr>
                <w:rFonts w:ascii="Arial Narrow" w:hAnsi="Arial Narrow" w:cs="Arial Narrow"/>
                <w:iCs/>
                <w:sz w:val="18"/>
                <w:szCs w:val="18"/>
              </w:rPr>
            </w:pPr>
            <w:r>
              <w:rPr>
                <w:rFonts w:ascii="Arial Narrow" w:hAnsi="Arial Narrow" w:cs="Arial Narrow"/>
                <w:iCs/>
                <w:sz w:val="18"/>
                <w:szCs w:val="18"/>
              </w:rPr>
              <w:t>iv) Weakness in trunk righting/derotation; or</w:t>
            </w:r>
          </w:p>
          <w:p w14:paraId="6E37C717" w14:textId="77777777" w:rsidR="00340FAC" w:rsidRDefault="00340FAC" w:rsidP="003C43F8">
            <w:pPr>
              <w:widowControl/>
              <w:spacing w:line="276" w:lineRule="auto"/>
              <w:jc w:val="left"/>
              <w:rPr>
                <w:rFonts w:ascii="Arial Narrow" w:hAnsi="Arial Narrow" w:cs="Arial Narrow"/>
                <w:iCs/>
                <w:sz w:val="18"/>
                <w:szCs w:val="18"/>
              </w:rPr>
            </w:pPr>
            <w:r>
              <w:rPr>
                <w:rFonts w:ascii="Arial Narrow" w:hAnsi="Arial Narrow" w:cs="Arial Narrow"/>
                <w:iCs/>
                <w:sz w:val="18"/>
                <w:szCs w:val="18"/>
              </w:rPr>
              <w:t>v) Hypotonia; or</w:t>
            </w:r>
          </w:p>
          <w:p w14:paraId="6CDDBCCE" w14:textId="77777777" w:rsidR="00340FAC" w:rsidRDefault="00340FAC" w:rsidP="003C43F8">
            <w:pPr>
              <w:widowControl/>
              <w:spacing w:line="276" w:lineRule="auto"/>
              <w:jc w:val="left"/>
              <w:rPr>
                <w:rFonts w:ascii="Arial Narrow" w:hAnsi="Arial Narrow" w:cs="Arial Narrow"/>
                <w:iCs/>
                <w:sz w:val="18"/>
                <w:szCs w:val="18"/>
              </w:rPr>
            </w:pPr>
            <w:r>
              <w:rPr>
                <w:rFonts w:ascii="Arial Narrow" w:hAnsi="Arial Narrow" w:cs="Arial Narrow"/>
                <w:iCs/>
                <w:sz w:val="18"/>
                <w:szCs w:val="18"/>
              </w:rPr>
              <w:t>vi) Absence of deep tendon reflexes; or</w:t>
            </w:r>
          </w:p>
          <w:p w14:paraId="11A129FE" w14:textId="77777777" w:rsidR="00340FAC" w:rsidRDefault="00340FAC" w:rsidP="003C43F8">
            <w:pPr>
              <w:widowControl/>
              <w:spacing w:line="276" w:lineRule="auto"/>
              <w:jc w:val="left"/>
              <w:rPr>
                <w:rFonts w:ascii="Arial Narrow" w:hAnsi="Arial Narrow" w:cs="Arial Narrow"/>
                <w:iCs/>
                <w:sz w:val="18"/>
                <w:szCs w:val="18"/>
              </w:rPr>
            </w:pPr>
            <w:r>
              <w:rPr>
                <w:rFonts w:ascii="Arial Narrow" w:hAnsi="Arial Narrow" w:cs="Arial Narrow"/>
                <w:iCs/>
                <w:sz w:val="18"/>
                <w:szCs w:val="18"/>
              </w:rPr>
              <w:t>vii) Failure to gain weight appropriate for age; or</w:t>
            </w:r>
          </w:p>
          <w:p w14:paraId="6ED4B230" w14:textId="77777777" w:rsidR="00340FAC" w:rsidRDefault="00340FAC" w:rsidP="003C43F8">
            <w:pPr>
              <w:widowControl/>
              <w:spacing w:line="276" w:lineRule="auto"/>
              <w:jc w:val="left"/>
              <w:rPr>
                <w:rFonts w:ascii="Arial Narrow" w:hAnsi="Arial Narrow" w:cs="Arial Narrow"/>
                <w:iCs/>
                <w:sz w:val="18"/>
                <w:szCs w:val="18"/>
              </w:rPr>
            </w:pPr>
            <w:r>
              <w:rPr>
                <w:rFonts w:ascii="Arial Narrow" w:hAnsi="Arial Narrow" w:cs="Arial Narrow"/>
                <w:iCs/>
                <w:sz w:val="18"/>
                <w:szCs w:val="18"/>
              </w:rPr>
              <w:t>viii) Any active chronic neurogenic changes; or</w:t>
            </w:r>
          </w:p>
          <w:p w14:paraId="70C4CF20"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ix) A compound muscle action potential below normative values for an age-matched child.</w:t>
            </w:r>
          </w:p>
          <w:p w14:paraId="494AE9D9" w14:textId="77777777" w:rsidR="00340FAC" w:rsidRDefault="00340FAC" w:rsidP="003C43F8">
            <w:pPr>
              <w:spacing w:line="276" w:lineRule="auto"/>
              <w:rPr>
                <w:rFonts w:ascii="Arial Narrow" w:hAnsi="Arial Narrow" w:cs="Arial Narrow"/>
                <w:iCs/>
                <w:sz w:val="18"/>
                <w:szCs w:val="18"/>
              </w:rPr>
            </w:pPr>
          </w:p>
          <w:p w14:paraId="59FA00F9" w14:textId="77777777" w:rsidR="00340FAC" w:rsidRDefault="00340FAC" w:rsidP="003C43F8">
            <w:pPr>
              <w:widowControl/>
              <w:spacing w:line="276" w:lineRule="auto"/>
              <w:jc w:val="left"/>
              <w:rPr>
                <w:rFonts w:ascii="Arial Narrow" w:hAnsi="Arial Narrow" w:cs="Arial Narrow"/>
                <w:iCs/>
                <w:sz w:val="18"/>
                <w:szCs w:val="18"/>
              </w:rPr>
            </w:pPr>
            <w:r>
              <w:rPr>
                <w:rFonts w:ascii="Arial Narrow" w:hAnsi="Arial Narrow" w:cs="Arial Narrow"/>
                <w:iCs/>
                <w:sz w:val="18"/>
                <w:szCs w:val="18"/>
              </w:rPr>
              <w:t>Defined signs and symptoms of type IIIa SMA are:</w:t>
            </w:r>
          </w:p>
          <w:p w14:paraId="670433CF" w14:textId="77777777" w:rsidR="00340FAC" w:rsidRDefault="00340FAC" w:rsidP="003C43F8">
            <w:pPr>
              <w:widowControl/>
              <w:spacing w:line="276" w:lineRule="auto"/>
              <w:jc w:val="left"/>
              <w:rPr>
                <w:rFonts w:ascii="Arial Narrow" w:hAnsi="Arial Narrow" w:cs="Arial Narrow"/>
                <w:iCs/>
                <w:sz w:val="18"/>
                <w:szCs w:val="18"/>
              </w:rPr>
            </w:pPr>
            <w:r>
              <w:rPr>
                <w:rFonts w:ascii="Arial Narrow" w:hAnsi="Arial Narrow" w:cs="Arial Narrow"/>
                <w:iCs/>
                <w:sz w:val="18"/>
                <w:szCs w:val="18"/>
              </w:rPr>
              <w:t>i) Onset between 18 months and 3 years of age; and</w:t>
            </w:r>
          </w:p>
          <w:p w14:paraId="274486DC" w14:textId="77777777" w:rsidR="00340FAC" w:rsidRDefault="00340FAC" w:rsidP="003C43F8">
            <w:pPr>
              <w:widowControl/>
              <w:spacing w:line="276" w:lineRule="auto"/>
              <w:jc w:val="left"/>
              <w:rPr>
                <w:rFonts w:ascii="Arial Narrow" w:hAnsi="Arial Narrow" w:cs="Arial Narrow"/>
                <w:iCs/>
                <w:sz w:val="18"/>
                <w:szCs w:val="18"/>
              </w:rPr>
            </w:pPr>
            <w:r>
              <w:rPr>
                <w:rFonts w:ascii="Arial Narrow" w:hAnsi="Arial Narrow" w:cs="Arial Narrow"/>
                <w:iCs/>
                <w:sz w:val="18"/>
                <w:szCs w:val="18"/>
              </w:rPr>
              <w:t>ii) Failure to meet or regression in ability to perform age-appropriate motor milestones; or</w:t>
            </w:r>
          </w:p>
          <w:p w14:paraId="0AF666AA" w14:textId="77777777" w:rsidR="00340FAC" w:rsidRDefault="00340FAC" w:rsidP="003C43F8">
            <w:pPr>
              <w:widowControl/>
              <w:spacing w:line="276" w:lineRule="auto"/>
              <w:jc w:val="left"/>
              <w:rPr>
                <w:rFonts w:ascii="Arial Narrow" w:hAnsi="Arial Narrow" w:cs="Arial Narrow"/>
                <w:iCs/>
                <w:sz w:val="18"/>
                <w:szCs w:val="18"/>
              </w:rPr>
            </w:pPr>
            <w:r>
              <w:rPr>
                <w:rFonts w:ascii="Arial Narrow" w:hAnsi="Arial Narrow" w:cs="Arial Narrow"/>
                <w:iCs/>
                <w:sz w:val="18"/>
                <w:szCs w:val="18"/>
              </w:rPr>
              <w:t>iii) Proximal weakness; or</w:t>
            </w:r>
          </w:p>
          <w:p w14:paraId="29CD38D6" w14:textId="77777777" w:rsidR="00340FAC" w:rsidRDefault="00340FAC" w:rsidP="003C43F8">
            <w:pPr>
              <w:widowControl/>
              <w:spacing w:line="276" w:lineRule="auto"/>
              <w:jc w:val="left"/>
              <w:rPr>
                <w:rFonts w:ascii="Arial Narrow" w:hAnsi="Arial Narrow" w:cs="Arial Narrow"/>
                <w:iCs/>
                <w:sz w:val="18"/>
                <w:szCs w:val="18"/>
              </w:rPr>
            </w:pPr>
            <w:r>
              <w:rPr>
                <w:rFonts w:ascii="Arial Narrow" w:hAnsi="Arial Narrow" w:cs="Arial Narrow"/>
                <w:iCs/>
                <w:sz w:val="18"/>
                <w:szCs w:val="18"/>
              </w:rPr>
              <w:t>iv) Hypotonia; or</w:t>
            </w:r>
          </w:p>
          <w:p w14:paraId="410A429B" w14:textId="77777777" w:rsidR="00340FAC" w:rsidRDefault="00340FAC" w:rsidP="003C43F8">
            <w:pPr>
              <w:widowControl/>
              <w:spacing w:line="276" w:lineRule="auto"/>
              <w:jc w:val="left"/>
              <w:rPr>
                <w:rFonts w:ascii="Arial Narrow" w:hAnsi="Arial Narrow" w:cs="Arial Narrow"/>
                <w:iCs/>
                <w:sz w:val="18"/>
                <w:szCs w:val="18"/>
              </w:rPr>
            </w:pPr>
            <w:r>
              <w:rPr>
                <w:rFonts w:ascii="Arial Narrow" w:hAnsi="Arial Narrow" w:cs="Arial Narrow"/>
                <w:iCs/>
                <w:sz w:val="18"/>
                <w:szCs w:val="18"/>
              </w:rPr>
              <w:t>v) Absence of deep tendon reflexes; or</w:t>
            </w:r>
          </w:p>
          <w:p w14:paraId="41AA1E7B" w14:textId="77777777" w:rsidR="00340FAC" w:rsidRDefault="00340FAC" w:rsidP="003C43F8">
            <w:pPr>
              <w:widowControl/>
              <w:spacing w:line="276" w:lineRule="auto"/>
              <w:jc w:val="left"/>
              <w:rPr>
                <w:rFonts w:ascii="Arial Narrow" w:hAnsi="Arial Narrow" w:cs="Arial Narrow"/>
                <w:iCs/>
                <w:sz w:val="18"/>
                <w:szCs w:val="18"/>
              </w:rPr>
            </w:pPr>
            <w:r>
              <w:rPr>
                <w:rFonts w:ascii="Arial Narrow" w:hAnsi="Arial Narrow" w:cs="Arial Narrow"/>
                <w:iCs/>
                <w:sz w:val="18"/>
                <w:szCs w:val="18"/>
              </w:rPr>
              <w:t>vi) Failure to gain weight appropriate for age; or</w:t>
            </w:r>
          </w:p>
          <w:p w14:paraId="36603D49" w14:textId="77777777" w:rsidR="00340FAC" w:rsidRDefault="00340FAC" w:rsidP="003C43F8">
            <w:pPr>
              <w:widowControl/>
              <w:spacing w:line="276" w:lineRule="auto"/>
              <w:jc w:val="left"/>
              <w:rPr>
                <w:rFonts w:ascii="Arial Narrow" w:hAnsi="Arial Narrow" w:cs="Arial Narrow"/>
                <w:iCs/>
                <w:sz w:val="18"/>
                <w:szCs w:val="18"/>
              </w:rPr>
            </w:pPr>
            <w:r>
              <w:rPr>
                <w:rFonts w:ascii="Arial Narrow" w:hAnsi="Arial Narrow" w:cs="Arial Narrow"/>
                <w:iCs/>
                <w:sz w:val="18"/>
                <w:szCs w:val="18"/>
              </w:rPr>
              <w:t>vii) Any active chronic neurogenic changes; or</w:t>
            </w:r>
          </w:p>
          <w:p w14:paraId="251BE2E0"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viii) A compound muscle action potential below normative values for an age-matched child.</w:t>
            </w:r>
          </w:p>
        </w:tc>
      </w:tr>
      <w:tr w:rsidR="00340FAC" w14:paraId="4B9A51D6"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928C2A"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lastRenderedPageBreak/>
              <w:t>22350</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17EFC9" w14:textId="77777777" w:rsidR="00340FAC" w:rsidRDefault="00340FAC" w:rsidP="003C43F8">
            <w:pPr>
              <w:spacing w:line="276" w:lineRule="auto"/>
              <w:rPr>
                <w:rFonts w:ascii="Arial Narrow" w:hAnsi="Arial Narrow" w:cs="Arial Narrow"/>
                <w:b/>
                <w:iCs/>
                <w:sz w:val="18"/>
                <w:szCs w:val="18"/>
              </w:rPr>
            </w:pPr>
            <w:r>
              <w:rPr>
                <w:rFonts w:ascii="Arial Narrow" w:hAnsi="Arial Narrow" w:cs="Arial Narrow"/>
                <w:b/>
                <w:iCs/>
                <w:sz w:val="18"/>
                <w:szCs w:val="18"/>
              </w:rPr>
              <w:t>Prescribing Instructions:</w:t>
            </w:r>
          </w:p>
          <w:p w14:paraId="3256EBA1"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Recognised hospitals in the management of SMA are Lady Cilento Children's Hospital (Brisbane), Royal Children's Hospital Melbourne, Monash Children's Hospital (Melbourne), John Hunter Hospital (Newcastle), Sydney Children's Hospital Randwick, Children's Hospital at Westmead, Adelaide Women and Children's Hospital and Perth Children's Hospital.</w:t>
            </w:r>
          </w:p>
        </w:tc>
      </w:tr>
      <w:tr w:rsidR="00340FAC" w14:paraId="729DA999"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424A1E"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26600</w:t>
            </w:r>
          </w:p>
          <w:p w14:paraId="5C2256C2"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FULL</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67460A" w14:textId="77777777" w:rsidR="00340FAC" w:rsidRDefault="00340FAC" w:rsidP="003C43F8">
            <w:pPr>
              <w:spacing w:line="276" w:lineRule="auto"/>
              <w:rPr>
                <w:rFonts w:ascii="Arial Narrow" w:hAnsi="Arial Narrow" w:cs="Arial Narrow"/>
                <w:b/>
                <w:iCs/>
                <w:sz w:val="18"/>
                <w:szCs w:val="18"/>
              </w:rPr>
            </w:pPr>
            <w:r>
              <w:rPr>
                <w:rFonts w:ascii="Arial Narrow" w:hAnsi="Arial Narrow" w:cs="Arial Narrow"/>
                <w:b/>
                <w:iCs/>
                <w:sz w:val="18"/>
                <w:szCs w:val="18"/>
              </w:rPr>
              <w:t>Prescribing Instructions:</w:t>
            </w:r>
          </w:p>
          <w:p w14:paraId="10F6C740"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Application for authorisation of initial treatment must be in writing and must include:</w:t>
            </w:r>
          </w:p>
          <w:p w14:paraId="66469F04"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(a) a completed authority prescription form; and</w:t>
            </w:r>
          </w:p>
          <w:p w14:paraId="3E4F4235"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(b) a completed Spinal muscular atrophy PBS Authority Application Form which includes the following:</w:t>
            </w:r>
          </w:p>
          <w:p w14:paraId="01ABB85C"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i) specification of SMA type (I, II or IIIa); and</w:t>
            </w:r>
          </w:p>
          <w:p w14:paraId="33CC5161"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(ii) sign(s) and symptom(s) that the patient has experienced; and</w:t>
            </w:r>
          </w:p>
          <w:p w14:paraId="405AB34F" w14:textId="77777777" w:rsidR="00340FAC" w:rsidRDefault="00340FAC" w:rsidP="003C43F8">
            <w:pPr>
              <w:spacing w:line="276" w:lineRule="auto"/>
              <w:textAlignment w:val="baseline"/>
              <w:rPr>
                <w:rFonts w:ascii="Arial Narrow" w:hAnsi="Arial Narrow" w:cs="Arial Narrow"/>
                <w:iCs/>
                <w:sz w:val="18"/>
                <w:szCs w:val="18"/>
              </w:rPr>
            </w:pPr>
            <w:r>
              <w:rPr>
                <w:rFonts w:ascii="Arial Narrow" w:hAnsi="Arial Narrow" w:cs="Arial Narrow"/>
                <w:iCs/>
                <w:sz w:val="18"/>
                <w:szCs w:val="18"/>
              </w:rPr>
              <w:t>(iii) patient's age at the onset of sign(s) and symptom(s).</w:t>
            </w:r>
          </w:p>
        </w:tc>
      </w:tr>
      <w:tr w:rsidR="00340FAC" w14:paraId="7D5331BA"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8052DC"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26576</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F79A90" w14:textId="77777777" w:rsidR="00340FAC" w:rsidRDefault="00340FAC" w:rsidP="003C43F8">
            <w:pPr>
              <w:spacing w:line="276" w:lineRule="auto"/>
              <w:rPr>
                <w:rFonts w:ascii="Arial Narrow" w:hAnsi="Arial Narrow" w:cs="Arial Narrow"/>
                <w:b/>
                <w:iCs/>
                <w:sz w:val="18"/>
                <w:szCs w:val="18"/>
              </w:rPr>
            </w:pPr>
            <w:r>
              <w:rPr>
                <w:rFonts w:ascii="Arial Narrow" w:hAnsi="Arial Narrow" w:cs="Arial Narrow"/>
                <w:b/>
                <w:iCs/>
                <w:sz w:val="18"/>
                <w:szCs w:val="18"/>
              </w:rPr>
              <w:t>Administrative Advice:</w:t>
            </w:r>
          </w:p>
          <w:p w14:paraId="23F15B95" w14:textId="77777777" w:rsidR="00340FAC" w:rsidRDefault="00340FAC" w:rsidP="003C43F8">
            <w:pPr>
              <w:spacing w:line="276" w:lineRule="auto"/>
              <w:rPr>
                <w:rFonts w:ascii="Arial Narrow" w:hAnsi="Arial Narrow"/>
                <w:sz w:val="18"/>
                <w:szCs w:val="18"/>
                <w:lang w:eastAsia="en-AU"/>
              </w:rPr>
            </w:pPr>
            <w:r>
              <w:rPr>
                <w:rFonts w:ascii="Arial Narrow" w:hAnsi="Arial Narrow" w:cs="Arial Narrow"/>
                <w:sz w:val="18"/>
                <w:szCs w:val="18"/>
              </w:rPr>
              <w:t>An outcome on the authority application is not immediate, but will follow in due course. Electronic upload is encouraged to reduce processing time.</w:t>
            </w:r>
          </w:p>
        </w:tc>
      </w:tr>
      <w:tr w:rsidR="00340FAC" w14:paraId="3FE084E3"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A79B29"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25744</w:t>
            </w:r>
          </w:p>
          <w:p w14:paraId="67F877FE"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CAR</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202E1B" w14:textId="77777777" w:rsidR="00340FAC" w:rsidRDefault="00340FAC" w:rsidP="003C43F8">
            <w:pPr>
              <w:spacing w:line="276" w:lineRule="auto"/>
              <w:rPr>
                <w:rFonts w:ascii="Arial Narrow" w:hAnsi="Arial Narrow" w:cs="Arial Narrow"/>
                <w:b/>
                <w:iCs/>
                <w:sz w:val="18"/>
                <w:szCs w:val="18"/>
              </w:rPr>
            </w:pPr>
            <w:r>
              <w:rPr>
                <w:rFonts w:ascii="Arial Narrow" w:hAnsi="Arial Narrow" w:cs="Arial Narrow"/>
                <w:b/>
                <w:iCs/>
                <w:sz w:val="18"/>
                <w:szCs w:val="18"/>
              </w:rPr>
              <w:t>Administrative Advice:</w:t>
            </w:r>
          </w:p>
          <w:p w14:paraId="67958BB0"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Any queries concerning the arrangements to prescribe may be directed to Services Australia on 1800 700 270 (hours of operation 8 a.m. to 5 p.m. EST Monday to Friday).</w:t>
            </w:r>
          </w:p>
          <w:p w14:paraId="6F1CBC85"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Prescribing information (including Authority Application forms and other relevant documentation as applicable) is available on the Services Australia website at www.servicesaustralia.gov.au</w:t>
            </w:r>
          </w:p>
          <w:p w14:paraId="3C793580"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Applications for authority to prescribe should be submitted online using the form upload facility in Health Professional Online Services (HPOS) at www.servicesaustralia.gov.au/hpos</w:t>
            </w:r>
          </w:p>
          <w:p w14:paraId="11063AA8"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Or mailed to:</w:t>
            </w:r>
          </w:p>
          <w:p w14:paraId="3704F9A0"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Services Australia</w:t>
            </w:r>
          </w:p>
          <w:p w14:paraId="54E94A9D"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Complex Drugs</w:t>
            </w:r>
          </w:p>
          <w:p w14:paraId="14E03A8F"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Reply Paid 9826</w:t>
            </w:r>
          </w:p>
          <w:p w14:paraId="79334B66" w14:textId="77777777" w:rsidR="00340FAC" w:rsidRDefault="00340FAC" w:rsidP="003C43F8">
            <w:pPr>
              <w:spacing w:line="276" w:lineRule="auto"/>
              <w:rPr>
                <w:rFonts w:ascii="Arial Narrow" w:hAnsi="Arial Narrow"/>
                <w:b/>
                <w:sz w:val="18"/>
                <w:szCs w:val="18"/>
                <w:lang w:eastAsia="en-AU"/>
              </w:rPr>
            </w:pPr>
            <w:r>
              <w:rPr>
                <w:rFonts w:ascii="Arial Narrow" w:hAnsi="Arial Narrow" w:cs="Arial Narrow"/>
                <w:iCs/>
                <w:sz w:val="18"/>
                <w:szCs w:val="18"/>
              </w:rPr>
              <w:t>HOBART TAS 7001</w:t>
            </w:r>
          </w:p>
        </w:tc>
      </w:tr>
      <w:tr w:rsidR="00340FAC" w14:paraId="2E8C2F8C"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56C39F"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lastRenderedPageBreak/>
              <w:t>7606</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9B655B" w14:textId="77777777" w:rsidR="00340FAC" w:rsidRDefault="00340FAC" w:rsidP="003C43F8">
            <w:pPr>
              <w:spacing w:line="276" w:lineRule="auto"/>
              <w:rPr>
                <w:rFonts w:ascii="Arial Narrow" w:hAnsi="Arial Narrow"/>
                <w:sz w:val="18"/>
                <w:szCs w:val="18"/>
                <w:lang w:eastAsia="en-AU"/>
              </w:rPr>
            </w:pPr>
            <w:r>
              <w:rPr>
                <w:rFonts w:ascii="Arial Narrow" w:hAnsi="Arial Narrow"/>
                <w:b/>
                <w:sz w:val="18"/>
                <w:szCs w:val="18"/>
                <w:lang w:eastAsia="en-AU"/>
              </w:rPr>
              <w:t>Administrative Advice:</w:t>
            </w:r>
            <w:r>
              <w:rPr>
                <w:rFonts w:ascii="Arial Narrow" w:hAnsi="Arial Narrow"/>
                <w:sz w:val="18"/>
                <w:szCs w:val="18"/>
                <w:lang w:eastAsia="en-AU"/>
              </w:rPr>
              <w:t>No increase in the maximum quantity or number of units may be authorised.</w:t>
            </w:r>
          </w:p>
        </w:tc>
      </w:tr>
      <w:tr w:rsidR="00340FAC" w14:paraId="27E6B58E"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08DF61"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7607</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6E7E0F" w14:textId="77777777" w:rsidR="00340FAC" w:rsidRDefault="00340FAC" w:rsidP="003C43F8">
            <w:pPr>
              <w:spacing w:line="276" w:lineRule="auto"/>
              <w:rPr>
                <w:rFonts w:ascii="Arial Narrow" w:hAnsi="Arial Narrow"/>
                <w:sz w:val="18"/>
                <w:szCs w:val="18"/>
                <w:lang w:eastAsia="en-AU"/>
              </w:rPr>
            </w:pPr>
            <w:r>
              <w:rPr>
                <w:rFonts w:ascii="Arial Narrow" w:hAnsi="Arial Narrow"/>
                <w:b/>
                <w:sz w:val="18"/>
                <w:szCs w:val="18"/>
                <w:lang w:eastAsia="en-AU"/>
              </w:rPr>
              <w:t>Administrative Advice:</w:t>
            </w:r>
            <w:r>
              <w:rPr>
                <w:rFonts w:ascii="Arial Narrow" w:hAnsi="Arial Narrow"/>
                <w:sz w:val="18"/>
                <w:szCs w:val="18"/>
                <w:lang w:eastAsia="en-AU"/>
              </w:rPr>
              <w:t>No increase in the maximum number of repeats may be authorised.</w:t>
            </w:r>
          </w:p>
        </w:tc>
      </w:tr>
      <w:tr w:rsidR="00340FAC" w14:paraId="5114E71B"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CFD397"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7608</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F51AE0" w14:textId="77777777" w:rsidR="00340FAC" w:rsidRDefault="00340FAC" w:rsidP="003C43F8">
            <w:pPr>
              <w:spacing w:line="276" w:lineRule="auto"/>
              <w:rPr>
                <w:rFonts w:ascii="Arial Narrow" w:hAnsi="Arial Narrow"/>
                <w:sz w:val="18"/>
                <w:szCs w:val="18"/>
                <w:lang w:eastAsia="en-AU"/>
              </w:rPr>
            </w:pPr>
            <w:r>
              <w:rPr>
                <w:rFonts w:ascii="Arial Narrow" w:hAnsi="Arial Narrow"/>
                <w:b/>
                <w:sz w:val="18"/>
                <w:szCs w:val="18"/>
                <w:lang w:eastAsia="en-AU"/>
              </w:rPr>
              <w:t>Administrative Advice:</w:t>
            </w:r>
            <w:r>
              <w:rPr>
                <w:rFonts w:ascii="Arial Narrow" w:hAnsi="Arial Narrow"/>
                <w:sz w:val="18"/>
                <w:szCs w:val="18"/>
                <w:lang w:eastAsia="en-AU"/>
              </w:rPr>
              <w:t>Special Pricing Arrangements apply.</w:t>
            </w:r>
          </w:p>
        </w:tc>
      </w:tr>
    </w:tbl>
    <w:p w14:paraId="29F2C795" w14:textId="77777777" w:rsidR="00340FAC" w:rsidRDefault="00340FAC" w:rsidP="00340FAC"/>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708"/>
        <w:gridCol w:w="1275"/>
        <w:gridCol w:w="1276"/>
        <w:gridCol w:w="1134"/>
        <w:gridCol w:w="1134"/>
        <w:gridCol w:w="1559"/>
      </w:tblGrid>
      <w:tr w:rsidR="00340FAC" w14:paraId="4C4F2035" w14:textId="77777777" w:rsidTr="003C43F8">
        <w:trPr>
          <w:cantSplit/>
          <w:trHeight w:val="471"/>
        </w:trPr>
        <w:tc>
          <w:tcPr>
            <w:tcW w:w="2689" w:type="dxa"/>
            <w:gridSpan w:val="2"/>
            <w:tcBorders>
              <w:top w:val="single" w:sz="4" w:space="0" w:color="auto"/>
              <w:left w:val="single" w:sz="4" w:space="0" w:color="auto"/>
              <w:bottom w:val="single" w:sz="4" w:space="0" w:color="auto"/>
              <w:right w:val="single" w:sz="4" w:space="0" w:color="auto"/>
            </w:tcBorders>
            <w:hideMark/>
          </w:tcPr>
          <w:p w14:paraId="61DF71A0" w14:textId="77777777" w:rsidR="00340FAC" w:rsidRDefault="00340FAC" w:rsidP="003C43F8">
            <w:pPr>
              <w:keepNext/>
              <w:spacing w:line="276" w:lineRule="auto"/>
              <w:ind w:left="-57"/>
              <w:rPr>
                <w:rFonts w:ascii="Arial Narrow" w:hAnsi="Arial Narrow"/>
                <w:b/>
                <w:sz w:val="18"/>
                <w:szCs w:val="18"/>
              </w:rPr>
            </w:pPr>
            <w:r>
              <w:rPr>
                <w:rFonts w:ascii="Arial Narrow" w:hAnsi="Arial Narrow"/>
                <w:b/>
                <w:sz w:val="18"/>
                <w:szCs w:val="18"/>
              </w:rPr>
              <w:t xml:space="preserve">MEDICINAL PRODUCT </w:t>
            </w:r>
          </w:p>
          <w:p w14:paraId="5416E070" w14:textId="77777777" w:rsidR="00340FAC" w:rsidRDefault="00340FAC" w:rsidP="003C43F8">
            <w:pPr>
              <w:keepNext/>
              <w:spacing w:line="276" w:lineRule="auto"/>
              <w:ind w:left="-57"/>
              <w:rPr>
                <w:rFonts w:ascii="Arial Narrow" w:hAnsi="Arial Narrow"/>
                <w:b/>
                <w:sz w:val="18"/>
                <w:szCs w:val="18"/>
              </w:rPr>
            </w:pPr>
            <w:r>
              <w:rPr>
                <w:rFonts w:ascii="Arial Narrow" w:hAnsi="Arial Narrow"/>
                <w:b/>
                <w:sz w:val="18"/>
                <w:szCs w:val="18"/>
              </w:rPr>
              <w:t>medicinal product pack</w:t>
            </w:r>
          </w:p>
        </w:tc>
        <w:tc>
          <w:tcPr>
            <w:tcW w:w="1275" w:type="dxa"/>
            <w:tcBorders>
              <w:top w:val="single" w:sz="4" w:space="0" w:color="auto"/>
              <w:left w:val="single" w:sz="4" w:space="0" w:color="auto"/>
              <w:bottom w:val="single" w:sz="4" w:space="0" w:color="auto"/>
              <w:right w:val="single" w:sz="4" w:space="0" w:color="auto"/>
            </w:tcBorders>
            <w:hideMark/>
          </w:tcPr>
          <w:p w14:paraId="0CAD1650"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PBS item code</w:t>
            </w:r>
          </w:p>
        </w:tc>
        <w:tc>
          <w:tcPr>
            <w:tcW w:w="1276" w:type="dxa"/>
            <w:tcBorders>
              <w:top w:val="single" w:sz="4" w:space="0" w:color="auto"/>
              <w:left w:val="single" w:sz="4" w:space="0" w:color="auto"/>
              <w:bottom w:val="single" w:sz="4" w:space="0" w:color="auto"/>
              <w:right w:val="single" w:sz="4" w:space="0" w:color="auto"/>
            </w:tcBorders>
            <w:hideMark/>
          </w:tcPr>
          <w:p w14:paraId="673DA492"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Max. qty packs</w:t>
            </w:r>
          </w:p>
        </w:tc>
        <w:tc>
          <w:tcPr>
            <w:tcW w:w="1134" w:type="dxa"/>
            <w:tcBorders>
              <w:top w:val="single" w:sz="4" w:space="0" w:color="auto"/>
              <w:left w:val="single" w:sz="4" w:space="0" w:color="auto"/>
              <w:bottom w:val="single" w:sz="4" w:space="0" w:color="auto"/>
              <w:right w:val="single" w:sz="4" w:space="0" w:color="auto"/>
            </w:tcBorders>
            <w:hideMark/>
          </w:tcPr>
          <w:p w14:paraId="42DF6701"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Max. qty units</w:t>
            </w:r>
          </w:p>
        </w:tc>
        <w:tc>
          <w:tcPr>
            <w:tcW w:w="1134" w:type="dxa"/>
            <w:tcBorders>
              <w:top w:val="single" w:sz="4" w:space="0" w:color="auto"/>
              <w:left w:val="single" w:sz="4" w:space="0" w:color="auto"/>
              <w:bottom w:val="single" w:sz="4" w:space="0" w:color="auto"/>
              <w:right w:val="single" w:sz="4" w:space="0" w:color="auto"/>
            </w:tcBorders>
            <w:hideMark/>
          </w:tcPr>
          <w:p w14:paraId="0F7F75C5"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№.of</w:t>
            </w:r>
          </w:p>
          <w:p w14:paraId="27D5C954" w14:textId="77777777" w:rsidR="00340FAC" w:rsidRDefault="00340FAC" w:rsidP="003C43F8">
            <w:pPr>
              <w:keepNext/>
              <w:spacing w:line="276" w:lineRule="auto"/>
              <w:ind w:left="-108"/>
              <w:jc w:val="center"/>
              <w:rPr>
                <w:rFonts w:ascii="Arial Narrow" w:hAnsi="Arial Narrow"/>
                <w:b/>
                <w:sz w:val="18"/>
                <w:szCs w:val="18"/>
              </w:rPr>
            </w:pPr>
            <w:r>
              <w:rPr>
                <w:rFonts w:ascii="Arial Narrow" w:hAnsi="Arial Narrow"/>
                <w:b/>
                <w:sz w:val="18"/>
                <w:szCs w:val="18"/>
              </w:rPr>
              <w:t>Rpts</w:t>
            </w:r>
          </w:p>
        </w:tc>
        <w:tc>
          <w:tcPr>
            <w:tcW w:w="1559" w:type="dxa"/>
            <w:tcBorders>
              <w:top w:val="single" w:sz="4" w:space="0" w:color="auto"/>
              <w:left w:val="single" w:sz="4" w:space="0" w:color="auto"/>
              <w:bottom w:val="single" w:sz="4" w:space="0" w:color="auto"/>
              <w:right w:val="single" w:sz="4" w:space="0" w:color="auto"/>
            </w:tcBorders>
            <w:hideMark/>
          </w:tcPr>
          <w:p w14:paraId="4F996F49" w14:textId="77777777" w:rsidR="00340FAC" w:rsidRDefault="00340FAC" w:rsidP="003C43F8">
            <w:pPr>
              <w:keepNext/>
              <w:spacing w:line="276" w:lineRule="auto"/>
              <w:rPr>
                <w:rFonts w:ascii="Arial Narrow" w:hAnsi="Arial Narrow"/>
                <w:b/>
                <w:sz w:val="18"/>
                <w:szCs w:val="18"/>
                <w:lang w:val="fr-FR"/>
              </w:rPr>
            </w:pPr>
            <w:r>
              <w:rPr>
                <w:rFonts w:ascii="Arial Narrow" w:hAnsi="Arial Narrow"/>
                <w:b/>
                <w:sz w:val="18"/>
                <w:szCs w:val="18"/>
              </w:rPr>
              <w:t>Available brands</w:t>
            </w:r>
          </w:p>
        </w:tc>
      </w:tr>
      <w:tr w:rsidR="00340FAC" w14:paraId="3AB73DF4" w14:textId="77777777" w:rsidTr="003C43F8">
        <w:trPr>
          <w:cantSplit/>
          <w:trHeight w:val="266"/>
        </w:trPr>
        <w:tc>
          <w:tcPr>
            <w:tcW w:w="9067" w:type="dxa"/>
            <w:gridSpan w:val="7"/>
            <w:tcBorders>
              <w:top w:val="single" w:sz="4" w:space="0" w:color="auto"/>
              <w:left w:val="single" w:sz="4" w:space="0" w:color="auto"/>
              <w:bottom w:val="single" w:sz="4" w:space="0" w:color="auto"/>
              <w:right w:val="single" w:sz="4" w:space="0" w:color="auto"/>
            </w:tcBorders>
            <w:hideMark/>
          </w:tcPr>
          <w:p w14:paraId="12935F2F" w14:textId="77777777" w:rsidR="00340FAC" w:rsidRDefault="00340FAC" w:rsidP="003C43F8">
            <w:pPr>
              <w:keepNext/>
              <w:spacing w:line="276" w:lineRule="auto"/>
              <w:ind w:left="-57"/>
              <w:rPr>
                <w:rFonts w:ascii="Arial Narrow" w:hAnsi="Arial Narrow"/>
                <w:sz w:val="18"/>
                <w:szCs w:val="18"/>
              </w:rPr>
            </w:pPr>
            <w:r>
              <w:rPr>
                <w:rFonts w:ascii="Arial Narrow" w:hAnsi="Arial Narrow"/>
                <w:sz w:val="18"/>
                <w:szCs w:val="18"/>
              </w:rPr>
              <w:t>NUSINERSEN</w:t>
            </w:r>
          </w:p>
        </w:tc>
      </w:tr>
      <w:tr w:rsidR="00340FAC" w14:paraId="4633DFCE" w14:textId="77777777" w:rsidTr="003C43F8">
        <w:trPr>
          <w:cantSplit/>
          <w:trHeight w:val="413"/>
        </w:trPr>
        <w:tc>
          <w:tcPr>
            <w:tcW w:w="2689" w:type="dxa"/>
            <w:gridSpan w:val="2"/>
            <w:tcBorders>
              <w:top w:val="single" w:sz="4" w:space="0" w:color="auto"/>
              <w:left w:val="single" w:sz="4" w:space="0" w:color="auto"/>
              <w:bottom w:val="single" w:sz="4" w:space="0" w:color="auto"/>
              <w:right w:val="single" w:sz="4" w:space="0" w:color="auto"/>
            </w:tcBorders>
            <w:hideMark/>
          </w:tcPr>
          <w:p w14:paraId="22D0961B" w14:textId="77777777" w:rsidR="00340FAC" w:rsidRDefault="00340FAC" w:rsidP="003C43F8">
            <w:pPr>
              <w:keepNext/>
              <w:spacing w:line="276" w:lineRule="auto"/>
              <w:ind w:left="-57"/>
              <w:rPr>
                <w:rFonts w:ascii="Arial Narrow" w:hAnsi="Arial Narrow"/>
                <w:sz w:val="18"/>
                <w:szCs w:val="18"/>
              </w:rPr>
            </w:pPr>
            <w:r>
              <w:rPr>
                <w:rFonts w:ascii="Arial Narrow" w:hAnsi="Arial Narrow"/>
                <w:sz w:val="18"/>
                <w:szCs w:val="18"/>
              </w:rPr>
              <w:t xml:space="preserve">nusinersen 12mg/5ml injection, 5ml vial </w:t>
            </w:r>
          </w:p>
        </w:tc>
        <w:tc>
          <w:tcPr>
            <w:tcW w:w="1275" w:type="dxa"/>
            <w:tcBorders>
              <w:top w:val="single" w:sz="4" w:space="0" w:color="auto"/>
              <w:left w:val="single" w:sz="4" w:space="0" w:color="auto"/>
              <w:bottom w:val="single" w:sz="4" w:space="0" w:color="auto"/>
              <w:right w:val="single" w:sz="4" w:space="0" w:color="auto"/>
            </w:tcBorders>
            <w:hideMark/>
          </w:tcPr>
          <w:p w14:paraId="371B42D4"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11378W (Pub)</w:t>
            </w:r>
          </w:p>
          <w:p w14:paraId="2BDFA19F"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11476B (Priv)</w:t>
            </w:r>
          </w:p>
        </w:tc>
        <w:tc>
          <w:tcPr>
            <w:tcW w:w="1276" w:type="dxa"/>
            <w:tcBorders>
              <w:top w:val="single" w:sz="4" w:space="0" w:color="auto"/>
              <w:left w:val="single" w:sz="4" w:space="0" w:color="auto"/>
              <w:bottom w:val="single" w:sz="4" w:space="0" w:color="auto"/>
              <w:right w:val="single" w:sz="4" w:space="0" w:color="auto"/>
            </w:tcBorders>
            <w:hideMark/>
          </w:tcPr>
          <w:p w14:paraId="3D482C1A"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14D0A509" w14:textId="77777777" w:rsidR="00340FAC" w:rsidRDefault="00340FAC" w:rsidP="003C43F8">
            <w:pPr>
              <w:keepNext/>
              <w:spacing w:line="276" w:lineRule="auto"/>
              <w:jc w:val="center"/>
              <w:rPr>
                <w:rFonts w:ascii="Arial Narrow" w:hAnsi="Arial Narrow"/>
                <w:sz w:val="18"/>
                <w:szCs w:val="18"/>
              </w:rPr>
            </w:pPr>
            <w:r>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2357F79A" w14:textId="77777777" w:rsidR="00340FAC" w:rsidRDefault="00340FAC" w:rsidP="003C43F8">
            <w:pPr>
              <w:keepNext/>
              <w:tabs>
                <w:tab w:val="left" w:pos="136"/>
                <w:tab w:val="center" w:pos="192"/>
              </w:tabs>
              <w:spacing w:line="276" w:lineRule="auto"/>
              <w:jc w:val="center"/>
              <w:rPr>
                <w:rFonts w:ascii="Arial Narrow" w:hAnsi="Arial Narrow"/>
                <w:sz w:val="18"/>
                <w:szCs w:val="18"/>
              </w:rPr>
            </w:pPr>
            <w:r>
              <w:rPr>
                <w:rFonts w:ascii="Arial Narrow" w:hAnsi="Arial Narrow"/>
                <w:sz w:val="18"/>
                <w:szCs w:val="18"/>
              </w:rPr>
              <w:t>0</w:t>
            </w:r>
          </w:p>
        </w:tc>
        <w:tc>
          <w:tcPr>
            <w:tcW w:w="1559" w:type="dxa"/>
            <w:tcBorders>
              <w:top w:val="single" w:sz="4" w:space="0" w:color="auto"/>
              <w:left w:val="single" w:sz="4" w:space="0" w:color="auto"/>
              <w:bottom w:val="single" w:sz="4" w:space="0" w:color="auto"/>
              <w:right w:val="single" w:sz="4" w:space="0" w:color="auto"/>
            </w:tcBorders>
            <w:hideMark/>
          </w:tcPr>
          <w:p w14:paraId="00C2A4AB" w14:textId="77777777" w:rsidR="00340FAC" w:rsidRDefault="00340FAC" w:rsidP="003C43F8">
            <w:pPr>
              <w:keepNext/>
              <w:spacing w:line="276" w:lineRule="auto"/>
              <w:rPr>
                <w:rFonts w:ascii="Arial Narrow" w:hAnsi="Arial Narrow"/>
                <w:sz w:val="18"/>
                <w:szCs w:val="18"/>
              </w:rPr>
            </w:pPr>
            <w:r>
              <w:rPr>
                <w:rFonts w:ascii="Arial Narrow" w:hAnsi="Arial Narrow"/>
                <w:sz w:val="18"/>
                <w:szCs w:val="18"/>
              </w:rPr>
              <w:t>Spinraza</w:t>
            </w:r>
          </w:p>
        </w:tc>
      </w:tr>
      <w:tr w:rsidR="00340FAC" w14:paraId="421D5FD7" w14:textId="77777777" w:rsidTr="003C43F8">
        <w:tc>
          <w:tcPr>
            <w:tcW w:w="906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1DB7B4" w14:textId="77777777" w:rsidR="00340FAC" w:rsidRDefault="00340FAC" w:rsidP="003C43F8">
            <w:pPr>
              <w:spacing w:line="276" w:lineRule="auto"/>
              <w:rPr>
                <w:rFonts w:ascii="Arial Narrow" w:hAnsi="Arial Narrow"/>
                <w:b/>
                <w:sz w:val="18"/>
                <w:szCs w:val="18"/>
              </w:rPr>
            </w:pPr>
          </w:p>
        </w:tc>
      </w:tr>
      <w:tr w:rsidR="00340FAC" w14:paraId="34EA20A4" w14:textId="77777777" w:rsidTr="003C43F8">
        <w:tc>
          <w:tcPr>
            <w:tcW w:w="98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F280B6" w14:textId="77777777" w:rsidR="00340FAC" w:rsidRDefault="00340FAC" w:rsidP="003C43F8">
            <w:pPr>
              <w:spacing w:line="276" w:lineRule="auto"/>
              <w:jc w:val="center"/>
              <w:rPr>
                <w:rFonts w:ascii="Arial Narrow" w:hAnsi="Arial Narrow"/>
                <w:b/>
                <w:sz w:val="18"/>
                <w:szCs w:val="18"/>
              </w:rPr>
            </w:pPr>
            <w:r>
              <w:rPr>
                <w:rFonts w:ascii="Arial Narrow" w:hAnsi="Arial Narrow"/>
                <w:b/>
                <w:sz w:val="18"/>
                <w:szCs w:val="18"/>
              </w:rPr>
              <w:t>Concept ID</w:t>
            </w:r>
          </w:p>
          <w:p w14:paraId="2140BC82" w14:textId="77777777" w:rsidR="00340FAC" w:rsidRDefault="00340FAC" w:rsidP="003C43F8">
            <w:pPr>
              <w:spacing w:line="276" w:lineRule="auto"/>
              <w:rPr>
                <w:rFonts w:ascii="Arial Narrow" w:hAnsi="Arial Narrow"/>
                <w:sz w:val="18"/>
                <w:szCs w:val="18"/>
              </w:rPr>
            </w:pPr>
          </w:p>
          <w:p w14:paraId="4B8C7A67" w14:textId="77777777" w:rsidR="00340FAC" w:rsidRDefault="00340FAC" w:rsidP="003C43F8">
            <w:pPr>
              <w:spacing w:line="276" w:lineRule="auto"/>
              <w:jc w:val="center"/>
              <w:rPr>
                <w:rFonts w:ascii="Arial Narrow" w:hAnsi="Arial Narrow"/>
                <w:sz w:val="18"/>
                <w:szCs w:val="18"/>
              </w:rPr>
            </w:pPr>
            <w:r>
              <w:rPr>
                <w:rFonts w:ascii="Arial Narrow" w:hAnsi="Arial Narrow"/>
                <w:sz w:val="18"/>
                <w:szCs w:val="18"/>
              </w:rPr>
              <w:t xml:space="preserve">(for internal Dept. use) </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409D94" w14:textId="77777777" w:rsidR="00340FAC" w:rsidRDefault="00340FAC" w:rsidP="003C43F8">
            <w:pPr>
              <w:spacing w:line="276" w:lineRule="auto"/>
              <w:rPr>
                <w:rFonts w:ascii="Arial Narrow" w:hAnsi="Arial Narrow"/>
                <w:sz w:val="18"/>
                <w:szCs w:val="18"/>
              </w:rPr>
            </w:pPr>
            <w:r>
              <w:rPr>
                <w:rFonts w:ascii="Arial Narrow" w:hAnsi="Arial Narrow"/>
                <w:b/>
                <w:sz w:val="18"/>
                <w:szCs w:val="18"/>
              </w:rPr>
              <w:t xml:space="preserve">Category / Program:   </w:t>
            </w:r>
            <w:r>
              <w:rPr>
                <w:rFonts w:ascii="Arial Narrow" w:hAnsi="Arial Narrow"/>
                <w:sz w:val="18"/>
                <w:szCs w:val="18"/>
              </w:rPr>
              <w:t>Section 100 – Highly Specialised Drugs Program  (Public/Private hospitals code)</w:t>
            </w:r>
          </w:p>
        </w:tc>
      </w:tr>
      <w:tr w:rsidR="00340FAC" w14:paraId="7144B204" w14:textId="77777777" w:rsidTr="003C43F8">
        <w:trPr>
          <w:trHeight w:val="240"/>
        </w:trPr>
        <w:tc>
          <w:tcPr>
            <w:tcW w:w="981" w:type="dxa"/>
            <w:vMerge/>
            <w:tcBorders>
              <w:top w:val="single" w:sz="4" w:space="0" w:color="auto"/>
              <w:left w:val="single" w:sz="4" w:space="0" w:color="auto"/>
              <w:bottom w:val="single" w:sz="4" w:space="0" w:color="auto"/>
              <w:right w:val="single" w:sz="4" w:space="0" w:color="auto"/>
            </w:tcBorders>
            <w:vAlign w:val="center"/>
            <w:hideMark/>
          </w:tcPr>
          <w:p w14:paraId="14F3004F" w14:textId="77777777" w:rsidR="00340FAC" w:rsidRDefault="00340FAC" w:rsidP="003C43F8">
            <w:pPr>
              <w:widowControl/>
              <w:spacing w:line="276" w:lineRule="auto"/>
              <w:jc w:val="left"/>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5F8A2D" w14:textId="77777777" w:rsidR="00340FAC" w:rsidRDefault="00340FAC" w:rsidP="003C43F8">
            <w:pPr>
              <w:spacing w:line="276" w:lineRule="auto"/>
              <w:rPr>
                <w:rFonts w:ascii="Arial Narrow" w:hAnsi="Arial Narrow"/>
                <w:b/>
                <w:sz w:val="18"/>
                <w:szCs w:val="18"/>
              </w:rPr>
            </w:pPr>
            <w:r>
              <w:rPr>
                <w:rFonts w:ascii="Arial Narrow" w:hAnsi="Arial Narrow"/>
                <w:b/>
                <w:sz w:val="18"/>
                <w:szCs w:val="18"/>
              </w:rPr>
              <w:t xml:space="preserve">Prescriber type: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A87B03">
              <w:rPr>
                <w:rFonts w:ascii="Arial Narrow" w:hAnsi="Arial Narrow"/>
                <w:sz w:val="18"/>
                <w:szCs w:val="18"/>
              </w:rPr>
            </w:r>
            <w:r w:rsidR="00A87B03">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Medical Practitioners    </w:t>
            </w:r>
          </w:p>
        </w:tc>
      </w:tr>
      <w:tr w:rsidR="00340FAC" w14:paraId="0C0F1863" w14:textId="77777777" w:rsidTr="003C43F8">
        <w:tc>
          <w:tcPr>
            <w:tcW w:w="981" w:type="dxa"/>
            <w:vMerge/>
            <w:tcBorders>
              <w:top w:val="single" w:sz="4" w:space="0" w:color="auto"/>
              <w:left w:val="single" w:sz="4" w:space="0" w:color="auto"/>
              <w:bottom w:val="single" w:sz="4" w:space="0" w:color="auto"/>
              <w:right w:val="single" w:sz="4" w:space="0" w:color="auto"/>
            </w:tcBorders>
            <w:vAlign w:val="center"/>
            <w:hideMark/>
          </w:tcPr>
          <w:p w14:paraId="736E4334" w14:textId="77777777" w:rsidR="00340FAC" w:rsidRDefault="00340FAC" w:rsidP="003C43F8">
            <w:pPr>
              <w:widowControl/>
              <w:spacing w:line="276" w:lineRule="auto"/>
              <w:jc w:val="left"/>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15168D" w14:textId="77777777" w:rsidR="00340FAC" w:rsidRDefault="00340FAC" w:rsidP="003C43F8">
            <w:pPr>
              <w:spacing w:line="276" w:lineRule="auto"/>
              <w:rPr>
                <w:rFonts w:ascii="Arial Narrow" w:eastAsia="Calibri" w:hAnsi="Arial Narrow"/>
                <w:sz w:val="18"/>
                <w:szCs w:val="18"/>
              </w:rPr>
            </w:pPr>
            <w:r>
              <w:rPr>
                <w:rFonts w:ascii="Arial Narrow" w:hAnsi="Arial Narrow"/>
                <w:b/>
                <w:sz w:val="18"/>
                <w:szCs w:val="18"/>
              </w:rPr>
              <w:t xml:space="preserve">Restriction Type </w:t>
            </w: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A87B03">
              <w:rPr>
                <w:rFonts w:ascii="Arial Narrow" w:eastAsia="Calibri" w:hAnsi="Arial Narrow"/>
                <w:sz w:val="18"/>
                <w:szCs w:val="18"/>
              </w:rPr>
            </w:r>
            <w:r w:rsidR="00A87B03">
              <w:rPr>
                <w:rFonts w:ascii="Arial Narrow" w:eastAsia="Calibri" w:hAnsi="Arial Narrow"/>
                <w:sz w:val="18"/>
                <w:szCs w:val="18"/>
              </w:rPr>
              <w:fldChar w:fldCharType="separate"/>
            </w:r>
            <w:r>
              <w:rPr>
                <w:rFonts w:ascii="Arial Narrow" w:eastAsia="Calibri" w:hAnsi="Arial Narrow"/>
                <w:sz w:val="18"/>
                <w:szCs w:val="18"/>
              </w:rPr>
              <w:fldChar w:fldCharType="end"/>
            </w:r>
            <w:r>
              <w:rPr>
                <w:rFonts w:ascii="Arial Narrow" w:eastAsia="Calibri" w:hAnsi="Arial Narrow"/>
                <w:sz w:val="18"/>
                <w:szCs w:val="18"/>
              </w:rPr>
              <w:t>Authority Required – immediate/real time assessment by Services Australia</w:t>
            </w:r>
          </w:p>
        </w:tc>
      </w:tr>
      <w:tr w:rsidR="00340FAC" w14:paraId="2FD78DAC"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27366D"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21163</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5FD0BD"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Indication:</w:t>
            </w:r>
            <w:r>
              <w:rPr>
                <w:rFonts w:ascii="Arial Narrow" w:hAnsi="Arial Narrow"/>
                <w:sz w:val="18"/>
                <w:szCs w:val="18"/>
                <w:lang w:eastAsia="en-AU"/>
              </w:rPr>
              <w:t xml:space="preserve"> Spinal muscular atrophy (SMA)</w:t>
            </w:r>
          </w:p>
        </w:tc>
      </w:tr>
      <w:tr w:rsidR="00340FAC" w14:paraId="20D81B60"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62BCFF"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Edit</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F987B6" w14:textId="77777777" w:rsidR="00340FAC" w:rsidRDefault="00340FAC" w:rsidP="003C43F8">
            <w:pPr>
              <w:spacing w:line="276" w:lineRule="auto"/>
              <w:rPr>
                <w:rFonts w:ascii="Arial Narrow" w:hAnsi="Arial Narrow"/>
                <w:sz w:val="18"/>
                <w:szCs w:val="18"/>
                <w:lang w:eastAsia="en-AU"/>
              </w:rPr>
            </w:pPr>
            <w:r>
              <w:rPr>
                <w:rFonts w:ascii="Arial Narrow" w:hAnsi="Arial Narrow"/>
                <w:b/>
                <w:sz w:val="18"/>
                <w:szCs w:val="18"/>
                <w:lang w:eastAsia="en-AU"/>
              </w:rPr>
              <w:t>Treatment Phase:</w:t>
            </w:r>
            <w:r>
              <w:rPr>
                <w:rFonts w:ascii="Arial Narrow" w:hAnsi="Arial Narrow"/>
                <w:sz w:val="18"/>
                <w:szCs w:val="18"/>
                <w:lang w:eastAsia="en-AU"/>
              </w:rPr>
              <w:t xml:space="preserve"> </w:t>
            </w:r>
            <w:r>
              <w:rPr>
                <w:rFonts w:ascii="Arial Narrow" w:hAnsi="Arial Narrow"/>
                <w:bCs/>
                <w:sz w:val="18"/>
                <w:szCs w:val="18"/>
                <w:lang w:eastAsia="en-AU"/>
              </w:rPr>
              <w:t>Continuing/maintenance treatment of either symptomatic Type I, II or IIIa SMA, or of a patient commenced on this drug under the pre-symptomatic SMA listing</w:t>
            </w:r>
          </w:p>
        </w:tc>
      </w:tr>
      <w:tr w:rsidR="00340FAC" w14:paraId="11E35037"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9EE594"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25333</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DA1EFA"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Treatment criteria:</w:t>
            </w:r>
          </w:p>
        </w:tc>
      </w:tr>
      <w:tr w:rsidR="00340FAC" w14:paraId="10432A0C"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88F6F7" w14:textId="77777777" w:rsidR="00340FAC" w:rsidRDefault="00340FAC" w:rsidP="003C43F8">
            <w:pPr>
              <w:spacing w:line="276" w:lineRule="auto"/>
              <w:jc w:val="center"/>
              <w:rPr>
                <w:rFonts w:ascii="Arial Narrow" w:hAnsi="Arial Narrow" w:cs="Arial Narrow"/>
                <w:iCs/>
                <w:sz w:val="18"/>
                <w:szCs w:val="18"/>
              </w:rPr>
            </w:pPr>
            <w:r>
              <w:rPr>
                <w:rFonts w:ascii="Arial Narrow" w:hAnsi="Arial Narrow" w:cs="Arial Narrow"/>
                <w:iCs/>
                <w:sz w:val="18"/>
                <w:szCs w:val="18"/>
              </w:rPr>
              <w:t>25332</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774949" w14:textId="77777777" w:rsidR="00340FAC" w:rsidRDefault="00340FAC" w:rsidP="003C43F8">
            <w:pPr>
              <w:spacing w:line="276" w:lineRule="auto"/>
              <w:rPr>
                <w:rFonts w:ascii="Arial Narrow" w:hAnsi="Arial Narrow" w:cs="Arial Narrow"/>
                <w:iCs/>
                <w:sz w:val="18"/>
                <w:szCs w:val="18"/>
              </w:rPr>
            </w:pPr>
            <w:r>
              <w:rPr>
                <w:rFonts w:ascii="Arial Narrow" w:hAnsi="Arial Narrow"/>
                <w:bCs/>
                <w:sz w:val="18"/>
                <w:szCs w:val="18"/>
                <w:lang w:eastAsia="en-AU"/>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or initiated by a specialist medical practitioner experienced in the diagnosis and management of SMA associated with a neuromuscular clinic of a recognised hospital in the management of SMA</w:t>
            </w:r>
          </w:p>
        </w:tc>
      </w:tr>
      <w:tr w:rsidR="00340FAC" w14:paraId="0BDDA37F"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B0CE7F"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EECA8F" w14:textId="77777777" w:rsidR="00340FAC" w:rsidRDefault="00340FAC" w:rsidP="003C43F8">
            <w:pPr>
              <w:spacing w:line="276" w:lineRule="auto"/>
              <w:rPr>
                <w:rFonts w:ascii="Arial Narrow" w:hAnsi="Arial Narrow"/>
                <w:b/>
                <w:bCs/>
                <w:sz w:val="18"/>
                <w:szCs w:val="18"/>
                <w:lang w:eastAsia="en-AU"/>
              </w:rPr>
            </w:pPr>
            <w:r>
              <w:rPr>
                <w:rFonts w:ascii="Arial Narrow" w:hAnsi="Arial Narrow" w:cs="Arial Narrow"/>
                <w:b/>
                <w:iCs/>
                <w:sz w:val="18"/>
                <w:szCs w:val="18"/>
              </w:rPr>
              <w:t>AND</w:t>
            </w:r>
          </w:p>
        </w:tc>
      </w:tr>
      <w:tr w:rsidR="00340FAC" w14:paraId="129B0B84"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D606EB"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NEW 27612</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D43FA9"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Clinical criteria:</w:t>
            </w:r>
          </w:p>
        </w:tc>
      </w:tr>
      <w:tr w:rsidR="00340FAC" w14:paraId="7BCF782B"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15879D"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11364</w:t>
            </w:r>
          </w:p>
          <w:p w14:paraId="120088E0" w14:textId="77777777" w:rsidR="00340FAC" w:rsidRDefault="00340FAC" w:rsidP="003C43F8">
            <w:pPr>
              <w:spacing w:line="276" w:lineRule="auto"/>
              <w:jc w:val="center"/>
              <w:rPr>
                <w:rFonts w:ascii="Arial Narrow" w:hAnsi="Arial Narrow"/>
                <w:sz w:val="18"/>
                <w:szCs w:val="18"/>
                <w:lang w:eastAsia="en-AU"/>
              </w:rPr>
            </w:pPr>
          </w:p>
          <w:p w14:paraId="398FB000"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 xml:space="preserve"> NEW 27611</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5FB36F"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Patient must have previously received PBS-subsidised treatment with this drug for this condition</w:t>
            </w:r>
          </w:p>
          <w:p w14:paraId="6A739572" w14:textId="77777777" w:rsidR="00340FAC" w:rsidRDefault="00340FAC" w:rsidP="003C43F8">
            <w:pPr>
              <w:spacing w:line="276" w:lineRule="auto"/>
              <w:rPr>
                <w:rFonts w:ascii="Arial Narrow" w:hAnsi="Arial Narrow"/>
                <w:bCs/>
                <w:sz w:val="18"/>
                <w:szCs w:val="18"/>
                <w:lang w:eastAsia="en-AU"/>
              </w:rPr>
            </w:pPr>
            <w:r>
              <w:rPr>
                <w:rFonts w:ascii="Arial Narrow" w:hAnsi="Arial Narrow"/>
                <w:bCs/>
                <w:sz w:val="18"/>
                <w:szCs w:val="18"/>
                <w:lang w:eastAsia="en-AU"/>
              </w:rPr>
              <w:t xml:space="preserve">OR </w:t>
            </w:r>
          </w:p>
          <w:p w14:paraId="6F39145F" w14:textId="77777777" w:rsidR="00340FAC" w:rsidRDefault="00340FAC" w:rsidP="003C43F8">
            <w:pPr>
              <w:spacing w:line="276" w:lineRule="auto"/>
              <w:rPr>
                <w:rFonts w:ascii="Arial Narrow" w:hAnsi="Arial Narrow" w:cs="Arial Narrow"/>
                <w:iCs/>
                <w:sz w:val="18"/>
                <w:szCs w:val="18"/>
              </w:rPr>
            </w:pPr>
            <w:r>
              <w:rPr>
                <w:rFonts w:ascii="Arial Narrow" w:hAnsi="Arial Narrow"/>
                <w:bCs/>
                <w:sz w:val="18"/>
                <w:szCs w:val="18"/>
                <w:lang w:eastAsia="en-AU"/>
              </w:rPr>
              <w:t>Patient must</w:t>
            </w:r>
            <w:r>
              <w:rPr>
                <w:rFonts w:ascii="Arial Narrow" w:hAnsi="Arial Narrow"/>
                <w:sz w:val="18"/>
                <w:szCs w:val="18"/>
                <w:lang w:eastAsia="en-AU"/>
              </w:rPr>
              <w:t xml:space="preserve"> be eligible for continuing PBS-subsidised treatment with risdiplam for this condition</w:t>
            </w:r>
          </w:p>
        </w:tc>
      </w:tr>
      <w:tr w:rsidR="00340FAC" w14:paraId="7EEC49D1"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420CF8"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F86FF8"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AND</w:t>
            </w:r>
          </w:p>
        </w:tc>
      </w:tr>
      <w:tr w:rsidR="00340FAC" w14:paraId="0E8AB2A8"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D8D721"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27598</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C1DEBD" w14:textId="77777777" w:rsidR="00340FAC" w:rsidRDefault="00340FAC" w:rsidP="003C43F8">
            <w:pPr>
              <w:spacing w:line="276" w:lineRule="auto"/>
              <w:rPr>
                <w:rFonts w:ascii="Arial Narrow" w:hAnsi="Arial Narrow"/>
                <w:sz w:val="18"/>
                <w:szCs w:val="18"/>
                <w:lang w:eastAsia="en-AU"/>
              </w:rPr>
            </w:pPr>
            <w:r>
              <w:rPr>
                <w:rFonts w:ascii="Arial Narrow" w:hAnsi="Arial Narrow"/>
                <w:b/>
                <w:bCs/>
                <w:sz w:val="18"/>
                <w:szCs w:val="18"/>
                <w:lang w:eastAsia="en-AU"/>
              </w:rPr>
              <w:t>Clinical criteria:</w:t>
            </w:r>
          </w:p>
        </w:tc>
      </w:tr>
      <w:tr w:rsidR="00340FAC" w14:paraId="69561D5F"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F4A122"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New CC1</w:t>
            </w:r>
          </w:p>
          <w:p w14:paraId="38D687D8"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27597</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2631ED"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The treatment must not be in combination with PBS-subsidised treatment with risdiplam for this condition</w:t>
            </w:r>
          </w:p>
        </w:tc>
      </w:tr>
      <w:tr w:rsidR="00340FAC" w14:paraId="0542DD97"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B1C245"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769519" w14:textId="77777777" w:rsidR="00340FAC" w:rsidRDefault="00340FAC" w:rsidP="003C43F8">
            <w:pPr>
              <w:spacing w:line="276" w:lineRule="auto"/>
              <w:rPr>
                <w:rFonts w:ascii="Arial Narrow" w:hAnsi="Arial Narrow" w:cstheme="minorHAnsi"/>
                <w:iCs/>
              </w:rPr>
            </w:pPr>
            <w:r>
              <w:rPr>
                <w:rFonts w:ascii="Arial Narrow" w:hAnsi="Arial Narrow"/>
                <w:b/>
                <w:bCs/>
                <w:sz w:val="18"/>
                <w:szCs w:val="18"/>
                <w:lang w:eastAsia="en-AU"/>
              </w:rPr>
              <w:t>AND</w:t>
            </w:r>
          </w:p>
        </w:tc>
      </w:tr>
      <w:tr w:rsidR="00340FAC" w14:paraId="01245DCE"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3BA6D8"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22077</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7CA721" w14:textId="77777777" w:rsidR="00340FAC" w:rsidRDefault="00340FAC" w:rsidP="003C43F8">
            <w:pPr>
              <w:spacing w:line="276" w:lineRule="auto"/>
              <w:rPr>
                <w:rFonts w:ascii="Arial Narrow" w:hAnsi="Arial Narrow" w:cstheme="minorHAnsi"/>
                <w:iCs/>
              </w:rPr>
            </w:pPr>
            <w:r>
              <w:rPr>
                <w:rFonts w:ascii="Arial Narrow" w:hAnsi="Arial Narrow"/>
                <w:b/>
                <w:bCs/>
                <w:sz w:val="18"/>
                <w:szCs w:val="18"/>
                <w:lang w:eastAsia="en-AU"/>
              </w:rPr>
              <w:t>Clinical criteria:</w:t>
            </w:r>
          </w:p>
        </w:tc>
      </w:tr>
      <w:tr w:rsidR="00340FAC" w14:paraId="6BE495A1"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2F5FE1"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22076</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7E35DA"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The treatment must be given concomitantly with standard of care for this condition</w:t>
            </w:r>
          </w:p>
        </w:tc>
      </w:tr>
      <w:tr w:rsidR="00340FAC" w14:paraId="7F34BEC9"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4D2C7D" w14:textId="77777777" w:rsidR="00340FAC" w:rsidRDefault="00340FAC" w:rsidP="003C43F8">
            <w:pPr>
              <w:spacing w:line="276" w:lineRule="auto"/>
              <w:jc w:val="center"/>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B07993" w14:textId="77777777" w:rsidR="00340FAC" w:rsidRDefault="00340FAC" w:rsidP="003C43F8">
            <w:pPr>
              <w:spacing w:line="276" w:lineRule="auto"/>
              <w:rPr>
                <w:rFonts w:ascii="Arial Narrow" w:hAnsi="Arial Narrow"/>
                <w:b/>
                <w:bCs/>
                <w:sz w:val="18"/>
                <w:szCs w:val="18"/>
                <w:lang w:eastAsia="en-AU"/>
              </w:rPr>
            </w:pPr>
            <w:r>
              <w:rPr>
                <w:rFonts w:ascii="Arial Narrow" w:hAnsi="Arial Narrow"/>
                <w:b/>
                <w:bCs/>
                <w:sz w:val="18"/>
                <w:szCs w:val="18"/>
                <w:lang w:eastAsia="en-AU"/>
              </w:rPr>
              <w:t>AND</w:t>
            </w:r>
          </w:p>
        </w:tc>
      </w:tr>
      <w:tr w:rsidR="00340FAC" w14:paraId="0E64AB38"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8822AD"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22104</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A711D9" w14:textId="77777777" w:rsidR="00340FAC" w:rsidRDefault="00340FAC" w:rsidP="003C43F8">
            <w:pPr>
              <w:spacing w:line="276" w:lineRule="auto"/>
              <w:rPr>
                <w:rFonts w:ascii="Arial Narrow" w:hAnsi="Arial Narrow"/>
                <w:b/>
                <w:bCs/>
                <w:sz w:val="18"/>
                <w:szCs w:val="18"/>
                <w:lang w:eastAsia="en-AU"/>
              </w:rPr>
            </w:pPr>
            <w:r>
              <w:rPr>
                <w:rFonts w:ascii="Arial Narrow" w:hAnsi="Arial Narrow"/>
                <w:b/>
                <w:bCs/>
                <w:sz w:val="18"/>
                <w:szCs w:val="18"/>
                <w:lang w:eastAsia="en-AU"/>
              </w:rPr>
              <w:t>Clinical criteria:</w:t>
            </w:r>
          </w:p>
        </w:tc>
      </w:tr>
      <w:tr w:rsidR="00340FAC" w14:paraId="46863B53"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0940B6"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22103</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0456E4" w14:textId="77777777" w:rsidR="00340FAC" w:rsidRDefault="00340FAC" w:rsidP="003C43F8">
            <w:pPr>
              <w:spacing w:line="276" w:lineRule="auto"/>
              <w:rPr>
                <w:rFonts w:ascii="Arial Narrow" w:hAnsi="Arial Narrow"/>
                <w:b/>
                <w:bCs/>
                <w:sz w:val="18"/>
                <w:szCs w:val="18"/>
                <w:lang w:eastAsia="en-AU"/>
              </w:rPr>
            </w:pPr>
            <w:r>
              <w:rPr>
                <w:rFonts w:ascii="Arial Narrow" w:hAnsi="Arial Narrow" w:cs="Arial Narrow"/>
                <w:iCs/>
                <w:sz w:val="18"/>
                <w:szCs w:val="18"/>
              </w:rPr>
              <w:t>The treatment must be ceased when invasive permanent assisted ventilation is required in the absence of a potentially reversible cause while being treated with this drug</w:t>
            </w:r>
          </w:p>
        </w:tc>
      </w:tr>
      <w:tr w:rsidR="00340FAC" w14:paraId="62111724"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9EB878"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22350</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179ADA" w14:textId="77777777" w:rsidR="00340FAC" w:rsidRDefault="00340FAC" w:rsidP="003C43F8">
            <w:pPr>
              <w:spacing w:line="276" w:lineRule="auto"/>
              <w:rPr>
                <w:rFonts w:ascii="Arial Narrow" w:hAnsi="Arial Narrow" w:cs="Arial Narrow"/>
                <w:b/>
                <w:iCs/>
                <w:sz w:val="18"/>
                <w:szCs w:val="18"/>
              </w:rPr>
            </w:pPr>
            <w:r>
              <w:rPr>
                <w:rFonts w:ascii="Arial Narrow" w:hAnsi="Arial Narrow" w:cs="Arial Narrow"/>
                <w:b/>
                <w:iCs/>
                <w:sz w:val="18"/>
                <w:szCs w:val="18"/>
              </w:rPr>
              <w:t>Prescribing Instructions:</w:t>
            </w:r>
          </w:p>
          <w:p w14:paraId="4E9C6D11"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Recognised hospitals in the management of SMA are Lady Cilento Children's Hospital (Brisbane), Royal Children's Hospital Melbourne, Monash Children's Hospital (Melbourne), John Hunter Hospital (Newcastle), Sydney Children's Hospital Randwick, Children's Hospital at Westmead, Adelaide Women and Children's Hospital and Perth Children's Hospital.</w:t>
            </w:r>
          </w:p>
        </w:tc>
      </w:tr>
      <w:tr w:rsidR="00340FAC" w14:paraId="6869B527"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B1A47B"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22105</w:t>
            </w:r>
          </w:p>
          <w:p w14:paraId="6DFFEBCE" w14:textId="77777777" w:rsidR="00340FAC" w:rsidRDefault="00340FAC" w:rsidP="003C43F8">
            <w:pPr>
              <w:spacing w:line="276" w:lineRule="auto"/>
              <w:jc w:val="center"/>
              <w:rPr>
                <w:rFonts w:ascii="Arial Narrow" w:hAnsi="Arial Narrow"/>
                <w:sz w:val="18"/>
                <w:szCs w:val="18"/>
                <w:lang w:eastAsia="en-AU"/>
              </w:rPr>
            </w:pPr>
          </w:p>
          <w:p w14:paraId="0E0637F9" w14:textId="77777777" w:rsidR="00340FAC" w:rsidRDefault="00340FAC" w:rsidP="003C43F8">
            <w:pPr>
              <w:spacing w:line="276" w:lineRule="auto"/>
              <w:rPr>
                <w:rFonts w:ascii="Arial Narrow" w:hAnsi="Arial Narrow"/>
                <w:sz w:val="18"/>
                <w:szCs w:val="18"/>
                <w:lang w:eastAsia="en-AU"/>
              </w:rPr>
            </w:pP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9E01EF" w14:textId="77777777" w:rsidR="00340FAC" w:rsidRDefault="00340FAC" w:rsidP="003C43F8">
            <w:pPr>
              <w:spacing w:line="276" w:lineRule="auto"/>
              <w:rPr>
                <w:rFonts w:ascii="Arial Narrow" w:hAnsi="Arial Narrow" w:cs="Arial Narrow"/>
                <w:b/>
                <w:iCs/>
                <w:sz w:val="18"/>
                <w:szCs w:val="18"/>
              </w:rPr>
            </w:pPr>
            <w:r>
              <w:rPr>
                <w:rFonts w:ascii="Arial Narrow" w:hAnsi="Arial Narrow" w:cs="Arial Narrow"/>
                <w:b/>
                <w:iCs/>
                <w:sz w:val="18"/>
                <w:szCs w:val="18"/>
              </w:rPr>
              <w:t>Prescribing Instructions:</w:t>
            </w:r>
          </w:p>
          <w:p w14:paraId="0BBCE354" w14:textId="77777777" w:rsidR="00340FAC" w:rsidRDefault="00340FAC" w:rsidP="003C43F8">
            <w:pPr>
              <w:spacing w:line="276" w:lineRule="auto"/>
              <w:rPr>
                <w:rFonts w:ascii="Arial Narrow" w:hAnsi="Arial Narrow" w:cs="Arial Narrow"/>
                <w:iCs/>
                <w:sz w:val="18"/>
                <w:szCs w:val="18"/>
              </w:rPr>
            </w:pPr>
            <w:r>
              <w:rPr>
                <w:rFonts w:ascii="Arial Narrow" w:hAnsi="Arial Narrow" w:cs="Arial Narrow"/>
                <w:iCs/>
                <w:sz w:val="18"/>
                <w:szCs w:val="18"/>
              </w:rPr>
              <w:t>Invasive permanent assisted ventilation means ventilation via tracheostomy tube for greater than or equal to 16 hours per day.</w:t>
            </w:r>
            <w:r>
              <w:rPr>
                <w:rStyle w:val="CommentReference"/>
              </w:rPr>
              <w:t xml:space="preserve"> </w:t>
            </w:r>
          </w:p>
        </w:tc>
      </w:tr>
      <w:tr w:rsidR="00340FAC" w14:paraId="2C84DD03"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577661"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NEW</w:t>
            </w:r>
          </w:p>
          <w:p w14:paraId="48653F94"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27613</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44F085" w14:textId="77777777" w:rsidR="00340FAC" w:rsidRDefault="00340FAC" w:rsidP="003C43F8">
            <w:pPr>
              <w:spacing w:line="276" w:lineRule="auto"/>
              <w:rPr>
                <w:rFonts w:ascii="Arial Narrow" w:hAnsi="Arial Narrow" w:cs="Arial Narrow"/>
                <w:b/>
                <w:iCs/>
                <w:sz w:val="18"/>
                <w:szCs w:val="18"/>
              </w:rPr>
            </w:pPr>
            <w:r>
              <w:rPr>
                <w:rFonts w:ascii="Arial Narrow" w:hAnsi="Arial Narrow" w:cs="Arial Narrow"/>
                <w:b/>
                <w:iCs/>
                <w:sz w:val="18"/>
                <w:szCs w:val="18"/>
              </w:rPr>
              <w:t>Prescribing Instructions:</w:t>
            </w:r>
          </w:p>
          <w:p w14:paraId="42CC23C4" w14:textId="77777777" w:rsidR="00340FAC" w:rsidRDefault="00340FAC" w:rsidP="003C43F8">
            <w:pPr>
              <w:spacing w:line="276" w:lineRule="auto"/>
              <w:rPr>
                <w:rFonts w:ascii="Arial Narrow" w:hAnsi="Arial Narrow"/>
                <w:b/>
                <w:iCs/>
                <w:sz w:val="18"/>
                <w:szCs w:val="18"/>
              </w:rPr>
            </w:pPr>
            <w:r>
              <w:rPr>
                <w:rFonts w:ascii="Arial Narrow" w:hAnsi="Arial Narrow"/>
                <w:sz w:val="18"/>
                <w:szCs w:val="18"/>
                <w:shd w:val="clear" w:color="auto" w:fill="FFFFFF"/>
              </w:rPr>
              <w:t>In a patient who wishes to switch from PBS-subsidised risdiplam to PBS-subsidised nusinersen for this condition a wash out period may be required.</w:t>
            </w:r>
          </w:p>
        </w:tc>
      </w:tr>
      <w:tr w:rsidR="00340FAC" w14:paraId="53E1C81F"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1F8885"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lastRenderedPageBreak/>
              <w:t>25745</w:t>
            </w:r>
          </w:p>
          <w:p w14:paraId="54C51448"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CAR</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A7F051" w14:textId="77777777" w:rsidR="00340FAC" w:rsidRDefault="00340FAC" w:rsidP="003C43F8">
            <w:pPr>
              <w:spacing w:line="276" w:lineRule="auto"/>
              <w:rPr>
                <w:rFonts w:ascii="Arial Narrow" w:hAnsi="Arial Narrow" w:cs="Arial Narrow"/>
                <w:b/>
                <w:iCs/>
                <w:sz w:val="18"/>
                <w:szCs w:val="18"/>
              </w:rPr>
            </w:pPr>
            <w:r>
              <w:rPr>
                <w:rFonts w:ascii="Arial Narrow" w:hAnsi="Arial Narrow" w:cs="Arial Narrow"/>
                <w:b/>
                <w:iCs/>
                <w:sz w:val="18"/>
                <w:szCs w:val="18"/>
              </w:rPr>
              <w:t>Administrative Advice:</w:t>
            </w:r>
          </w:p>
          <w:p w14:paraId="70BB1356" w14:textId="77777777" w:rsidR="00340FAC" w:rsidRDefault="00340FAC" w:rsidP="003C43F8">
            <w:pPr>
              <w:spacing w:line="276" w:lineRule="auto"/>
              <w:rPr>
                <w:rFonts w:ascii="Arial Narrow" w:hAnsi="Arial Narrow"/>
                <w:sz w:val="18"/>
                <w:szCs w:val="18"/>
                <w:lang w:eastAsia="en-AU"/>
              </w:rPr>
            </w:pPr>
            <w:r>
              <w:rPr>
                <w:rFonts w:ascii="Arial Narrow" w:hAnsi="Arial Narrow" w:cs="Arial Narrow"/>
                <w:iCs/>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340FAC" w14:paraId="2D77898B"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C72D19"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7606</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19D7C5" w14:textId="77777777" w:rsidR="00340FAC" w:rsidRDefault="00340FAC" w:rsidP="003C43F8">
            <w:pPr>
              <w:spacing w:line="276" w:lineRule="auto"/>
              <w:rPr>
                <w:rFonts w:ascii="Arial Narrow" w:hAnsi="Arial Narrow"/>
                <w:sz w:val="18"/>
                <w:szCs w:val="18"/>
                <w:lang w:eastAsia="en-AU"/>
              </w:rPr>
            </w:pPr>
            <w:r>
              <w:rPr>
                <w:rFonts w:ascii="Arial Narrow" w:hAnsi="Arial Narrow"/>
                <w:b/>
                <w:sz w:val="18"/>
                <w:szCs w:val="18"/>
                <w:lang w:eastAsia="en-AU"/>
              </w:rPr>
              <w:t xml:space="preserve">Administrative Advice: </w:t>
            </w:r>
            <w:r>
              <w:rPr>
                <w:rFonts w:ascii="Arial Narrow" w:hAnsi="Arial Narrow"/>
                <w:sz w:val="18"/>
                <w:szCs w:val="18"/>
                <w:lang w:eastAsia="en-AU"/>
              </w:rPr>
              <w:t>No increase in the maximum quantity or number of units may be authorised.</w:t>
            </w:r>
          </w:p>
        </w:tc>
      </w:tr>
      <w:tr w:rsidR="00340FAC" w14:paraId="6F132896"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E45F54"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7607</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29FE72" w14:textId="77777777" w:rsidR="00340FAC" w:rsidRDefault="00340FAC" w:rsidP="003C43F8">
            <w:pPr>
              <w:spacing w:line="276" w:lineRule="auto"/>
              <w:rPr>
                <w:rFonts w:ascii="Arial Narrow" w:hAnsi="Arial Narrow"/>
                <w:sz w:val="18"/>
                <w:szCs w:val="18"/>
                <w:lang w:eastAsia="en-AU"/>
              </w:rPr>
            </w:pPr>
            <w:r>
              <w:rPr>
                <w:rFonts w:ascii="Arial Narrow" w:hAnsi="Arial Narrow"/>
                <w:b/>
                <w:sz w:val="18"/>
                <w:szCs w:val="18"/>
                <w:lang w:eastAsia="en-AU"/>
              </w:rPr>
              <w:t xml:space="preserve">Administrative Advice: </w:t>
            </w:r>
            <w:r>
              <w:rPr>
                <w:rFonts w:ascii="Arial Narrow" w:hAnsi="Arial Narrow"/>
                <w:sz w:val="18"/>
                <w:szCs w:val="18"/>
                <w:lang w:eastAsia="en-AU"/>
              </w:rPr>
              <w:t>No increase in the maximum number of repeats may be authorised.</w:t>
            </w:r>
          </w:p>
        </w:tc>
      </w:tr>
      <w:tr w:rsidR="00340FAC" w14:paraId="465CFB79" w14:textId="77777777" w:rsidTr="003C43F8">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090624" w14:textId="77777777" w:rsidR="00340FAC" w:rsidRDefault="00340FAC" w:rsidP="003C43F8">
            <w:pPr>
              <w:spacing w:line="276" w:lineRule="auto"/>
              <w:jc w:val="center"/>
              <w:rPr>
                <w:rFonts w:ascii="Arial Narrow" w:hAnsi="Arial Narrow"/>
                <w:sz w:val="18"/>
                <w:szCs w:val="18"/>
                <w:lang w:eastAsia="en-AU"/>
              </w:rPr>
            </w:pPr>
            <w:r>
              <w:rPr>
                <w:rFonts w:ascii="Arial Narrow" w:hAnsi="Arial Narrow"/>
                <w:sz w:val="18"/>
                <w:szCs w:val="18"/>
                <w:lang w:eastAsia="en-AU"/>
              </w:rPr>
              <w:t>7608</w:t>
            </w:r>
          </w:p>
        </w:tc>
        <w:tc>
          <w:tcPr>
            <w:tcW w:w="808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3D7276" w14:textId="77777777" w:rsidR="00340FAC" w:rsidRDefault="00340FAC" w:rsidP="003C43F8">
            <w:pPr>
              <w:spacing w:line="276" w:lineRule="auto"/>
              <w:rPr>
                <w:rFonts w:ascii="Arial Narrow" w:hAnsi="Arial Narrow"/>
                <w:sz w:val="18"/>
                <w:szCs w:val="18"/>
                <w:lang w:eastAsia="en-AU"/>
              </w:rPr>
            </w:pPr>
            <w:r>
              <w:rPr>
                <w:rFonts w:ascii="Arial Narrow" w:hAnsi="Arial Narrow"/>
                <w:b/>
                <w:sz w:val="18"/>
                <w:szCs w:val="18"/>
                <w:lang w:eastAsia="en-AU"/>
              </w:rPr>
              <w:t xml:space="preserve">Administrative Advice: </w:t>
            </w:r>
            <w:r>
              <w:rPr>
                <w:rFonts w:ascii="Arial Narrow" w:hAnsi="Arial Narrow"/>
                <w:sz w:val="18"/>
                <w:szCs w:val="18"/>
                <w:lang w:eastAsia="en-AU"/>
              </w:rPr>
              <w:t>Special Pricing Arrangements apply.</w:t>
            </w:r>
          </w:p>
        </w:tc>
      </w:tr>
    </w:tbl>
    <w:p w14:paraId="78282C4B" w14:textId="77777777" w:rsidR="00CE3643" w:rsidRDefault="00CE3643" w:rsidP="00340FAC">
      <w:pPr>
        <w:rPr>
          <w:b/>
        </w:rPr>
      </w:pPr>
    </w:p>
    <w:p w14:paraId="38382332" w14:textId="77777777" w:rsidR="006C5CF2" w:rsidRDefault="000B352F" w:rsidP="00F84E41">
      <w:pPr>
        <w:widowControl/>
        <w:jc w:val="left"/>
        <w:rPr>
          <w:b/>
          <w:i/>
          <w:szCs w:val="24"/>
        </w:rPr>
      </w:pPr>
      <w:r w:rsidRPr="000B352F">
        <w:rPr>
          <w:b/>
          <w:i/>
          <w:szCs w:val="24"/>
        </w:rPr>
        <w:t>This restriction may be subject to further review. Should there be any changes made to the restriction the Sponsor will be informed.</w:t>
      </w:r>
    </w:p>
    <w:p w14:paraId="5CAB0902" w14:textId="77777777" w:rsidR="006C5CF2" w:rsidRPr="006C5CF2" w:rsidRDefault="006C5CF2" w:rsidP="006C5CF2">
      <w:pPr>
        <w:pStyle w:val="2-SectionHeading"/>
        <w:ind w:left="720"/>
      </w:pPr>
      <w:r w:rsidRPr="00C07617">
        <w:t>Context for Decision</w:t>
      </w:r>
    </w:p>
    <w:p w14:paraId="28857562" w14:textId="77777777" w:rsidR="006C5CF2" w:rsidRPr="007129F2" w:rsidRDefault="006C5CF2" w:rsidP="006C5CF2">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2F4FA68" w14:textId="77777777" w:rsidR="006C5CF2" w:rsidRPr="006C5CF2" w:rsidRDefault="006C5CF2" w:rsidP="006C5CF2">
      <w:pPr>
        <w:pStyle w:val="2-SectionHeading"/>
        <w:ind w:left="720"/>
      </w:pPr>
      <w:r>
        <w:t>Sponsor’s Comment</w:t>
      </w:r>
    </w:p>
    <w:p w14:paraId="2B373E66" w14:textId="77777777" w:rsidR="005726A4" w:rsidRPr="005726A4" w:rsidRDefault="005726A4" w:rsidP="005726A4">
      <w:pPr>
        <w:spacing w:after="120"/>
        <w:ind w:left="720"/>
        <w:rPr>
          <w:rFonts w:asciiTheme="minorHAnsi" w:hAnsiTheme="minorHAnsi"/>
          <w:bCs/>
          <w:lang w:val="en-GB"/>
        </w:rPr>
      </w:pPr>
      <w:r w:rsidRPr="005726A4">
        <w:rPr>
          <w:rFonts w:asciiTheme="minorHAnsi" w:hAnsiTheme="minorHAnsi"/>
          <w:bCs/>
          <w:lang w:val="en-GB"/>
        </w:rPr>
        <w:t>Roche welcomes the PBAC’s decision to recommend risdiplam for patients with SMA Types 1, 2 or 3a who are aged 18 years or under at treatment initiation. Roche is working with the Department of Health towards a PBS listing in this patient population at the earliest opportunity.</w:t>
      </w:r>
    </w:p>
    <w:p w14:paraId="0161A800" w14:textId="77777777" w:rsidR="005726A4" w:rsidRPr="005726A4" w:rsidRDefault="005726A4" w:rsidP="005726A4">
      <w:pPr>
        <w:spacing w:after="120"/>
        <w:ind w:left="720"/>
        <w:rPr>
          <w:rFonts w:asciiTheme="minorHAnsi" w:hAnsiTheme="minorHAnsi"/>
          <w:bCs/>
          <w:lang w:val="en-GB"/>
        </w:rPr>
      </w:pPr>
      <w:r w:rsidRPr="005726A4">
        <w:rPr>
          <w:rFonts w:asciiTheme="minorHAnsi" w:hAnsiTheme="minorHAnsi"/>
          <w:bCs/>
          <w:lang w:val="en-GB"/>
        </w:rPr>
        <w:t>Roche is disappointed the PBAC did not recommend risdiplam for patients with SMA Type 3b aged 18 years or under at treatment initiation and patients with SMA Types 1, 2 or 3 aged over 18 years at treatment initiation. Roche will evaluate the options available within the parameters of the existing data and collaborate with all stakeholders to find a suitable path forward.</w:t>
      </w:r>
    </w:p>
    <w:p w14:paraId="1A76AC6B" w14:textId="53DCDA10" w:rsidR="00BD3906" w:rsidRDefault="005726A4" w:rsidP="005726A4">
      <w:pPr>
        <w:spacing w:after="120"/>
        <w:ind w:left="720"/>
        <w:rPr>
          <w:rFonts w:asciiTheme="minorHAnsi" w:hAnsiTheme="minorHAnsi"/>
          <w:bCs/>
          <w:lang w:val="en-GB"/>
        </w:rPr>
      </w:pPr>
      <w:r w:rsidRPr="005726A4">
        <w:rPr>
          <w:rFonts w:asciiTheme="minorHAnsi" w:hAnsiTheme="minorHAnsi"/>
          <w:bCs/>
          <w:lang w:val="en-GB"/>
        </w:rPr>
        <w:t>Roche would like to take this opportunity to thank the many members of the SMA community and healthcare professionals who supported the submission</w:t>
      </w:r>
      <w:r>
        <w:rPr>
          <w:rFonts w:asciiTheme="minorHAnsi" w:hAnsiTheme="minorHAnsi"/>
          <w:bCs/>
          <w:lang w:val="en-GB"/>
        </w:rPr>
        <w:t>.</w:t>
      </w:r>
    </w:p>
    <w:p w14:paraId="5AA66DD4" w14:textId="77777777" w:rsidR="00BD3906" w:rsidRDefault="00BD3906">
      <w:pPr>
        <w:widowControl/>
        <w:jc w:val="left"/>
        <w:rPr>
          <w:rFonts w:asciiTheme="minorHAnsi" w:hAnsiTheme="minorHAnsi"/>
          <w:bCs/>
          <w:lang w:val="en-GB"/>
        </w:rPr>
      </w:pPr>
      <w:r>
        <w:rPr>
          <w:rFonts w:asciiTheme="minorHAnsi" w:hAnsiTheme="minorHAnsi"/>
          <w:bCs/>
          <w:lang w:val="en-GB"/>
        </w:rPr>
        <w:br w:type="page"/>
      </w:r>
    </w:p>
    <w:p w14:paraId="6CD2F838" w14:textId="167DEEAF" w:rsidR="00BD3906" w:rsidRPr="00BD3906" w:rsidRDefault="004D6215" w:rsidP="00BD3906">
      <w:pPr>
        <w:pStyle w:val="2-SectionHeading"/>
        <w:ind w:left="720"/>
        <w:rPr>
          <w:szCs w:val="24"/>
        </w:rPr>
      </w:pPr>
      <w:r w:rsidRPr="00F42216">
        <w:rPr>
          <w:szCs w:val="24"/>
        </w:rPr>
        <w:lastRenderedPageBreak/>
        <w:t>Corrigendum</w:t>
      </w:r>
    </w:p>
    <w:p w14:paraId="7233B923" w14:textId="7A29FDDA" w:rsidR="004D6215" w:rsidRDefault="004D6215" w:rsidP="006C5CF2">
      <w:r w:rsidRPr="00F42216">
        <w:t xml:space="preserve">The following changes were made to the </w:t>
      </w:r>
      <w:r w:rsidR="00F42216" w:rsidRPr="00F42216">
        <w:t>pub</w:t>
      </w:r>
      <w:r w:rsidR="00AE569D">
        <w:t>l</w:t>
      </w:r>
      <w:r w:rsidR="00F42216" w:rsidRPr="00F42216">
        <w:t xml:space="preserve">ic summary </w:t>
      </w:r>
      <w:r w:rsidRPr="00F42216">
        <w:t>document:</w:t>
      </w:r>
    </w:p>
    <w:p w14:paraId="37FC8D5B" w14:textId="77777777" w:rsidR="00A87B03" w:rsidRPr="00F42216" w:rsidRDefault="00A87B03" w:rsidP="006C5CF2">
      <w:pPr>
        <w:rPr>
          <w:szCs w:val="24"/>
        </w:rPr>
      </w:pPr>
      <w:bookmarkStart w:id="55" w:name="_GoBack"/>
      <w:bookmarkEnd w:id="55"/>
    </w:p>
    <w:tbl>
      <w:tblPr>
        <w:tblStyle w:val="TableGrid"/>
        <w:tblW w:w="5000" w:type="pct"/>
        <w:tblLook w:val="04A0" w:firstRow="1" w:lastRow="0" w:firstColumn="1" w:lastColumn="0" w:noHBand="0" w:noVBand="1"/>
        <w:tblCaption w:val="The following changes were made to the public summary document:"/>
      </w:tblPr>
      <w:tblGrid>
        <w:gridCol w:w="7366"/>
        <w:gridCol w:w="1650"/>
      </w:tblGrid>
      <w:tr w:rsidR="004D6215" w14:paraId="20BB36AE" w14:textId="77777777" w:rsidTr="00B82CE0">
        <w:trPr>
          <w:tblHeader/>
        </w:trPr>
        <w:tc>
          <w:tcPr>
            <w:tcW w:w="4085" w:type="pct"/>
          </w:tcPr>
          <w:p w14:paraId="45527857" w14:textId="262641C8" w:rsidR="004D6215" w:rsidRPr="003E44DF" w:rsidRDefault="002A042D" w:rsidP="00F42216">
            <w:pPr>
              <w:pStyle w:val="1-MainHeading"/>
              <w:spacing w:before="0" w:after="0"/>
              <w:ind w:left="0" w:firstLine="0"/>
              <w:jc w:val="center"/>
              <w:rPr>
                <w:rFonts w:ascii="Calibri" w:eastAsia="Times New Roman" w:hAnsi="Calibri" w:cs="Arial"/>
                <w:snapToGrid w:val="0"/>
                <w:spacing w:val="0"/>
                <w:kern w:val="0"/>
                <w:sz w:val="24"/>
                <w:szCs w:val="22"/>
                <w:lang w:eastAsia="en-US"/>
              </w:rPr>
            </w:pPr>
            <w:r>
              <w:rPr>
                <w:rFonts w:ascii="Calibri" w:eastAsia="Times New Roman" w:hAnsi="Calibri" w:cs="Arial"/>
                <w:snapToGrid w:val="0"/>
                <w:spacing w:val="0"/>
                <w:kern w:val="0"/>
                <w:sz w:val="24"/>
                <w:szCs w:val="22"/>
                <w:lang w:eastAsia="en-US"/>
              </w:rPr>
              <w:t>Change</w:t>
            </w:r>
            <w:r w:rsidRPr="003E44DF">
              <w:rPr>
                <w:rFonts w:ascii="Calibri" w:eastAsia="Times New Roman" w:hAnsi="Calibri" w:cs="Arial"/>
                <w:snapToGrid w:val="0"/>
                <w:spacing w:val="0"/>
                <w:kern w:val="0"/>
                <w:sz w:val="24"/>
                <w:szCs w:val="22"/>
                <w:lang w:eastAsia="en-US"/>
              </w:rPr>
              <w:t xml:space="preserve"> </w:t>
            </w:r>
            <w:r w:rsidR="003E44DF" w:rsidRPr="003E44DF">
              <w:rPr>
                <w:rFonts w:ascii="Calibri" w:eastAsia="Times New Roman" w:hAnsi="Calibri" w:cs="Arial"/>
                <w:snapToGrid w:val="0"/>
                <w:spacing w:val="0"/>
                <w:kern w:val="0"/>
                <w:sz w:val="24"/>
                <w:szCs w:val="22"/>
                <w:lang w:eastAsia="en-US"/>
              </w:rPr>
              <w:t>made</w:t>
            </w:r>
          </w:p>
        </w:tc>
        <w:tc>
          <w:tcPr>
            <w:tcW w:w="915" w:type="pct"/>
          </w:tcPr>
          <w:p w14:paraId="07DF6891" w14:textId="77777777" w:rsidR="004D6215" w:rsidRPr="003E44DF" w:rsidRDefault="003E44DF" w:rsidP="00F42216">
            <w:pPr>
              <w:pStyle w:val="1-MainHeading"/>
              <w:spacing w:before="0" w:after="0"/>
              <w:ind w:left="0" w:firstLine="0"/>
              <w:jc w:val="center"/>
              <w:rPr>
                <w:rFonts w:ascii="Calibri" w:eastAsia="Times New Roman" w:hAnsi="Calibri" w:cs="Arial"/>
                <w:snapToGrid w:val="0"/>
                <w:spacing w:val="0"/>
                <w:kern w:val="0"/>
                <w:sz w:val="24"/>
                <w:szCs w:val="22"/>
                <w:lang w:eastAsia="en-US"/>
              </w:rPr>
            </w:pPr>
            <w:r w:rsidRPr="003E44DF">
              <w:rPr>
                <w:rFonts w:ascii="Calibri" w:eastAsia="Times New Roman" w:hAnsi="Calibri" w:cs="Arial"/>
                <w:snapToGrid w:val="0"/>
                <w:spacing w:val="0"/>
                <w:kern w:val="0"/>
                <w:sz w:val="24"/>
                <w:szCs w:val="22"/>
                <w:lang w:eastAsia="en-US"/>
              </w:rPr>
              <w:t>Date of revision</w:t>
            </w:r>
          </w:p>
        </w:tc>
      </w:tr>
      <w:tr w:rsidR="004D6215" w14:paraId="495EF3C8" w14:textId="77777777" w:rsidTr="003E44DF">
        <w:tc>
          <w:tcPr>
            <w:tcW w:w="4085" w:type="pct"/>
          </w:tcPr>
          <w:p w14:paraId="492D66EF" w14:textId="77777777" w:rsidR="004D6215" w:rsidRPr="003E44DF" w:rsidRDefault="004D6215" w:rsidP="00F42216">
            <w:pPr>
              <w:pStyle w:val="1-MainHeading"/>
              <w:spacing w:before="0" w:after="0"/>
              <w:ind w:left="34" w:firstLine="0"/>
              <w:rPr>
                <w:rFonts w:ascii="Calibri" w:eastAsia="Times New Roman" w:hAnsi="Calibri" w:cs="Arial"/>
                <w:b w:val="0"/>
                <w:snapToGrid w:val="0"/>
                <w:spacing w:val="0"/>
                <w:kern w:val="0"/>
                <w:sz w:val="24"/>
                <w:szCs w:val="22"/>
                <w:lang w:eastAsia="en-US"/>
              </w:rPr>
            </w:pPr>
            <w:r w:rsidRPr="003E44DF">
              <w:rPr>
                <w:rFonts w:ascii="Calibri" w:eastAsia="Times New Roman" w:hAnsi="Calibri" w:cs="Arial"/>
                <w:b w:val="0"/>
                <w:snapToGrid w:val="0"/>
                <w:spacing w:val="0"/>
                <w:kern w:val="0"/>
                <w:sz w:val="24"/>
                <w:szCs w:val="22"/>
                <w:lang w:eastAsia="en-US"/>
              </w:rPr>
              <w:t>Paragraph 6.52: typographical error where ‘nusinersen’ changed to ‘risdiplam’</w:t>
            </w:r>
          </w:p>
        </w:tc>
        <w:tc>
          <w:tcPr>
            <w:tcW w:w="915" w:type="pct"/>
          </w:tcPr>
          <w:p w14:paraId="6DD2C1BA" w14:textId="77777777" w:rsidR="004D6215" w:rsidRPr="003E44DF" w:rsidRDefault="003E44DF" w:rsidP="00F42216">
            <w:pPr>
              <w:pStyle w:val="1-MainHeading"/>
              <w:spacing w:before="0" w:after="0"/>
              <w:ind w:left="0" w:firstLine="0"/>
              <w:rPr>
                <w:rFonts w:ascii="Calibri" w:eastAsia="Times New Roman" w:hAnsi="Calibri" w:cs="Arial"/>
                <w:b w:val="0"/>
                <w:snapToGrid w:val="0"/>
                <w:spacing w:val="0"/>
                <w:kern w:val="0"/>
                <w:sz w:val="24"/>
                <w:szCs w:val="22"/>
                <w:lang w:eastAsia="en-US"/>
              </w:rPr>
            </w:pPr>
            <w:r w:rsidRPr="003E44DF">
              <w:rPr>
                <w:rFonts w:ascii="Calibri" w:eastAsia="Times New Roman" w:hAnsi="Calibri" w:cs="Arial"/>
                <w:b w:val="0"/>
                <w:snapToGrid w:val="0"/>
                <w:spacing w:val="0"/>
                <w:kern w:val="0"/>
                <w:sz w:val="24"/>
                <w:szCs w:val="22"/>
                <w:lang w:eastAsia="en-US"/>
              </w:rPr>
              <w:t>2 July 2021</w:t>
            </w:r>
          </w:p>
        </w:tc>
      </w:tr>
      <w:tr w:rsidR="00F42216" w14:paraId="7C35AD06" w14:textId="77777777" w:rsidTr="003E44DF">
        <w:tc>
          <w:tcPr>
            <w:tcW w:w="4085" w:type="pct"/>
          </w:tcPr>
          <w:p w14:paraId="5ABB1932" w14:textId="77777777" w:rsidR="00F42216" w:rsidRPr="003E44DF" w:rsidRDefault="00F42216" w:rsidP="00F42216">
            <w:pPr>
              <w:pStyle w:val="1-MainHeading"/>
              <w:spacing w:before="0" w:after="0"/>
              <w:ind w:left="34" w:firstLine="0"/>
              <w:rPr>
                <w:rFonts w:ascii="Calibri" w:eastAsia="Times New Roman" w:hAnsi="Calibri" w:cs="Arial"/>
                <w:b w:val="0"/>
                <w:snapToGrid w:val="0"/>
                <w:spacing w:val="0"/>
                <w:kern w:val="0"/>
                <w:sz w:val="24"/>
                <w:szCs w:val="24"/>
                <w:lang w:eastAsia="en-US"/>
              </w:rPr>
            </w:pPr>
            <w:r w:rsidRPr="003E44DF">
              <w:rPr>
                <w:rFonts w:ascii="Calibri" w:eastAsia="Times New Roman" w:hAnsi="Calibri" w:cs="Arial"/>
                <w:b w:val="0"/>
                <w:snapToGrid w:val="0"/>
                <w:spacing w:val="0"/>
                <w:kern w:val="0"/>
                <w:sz w:val="24"/>
                <w:szCs w:val="24"/>
                <w:lang w:eastAsia="en-US"/>
              </w:rPr>
              <w:t>Paragraph 7.4</w:t>
            </w:r>
            <w:r>
              <w:rPr>
                <w:rFonts w:ascii="Calibri" w:eastAsia="Times New Roman" w:hAnsi="Calibri" w:cs="Arial"/>
                <w:b w:val="0"/>
                <w:snapToGrid w:val="0"/>
                <w:spacing w:val="0"/>
                <w:kern w:val="0"/>
                <w:sz w:val="24"/>
                <w:szCs w:val="24"/>
                <w:lang w:eastAsia="en-US"/>
              </w:rPr>
              <w:t>: U</w:t>
            </w:r>
            <w:r w:rsidRPr="003E44DF">
              <w:rPr>
                <w:rFonts w:ascii="Calibri" w:eastAsia="Times New Roman" w:hAnsi="Calibri" w:cs="Arial"/>
                <w:b w:val="0"/>
                <w:snapToGrid w:val="0"/>
                <w:spacing w:val="0"/>
                <w:kern w:val="0"/>
                <w:sz w:val="24"/>
                <w:szCs w:val="24"/>
                <w:lang w:eastAsia="en-US"/>
              </w:rPr>
              <w:t xml:space="preserve">pdates to the risdiplam restriction including removing a washout period when stopping treatment with nusinersen; and that eligible patients would be able to swap between treatment with nusinersen and risdiplam without requiring prescribers to resubmit the initial evidence of eligibility. </w:t>
            </w:r>
          </w:p>
        </w:tc>
        <w:tc>
          <w:tcPr>
            <w:tcW w:w="915" w:type="pct"/>
          </w:tcPr>
          <w:p w14:paraId="56C26F53" w14:textId="77777777" w:rsidR="00F42216" w:rsidRPr="003E44DF" w:rsidRDefault="00F42216" w:rsidP="00F42216">
            <w:pPr>
              <w:pStyle w:val="1-MainHeading"/>
              <w:spacing w:before="0" w:after="0"/>
              <w:ind w:left="0" w:firstLine="0"/>
              <w:rPr>
                <w:rFonts w:ascii="Calibri" w:eastAsia="Times New Roman" w:hAnsi="Calibri" w:cs="Arial"/>
                <w:b w:val="0"/>
                <w:snapToGrid w:val="0"/>
                <w:spacing w:val="0"/>
                <w:kern w:val="0"/>
                <w:sz w:val="24"/>
                <w:szCs w:val="22"/>
                <w:lang w:eastAsia="en-US"/>
              </w:rPr>
            </w:pPr>
            <w:r w:rsidRPr="003E44DF">
              <w:rPr>
                <w:rFonts w:ascii="Calibri" w:eastAsia="Times New Roman" w:hAnsi="Calibri" w:cs="Arial"/>
                <w:b w:val="0"/>
                <w:snapToGrid w:val="0"/>
                <w:spacing w:val="0"/>
                <w:kern w:val="0"/>
                <w:sz w:val="24"/>
                <w:szCs w:val="22"/>
                <w:lang w:eastAsia="en-US"/>
              </w:rPr>
              <w:t>2 July 2021</w:t>
            </w:r>
          </w:p>
        </w:tc>
      </w:tr>
      <w:tr w:rsidR="00F42216" w14:paraId="3504C7F4" w14:textId="77777777" w:rsidTr="003E44DF">
        <w:tc>
          <w:tcPr>
            <w:tcW w:w="4085" w:type="pct"/>
          </w:tcPr>
          <w:p w14:paraId="323BB245" w14:textId="77777777" w:rsidR="00F42216" w:rsidRPr="003E44DF" w:rsidRDefault="00F42216" w:rsidP="00F42216">
            <w:pPr>
              <w:pStyle w:val="1-MainHeading"/>
              <w:spacing w:before="0" w:after="0"/>
              <w:ind w:left="34" w:firstLine="0"/>
              <w:rPr>
                <w:rFonts w:ascii="Calibri" w:eastAsia="Times New Roman" w:hAnsi="Calibri" w:cs="Arial"/>
                <w:b w:val="0"/>
                <w:snapToGrid w:val="0"/>
                <w:spacing w:val="0"/>
                <w:kern w:val="0"/>
                <w:sz w:val="24"/>
                <w:szCs w:val="22"/>
                <w:lang w:eastAsia="en-US"/>
              </w:rPr>
            </w:pPr>
            <w:r>
              <w:rPr>
                <w:rFonts w:ascii="Calibri" w:eastAsia="Times New Roman" w:hAnsi="Calibri" w:cs="Arial"/>
                <w:b w:val="0"/>
                <w:snapToGrid w:val="0"/>
                <w:spacing w:val="0"/>
                <w:kern w:val="0"/>
                <w:sz w:val="24"/>
                <w:szCs w:val="22"/>
                <w:lang w:eastAsia="en-US"/>
              </w:rPr>
              <w:t xml:space="preserve">Section 8 Recommended Listing: </w:t>
            </w:r>
            <w:r w:rsidRPr="003E44DF">
              <w:rPr>
                <w:rFonts w:ascii="Calibri" w:eastAsia="Times New Roman" w:hAnsi="Calibri" w:cs="Arial"/>
                <w:b w:val="0"/>
                <w:snapToGrid w:val="0"/>
                <w:spacing w:val="0"/>
                <w:kern w:val="0"/>
                <w:sz w:val="24"/>
                <w:szCs w:val="22"/>
                <w:lang w:eastAsia="en-US"/>
              </w:rPr>
              <w:t>The clinical criterion pertaining to combination therapy has been revised to ‘The treatment must not be in combination with PBS-subsidised treatment with nusinersen for</w:t>
            </w:r>
            <w:r>
              <w:rPr>
                <w:rFonts w:ascii="Calibri" w:eastAsia="Times New Roman" w:hAnsi="Calibri" w:cs="Arial"/>
                <w:b w:val="0"/>
                <w:snapToGrid w:val="0"/>
                <w:spacing w:val="0"/>
                <w:kern w:val="0"/>
                <w:sz w:val="24"/>
                <w:szCs w:val="22"/>
                <w:lang w:eastAsia="en-US"/>
              </w:rPr>
              <w:t xml:space="preserve"> this condition’.</w:t>
            </w:r>
            <w:r w:rsidRPr="003E44DF">
              <w:rPr>
                <w:rFonts w:ascii="Calibri" w:eastAsia="Times New Roman" w:hAnsi="Calibri" w:cs="Arial"/>
                <w:b w:val="0"/>
                <w:snapToGrid w:val="0"/>
                <w:spacing w:val="0"/>
                <w:kern w:val="0"/>
                <w:sz w:val="24"/>
                <w:szCs w:val="22"/>
                <w:lang w:eastAsia="en-US"/>
              </w:rPr>
              <w:t xml:space="preserve"> This change will also be reflected in flow on changes to nusinersen.</w:t>
            </w:r>
          </w:p>
        </w:tc>
        <w:tc>
          <w:tcPr>
            <w:tcW w:w="915" w:type="pct"/>
          </w:tcPr>
          <w:p w14:paraId="3732DAE8" w14:textId="77777777" w:rsidR="00F42216" w:rsidRPr="003E44DF" w:rsidRDefault="00F42216" w:rsidP="00F42216">
            <w:pPr>
              <w:pStyle w:val="1-MainHeading"/>
              <w:spacing w:before="0" w:after="0"/>
              <w:ind w:left="0" w:firstLine="0"/>
              <w:rPr>
                <w:rFonts w:ascii="Calibri" w:eastAsia="Times New Roman" w:hAnsi="Calibri" w:cs="Arial"/>
                <w:b w:val="0"/>
                <w:snapToGrid w:val="0"/>
                <w:spacing w:val="0"/>
                <w:kern w:val="0"/>
                <w:sz w:val="24"/>
                <w:szCs w:val="22"/>
                <w:lang w:eastAsia="en-US"/>
              </w:rPr>
            </w:pPr>
            <w:r w:rsidRPr="003E44DF">
              <w:rPr>
                <w:rFonts w:ascii="Calibri" w:eastAsia="Times New Roman" w:hAnsi="Calibri" w:cs="Arial"/>
                <w:b w:val="0"/>
                <w:snapToGrid w:val="0"/>
                <w:spacing w:val="0"/>
                <w:kern w:val="0"/>
                <w:sz w:val="24"/>
                <w:szCs w:val="22"/>
                <w:lang w:eastAsia="en-US"/>
              </w:rPr>
              <w:t>2 July 2021</w:t>
            </w:r>
          </w:p>
        </w:tc>
      </w:tr>
    </w:tbl>
    <w:p w14:paraId="1377B508" w14:textId="77777777" w:rsidR="004D6215" w:rsidRPr="004D6215" w:rsidRDefault="004D6215" w:rsidP="006C5CF2">
      <w:pPr>
        <w:rPr>
          <w:color w:val="FF0000"/>
          <w:szCs w:val="24"/>
        </w:rPr>
      </w:pPr>
    </w:p>
    <w:sectPr w:rsidR="004D6215" w:rsidRPr="004D6215" w:rsidSect="005C636A">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051AD" w14:textId="77777777" w:rsidR="00ED1A45" w:rsidRDefault="00ED1A45" w:rsidP="00124A51">
      <w:r>
        <w:separator/>
      </w:r>
    </w:p>
    <w:p w14:paraId="428A2B85" w14:textId="77777777" w:rsidR="00ED1A45" w:rsidRDefault="00ED1A45"/>
  </w:endnote>
  <w:endnote w:type="continuationSeparator" w:id="0">
    <w:p w14:paraId="28D4FBFB" w14:textId="77777777" w:rsidR="00ED1A45" w:rsidRDefault="00ED1A45" w:rsidP="00124A51">
      <w:r>
        <w:continuationSeparator/>
      </w:r>
    </w:p>
    <w:p w14:paraId="0DD397F1" w14:textId="77777777" w:rsidR="00ED1A45" w:rsidRDefault="00ED1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DCD67" w14:textId="77777777" w:rsidR="00B82CE0" w:rsidRDefault="00B82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DAA7D" w14:textId="77777777" w:rsidR="004D6215" w:rsidRDefault="004D6215">
    <w:pPr>
      <w:pStyle w:val="Footer"/>
      <w:jc w:val="center"/>
    </w:pPr>
  </w:p>
  <w:p w14:paraId="13323E4D" w14:textId="5BE94611" w:rsidR="004D6215" w:rsidRPr="00543C14" w:rsidRDefault="00A87B03" w:rsidP="00640C55">
    <w:pPr>
      <w:pStyle w:val="Footer"/>
      <w:jc w:val="center"/>
      <w:rPr>
        <w:b/>
      </w:rPr>
    </w:pPr>
    <w:sdt>
      <w:sdtPr>
        <w:rPr>
          <w:b/>
        </w:rPr>
        <w:id w:val="-552071919"/>
        <w:docPartObj>
          <w:docPartGallery w:val="Page Numbers (Bottom of Page)"/>
          <w:docPartUnique/>
        </w:docPartObj>
      </w:sdtPr>
      <w:sdtEndPr>
        <w:rPr>
          <w:noProof/>
        </w:rPr>
      </w:sdtEndPr>
      <w:sdtContent>
        <w:r w:rsidR="004D6215" w:rsidRPr="00543C14">
          <w:rPr>
            <w:b/>
          </w:rPr>
          <w:fldChar w:fldCharType="begin"/>
        </w:r>
        <w:r w:rsidR="004D6215" w:rsidRPr="00543C14">
          <w:rPr>
            <w:b/>
          </w:rPr>
          <w:instrText xml:space="preserve"> PAGE   \* MERGEFORMAT </w:instrText>
        </w:r>
        <w:r w:rsidR="004D6215" w:rsidRPr="00543C14">
          <w:rPr>
            <w:b/>
          </w:rPr>
          <w:fldChar w:fldCharType="separate"/>
        </w:r>
        <w:r>
          <w:rPr>
            <w:b/>
            <w:noProof/>
          </w:rPr>
          <w:t>49</w:t>
        </w:r>
        <w:r w:rsidR="004D6215" w:rsidRPr="00543C14">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C9FCB" w14:textId="77777777" w:rsidR="00B82CE0" w:rsidRDefault="00B82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28347" w14:textId="77777777" w:rsidR="00ED1A45" w:rsidRDefault="00ED1A45" w:rsidP="00124A51">
      <w:r>
        <w:separator/>
      </w:r>
    </w:p>
    <w:p w14:paraId="19D33202" w14:textId="77777777" w:rsidR="00ED1A45" w:rsidRDefault="00ED1A45"/>
  </w:footnote>
  <w:footnote w:type="continuationSeparator" w:id="0">
    <w:p w14:paraId="5D7E5F14" w14:textId="77777777" w:rsidR="00ED1A45" w:rsidRDefault="00ED1A45" w:rsidP="00124A51">
      <w:r>
        <w:continuationSeparator/>
      </w:r>
    </w:p>
    <w:p w14:paraId="54126C23" w14:textId="77777777" w:rsidR="00ED1A45" w:rsidRDefault="00ED1A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C433B" w14:textId="77777777" w:rsidR="00B82CE0" w:rsidRDefault="00B82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E637" w14:textId="77777777" w:rsidR="004D6215" w:rsidRPr="00056684" w:rsidRDefault="004D6215" w:rsidP="005631FE">
    <w:pPr>
      <w:pStyle w:val="Header"/>
      <w:keepNext/>
      <w:ind w:left="360"/>
      <w:jc w:val="center"/>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March 2021</w:t>
    </w:r>
    <w:r w:rsidRPr="00056684">
      <w:rPr>
        <w:rFonts w:asciiTheme="minorHAnsi" w:hAnsiTheme="minorHAnsi"/>
        <w:i/>
        <w:color w:val="808080"/>
      </w:rPr>
      <w:t xml:space="preserve"> PBAC Meeting</w:t>
    </w:r>
  </w:p>
  <w:p w14:paraId="77CE9542" w14:textId="77777777" w:rsidR="004D6215" w:rsidRPr="008C7ECB" w:rsidRDefault="004D6215" w:rsidP="005631F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942D" w14:textId="77777777" w:rsidR="00B82CE0" w:rsidRDefault="00B82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B1F29"/>
    <w:multiLevelType w:val="multilevel"/>
    <w:tmpl w:val="79483C0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b w:val="0"/>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B3FC6"/>
    <w:multiLevelType w:val="hybridMultilevel"/>
    <w:tmpl w:val="AAA86A42"/>
    <w:lvl w:ilvl="0" w:tplc="EC8C657C">
      <w:start w:val="1"/>
      <w:numFmt w:val="bullet"/>
      <w:pStyle w:val="BulletList"/>
      <w:lvlText w:val=""/>
      <w:lvlJc w:val="left"/>
      <w:pPr>
        <w:tabs>
          <w:tab w:val="num" w:pos="360"/>
        </w:tabs>
        <w:ind w:left="360" w:hanging="360"/>
      </w:pPr>
      <w:rPr>
        <w:rFonts w:ascii="Symbol" w:hAnsi="Symbol" w:hint="default"/>
      </w:rPr>
    </w:lvl>
    <w:lvl w:ilvl="1" w:tplc="5950AD9E">
      <w:numFmt w:val="bullet"/>
      <w:lvlText w:val="–"/>
      <w:lvlJc w:val="left"/>
      <w:pPr>
        <w:ind w:left="1440" w:hanging="360"/>
      </w:pPr>
      <w:rPr>
        <w:rFonts w:ascii="Arial" w:eastAsia="MS UI Gothic" w:hAnsi="Aria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BF5076"/>
    <w:multiLevelType w:val="hybridMultilevel"/>
    <w:tmpl w:val="F75AFD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17B29AF"/>
    <w:multiLevelType w:val="multilevel"/>
    <w:tmpl w:val="C97068F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7C34E2"/>
    <w:multiLevelType w:val="hybridMultilevel"/>
    <w:tmpl w:val="2BDE3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442297"/>
    <w:multiLevelType w:val="hybridMultilevel"/>
    <w:tmpl w:val="A67091E8"/>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A7509"/>
    <w:multiLevelType w:val="hybridMultilevel"/>
    <w:tmpl w:val="67F20D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A75271C"/>
    <w:multiLevelType w:val="multilevel"/>
    <w:tmpl w:val="C26085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F666A4"/>
    <w:multiLevelType w:val="hybridMultilevel"/>
    <w:tmpl w:val="C43A9A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65A45E9"/>
    <w:multiLevelType w:val="hybridMultilevel"/>
    <w:tmpl w:val="59E290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76B2584"/>
    <w:multiLevelType w:val="multilevel"/>
    <w:tmpl w:val="2FEE4A4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4D033C"/>
    <w:multiLevelType w:val="multilevel"/>
    <w:tmpl w:val="0180CB54"/>
    <w:lvl w:ilvl="0">
      <w:start w:val="1"/>
      <w:numFmt w:val="decimal"/>
      <w:pStyle w:val="2-SectionHeading"/>
      <w:lvlText w:val="%1"/>
      <w:lvlJc w:val="left"/>
      <w:pPr>
        <w:ind w:left="862" w:hanging="720"/>
      </w:pPr>
      <w:rPr>
        <w:rFonts w:hint="default"/>
        <w:b/>
        <w:i w:val="0"/>
      </w:rPr>
    </w:lvl>
    <w:lvl w:ilvl="1">
      <w:start w:val="1"/>
      <w:numFmt w:val="decimal"/>
      <w:pStyle w:val="3-BodyText"/>
      <w:lvlText w:val="%1.%2"/>
      <w:lvlJc w:val="left"/>
      <w:pPr>
        <w:ind w:left="720" w:hanging="720"/>
      </w:pPr>
      <w:rPr>
        <w:rFonts w:hint="default"/>
        <w:b w:val="0"/>
        <w:i w:val="0"/>
        <w:strike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C56A02"/>
    <w:multiLevelType w:val="multilevel"/>
    <w:tmpl w:val="9BB851D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286B75"/>
    <w:multiLevelType w:val="hybridMultilevel"/>
    <w:tmpl w:val="8626F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1"/>
  </w:num>
  <w:num w:numId="5">
    <w:abstractNumId w:val="13"/>
  </w:num>
  <w:num w:numId="6">
    <w:abstractNumId w:val="10"/>
  </w:num>
  <w:num w:numId="7">
    <w:abstractNumId w:val="3"/>
  </w:num>
  <w:num w:numId="8">
    <w:abstractNumId w:val="2"/>
  </w:num>
  <w:num w:numId="9">
    <w:abstractNumId w:val="9"/>
  </w:num>
  <w:num w:numId="10">
    <w:abstractNumId w:val="6"/>
  </w:num>
  <w:num w:numId="11">
    <w:abstractNumId w:val="8"/>
  </w:num>
  <w:num w:numId="12">
    <w:abstractNumId w:val="7"/>
    <w:lvlOverride w:ilvl="0">
      <w:lvl w:ilvl="0">
        <w:numFmt w:val="lowerLetter"/>
        <w:lvlText w:val="%1."/>
        <w:lvlJc w:val="left"/>
      </w:lvl>
    </w:lvlOverride>
  </w:num>
  <w:num w:numId="13">
    <w:abstractNumId w:val="7"/>
    <w:lvlOverride w:ilvl="0">
      <w:lvl w:ilvl="0">
        <w:numFmt w:val="lowerLetter"/>
        <w:lvlText w:val="%1."/>
        <w:lvlJc w:val="left"/>
      </w:lvl>
    </w:lvlOverride>
    <w:lvlOverride w:ilvl="1">
      <w:lvl w:ilvl="1">
        <w:numFmt w:val="lowerRoman"/>
        <w:lvlText w:val="%2."/>
        <w:lvlJc w:val="right"/>
        <w:rPr>
          <w:b w:val="0"/>
          <w:i w:val="0"/>
        </w:rPr>
      </w:lvl>
    </w:lvlOverride>
  </w:num>
  <w:num w:numId="14">
    <w:abstractNumId w:val="12"/>
  </w:num>
  <w:num w:numId="15">
    <w:abstractNumId w:val="0"/>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BCA"/>
    <w:rsid w:val="00002D4D"/>
    <w:rsid w:val="0000305B"/>
    <w:rsid w:val="00003499"/>
    <w:rsid w:val="0000357D"/>
    <w:rsid w:val="000039B7"/>
    <w:rsid w:val="000057DD"/>
    <w:rsid w:val="00006C37"/>
    <w:rsid w:val="00007B42"/>
    <w:rsid w:val="000125B2"/>
    <w:rsid w:val="00013247"/>
    <w:rsid w:val="00013B63"/>
    <w:rsid w:val="00014A05"/>
    <w:rsid w:val="00015886"/>
    <w:rsid w:val="00015C6B"/>
    <w:rsid w:val="000162EF"/>
    <w:rsid w:val="000169AD"/>
    <w:rsid w:val="0002121F"/>
    <w:rsid w:val="000213A9"/>
    <w:rsid w:val="000215A8"/>
    <w:rsid w:val="0002203D"/>
    <w:rsid w:val="0002225F"/>
    <w:rsid w:val="00022423"/>
    <w:rsid w:val="00022FCE"/>
    <w:rsid w:val="00023763"/>
    <w:rsid w:val="000243DB"/>
    <w:rsid w:val="000254B7"/>
    <w:rsid w:val="000275CC"/>
    <w:rsid w:val="000308C9"/>
    <w:rsid w:val="00032046"/>
    <w:rsid w:val="000325BA"/>
    <w:rsid w:val="0003272F"/>
    <w:rsid w:val="00033863"/>
    <w:rsid w:val="0003399F"/>
    <w:rsid w:val="00034388"/>
    <w:rsid w:val="000352BF"/>
    <w:rsid w:val="000355BB"/>
    <w:rsid w:val="00035A7F"/>
    <w:rsid w:val="00035DC0"/>
    <w:rsid w:val="00036829"/>
    <w:rsid w:val="0003732D"/>
    <w:rsid w:val="00037AF4"/>
    <w:rsid w:val="0004048D"/>
    <w:rsid w:val="00040895"/>
    <w:rsid w:val="00041759"/>
    <w:rsid w:val="00041AF4"/>
    <w:rsid w:val="000421AD"/>
    <w:rsid w:val="0004234A"/>
    <w:rsid w:val="0004248B"/>
    <w:rsid w:val="00042B35"/>
    <w:rsid w:val="00043BE1"/>
    <w:rsid w:val="00043C37"/>
    <w:rsid w:val="00044D19"/>
    <w:rsid w:val="00045017"/>
    <w:rsid w:val="00045A2B"/>
    <w:rsid w:val="0004698F"/>
    <w:rsid w:val="00050163"/>
    <w:rsid w:val="00050C5D"/>
    <w:rsid w:val="00051950"/>
    <w:rsid w:val="00052ED3"/>
    <w:rsid w:val="00052FC9"/>
    <w:rsid w:val="0005315E"/>
    <w:rsid w:val="000539D0"/>
    <w:rsid w:val="00053BEB"/>
    <w:rsid w:val="00054621"/>
    <w:rsid w:val="000546D7"/>
    <w:rsid w:val="00055071"/>
    <w:rsid w:val="00055588"/>
    <w:rsid w:val="0005604A"/>
    <w:rsid w:val="000562FB"/>
    <w:rsid w:val="000565AB"/>
    <w:rsid w:val="00056B26"/>
    <w:rsid w:val="00056CEA"/>
    <w:rsid w:val="00057505"/>
    <w:rsid w:val="00057617"/>
    <w:rsid w:val="0005779A"/>
    <w:rsid w:val="00060386"/>
    <w:rsid w:val="000607CA"/>
    <w:rsid w:val="00063075"/>
    <w:rsid w:val="00063114"/>
    <w:rsid w:val="00063F7D"/>
    <w:rsid w:val="0006433C"/>
    <w:rsid w:val="00066360"/>
    <w:rsid w:val="00066D90"/>
    <w:rsid w:val="00066DCD"/>
    <w:rsid w:val="0006748F"/>
    <w:rsid w:val="00067FC2"/>
    <w:rsid w:val="000703E6"/>
    <w:rsid w:val="00071248"/>
    <w:rsid w:val="000720B9"/>
    <w:rsid w:val="000737F7"/>
    <w:rsid w:val="000749D7"/>
    <w:rsid w:val="0007672F"/>
    <w:rsid w:val="000774F0"/>
    <w:rsid w:val="00077F24"/>
    <w:rsid w:val="00080909"/>
    <w:rsid w:val="0008094E"/>
    <w:rsid w:val="000812CA"/>
    <w:rsid w:val="000812DA"/>
    <w:rsid w:val="0008179C"/>
    <w:rsid w:val="000820FB"/>
    <w:rsid w:val="00082183"/>
    <w:rsid w:val="0008258D"/>
    <w:rsid w:val="000831F0"/>
    <w:rsid w:val="00083E99"/>
    <w:rsid w:val="00084078"/>
    <w:rsid w:val="000856C5"/>
    <w:rsid w:val="0008580A"/>
    <w:rsid w:val="00085BCA"/>
    <w:rsid w:val="00086D78"/>
    <w:rsid w:val="00087207"/>
    <w:rsid w:val="000876B7"/>
    <w:rsid w:val="00087948"/>
    <w:rsid w:val="0009069D"/>
    <w:rsid w:val="00090C7E"/>
    <w:rsid w:val="000916F7"/>
    <w:rsid w:val="00091F68"/>
    <w:rsid w:val="000920F7"/>
    <w:rsid w:val="00092600"/>
    <w:rsid w:val="0009262B"/>
    <w:rsid w:val="00093310"/>
    <w:rsid w:val="00093702"/>
    <w:rsid w:val="0009376C"/>
    <w:rsid w:val="0009445C"/>
    <w:rsid w:val="0009480B"/>
    <w:rsid w:val="00095134"/>
    <w:rsid w:val="00095FE5"/>
    <w:rsid w:val="00096284"/>
    <w:rsid w:val="000967BB"/>
    <w:rsid w:val="00096BF8"/>
    <w:rsid w:val="0009712E"/>
    <w:rsid w:val="00097683"/>
    <w:rsid w:val="000A15C6"/>
    <w:rsid w:val="000A1612"/>
    <w:rsid w:val="000A1631"/>
    <w:rsid w:val="000A25BF"/>
    <w:rsid w:val="000A31BE"/>
    <w:rsid w:val="000A38CF"/>
    <w:rsid w:val="000A4099"/>
    <w:rsid w:val="000A6636"/>
    <w:rsid w:val="000A6985"/>
    <w:rsid w:val="000A69FA"/>
    <w:rsid w:val="000A7D08"/>
    <w:rsid w:val="000B0670"/>
    <w:rsid w:val="000B0E75"/>
    <w:rsid w:val="000B24E5"/>
    <w:rsid w:val="000B33EE"/>
    <w:rsid w:val="000B34F3"/>
    <w:rsid w:val="000B352F"/>
    <w:rsid w:val="000B3FD7"/>
    <w:rsid w:val="000B4B1B"/>
    <w:rsid w:val="000B5A76"/>
    <w:rsid w:val="000B6BE8"/>
    <w:rsid w:val="000B6CAC"/>
    <w:rsid w:val="000B7612"/>
    <w:rsid w:val="000C02E7"/>
    <w:rsid w:val="000C2571"/>
    <w:rsid w:val="000C2F7F"/>
    <w:rsid w:val="000C3DF9"/>
    <w:rsid w:val="000C4441"/>
    <w:rsid w:val="000C48BE"/>
    <w:rsid w:val="000C6312"/>
    <w:rsid w:val="000C638A"/>
    <w:rsid w:val="000C6618"/>
    <w:rsid w:val="000C6713"/>
    <w:rsid w:val="000C72B0"/>
    <w:rsid w:val="000D058C"/>
    <w:rsid w:val="000D0F7E"/>
    <w:rsid w:val="000D14ED"/>
    <w:rsid w:val="000D1BFC"/>
    <w:rsid w:val="000D281A"/>
    <w:rsid w:val="000D282F"/>
    <w:rsid w:val="000D326A"/>
    <w:rsid w:val="000D5045"/>
    <w:rsid w:val="000D5127"/>
    <w:rsid w:val="000D51FB"/>
    <w:rsid w:val="000D57EA"/>
    <w:rsid w:val="000D58E0"/>
    <w:rsid w:val="000D5BD0"/>
    <w:rsid w:val="000D6486"/>
    <w:rsid w:val="000D792B"/>
    <w:rsid w:val="000E10E5"/>
    <w:rsid w:val="000E1149"/>
    <w:rsid w:val="000E135D"/>
    <w:rsid w:val="000E2454"/>
    <w:rsid w:val="000E24F7"/>
    <w:rsid w:val="000E3929"/>
    <w:rsid w:val="000E61A3"/>
    <w:rsid w:val="000E6CA3"/>
    <w:rsid w:val="000E7745"/>
    <w:rsid w:val="000F00BA"/>
    <w:rsid w:val="000F316A"/>
    <w:rsid w:val="000F3C23"/>
    <w:rsid w:val="000F3C74"/>
    <w:rsid w:val="000F4294"/>
    <w:rsid w:val="000F4BB8"/>
    <w:rsid w:val="000F572C"/>
    <w:rsid w:val="000F5CD0"/>
    <w:rsid w:val="000F6041"/>
    <w:rsid w:val="000F6080"/>
    <w:rsid w:val="000F6202"/>
    <w:rsid w:val="000F6686"/>
    <w:rsid w:val="000F7127"/>
    <w:rsid w:val="00100B87"/>
    <w:rsid w:val="00100F8A"/>
    <w:rsid w:val="00102F57"/>
    <w:rsid w:val="00103A8C"/>
    <w:rsid w:val="00103B34"/>
    <w:rsid w:val="00104C8F"/>
    <w:rsid w:val="00105AE2"/>
    <w:rsid w:val="001062F1"/>
    <w:rsid w:val="00106B80"/>
    <w:rsid w:val="001071D2"/>
    <w:rsid w:val="00107651"/>
    <w:rsid w:val="001076D0"/>
    <w:rsid w:val="00107AAA"/>
    <w:rsid w:val="0011032E"/>
    <w:rsid w:val="00111424"/>
    <w:rsid w:val="0011146A"/>
    <w:rsid w:val="0011164D"/>
    <w:rsid w:val="0011166C"/>
    <w:rsid w:val="00112E01"/>
    <w:rsid w:val="0011348B"/>
    <w:rsid w:val="0011358E"/>
    <w:rsid w:val="001146E1"/>
    <w:rsid w:val="00114763"/>
    <w:rsid w:val="00114A7A"/>
    <w:rsid w:val="00115229"/>
    <w:rsid w:val="0011580D"/>
    <w:rsid w:val="00115982"/>
    <w:rsid w:val="00115A0A"/>
    <w:rsid w:val="00116C53"/>
    <w:rsid w:val="00116D34"/>
    <w:rsid w:val="001170CD"/>
    <w:rsid w:val="00117473"/>
    <w:rsid w:val="00117681"/>
    <w:rsid w:val="00121799"/>
    <w:rsid w:val="001222FC"/>
    <w:rsid w:val="00123DA3"/>
    <w:rsid w:val="001246E6"/>
    <w:rsid w:val="0012490A"/>
    <w:rsid w:val="00124A51"/>
    <w:rsid w:val="001255B2"/>
    <w:rsid w:val="00125C82"/>
    <w:rsid w:val="0012625D"/>
    <w:rsid w:val="00126621"/>
    <w:rsid w:val="001301E9"/>
    <w:rsid w:val="00130703"/>
    <w:rsid w:val="001309BE"/>
    <w:rsid w:val="00131D82"/>
    <w:rsid w:val="00133B50"/>
    <w:rsid w:val="00133D36"/>
    <w:rsid w:val="001348E0"/>
    <w:rsid w:val="00134C9F"/>
    <w:rsid w:val="001357C8"/>
    <w:rsid w:val="0013669B"/>
    <w:rsid w:val="00136B07"/>
    <w:rsid w:val="00137645"/>
    <w:rsid w:val="00137C11"/>
    <w:rsid w:val="00137EB7"/>
    <w:rsid w:val="0014015A"/>
    <w:rsid w:val="00140A90"/>
    <w:rsid w:val="00140C6B"/>
    <w:rsid w:val="00140E99"/>
    <w:rsid w:val="00140F5C"/>
    <w:rsid w:val="001411E8"/>
    <w:rsid w:val="001425DF"/>
    <w:rsid w:val="00142956"/>
    <w:rsid w:val="0014357A"/>
    <w:rsid w:val="00145540"/>
    <w:rsid w:val="001456B0"/>
    <w:rsid w:val="00145DBF"/>
    <w:rsid w:val="001502FE"/>
    <w:rsid w:val="00152493"/>
    <w:rsid w:val="00155A7F"/>
    <w:rsid w:val="00155CE5"/>
    <w:rsid w:val="00155FF3"/>
    <w:rsid w:val="00156941"/>
    <w:rsid w:val="00157130"/>
    <w:rsid w:val="001572B4"/>
    <w:rsid w:val="001576B1"/>
    <w:rsid w:val="0016077E"/>
    <w:rsid w:val="00160A4C"/>
    <w:rsid w:val="00160CC8"/>
    <w:rsid w:val="00160F36"/>
    <w:rsid w:val="00161DCC"/>
    <w:rsid w:val="0016231E"/>
    <w:rsid w:val="0016240D"/>
    <w:rsid w:val="0016248F"/>
    <w:rsid w:val="001627FA"/>
    <w:rsid w:val="00162913"/>
    <w:rsid w:val="0016303E"/>
    <w:rsid w:val="00163686"/>
    <w:rsid w:val="00163CAF"/>
    <w:rsid w:val="00163EFF"/>
    <w:rsid w:val="001661FB"/>
    <w:rsid w:val="00171175"/>
    <w:rsid w:val="00171403"/>
    <w:rsid w:val="00172190"/>
    <w:rsid w:val="00172924"/>
    <w:rsid w:val="0017353B"/>
    <w:rsid w:val="00173565"/>
    <w:rsid w:val="00173B07"/>
    <w:rsid w:val="00173EBC"/>
    <w:rsid w:val="0017448C"/>
    <w:rsid w:val="00175323"/>
    <w:rsid w:val="00176129"/>
    <w:rsid w:val="001762FF"/>
    <w:rsid w:val="0017775C"/>
    <w:rsid w:val="00180FF0"/>
    <w:rsid w:val="0018134C"/>
    <w:rsid w:val="00181498"/>
    <w:rsid w:val="001814B5"/>
    <w:rsid w:val="00181D9C"/>
    <w:rsid w:val="001823C0"/>
    <w:rsid w:val="0018392E"/>
    <w:rsid w:val="00185163"/>
    <w:rsid w:val="001854AC"/>
    <w:rsid w:val="001856FC"/>
    <w:rsid w:val="00185E78"/>
    <w:rsid w:val="001860B1"/>
    <w:rsid w:val="00186B67"/>
    <w:rsid w:val="0018752F"/>
    <w:rsid w:val="00190EA3"/>
    <w:rsid w:val="001931CE"/>
    <w:rsid w:val="0019343F"/>
    <w:rsid w:val="00193EE8"/>
    <w:rsid w:val="00195222"/>
    <w:rsid w:val="001966C7"/>
    <w:rsid w:val="0019675C"/>
    <w:rsid w:val="0019751E"/>
    <w:rsid w:val="001975D8"/>
    <w:rsid w:val="001976BE"/>
    <w:rsid w:val="00197B1B"/>
    <w:rsid w:val="00197EF5"/>
    <w:rsid w:val="001A0EEA"/>
    <w:rsid w:val="001A281F"/>
    <w:rsid w:val="001A2B4A"/>
    <w:rsid w:val="001A38BE"/>
    <w:rsid w:val="001A43FA"/>
    <w:rsid w:val="001A4CE3"/>
    <w:rsid w:val="001A4DC2"/>
    <w:rsid w:val="001A59FB"/>
    <w:rsid w:val="001A6354"/>
    <w:rsid w:val="001A68C7"/>
    <w:rsid w:val="001A6F39"/>
    <w:rsid w:val="001A773E"/>
    <w:rsid w:val="001A7AE8"/>
    <w:rsid w:val="001B134D"/>
    <w:rsid w:val="001B204E"/>
    <w:rsid w:val="001B283A"/>
    <w:rsid w:val="001B2957"/>
    <w:rsid w:val="001B2CFC"/>
    <w:rsid w:val="001B3443"/>
    <w:rsid w:val="001B395E"/>
    <w:rsid w:val="001B4488"/>
    <w:rsid w:val="001B4D20"/>
    <w:rsid w:val="001B4D9D"/>
    <w:rsid w:val="001B571F"/>
    <w:rsid w:val="001B6511"/>
    <w:rsid w:val="001B7F1B"/>
    <w:rsid w:val="001C1C9C"/>
    <w:rsid w:val="001C1E5D"/>
    <w:rsid w:val="001C227A"/>
    <w:rsid w:val="001C2A9B"/>
    <w:rsid w:val="001C3947"/>
    <w:rsid w:val="001C4299"/>
    <w:rsid w:val="001C44F9"/>
    <w:rsid w:val="001C500F"/>
    <w:rsid w:val="001C56FB"/>
    <w:rsid w:val="001C5F94"/>
    <w:rsid w:val="001C6AF5"/>
    <w:rsid w:val="001C6CA7"/>
    <w:rsid w:val="001C6E66"/>
    <w:rsid w:val="001D05A1"/>
    <w:rsid w:val="001D0A77"/>
    <w:rsid w:val="001D1106"/>
    <w:rsid w:val="001D11E4"/>
    <w:rsid w:val="001D13A0"/>
    <w:rsid w:val="001D14C7"/>
    <w:rsid w:val="001D1A63"/>
    <w:rsid w:val="001D2597"/>
    <w:rsid w:val="001D38A0"/>
    <w:rsid w:val="001D5367"/>
    <w:rsid w:val="001D54C6"/>
    <w:rsid w:val="001D56FB"/>
    <w:rsid w:val="001D6E05"/>
    <w:rsid w:val="001D736C"/>
    <w:rsid w:val="001D7688"/>
    <w:rsid w:val="001E139E"/>
    <w:rsid w:val="001E1F94"/>
    <w:rsid w:val="001E2035"/>
    <w:rsid w:val="001E238E"/>
    <w:rsid w:val="001E2483"/>
    <w:rsid w:val="001E2B1E"/>
    <w:rsid w:val="001E30D4"/>
    <w:rsid w:val="001E48F0"/>
    <w:rsid w:val="001E52EB"/>
    <w:rsid w:val="001E582B"/>
    <w:rsid w:val="001E61D2"/>
    <w:rsid w:val="001E6834"/>
    <w:rsid w:val="001E720C"/>
    <w:rsid w:val="001E723A"/>
    <w:rsid w:val="001E740C"/>
    <w:rsid w:val="001E7B40"/>
    <w:rsid w:val="001F1235"/>
    <w:rsid w:val="001F1BF0"/>
    <w:rsid w:val="001F1CB3"/>
    <w:rsid w:val="001F2B88"/>
    <w:rsid w:val="001F38B5"/>
    <w:rsid w:val="001F5E1D"/>
    <w:rsid w:val="001F664F"/>
    <w:rsid w:val="001F7361"/>
    <w:rsid w:val="001F7ACC"/>
    <w:rsid w:val="00200C29"/>
    <w:rsid w:val="002011B0"/>
    <w:rsid w:val="00201CA8"/>
    <w:rsid w:val="00201E83"/>
    <w:rsid w:val="0020226E"/>
    <w:rsid w:val="0020276A"/>
    <w:rsid w:val="00202840"/>
    <w:rsid w:val="00202868"/>
    <w:rsid w:val="00203181"/>
    <w:rsid w:val="00203783"/>
    <w:rsid w:val="0020385F"/>
    <w:rsid w:val="0020467E"/>
    <w:rsid w:val="00204C9B"/>
    <w:rsid w:val="00204F29"/>
    <w:rsid w:val="00204FFC"/>
    <w:rsid w:val="002062A5"/>
    <w:rsid w:val="00206597"/>
    <w:rsid w:val="002065A9"/>
    <w:rsid w:val="00206F51"/>
    <w:rsid w:val="00207021"/>
    <w:rsid w:val="0020732F"/>
    <w:rsid w:val="00207D00"/>
    <w:rsid w:val="002105C1"/>
    <w:rsid w:val="00211E20"/>
    <w:rsid w:val="00217601"/>
    <w:rsid w:val="00217DBF"/>
    <w:rsid w:val="0022164F"/>
    <w:rsid w:val="00223512"/>
    <w:rsid w:val="00223B49"/>
    <w:rsid w:val="002244B2"/>
    <w:rsid w:val="00224DD4"/>
    <w:rsid w:val="00224F0B"/>
    <w:rsid w:val="00226776"/>
    <w:rsid w:val="002268D8"/>
    <w:rsid w:val="00227255"/>
    <w:rsid w:val="00227AC7"/>
    <w:rsid w:val="002309CC"/>
    <w:rsid w:val="0023209F"/>
    <w:rsid w:val="00232DE3"/>
    <w:rsid w:val="0023301E"/>
    <w:rsid w:val="002331D2"/>
    <w:rsid w:val="00233642"/>
    <w:rsid w:val="00233E37"/>
    <w:rsid w:val="0023629D"/>
    <w:rsid w:val="00236C08"/>
    <w:rsid w:val="00236E7A"/>
    <w:rsid w:val="00237255"/>
    <w:rsid w:val="00240B13"/>
    <w:rsid w:val="00241C33"/>
    <w:rsid w:val="002424AF"/>
    <w:rsid w:val="00242EFF"/>
    <w:rsid w:val="00243553"/>
    <w:rsid w:val="002439DC"/>
    <w:rsid w:val="00244525"/>
    <w:rsid w:val="00244DC8"/>
    <w:rsid w:val="002456E6"/>
    <w:rsid w:val="002458BA"/>
    <w:rsid w:val="0024636C"/>
    <w:rsid w:val="002464E5"/>
    <w:rsid w:val="00247740"/>
    <w:rsid w:val="00247925"/>
    <w:rsid w:val="00250BDD"/>
    <w:rsid w:val="00250EBD"/>
    <w:rsid w:val="00251949"/>
    <w:rsid w:val="002534D2"/>
    <w:rsid w:val="002539DC"/>
    <w:rsid w:val="0025431A"/>
    <w:rsid w:val="00254DCF"/>
    <w:rsid w:val="0025534B"/>
    <w:rsid w:val="00255BB7"/>
    <w:rsid w:val="002561F6"/>
    <w:rsid w:val="00256BCE"/>
    <w:rsid w:val="00257541"/>
    <w:rsid w:val="0025771F"/>
    <w:rsid w:val="002600A2"/>
    <w:rsid w:val="002610ED"/>
    <w:rsid w:val="00261A90"/>
    <w:rsid w:val="00262207"/>
    <w:rsid w:val="002622EC"/>
    <w:rsid w:val="00262A1A"/>
    <w:rsid w:val="00262A87"/>
    <w:rsid w:val="00262D54"/>
    <w:rsid w:val="00264D26"/>
    <w:rsid w:val="0026578E"/>
    <w:rsid w:val="00267642"/>
    <w:rsid w:val="00267AEA"/>
    <w:rsid w:val="002700E6"/>
    <w:rsid w:val="00270713"/>
    <w:rsid w:val="00271501"/>
    <w:rsid w:val="00271A45"/>
    <w:rsid w:val="00271A92"/>
    <w:rsid w:val="00271C56"/>
    <w:rsid w:val="00272692"/>
    <w:rsid w:val="0027294B"/>
    <w:rsid w:val="00272FAD"/>
    <w:rsid w:val="002733D5"/>
    <w:rsid w:val="00273A0A"/>
    <w:rsid w:val="00274694"/>
    <w:rsid w:val="00275C5A"/>
    <w:rsid w:val="0027700B"/>
    <w:rsid w:val="0027770B"/>
    <w:rsid w:val="00281014"/>
    <w:rsid w:val="002812DF"/>
    <w:rsid w:val="00282479"/>
    <w:rsid w:val="00282595"/>
    <w:rsid w:val="002829A5"/>
    <w:rsid w:val="00282C3F"/>
    <w:rsid w:val="00283B26"/>
    <w:rsid w:val="00285557"/>
    <w:rsid w:val="0028620C"/>
    <w:rsid w:val="00286827"/>
    <w:rsid w:val="00286946"/>
    <w:rsid w:val="002904C4"/>
    <w:rsid w:val="00290C68"/>
    <w:rsid w:val="002917FD"/>
    <w:rsid w:val="0029242C"/>
    <w:rsid w:val="002929EF"/>
    <w:rsid w:val="00292DB8"/>
    <w:rsid w:val="00293183"/>
    <w:rsid w:val="00294F87"/>
    <w:rsid w:val="002A042D"/>
    <w:rsid w:val="002A0B3C"/>
    <w:rsid w:val="002A121E"/>
    <w:rsid w:val="002A14AB"/>
    <w:rsid w:val="002A2F50"/>
    <w:rsid w:val="002A3027"/>
    <w:rsid w:val="002A4EF2"/>
    <w:rsid w:val="002A51E0"/>
    <w:rsid w:val="002A656B"/>
    <w:rsid w:val="002A67A6"/>
    <w:rsid w:val="002A7DFB"/>
    <w:rsid w:val="002A7FA0"/>
    <w:rsid w:val="002B0201"/>
    <w:rsid w:val="002B0239"/>
    <w:rsid w:val="002B0969"/>
    <w:rsid w:val="002B09A4"/>
    <w:rsid w:val="002B0D72"/>
    <w:rsid w:val="002B1579"/>
    <w:rsid w:val="002B1C1F"/>
    <w:rsid w:val="002B2A70"/>
    <w:rsid w:val="002B31E6"/>
    <w:rsid w:val="002B41E5"/>
    <w:rsid w:val="002B432F"/>
    <w:rsid w:val="002B5B5B"/>
    <w:rsid w:val="002B5CD8"/>
    <w:rsid w:val="002B62B3"/>
    <w:rsid w:val="002B6754"/>
    <w:rsid w:val="002B694E"/>
    <w:rsid w:val="002B6CCE"/>
    <w:rsid w:val="002B6EBA"/>
    <w:rsid w:val="002C1180"/>
    <w:rsid w:val="002C11B7"/>
    <w:rsid w:val="002C2510"/>
    <w:rsid w:val="002C2775"/>
    <w:rsid w:val="002C27C1"/>
    <w:rsid w:val="002C3A9D"/>
    <w:rsid w:val="002C3DA4"/>
    <w:rsid w:val="002C5099"/>
    <w:rsid w:val="002C5139"/>
    <w:rsid w:val="002C5889"/>
    <w:rsid w:val="002C668A"/>
    <w:rsid w:val="002C71CE"/>
    <w:rsid w:val="002D0A1F"/>
    <w:rsid w:val="002D0AAF"/>
    <w:rsid w:val="002D0B7C"/>
    <w:rsid w:val="002D0F78"/>
    <w:rsid w:val="002D2E4E"/>
    <w:rsid w:val="002D3B9E"/>
    <w:rsid w:val="002D53EB"/>
    <w:rsid w:val="002D56CC"/>
    <w:rsid w:val="002D577C"/>
    <w:rsid w:val="002D5EA2"/>
    <w:rsid w:val="002D6632"/>
    <w:rsid w:val="002D7F27"/>
    <w:rsid w:val="002E0210"/>
    <w:rsid w:val="002E0AC8"/>
    <w:rsid w:val="002E15B9"/>
    <w:rsid w:val="002E1E3E"/>
    <w:rsid w:val="002E2158"/>
    <w:rsid w:val="002E2F25"/>
    <w:rsid w:val="002E3231"/>
    <w:rsid w:val="002E34AA"/>
    <w:rsid w:val="002E4A89"/>
    <w:rsid w:val="002E4E67"/>
    <w:rsid w:val="002E7722"/>
    <w:rsid w:val="002E7AC1"/>
    <w:rsid w:val="002F07BA"/>
    <w:rsid w:val="002F0DA9"/>
    <w:rsid w:val="002F13B2"/>
    <w:rsid w:val="002F1AAB"/>
    <w:rsid w:val="002F2677"/>
    <w:rsid w:val="002F33B2"/>
    <w:rsid w:val="002F34D5"/>
    <w:rsid w:val="002F3D61"/>
    <w:rsid w:val="002F5061"/>
    <w:rsid w:val="002F643C"/>
    <w:rsid w:val="002F6D4E"/>
    <w:rsid w:val="002F71C0"/>
    <w:rsid w:val="002F7765"/>
    <w:rsid w:val="002F7A79"/>
    <w:rsid w:val="002F7ED7"/>
    <w:rsid w:val="00300BC4"/>
    <w:rsid w:val="00300E4D"/>
    <w:rsid w:val="00301017"/>
    <w:rsid w:val="0030155F"/>
    <w:rsid w:val="00301D88"/>
    <w:rsid w:val="00302A8B"/>
    <w:rsid w:val="0030435B"/>
    <w:rsid w:val="0030587B"/>
    <w:rsid w:val="00305A12"/>
    <w:rsid w:val="00306D98"/>
    <w:rsid w:val="00306DB0"/>
    <w:rsid w:val="003072CA"/>
    <w:rsid w:val="003074B2"/>
    <w:rsid w:val="0030786C"/>
    <w:rsid w:val="00307AAC"/>
    <w:rsid w:val="0031031A"/>
    <w:rsid w:val="00310981"/>
    <w:rsid w:val="003110DF"/>
    <w:rsid w:val="00311512"/>
    <w:rsid w:val="00311BDE"/>
    <w:rsid w:val="00311E19"/>
    <w:rsid w:val="0031226F"/>
    <w:rsid w:val="00312C89"/>
    <w:rsid w:val="00312FEB"/>
    <w:rsid w:val="0031411B"/>
    <w:rsid w:val="003145BC"/>
    <w:rsid w:val="00314818"/>
    <w:rsid w:val="00315230"/>
    <w:rsid w:val="00315498"/>
    <w:rsid w:val="00315739"/>
    <w:rsid w:val="00315C45"/>
    <w:rsid w:val="00315EB9"/>
    <w:rsid w:val="003161E0"/>
    <w:rsid w:val="0031668F"/>
    <w:rsid w:val="00316C1C"/>
    <w:rsid w:val="00317322"/>
    <w:rsid w:val="003178FC"/>
    <w:rsid w:val="00317EFB"/>
    <w:rsid w:val="0032094D"/>
    <w:rsid w:val="00322107"/>
    <w:rsid w:val="0032237E"/>
    <w:rsid w:val="00322846"/>
    <w:rsid w:val="00323571"/>
    <w:rsid w:val="00323B3F"/>
    <w:rsid w:val="00323D7E"/>
    <w:rsid w:val="00325A16"/>
    <w:rsid w:val="00325B7D"/>
    <w:rsid w:val="0032635E"/>
    <w:rsid w:val="00326DA7"/>
    <w:rsid w:val="003270E4"/>
    <w:rsid w:val="00330F5C"/>
    <w:rsid w:val="0033143D"/>
    <w:rsid w:val="003348B3"/>
    <w:rsid w:val="00336087"/>
    <w:rsid w:val="003366C9"/>
    <w:rsid w:val="003371B0"/>
    <w:rsid w:val="0034090A"/>
    <w:rsid w:val="00340DF1"/>
    <w:rsid w:val="00340FAC"/>
    <w:rsid w:val="003410DB"/>
    <w:rsid w:val="00341407"/>
    <w:rsid w:val="00341593"/>
    <w:rsid w:val="00341B60"/>
    <w:rsid w:val="003427A4"/>
    <w:rsid w:val="00342CDF"/>
    <w:rsid w:val="00342D67"/>
    <w:rsid w:val="00342EBA"/>
    <w:rsid w:val="0034411F"/>
    <w:rsid w:val="00345BF2"/>
    <w:rsid w:val="00345C7F"/>
    <w:rsid w:val="00345EDB"/>
    <w:rsid w:val="00346E00"/>
    <w:rsid w:val="00347F82"/>
    <w:rsid w:val="003501FE"/>
    <w:rsid w:val="003517F9"/>
    <w:rsid w:val="003541D9"/>
    <w:rsid w:val="0035519F"/>
    <w:rsid w:val="003559F7"/>
    <w:rsid w:val="0035620E"/>
    <w:rsid w:val="00356537"/>
    <w:rsid w:val="00356877"/>
    <w:rsid w:val="00356936"/>
    <w:rsid w:val="00356B48"/>
    <w:rsid w:val="00357B01"/>
    <w:rsid w:val="00357D1C"/>
    <w:rsid w:val="00362002"/>
    <w:rsid w:val="0036249A"/>
    <w:rsid w:val="003624C4"/>
    <w:rsid w:val="00363CFE"/>
    <w:rsid w:val="00364B78"/>
    <w:rsid w:val="003654AC"/>
    <w:rsid w:val="00366B93"/>
    <w:rsid w:val="00367F26"/>
    <w:rsid w:val="00370D8B"/>
    <w:rsid w:val="003710CF"/>
    <w:rsid w:val="003718D4"/>
    <w:rsid w:val="00371BCB"/>
    <w:rsid w:val="00371F6F"/>
    <w:rsid w:val="0037240C"/>
    <w:rsid w:val="00372563"/>
    <w:rsid w:val="00372C71"/>
    <w:rsid w:val="0037358A"/>
    <w:rsid w:val="00373888"/>
    <w:rsid w:val="00373D13"/>
    <w:rsid w:val="003750F6"/>
    <w:rsid w:val="003760FC"/>
    <w:rsid w:val="00376C3F"/>
    <w:rsid w:val="00376D2D"/>
    <w:rsid w:val="00380FBE"/>
    <w:rsid w:val="003812BB"/>
    <w:rsid w:val="003817F0"/>
    <w:rsid w:val="00382682"/>
    <w:rsid w:val="00382A25"/>
    <w:rsid w:val="00383313"/>
    <w:rsid w:val="0038365C"/>
    <w:rsid w:val="0038369B"/>
    <w:rsid w:val="00383B78"/>
    <w:rsid w:val="003847C1"/>
    <w:rsid w:val="00384B63"/>
    <w:rsid w:val="0038515C"/>
    <w:rsid w:val="0038570D"/>
    <w:rsid w:val="00385957"/>
    <w:rsid w:val="00385A9D"/>
    <w:rsid w:val="00386159"/>
    <w:rsid w:val="00386CD8"/>
    <w:rsid w:val="0038790E"/>
    <w:rsid w:val="003902B1"/>
    <w:rsid w:val="00393044"/>
    <w:rsid w:val="00393053"/>
    <w:rsid w:val="0039308F"/>
    <w:rsid w:val="00393E69"/>
    <w:rsid w:val="00396889"/>
    <w:rsid w:val="00396896"/>
    <w:rsid w:val="003969B3"/>
    <w:rsid w:val="00396FD0"/>
    <w:rsid w:val="003A07D6"/>
    <w:rsid w:val="003A0A76"/>
    <w:rsid w:val="003A1979"/>
    <w:rsid w:val="003A1A7A"/>
    <w:rsid w:val="003A1E44"/>
    <w:rsid w:val="003A2392"/>
    <w:rsid w:val="003A261F"/>
    <w:rsid w:val="003A2831"/>
    <w:rsid w:val="003A293F"/>
    <w:rsid w:val="003A2F80"/>
    <w:rsid w:val="003A3480"/>
    <w:rsid w:val="003A37B7"/>
    <w:rsid w:val="003A3ED1"/>
    <w:rsid w:val="003A44F8"/>
    <w:rsid w:val="003A4B7D"/>
    <w:rsid w:val="003A5257"/>
    <w:rsid w:val="003A52BE"/>
    <w:rsid w:val="003A7EF7"/>
    <w:rsid w:val="003B2BBB"/>
    <w:rsid w:val="003B33AC"/>
    <w:rsid w:val="003B3CC8"/>
    <w:rsid w:val="003B419B"/>
    <w:rsid w:val="003B59D9"/>
    <w:rsid w:val="003B5AAC"/>
    <w:rsid w:val="003B5B61"/>
    <w:rsid w:val="003B7B52"/>
    <w:rsid w:val="003C010F"/>
    <w:rsid w:val="003C1654"/>
    <w:rsid w:val="003C1A98"/>
    <w:rsid w:val="003C1D80"/>
    <w:rsid w:val="003C1FF5"/>
    <w:rsid w:val="003C24E3"/>
    <w:rsid w:val="003C27FA"/>
    <w:rsid w:val="003C2E42"/>
    <w:rsid w:val="003C2E7E"/>
    <w:rsid w:val="003C43F8"/>
    <w:rsid w:val="003C4402"/>
    <w:rsid w:val="003C714C"/>
    <w:rsid w:val="003C7797"/>
    <w:rsid w:val="003C7D19"/>
    <w:rsid w:val="003D07C1"/>
    <w:rsid w:val="003D1047"/>
    <w:rsid w:val="003D150C"/>
    <w:rsid w:val="003D158D"/>
    <w:rsid w:val="003D1828"/>
    <w:rsid w:val="003D1DE4"/>
    <w:rsid w:val="003D2422"/>
    <w:rsid w:val="003D3720"/>
    <w:rsid w:val="003D39A1"/>
    <w:rsid w:val="003D3FBF"/>
    <w:rsid w:val="003D4A30"/>
    <w:rsid w:val="003D5DD8"/>
    <w:rsid w:val="003D6E2F"/>
    <w:rsid w:val="003D719B"/>
    <w:rsid w:val="003D79BB"/>
    <w:rsid w:val="003D7C98"/>
    <w:rsid w:val="003E0543"/>
    <w:rsid w:val="003E05BA"/>
    <w:rsid w:val="003E06E8"/>
    <w:rsid w:val="003E0809"/>
    <w:rsid w:val="003E0870"/>
    <w:rsid w:val="003E1872"/>
    <w:rsid w:val="003E1C34"/>
    <w:rsid w:val="003E2521"/>
    <w:rsid w:val="003E2D69"/>
    <w:rsid w:val="003E44DF"/>
    <w:rsid w:val="003E64F4"/>
    <w:rsid w:val="003E69AA"/>
    <w:rsid w:val="003E7F24"/>
    <w:rsid w:val="003F01D6"/>
    <w:rsid w:val="003F0744"/>
    <w:rsid w:val="003F0E5D"/>
    <w:rsid w:val="003F10F2"/>
    <w:rsid w:val="003F1469"/>
    <w:rsid w:val="003F2A4F"/>
    <w:rsid w:val="003F3526"/>
    <w:rsid w:val="003F4156"/>
    <w:rsid w:val="003F41C1"/>
    <w:rsid w:val="003F5DFF"/>
    <w:rsid w:val="003F5F6E"/>
    <w:rsid w:val="003F64F6"/>
    <w:rsid w:val="003F6D34"/>
    <w:rsid w:val="004004DB"/>
    <w:rsid w:val="00400AF7"/>
    <w:rsid w:val="00400B29"/>
    <w:rsid w:val="004012F0"/>
    <w:rsid w:val="00401400"/>
    <w:rsid w:val="00402009"/>
    <w:rsid w:val="00404292"/>
    <w:rsid w:val="00404414"/>
    <w:rsid w:val="00404D1F"/>
    <w:rsid w:val="0040504B"/>
    <w:rsid w:val="00405437"/>
    <w:rsid w:val="004057EE"/>
    <w:rsid w:val="00405BE8"/>
    <w:rsid w:val="00410708"/>
    <w:rsid w:val="00410EC7"/>
    <w:rsid w:val="00410F8B"/>
    <w:rsid w:val="004110D7"/>
    <w:rsid w:val="00411B39"/>
    <w:rsid w:val="00411B95"/>
    <w:rsid w:val="00412C41"/>
    <w:rsid w:val="00413A1E"/>
    <w:rsid w:val="00413A81"/>
    <w:rsid w:val="00413C97"/>
    <w:rsid w:val="00414193"/>
    <w:rsid w:val="00414476"/>
    <w:rsid w:val="004148EF"/>
    <w:rsid w:val="00414B4D"/>
    <w:rsid w:val="00414C09"/>
    <w:rsid w:val="00414C2E"/>
    <w:rsid w:val="004151CF"/>
    <w:rsid w:val="0041528A"/>
    <w:rsid w:val="00415316"/>
    <w:rsid w:val="004159DF"/>
    <w:rsid w:val="00415A8B"/>
    <w:rsid w:val="00415FBA"/>
    <w:rsid w:val="00416364"/>
    <w:rsid w:val="00416FC6"/>
    <w:rsid w:val="00417DEC"/>
    <w:rsid w:val="004204B2"/>
    <w:rsid w:val="00420AA6"/>
    <w:rsid w:val="00420B9F"/>
    <w:rsid w:val="00420FFA"/>
    <w:rsid w:val="00422260"/>
    <w:rsid w:val="00422FCD"/>
    <w:rsid w:val="0042306E"/>
    <w:rsid w:val="00423B7D"/>
    <w:rsid w:val="0042413F"/>
    <w:rsid w:val="00424700"/>
    <w:rsid w:val="004257AB"/>
    <w:rsid w:val="00425D93"/>
    <w:rsid w:val="00426BAA"/>
    <w:rsid w:val="004303B2"/>
    <w:rsid w:val="004319F8"/>
    <w:rsid w:val="00431E55"/>
    <w:rsid w:val="004321F6"/>
    <w:rsid w:val="00432655"/>
    <w:rsid w:val="00433044"/>
    <w:rsid w:val="00433405"/>
    <w:rsid w:val="00433705"/>
    <w:rsid w:val="0043436C"/>
    <w:rsid w:val="00435EFA"/>
    <w:rsid w:val="004363B2"/>
    <w:rsid w:val="00436C79"/>
    <w:rsid w:val="004375B9"/>
    <w:rsid w:val="00437DC1"/>
    <w:rsid w:val="00440A30"/>
    <w:rsid w:val="0044171E"/>
    <w:rsid w:val="004422FA"/>
    <w:rsid w:val="004428D0"/>
    <w:rsid w:val="004443A7"/>
    <w:rsid w:val="0044442C"/>
    <w:rsid w:val="0044468F"/>
    <w:rsid w:val="0044536A"/>
    <w:rsid w:val="00445941"/>
    <w:rsid w:val="00445E7D"/>
    <w:rsid w:val="004464EB"/>
    <w:rsid w:val="00446734"/>
    <w:rsid w:val="00446B1A"/>
    <w:rsid w:val="00447D26"/>
    <w:rsid w:val="00451F83"/>
    <w:rsid w:val="004533D0"/>
    <w:rsid w:val="00453BA7"/>
    <w:rsid w:val="00453F86"/>
    <w:rsid w:val="00455068"/>
    <w:rsid w:val="0045555E"/>
    <w:rsid w:val="00455D45"/>
    <w:rsid w:val="0045671A"/>
    <w:rsid w:val="004601D8"/>
    <w:rsid w:val="004607CC"/>
    <w:rsid w:val="00460C76"/>
    <w:rsid w:val="00460EA0"/>
    <w:rsid w:val="0046323F"/>
    <w:rsid w:val="00464595"/>
    <w:rsid w:val="0046554D"/>
    <w:rsid w:val="004663CC"/>
    <w:rsid w:val="00466AEC"/>
    <w:rsid w:val="00467425"/>
    <w:rsid w:val="00470587"/>
    <w:rsid w:val="0047075A"/>
    <w:rsid w:val="00471964"/>
    <w:rsid w:val="00471B7C"/>
    <w:rsid w:val="004729F1"/>
    <w:rsid w:val="00472A79"/>
    <w:rsid w:val="00473F19"/>
    <w:rsid w:val="004742A2"/>
    <w:rsid w:val="00475DF1"/>
    <w:rsid w:val="00475E22"/>
    <w:rsid w:val="00476093"/>
    <w:rsid w:val="004762E8"/>
    <w:rsid w:val="00476C57"/>
    <w:rsid w:val="0048065A"/>
    <w:rsid w:val="0048088E"/>
    <w:rsid w:val="00480D4C"/>
    <w:rsid w:val="004810AF"/>
    <w:rsid w:val="00482720"/>
    <w:rsid w:val="004834C4"/>
    <w:rsid w:val="004835E7"/>
    <w:rsid w:val="00484165"/>
    <w:rsid w:val="004849D2"/>
    <w:rsid w:val="004867E2"/>
    <w:rsid w:val="004916F4"/>
    <w:rsid w:val="00491B3A"/>
    <w:rsid w:val="00492CFD"/>
    <w:rsid w:val="00493FA5"/>
    <w:rsid w:val="00494022"/>
    <w:rsid w:val="00494DD5"/>
    <w:rsid w:val="004960AB"/>
    <w:rsid w:val="004962D2"/>
    <w:rsid w:val="004977F8"/>
    <w:rsid w:val="004A0DA1"/>
    <w:rsid w:val="004A1974"/>
    <w:rsid w:val="004A19BA"/>
    <w:rsid w:val="004A272F"/>
    <w:rsid w:val="004A3D6B"/>
    <w:rsid w:val="004A438C"/>
    <w:rsid w:val="004A4702"/>
    <w:rsid w:val="004A478B"/>
    <w:rsid w:val="004A47F7"/>
    <w:rsid w:val="004A52E9"/>
    <w:rsid w:val="004A579C"/>
    <w:rsid w:val="004A57D8"/>
    <w:rsid w:val="004A5F54"/>
    <w:rsid w:val="004A63C9"/>
    <w:rsid w:val="004A64B5"/>
    <w:rsid w:val="004A6597"/>
    <w:rsid w:val="004A7848"/>
    <w:rsid w:val="004B0720"/>
    <w:rsid w:val="004B0F27"/>
    <w:rsid w:val="004B1CB4"/>
    <w:rsid w:val="004B1DA0"/>
    <w:rsid w:val="004B2F18"/>
    <w:rsid w:val="004B352E"/>
    <w:rsid w:val="004B3DDB"/>
    <w:rsid w:val="004B44FD"/>
    <w:rsid w:val="004B4766"/>
    <w:rsid w:val="004B52F8"/>
    <w:rsid w:val="004B5C17"/>
    <w:rsid w:val="004B5CFC"/>
    <w:rsid w:val="004B5E50"/>
    <w:rsid w:val="004B774D"/>
    <w:rsid w:val="004C06B2"/>
    <w:rsid w:val="004C1A7F"/>
    <w:rsid w:val="004C1C5B"/>
    <w:rsid w:val="004C27BF"/>
    <w:rsid w:val="004C3940"/>
    <w:rsid w:val="004C3D09"/>
    <w:rsid w:val="004C4AED"/>
    <w:rsid w:val="004C4C59"/>
    <w:rsid w:val="004C5558"/>
    <w:rsid w:val="004C56BA"/>
    <w:rsid w:val="004C5F52"/>
    <w:rsid w:val="004C6631"/>
    <w:rsid w:val="004C7838"/>
    <w:rsid w:val="004D0AFB"/>
    <w:rsid w:val="004D0F14"/>
    <w:rsid w:val="004D1055"/>
    <w:rsid w:val="004D1469"/>
    <w:rsid w:val="004D1DE8"/>
    <w:rsid w:val="004D2C2D"/>
    <w:rsid w:val="004D3678"/>
    <w:rsid w:val="004D3688"/>
    <w:rsid w:val="004D6215"/>
    <w:rsid w:val="004D68A1"/>
    <w:rsid w:val="004D693F"/>
    <w:rsid w:val="004D6DE4"/>
    <w:rsid w:val="004D7227"/>
    <w:rsid w:val="004E0C21"/>
    <w:rsid w:val="004E0E7F"/>
    <w:rsid w:val="004E0EB8"/>
    <w:rsid w:val="004E1168"/>
    <w:rsid w:val="004E2846"/>
    <w:rsid w:val="004E2ADC"/>
    <w:rsid w:val="004E2FD2"/>
    <w:rsid w:val="004E375F"/>
    <w:rsid w:val="004E43B2"/>
    <w:rsid w:val="004E4A35"/>
    <w:rsid w:val="004E5522"/>
    <w:rsid w:val="004F1D02"/>
    <w:rsid w:val="004F2668"/>
    <w:rsid w:val="004F2679"/>
    <w:rsid w:val="004F2F21"/>
    <w:rsid w:val="004F2F8A"/>
    <w:rsid w:val="004F401A"/>
    <w:rsid w:val="004F4173"/>
    <w:rsid w:val="004F4A4A"/>
    <w:rsid w:val="004F4AED"/>
    <w:rsid w:val="004F55ED"/>
    <w:rsid w:val="004F594D"/>
    <w:rsid w:val="004F5E7A"/>
    <w:rsid w:val="004F6913"/>
    <w:rsid w:val="004F6A16"/>
    <w:rsid w:val="004F6A27"/>
    <w:rsid w:val="004F7865"/>
    <w:rsid w:val="004F7B23"/>
    <w:rsid w:val="004F7E6E"/>
    <w:rsid w:val="004F7FFD"/>
    <w:rsid w:val="0050046F"/>
    <w:rsid w:val="005012AC"/>
    <w:rsid w:val="00501F16"/>
    <w:rsid w:val="0050219B"/>
    <w:rsid w:val="00503ADD"/>
    <w:rsid w:val="00503F17"/>
    <w:rsid w:val="005040D2"/>
    <w:rsid w:val="005045F1"/>
    <w:rsid w:val="00504603"/>
    <w:rsid w:val="0050468D"/>
    <w:rsid w:val="00504A35"/>
    <w:rsid w:val="005051F2"/>
    <w:rsid w:val="00506265"/>
    <w:rsid w:val="005064C0"/>
    <w:rsid w:val="00506928"/>
    <w:rsid w:val="00506A49"/>
    <w:rsid w:val="00506ECB"/>
    <w:rsid w:val="005072D4"/>
    <w:rsid w:val="0051010E"/>
    <w:rsid w:val="00510E18"/>
    <w:rsid w:val="00513799"/>
    <w:rsid w:val="00513B72"/>
    <w:rsid w:val="005152B5"/>
    <w:rsid w:val="005153C8"/>
    <w:rsid w:val="005158EE"/>
    <w:rsid w:val="00515DA0"/>
    <w:rsid w:val="00516059"/>
    <w:rsid w:val="0051651F"/>
    <w:rsid w:val="005175A5"/>
    <w:rsid w:val="00521319"/>
    <w:rsid w:val="0052145C"/>
    <w:rsid w:val="00521BAF"/>
    <w:rsid w:val="0052266A"/>
    <w:rsid w:val="00522ACA"/>
    <w:rsid w:val="00522BC8"/>
    <w:rsid w:val="00523479"/>
    <w:rsid w:val="00523896"/>
    <w:rsid w:val="00523C28"/>
    <w:rsid w:val="00524001"/>
    <w:rsid w:val="0052438A"/>
    <w:rsid w:val="005275DF"/>
    <w:rsid w:val="005306D3"/>
    <w:rsid w:val="005318F2"/>
    <w:rsid w:val="00532EB7"/>
    <w:rsid w:val="00534554"/>
    <w:rsid w:val="00534C3C"/>
    <w:rsid w:val="00535603"/>
    <w:rsid w:val="00535A64"/>
    <w:rsid w:val="00535DD2"/>
    <w:rsid w:val="005361EE"/>
    <w:rsid w:val="00536F42"/>
    <w:rsid w:val="00537182"/>
    <w:rsid w:val="00537687"/>
    <w:rsid w:val="00537689"/>
    <w:rsid w:val="00537DC5"/>
    <w:rsid w:val="00540314"/>
    <w:rsid w:val="00540F86"/>
    <w:rsid w:val="00541435"/>
    <w:rsid w:val="005414DB"/>
    <w:rsid w:val="00541ED5"/>
    <w:rsid w:val="00542743"/>
    <w:rsid w:val="00542874"/>
    <w:rsid w:val="00542A4A"/>
    <w:rsid w:val="00542C2D"/>
    <w:rsid w:val="00543C14"/>
    <w:rsid w:val="00544405"/>
    <w:rsid w:val="0054446F"/>
    <w:rsid w:val="005448CA"/>
    <w:rsid w:val="0054515D"/>
    <w:rsid w:val="00545FC2"/>
    <w:rsid w:val="005468C1"/>
    <w:rsid w:val="0054789B"/>
    <w:rsid w:val="005506D6"/>
    <w:rsid w:val="0055078C"/>
    <w:rsid w:val="00551985"/>
    <w:rsid w:val="00551C82"/>
    <w:rsid w:val="005521A7"/>
    <w:rsid w:val="00552584"/>
    <w:rsid w:val="00552BD3"/>
    <w:rsid w:val="00553AE7"/>
    <w:rsid w:val="00553B69"/>
    <w:rsid w:val="005541A2"/>
    <w:rsid w:val="00554515"/>
    <w:rsid w:val="00555109"/>
    <w:rsid w:val="00555731"/>
    <w:rsid w:val="00555AAE"/>
    <w:rsid w:val="00555FE3"/>
    <w:rsid w:val="005561C9"/>
    <w:rsid w:val="005567AF"/>
    <w:rsid w:val="00556960"/>
    <w:rsid w:val="00556C76"/>
    <w:rsid w:val="00560156"/>
    <w:rsid w:val="00560223"/>
    <w:rsid w:val="00560347"/>
    <w:rsid w:val="00561B06"/>
    <w:rsid w:val="00561D43"/>
    <w:rsid w:val="005631FE"/>
    <w:rsid w:val="00563561"/>
    <w:rsid w:val="005648D0"/>
    <w:rsid w:val="005654A9"/>
    <w:rsid w:val="00565B8C"/>
    <w:rsid w:val="005668E9"/>
    <w:rsid w:val="0056696F"/>
    <w:rsid w:val="00567374"/>
    <w:rsid w:val="005708C0"/>
    <w:rsid w:val="0057149C"/>
    <w:rsid w:val="00571879"/>
    <w:rsid w:val="00572269"/>
    <w:rsid w:val="0057244A"/>
    <w:rsid w:val="005726A4"/>
    <w:rsid w:val="00572C7E"/>
    <w:rsid w:val="00573ED5"/>
    <w:rsid w:val="00575D8D"/>
    <w:rsid w:val="0057647B"/>
    <w:rsid w:val="00576972"/>
    <w:rsid w:val="0058063C"/>
    <w:rsid w:val="00581D05"/>
    <w:rsid w:val="00581DFA"/>
    <w:rsid w:val="0058261A"/>
    <w:rsid w:val="00582727"/>
    <w:rsid w:val="005831E9"/>
    <w:rsid w:val="00583699"/>
    <w:rsid w:val="00583DB9"/>
    <w:rsid w:val="00583E3E"/>
    <w:rsid w:val="00583E59"/>
    <w:rsid w:val="00585CDD"/>
    <w:rsid w:val="00586140"/>
    <w:rsid w:val="00586DE1"/>
    <w:rsid w:val="00587058"/>
    <w:rsid w:val="0058780D"/>
    <w:rsid w:val="00590B93"/>
    <w:rsid w:val="0059149D"/>
    <w:rsid w:val="00591957"/>
    <w:rsid w:val="005919A2"/>
    <w:rsid w:val="005925F1"/>
    <w:rsid w:val="00595E81"/>
    <w:rsid w:val="00595F8F"/>
    <w:rsid w:val="00597A79"/>
    <w:rsid w:val="00597BF9"/>
    <w:rsid w:val="005A0086"/>
    <w:rsid w:val="005A0953"/>
    <w:rsid w:val="005A1B1A"/>
    <w:rsid w:val="005A1C8A"/>
    <w:rsid w:val="005A356C"/>
    <w:rsid w:val="005A373D"/>
    <w:rsid w:val="005A3F56"/>
    <w:rsid w:val="005A4B2F"/>
    <w:rsid w:val="005A5E13"/>
    <w:rsid w:val="005A7C91"/>
    <w:rsid w:val="005B180B"/>
    <w:rsid w:val="005B371F"/>
    <w:rsid w:val="005B38ED"/>
    <w:rsid w:val="005B41FE"/>
    <w:rsid w:val="005B44C9"/>
    <w:rsid w:val="005B5190"/>
    <w:rsid w:val="005B5282"/>
    <w:rsid w:val="005B5857"/>
    <w:rsid w:val="005C1B83"/>
    <w:rsid w:val="005C2368"/>
    <w:rsid w:val="005C2D55"/>
    <w:rsid w:val="005C346B"/>
    <w:rsid w:val="005C3CE1"/>
    <w:rsid w:val="005C52D8"/>
    <w:rsid w:val="005C55F4"/>
    <w:rsid w:val="005C56BD"/>
    <w:rsid w:val="005C636A"/>
    <w:rsid w:val="005C6A5C"/>
    <w:rsid w:val="005C7773"/>
    <w:rsid w:val="005D044D"/>
    <w:rsid w:val="005D0ABD"/>
    <w:rsid w:val="005D18AD"/>
    <w:rsid w:val="005D259B"/>
    <w:rsid w:val="005D26B4"/>
    <w:rsid w:val="005D3016"/>
    <w:rsid w:val="005D47AB"/>
    <w:rsid w:val="005D4C8F"/>
    <w:rsid w:val="005D60FD"/>
    <w:rsid w:val="005D65AE"/>
    <w:rsid w:val="005D6AC9"/>
    <w:rsid w:val="005D7B55"/>
    <w:rsid w:val="005D7F0A"/>
    <w:rsid w:val="005E0080"/>
    <w:rsid w:val="005E047F"/>
    <w:rsid w:val="005E192F"/>
    <w:rsid w:val="005E24B3"/>
    <w:rsid w:val="005E3243"/>
    <w:rsid w:val="005E4B84"/>
    <w:rsid w:val="005E4E2C"/>
    <w:rsid w:val="005E520E"/>
    <w:rsid w:val="005E52A9"/>
    <w:rsid w:val="005E6A19"/>
    <w:rsid w:val="005E6CBC"/>
    <w:rsid w:val="005E73C0"/>
    <w:rsid w:val="005F0103"/>
    <w:rsid w:val="005F1066"/>
    <w:rsid w:val="005F1BDF"/>
    <w:rsid w:val="005F210A"/>
    <w:rsid w:val="005F23BD"/>
    <w:rsid w:val="005F2706"/>
    <w:rsid w:val="005F2A09"/>
    <w:rsid w:val="005F2D1F"/>
    <w:rsid w:val="005F2F4B"/>
    <w:rsid w:val="005F4106"/>
    <w:rsid w:val="005F41D2"/>
    <w:rsid w:val="005F4A8F"/>
    <w:rsid w:val="005F6A8F"/>
    <w:rsid w:val="005F76E2"/>
    <w:rsid w:val="00600D00"/>
    <w:rsid w:val="00600D4A"/>
    <w:rsid w:val="00601E72"/>
    <w:rsid w:val="00602762"/>
    <w:rsid w:val="00602C17"/>
    <w:rsid w:val="00603DB9"/>
    <w:rsid w:val="00603E5D"/>
    <w:rsid w:val="00604269"/>
    <w:rsid w:val="00605B0D"/>
    <w:rsid w:val="00605B90"/>
    <w:rsid w:val="00606829"/>
    <w:rsid w:val="00606EFD"/>
    <w:rsid w:val="00607669"/>
    <w:rsid w:val="00607AFD"/>
    <w:rsid w:val="00607DF9"/>
    <w:rsid w:val="00610E36"/>
    <w:rsid w:val="0061162F"/>
    <w:rsid w:val="00612C1E"/>
    <w:rsid w:val="00612F97"/>
    <w:rsid w:val="0061345D"/>
    <w:rsid w:val="00614AB3"/>
    <w:rsid w:val="00615B2E"/>
    <w:rsid w:val="00616802"/>
    <w:rsid w:val="00616924"/>
    <w:rsid w:val="00617817"/>
    <w:rsid w:val="00617E12"/>
    <w:rsid w:val="00620FF2"/>
    <w:rsid w:val="00621477"/>
    <w:rsid w:val="006216C6"/>
    <w:rsid w:val="00622605"/>
    <w:rsid w:val="00623D57"/>
    <w:rsid w:val="006245AE"/>
    <w:rsid w:val="006247E1"/>
    <w:rsid w:val="00625642"/>
    <w:rsid w:val="00626CF7"/>
    <w:rsid w:val="0062721C"/>
    <w:rsid w:val="00630888"/>
    <w:rsid w:val="00631253"/>
    <w:rsid w:val="0063158F"/>
    <w:rsid w:val="00631D6B"/>
    <w:rsid w:val="00631E14"/>
    <w:rsid w:val="006325DC"/>
    <w:rsid w:val="006330A1"/>
    <w:rsid w:val="006346CF"/>
    <w:rsid w:val="0063479F"/>
    <w:rsid w:val="006353F0"/>
    <w:rsid w:val="00635965"/>
    <w:rsid w:val="006364A1"/>
    <w:rsid w:val="00636A75"/>
    <w:rsid w:val="00637B17"/>
    <w:rsid w:val="00637BFD"/>
    <w:rsid w:val="00640C55"/>
    <w:rsid w:val="006419A9"/>
    <w:rsid w:val="00641ADF"/>
    <w:rsid w:val="00641C4E"/>
    <w:rsid w:val="00642A26"/>
    <w:rsid w:val="006431C6"/>
    <w:rsid w:val="00643B44"/>
    <w:rsid w:val="00643F63"/>
    <w:rsid w:val="00645F8E"/>
    <w:rsid w:val="006471CC"/>
    <w:rsid w:val="0065079F"/>
    <w:rsid w:val="00651769"/>
    <w:rsid w:val="00652264"/>
    <w:rsid w:val="0065379F"/>
    <w:rsid w:val="00654AC8"/>
    <w:rsid w:val="00655A55"/>
    <w:rsid w:val="00655B14"/>
    <w:rsid w:val="00656AFC"/>
    <w:rsid w:val="00657620"/>
    <w:rsid w:val="00660D00"/>
    <w:rsid w:val="0066197E"/>
    <w:rsid w:val="00661C6B"/>
    <w:rsid w:val="00662064"/>
    <w:rsid w:val="0066289F"/>
    <w:rsid w:val="00662DFA"/>
    <w:rsid w:val="006634C7"/>
    <w:rsid w:val="00663676"/>
    <w:rsid w:val="0066396C"/>
    <w:rsid w:val="00663A34"/>
    <w:rsid w:val="00663A56"/>
    <w:rsid w:val="00664CAC"/>
    <w:rsid w:val="00666819"/>
    <w:rsid w:val="00667921"/>
    <w:rsid w:val="00667BD9"/>
    <w:rsid w:val="00670A30"/>
    <w:rsid w:val="00673C7F"/>
    <w:rsid w:val="00674E42"/>
    <w:rsid w:val="0067556E"/>
    <w:rsid w:val="0067564C"/>
    <w:rsid w:val="00675A1B"/>
    <w:rsid w:val="00675BFC"/>
    <w:rsid w:val="00676091"/>
    <w:rsid w:val="006763F0"/>
    <w:rsid w:val="00676660"/>
    <w:rsid w:val="00676C3E"/>
    <w:rsid w:val="00677549"/>
    <w:rsid w:val="00677570"/>
    <w:rsid w:val="006819DF"/>
    <w:rsid w:val="00682112"/>
    <w:rsid w:val="00682BB2"/>
    <w:rsid w:val="00684621"/>
    <w:rsid w:val="00684888"/>
    <w:rsid w:val="0068508D"/>
    <w:rsid w:val="006850ED"/>
    <w:rsid w:val="00685308"/>
    <w:rsid w:val="006860F4"/>
    <w:rsid w:val="00686957"/>
    <w:rsid w:val="00686A8E"/>
    <w:rsid w:val="006872BA"/>
    <w:rsid w:val="0068776B"/>
    <w:rsid w:val="00690063"/>
    <w:rsid w:val="006902A9"/>
    <w:rsid w:val="00691648"/>
    <w:rsid w:val="00691658"/>
    <w:rsid w:val="00691777"/>
    <w:rsid w:val="006917B0"/>
    <w:rsid w:val="006917D7"/>
    <w:rsid w:val="00691DF2"/>
    <w:rsid w:val="00692ABD"/>
    <w:rsid w:val="00693061"/>
    <w:rsid w:val="00693ACC"/>
    <w:rsid w:val="00694F44"/>
    <w:rsid w:val="00695916"/>
    <w:rsid w:val="006A00C6"/>
    <w:rsid w:val="006A02D9"/>
    <w:rsid w:val="006A064C"/>
    <w:rsid w:val="006A0DAF"/>
    <w:rsid w:val="006A0F07"/>
    <w:rsid w:val="006A0FFD"/>
    <w:rsid w:val="006A13DD"/>
    <w:rsid w:val="006A3574"/>
    <w:rsid w:val="006A3C42"/>
    <w:rsid w:val="006A406E"/>
    <w:rsid w:val="006A66A3"/>
    <w:rsid w:val="006A6CEE"/>
    <w:rsid w:val="006A7446"/>
    <w:rsid w:val="006A7568"/>
    <w:rsid w:val="006A75D6"/>
    <w:rsid w:val="006A7E5F"/>
    <w:rsid w:val="006B0296"/>
    <w:rsid w:val="006B1221"/>
    <w:rsid w:val="006B1B87"/>
    <w:rsid w:val="006B1C1A"/>
    <w:rsid w:val="006B22D6"/>
    <w:rsid w:val="006B260F"/>
    <w:rsid w:val="006B261B"/>
    <w:rsid w:val="006B2C90"/>
    <w:rsid w:val="006B3EDA"/>
    <w:rsid w:val="006B6A6F"/>
    <w:rsid w:val="006B6DD0"/>
    <w:rsid w:val="006B6DF7"/>
    <w:rsid w:val="006B7987"/>
    <w:rsid w:val="006C2638"/>
    <w:rsid w:val="006C26C8"/>
    <w:rsid w:val="006C2A8E"/>
    <w:rsid w:val="006C5A11"/>
    <w:rsid w:val="006C5A14"/>
    <w:rsid w:val="006C5CF2"/>
    <w:rsid w:val="006C73C0"/>
    <w:rsid w:val="006C77E7"/>
    <w:rsid w:val="006D0BE7"/>
    <w:rsid w:val="006D0C3A"/>
    <w:rsid w:val="006D1D91"/>
    <w:rsid w:val="006D2BFE"/>
    <w:rsid w:val="006D2E1A"/>
    <w:rsid w:val="006D3756"/>
    <w:rsid w:val="006D3C7D"/>
    <w:rsid w:val="006D4016"/>
    <w:rsid w:val="006D5759"/>
    <w:rsid w:val="006D5D5F"/>
    <w:rsid w:val="006D6B21"/>
    <w:rsid w:val="006D7286"/>
    <w:rsid w:val="006D7B05"/>
    <w:rsid w:val="006E0771"/>
    <w:rsid w:val="006E22CF"/>
    <w:rsid w:val="006E3013"/>
    <w:rsid w:val="006E3E80"/>
    <w:rsid w:val="006E521A"/>
    <w:rsid w:val="006E652C"/>
    <w:rsid w:val="006E68DA"/>
    <w:rsid w:val="006E76F6"/>
    <w:rsid w:val="006F01E0"/>
    <w:rsid w:val="006F0238"/>
    <w:rsid w:val="006F07FE"/>
    <w:rsid w:val="006F1FB3"/>
    <w:rsid w:val="006F306C"/>
    <w:rsid w:val="006F3706"/>
    <w:rsid w:val="006F4BFC"/>
    <w:rsid w:val="006F5C8E"/>
    <w:rsid w:val="006F63A5"/>
    <w:rsid w:val="006F6701"/>
    <w:rsid w:val="007008C7"/>
    <w:rsid w:val="00701050"/>
    <w:rsid w:val="0070106E"/>
    <w:rsid w:val="0070142B"/>
    <w:rsid w:val="007015AF"/>
    <w:rsid w:val="00701FDF"/>
    <w:rsid w:val="00702495"/>
    <w:rsid w:val="0070276E"/>
    <w:rsid w:val="00702F8F"/>
    <w:rsid w:val="00703CA0"/>
    <w:rsid w:val="00703F33"/>
    <w:rsid w:val="00704294"/>
    <w:rsid w:val="007056D6"/>
    <w:rsid w:val="00707393"/>
    <w:rsid w:val="007076C6"/>
    <w:rsid w:val="00710BB8"/>
    <w:rsid w:val="00711A36"/>
    <w:rsid w:val="00711CCB"/>
    <w:rsid w:val="00711EFE"/>
    <w:rsid w:val="007124BA"/>
    <w:rsid w:val="00713118"/>
    <w:rsid w:val="00713760"/>
    <w:rsid w:val="007138EE"/>
    <w:rsid w:val="0071529C"/>
    <w:rsid w:val="00715A5D"/>
    <w:rsid w:val="00717124"/>
    <w:rsid w:val="007172AD"/>
    <w:rsid w:val="0071730B"/>
    <w:rsid w:val="00717B77"/>
    <w:rsid w:val="00720B53"/>
    <w:rsid w:val="00721311"/>
    <w:rsid w:val="007214E6"/>
    <w:rsid w:val="007215D7"/>
    <w:rsid w:val="00721CE2"/>
    <w:rsid w:val="00722686"/>
    <w:rsid w:val="00722B1B"/>
    <w:rsid w:val="00722EDA"/>
    <w:rsid w:val="007231F9"/>
    <w:rsid w:val="0072416F"/>
    <w:rsid w:val="00724889"/>
    <w:rsid w:val="00725104"/>
    <w:rsid w:val="007251E2"/>
    <w:rsid w:val="007260A2"/>
    <w:rsid w:val="00726456"/>
    <w:rsid w:val="00727B98"/>
    <w:rsid w:val="00727C94"/>
    <w:rsid w:val="00731BDD"/>
    <w:rsid w:val="00731EAE"/>
    <w:rsid w:val="00732859"/>
    <w:rsid w:val="00733A32"/>
    <w:rsid w:val="00733C6F"/>
    <w:rsid w:val="00733C8E"/>
    <w:rsid w:val="00735033"/>
    <w:rsid w:val="00735328"/>
    <w:rsid w:val="0073685B"/>
    <w:rsid w:val="00736A9C"/>
    <w:rsid w:val="0073722F"/>
    <w:rsid w:val="00740AE0"/>
    <w:rsid w:val="00741D39"/>
    <w:rsid w:val="00741EBB"/>
    <w:rsid w:val="00742B4E"/>
    <w:rsid w:val="00742E5C"/>
    <w:rsid w:val="0074350F"/>
    <w:rsid w:val="00743A63"/>
    <w:rsid w:val="00743F80"/>
    <w:rsid w:val="00744449"/>
    <w:rsid w:val="007446E4"/>
    <w:rsid w:val="00744C4D"/>
    <w:rsid w:val="007450A6"/>
    <w:rsid w:val="00746015"/>
    <w:rsid w:val="00747717"/>
    <w:rsid w:val="00747EEE"/>
    <w:rsid w:val="00750120"/>
    <w:rsid w:val="007506F5"/>
    <w:rsid w:val="00751454"/>
    <w:rsid w:val="007515AE"/>
    <w:rsid w:val="007519EE"/>
    <w:rsid w:val="00752142"/>
    <w:rsid w:val="007521CB"/>
    <w:rsid w:val="007523F9"/>
    <w:rsid w:val="00752A82"/>
    <w:rsid w:val="00752E50"/>
    <w:rsid w:val="007548DA"/>
    <w:rsid w:val="007561BF"/>
    <w:rsid w:val="00756289"/>
    <w:rsid w:val="007571F2"/>
    <w:rsid w:val="007573E8"/>
    <w:rsid w:val="00757E3C"/>
    <w:rsid w:val="00760C4E"/>
    <w:rsid w:val="00761095"/>
    <w:rsid w:val="00764A3E"/>
    <w:rsid w:val="00765954"/>
    <w:rsid w:val="00765B1A"/>
    <w:rsid w:val="00766584"/>
    <w:rsid w:val="0076712F"/>
    <w:rsid w:val="00767803"/>
    <w:rsid w:val="00770582"/>
    <w:rsid w:val="00770715"/>
    <w:rsid w:val="00770A52"/>
    <w:rsid w:val="00771144"/>
    <w:rsid w:val="007713C7"/>
    <w:rsid w:val="007739AF"/>
    <w:rsid w:val="00773C48"/>
    <w:rsid w:val="00774686"/>
    <w:rsid w:val="007746BB"/>
    <w:rsid w:val="00774B0B"/>
    <w:rsid w:val="00775B57"/>
    <w:rsid w:val="00776E09"/>
    <w:rsid w:val="00776E98"/>
    <w:rsid w:val="00777A43"/>
    <w:rsid w:val="00777F1D"/>
    <w:rsid w:val="00780745"/>
    <w:rsid w:val="00780BCD"/>
    <w:rsid w:val="007813B3"/>
    <w:rsid w:val="00781E45"/>
    <w:rsid w:val="007825A0"/>
    <w:rsid w:val="007837BC"/>
    <w:rsid w:val="00783AA7"/>
    <w:rsid w:val="007843F2"/>
    <w:rsid w:val="00785593"/>
    <w:rsid w:val="00785E53"/>
    <w:rsid w:val="00786E39"/>
    <w:rsid w:val="00786FB2"/>
    <w:rsid w:val="00787B56"/>
    <w:rsid w:val="00790153"/>
    <w:rsid w:val="00790314"/>
    <w:rsid w:val="00790695"/>
    <w:rsid w:val="0079288C"/>
    <w:rsid w:val="0079527F"/>
    <w:rsid w:val="00797BBE"/>
    <w:rsid w:val="00797D91"/>
    <w:rsid w:val="007A0A12"/>
    <w:rsid w:val="007A132D"/>
    <w:rsid w:val="007A1E95"/>
    <w:rsid w:val="007A2C09"/>
    <w:rsid w:val="007A2EC6"/>
    <w:rsid w:val="007A4277"/>
    <w:rsid w:val="007A4BCC"/>
    <w:rsid w:val="007A5450"/>
    <w:rsid w:val="007B0D68"/>
    <w:rsid w:val="007B0DA1"/>
    <w:rsid w:val="007B1449"/>
    <w:rsid w:val="007B1CF5"/>
    <w:rsid w:val="007B251D"/>
    <w:rsid w:val="007B3C29"/>
    <w:rsid w:val="007B3CA7"/>
    <w:rsid w:val="007B3DA4"/>
    <w:rsid w:val="007B3E99"/>
    <w:rsid w:val="007B4498"/>
    <w:rsid w:val="007B4F09"/>
    <w:rsid w:val="007B4F58"/>
    <w:rsid w:val="007B528D"/>
    <w:rsid w:val="007B58AC"/>
    <w:rsid w:val="007B6995"/>
    <w:rsid w:val="007B6A80"/>
    <w:rsid w:val="007B6BDE"/>
    <w:rsid w:val="007B6F00"/>
    <w:rsid w:val="007B77D1"/>
    <w:rsid w:val="007B79A2"/>
    <w:rsid w:val="007C054E"/>
    <w:rsid w:val="007C1CD9"/>
    <w:rsid w:val="007C310E"/>
    <w:rsid w:val="007C361D"/>
    <w:rsid w:val="007C3C5F"/>
    <w:rsid w:val="007C4B84"/>
    <w:rsid w:val="007C4FB4"/>
    <w:rsid w:val="007C5F31"/>
    <w:rsid w:val="007C5FFC"/>
    <w:rsid w:val="007C6002"/>
    <w:rsid w:val="007C61ED"/>
    <w:rsid w:val="007C6249"/>
    <w:rsid w:val="007C6431"/>
    <w:rsid w:val="007C684B"/>
    <w:rsid w:val="007C6B3D"/>
    <w:rsid w:val="007C7F53"/>
    <w:rsid w:val="007D004F"/>
    <w:rsid w:val="007D03E7"/>
    <w:rsid w:val="007D06E5"/>
    <w:rsid w:val="007D0B38"/>
    <w:rsid w:val="007D2B2C"/>
    <w:rsid w:val="007D316A"/>
    <w:rsid w:val="007D373E"/>
    <w:rsid w:val="007D3771"/>
    <w:rsid w:val="007D3EEF"/>
    <w:rsid w:val="007D5440"/>
    <w:rsid w:val="007D5E01"/>
    <w:rsid w:val="007D6D3D"/>
    <w:rsid w:val="007D70AA"/>
    <w:rsid w:val="007E17B7"/>
    <w:rsid w:val="007E1993"/>
    <w:rsid w:val="007E1D3E"/>
    <w:rsid w:val="007E24E8"/>
    <w:rsid w:val="007E304D"/>
    <w:rsid w:val="007E380E"/>
    <w:rsid w:val="007E3C27"/>
    <w:rsid w:val="007E5306"/>
    <w:rsid w:val="007E5742"/>
    <w:rsid w:val="007F0833"/>
    <w:rsid w:val="007F0A57"/>
    <w:rsid w:val="007F1017"/>
    <w:rsid w:val="007F2794"/>
    <w:rsid w:val="007F4A3F"/>
    <w:rsid w:val="007F4A61"/>
    <w:rsid w:val="007F61C2"/>
    <w:rsid w:val="007F62FA"/>
    <w:rsid w:val="007F6DE1"/>
    <w:rsid w:val="00802E83"/>
    <w:rsid w:val="00803226"/>
    <w:rsid w:val="00805142"/>
    <w:rsid w:val="0080640A"/>
    <w:rsid w:val="0080671D"/>
    <w:rsid w:val="0080721D"/>
    <w:rsid w:val="00807A8B"/>
    <w:rsid w:val="00807EFC"/>
    <w:rsid w:val="0081037F"/>
    <w:rsid w:val="00810BC1"/>
    <w:rsid w:val="00811383"/>
    <w:rsid w:val="00812149"/>
    <w:rsid w:val="008126F2"/>
    <w:rsid w:val="00812CAC"/>
    <w:rsid w:val="00812E46"/>
    <w:rsid w:val="00812F07"/>
    <w:rsid w:val="008131E1"/>
    <w:rsid w:val="00813E25"/>
    <w:rsid w:val="00814378"/>
    <w:rsid w:val="00814A6E"/>
    <w:rsid w:val="008166EF"/>
    <w:rsid w:val="00820E0B"/>
    <w:rsid w:val="00820EC8"/>
    <w:rsid w:val="008219F2"/>
    <w:rsid w:val="008232C6"/>
    <w:rsid w:val="008239A6"/>
    <w:rsid w:val="00824591"/>
    <w:rsid w:val="0082471A"/>
    <w:rsid w:val="0082477B"/>
    <w:rsid w:val="00825751"/>
    <w:rsid w:val="008264EB"/>
    <w:rsid w:val="00827F71"/>
    <w:rsid w:val="00830432"/>
    <w:rsid w:val="00830BAC"/>
    <w:rsid w:val="0083102D"/>
    <w:rsid w:val="00831A0A"/>
    <w:rsid w:val="008333FB"/>
    <w:rsid w:val="00833B05"/>
    <w:rsid w:val="00833D0C"/>
    <w:rsid w:val="0083438E"/>
    <w:rsid w:val="00834677"/>
    <w:rsid w:val="00834C78"/>
    <w:rsid w:val="00834E21"/>
    <w:rsid w:val="008353E2"/>
    <w:rsid w:val="00835401"/>
    <w:rsid w:val="008362B4"/>
    <w:rsid w:val="008363BE"/>
    <w:rsid w:val="008365E0"/>
    <w:rsid w:val="00837666"/>
    <w:rsid w:val="00840BB3"/>
    <w:rsid w:val="00840CA2"/>
    <w:rsid w:val="0084104C"/>
    <w:rsid w:val="0084207B"/>
    <w:rsid w:val="0084374F"/>
    <w:rsid w:val="00844271"/>
    <w:rsid w:val="00844E74"/>
    <w:rsid w:val="00845C77"/>
    <w:rsid w:val="00847DF5"/>
    <w:rsid w:val="008517CA"/>
    <w:rsid w:val="0085309D"/>
    <w:rsid w:val="0085316B"/>
    <w:rsid w:val="00853753"/>
    <w:rsid w:val="0085398F"/>
    <w:rsid w:val="008546CE"/>
    <w:rsid w:val="00855DF9"/>
    <w:rsid w:val="00856897"/>
    <w:rsid w:val="00856980"/>
    <w:rsid w:val="00856E9A"/>
    <w:rsid w:val="00857A02"/>
    <w:rsid w:val="008602E6"/>
    <w:rsid w:val="0086075D"/>
    <w:rsid w:val="00860EE8"/>
    <w:rsid w:val="00862482"/>
    <w:rsid w:val="00862502"/>
    <w:rsid w:val="00863A75"/>
    <w:rsid w:val="00864009"/>
    <w:rsid w:val="008660D4"/>
    <w:rsid w:val="0086738A"/>
    <w:rsid w:val="0086788A"/>
    <w:rsid w:val="00870B43"/>
    <w:rsid w:val="00870EF6"/>
    <w:rsid w:val="0087199C"/>
    <w:rsid w:val="00871B6E"/>
    <w:rsid w:val="00871FA9"/>
    <w:rsid w:val="008721E8"/>
    <w:rsid w:val="008728E9"/>
    <w:rsid w:val="00872DB5"/>
    <w:rsid w:val="00873F12"/>
    <w:rsid w:val="00874557"/>
    <w:rsid w:val="008747FE"/>
    <w:rsid w:val="008761A1"/>
    <w:rsid w:val="00876930"/>
    <w:rsid w:val="00876A1F"/>
    <w:rsid w:val="008777B9"/>
    <w:rsid w:val="008801A3"/>
    <w:rsid w:val="00880BF7"/>
    <w:rsid w:val="00881A58"/>
    <w:rsid w:val="00882874"/>
    <w:rsid w:val="00882B01"/>
    <w:rsid w:val="008836D3"/>
    <w:rsid w:val="00883787"/>
    <w:rsid w:val="0088473D"/>
    <w:rsid w:val="008849DE"/>
    <w:rsid w:val="00884B12"/>
    <w:rsid w:val="00885B19"/>
    <w:rsid w:val="00885F7F"/>
    <w:rsid w:val="00886CD2"/>
    <w:rsid w:val="00886E61"/>
    <w:rsid w:val="00890A8C"/>
    <w:rsid w:val="00890B9B"/>
    <w:rsid w:val="00891AF3"/>
    <w:rsid w:val="00892A36"/>
    <w:rsid w:val="00893239"/>
    <w:rsid w:val="00894489"/>
    <w:rsid w:val="00894EA9"/>
    <w:rsid w:val="00894F91"/>
    <w:rsid w:val="00895232"/>
    <w:rsid w:val="00895C1B"/>
    <w:rsid w:val="008963A5"/>
    <w:rsid w:val="00897659"/>
    <w:rsid w:val="008A02F8"/>
    <w:rsid w:val="008A1AA9"/>
    <w:rsid w:val="008A1C51"/>
    <w:rsid w:val="008A2183"/>
    <w:rsid w:val="008A2351"/>
    <w:rsid w:val="008A24E6"/>
    <w:rsid w:val="008A30DD"/>
    <w:rsid w:val="008A3363"/>
    <w:rsid w:val="008A3371"/>
    <w:rsid w:val="008A3C3E"/>
    <w:rsid w:val="008A6B7C"/>
    <w:rsid w:val="008A7298"/>
    <w:rsid w:val="008A773D"/>
    <w:rsid w:val="008A79DE"/>
    <w:rsid w:val="008B1757"/>
    <w:rsid w:val="008B2944"/>
    <w:rsid w:val="008B5203"/>
    <w:rsid w:val="008B5340"/>
    <w:rsid w:val="008B5471"/>
    <w:rsid w:val="008B60C6"/>
    <w:rsid w:val="008B654F"/>
    <w:rsid w:val="008B6612"/>
    <w:rsid w:val="008B6B4C"/>
    <w:rsid w:val="008B70CE"/>
    <w:rsid w:val="008B7D7E"/>
    <w:rsid w:val="008C00D3"/>
    <w:rsid w:val="008C0581"/>
    <w:rsid w:val="008C0789"/>
    <w:rsid w:val="008C09E3"/>
    <w:rsid w:val="008C2FD9"/>
    <w:rsid w:val="008C3C14"/>
    <w:rsid w:val="008C59D8"/>
    <w:rsid w:val="008C6177"/>
    <w:rsid w:val="008C7720"/>
    <w:rsid w:val="008C7ECB"/>
    <w:rsid w:val="008D1263"/>
    <w:rsid w:val="008D22F8"/>
    <w:rsid w:val="008D29FA"/>
    <w:rsid w:val="008D3090"/>
    <w:rsid w:val="008D32EC"/>
    <w:rsid w:val="008D3416"/>
    <w:rsid w:val="008D4755"/>
    <w:rsid w:val="008D4C3D"/>
    <w:rsid w:val="008D4CCC"/>
    <w:rsid w:val="008D51C7"/>
    <w:rsid w:val="008D6806"/>
    <w:rsid w:val="008D6B78"/>
    <w:rsid w:val="008E0D3C"/>
    <w:rsid w:val="008E0F3E"/>
    <w:rsid w:val="008E0FBC"/>
    <w:rsid w:val="008E1A24"/>
    <w:rsid w:val="008E1B9E"/>
    <w:rsid w:val="008E22C0"/>
    <w:rsid w:val="008E27FC"/>
    <w:rsid w:val="008E55AB"/>
    <w:rsid w:val="008E61CC"/>
    <w:rsid w:val="008E778A"/>
    <w:rsid w:val="008F04B9"/>
    <w:rsid w:val="008F120A"/>
    <w:rsid w:val="008F1D3F"/>
    <w:rsid w:val="008F27E0"/>
    <w:rsid w:val="008F3614"/>
    <w:rsid w:val="008F44DD"/>
    <w:rsid w:val="008F48EB"/>
    <w:rsid w:val="008F49F1"/>
    <w:rsid w:val="008F4E2E"/>
    <w:rsid w:val="008F4F0B"/>
    <w:rsid w:val="008F4F3E"/>
    <w:rsid w:val="008F58BD"/>
    <w:rsid w:val="0090113A"/>
    <w:rsid w:val="0090437F"/>
    <w:rsid w:val="009046C4"/>
    <w:rsid w:val="00904913"/>
    <w:rsid w:val="00904D60"/>
    <w:rsid w:val="00905155"/>
    <w:rsid w:val="009062A5"/>
    <w:rsid w:val="00906463"/>
    <w:rsid w:val="00906CCB"/>
    <w:rsid w:val="00906FAF"/>
    <w:rsid w:val="00910637"/>
    <w:rsid w:val="00910A44"/>
    <w:rsid w:val="00910F0B"/>
    <w:rsid w:val="00911272"/>
    <w:rsid w:val="00911CF0"/>
    <w:rsid w:val="009130E6"/>
    <w:rsid w:val="00913215"/>
    <w:rsid w:val="009134FA"/>
    <w:rsid w:val="009135D6"/>
    <w:rsid w:val="00913C86"/>
    <w:rsid w:val="009147D6"/>
    <w:rsid w:val="00914C77"/>
    <w:rsid w:val="00914E26"/>
    <w:rsid w:val="00914E7C"/>
    <w:rsid w:val="009172AF"/>
    <w:rsid w:val="009176B6"/>
    <w:rsid w:val="00917873"/>
    <w:rsid w:val="00917CB7"/>
    <w:rsid w:val="00920900"/>
    <w:rsid w:val="009212D9"/>
    <w:rsid w:val="0092369B"/>
    <w:rsid w:val="0092392D"/>
    <w:rsid w:val="0092446A"/>
    <w:rsid w:val="0092461F"/>
    <w:rsid w:val="00924CEE"/>
    <w:rsid w:val="009251DE"/>
    <w:rsid w:val="00925FB4"/>
    <w:rsid w:val="00926853"/>
    <w:rsid w:val="00927BA5"/>
    <w:rsid w:val="0093035A"/>
    <w:rsid w:val="00930A64"/>
    <w:rsid w:val="00933D60"/>
    <w:rsid w:val="00933E45"/>
    <w:rsid w:val="0093510E"/>
    <w:rsid w:val="009351C1"/>
    <w:rsid w:val="00935228"/>
    <w:rsid w:val="00935450"/>
    <w:rsid w:val="0093575A"/>
    <w:rsid w:val="00936F2A"/>
    <w:rsid w:val="00940D22"/>
    <w:rsid w:val="0094297C"/>
    <w:rsid w:val="00944D28"/>
    <w:rsid w:val="0094681C"/>
    <w:rsid w:val="009468D4"/>
    <w:rsid w:val="00946E0D"/>
    <w:rsid w:val="009510A2"/>
    <w:rsid w:val="0095270D"/>
    <w:rsid w:val="00953257"/>
    <w:rsid w:val="00954B54"/>
    <w:rsid w:val="00955DAC"/>
    <w:rsid w:val="00957405"/>
    <w:rsid w:val="00957FCE"/>
    <w:rsid w:val="00960C2A"/>
    <w:rsid w:val="009611A0"/>
    <w:rsid w:val="009616E3"/>
    <w:rsid w:val="00961A06"/>
    <w:rsid w:val="009621BB"/>
    <w:rsid w:val="00962B48"/>
    <w:rsid w:val="00962CB9"/>
    <w:rsid w:val="00964059"/>
    <w:rsid w:val="00964312"/>
    <w:rsid w:val="009648A1"/>
    <w:rsid w:val="00964A60"/>
    <w:rsid w:val="0096552B"/>
    <w:rsid w:val="00965B8A"/>
    <w:rsid w:val="009663D9"/>
    <w:rsid w:val="00966575"/>
    <w:rsid w:val="00967CF8"/>
    <w:rsid w:val="00967D23"/>
    <w:rsid w:val="00967FD8"/>
    <w:rsid w:val="009717AC"/>
    <w:rsid w:val="00971ABC"/>
    <w:rsid w:val="00972C16"/>
    <w:rsid w:val="00973193"/>
    <w:rsid w:val="00973468"/>
    <w:rsid w:val="009774AA"/>
    <w:rsid w:val="00981D19"/>
    <w:rsid w:val="009821CE"/>
    <w:rsid w:val="009825B3"/>
    <w:rsid w:val="009829C1"/>
    <w:rsid w:val="00983E57"/>
    <w:rsid w:val="00984252"/>
    <w:rsid w:val="009842DF"/>
    <w:rsid w:val="00984D9B"/>
    <w:rsid w:val="00985F9F"/>
    <w:rsid w:val="00985FE2"/>
    <w:rsid w:val="009860E9"/>
    <w:rsid w:val="009864CB"/>
    <w:rsid w:val="0098675D"/>
    <w:rsid w:val="00986DB2"/>
    <w:rsid w:val="00987E6E"/>
    <w:rsid w:val="00987FAA"/>
    <w:rsid w:val="00990380"/>
    <w:rsid w:val="00990E06"/>
    <w:rsid w:val="00991AA5"/>
    <w:rsid w:val="00991DA0"/>
    <w:rsid w:val="00992378"/>
    <w:rsid w:val="00993FAA"/>
    <w:rsid w:val="009959A7"/>
    <w:rsid w:val="00996B1A"/>
    <w:rsid w:val="009976F2"/>
    <w:rsid w:val="009A01BE"/>
    <w:rsid w:val="009A143D"/>
    <w:rsid w:val="009A30B8"/>
    <w:rsid w:val="009A3DAD"/>
    <w:rsid w:val="009A4042"/>
    <w:rsid w:val="009A43A4"/>
    <w:rsid w:val="009A4850"/>
    <w:rsid w:val="009A5F17"/>
    <w:rsid w:val="009A6B02"/>
    <w:rsid w:val="009A7067"/>
    <w:rsid w:val="009A743E"/>
    <w:rsid w:val="009A7D38"/>
    <w:rsid w:val="009A7DBC"/>
    <w:rsid w:val="009A7F10"/>
    <w:rsid w:val="009B0233"/>
    <w:rsid w:val="009B05A8"/>
    <w:rsid w:val="009B07E2"/>
    <w:rsid w:val="009B0BC1"/>
    <w:rsid w:val="009B3E26"/>
    <w:rsid w:val="009B4833"/>
    <w:rsid w:val="009B52B3"/>
    <w:rsid w:val="009B5C78"/>
    <w:rsid w:val="009B602F"/>
    <w:rsid w:val="009B67A9"/>
    <w:rsid w:val="009C1826"/>
    <w:rsid w:val="009C1E5F"/>
    <w:rsid w:val="009C2BD4"/>
    <w:rsid w:val="009C3769"/>
    <w:rsid w:val="009C6AE6"/>
    <w:rsid w:val="009C6CEA"/>
    <w:rsid w:val="009C7B85"/>
    <w:rsid w:val="009D002F"/>
    <w:rsid w:val="009D10E5"/>
    <w:rsid w:val="009D3B9E"/>
    <w:rsid w:val="009D42A9"/>
    <w:rsid w:val="009D5B91"/>
    <w:rsid w:val="009D6DAD"/>
    <w:rsid w:val="009D792E"/>
    <w:rsid w:val="009D7A17"/>
    <w:rsid w:val="009E07F2"/>
    <w:rsid w:val="009E0DFE"/>
    <w:rsid w:val="009E2B81"/>
    <w:rsid w:val="009E41DE"/>
    <w:rsid w:val="009E4C07"/>
    <w:rsid w:val="009E5A08"/>
    <w:rsid w:val="009E5CB4"/>
    <w:rsid w:val="009E6FC5"/>
    <w:rsid w:val="009E7E4B"/>
    <w:rsid w:val="009E7F8D"/>
    <w:rsid w:val="009F080F"/>
    <w:rsid w:val="009F084F"/>
    <w:rsid w:val="009F1D02"/>
    <w:rsid w:val="009F22AF"/>
    <w:rsid w:val="009F2DBC"/>
    <w:rsid w:val="009F2F74"/>
    <w:rsid w:val="009F3059"/>
    <w:rsid w:val="009F4569"/>
    <w:rsid w:val="009F49E1"/>
    <w:rsid w:val="009F4CE8"/>
    <w:rsid w:val="009F5180"/>
    <w:rsid w:val="009F5351"/>
    <w:rsid w:val="009F61B4"/>
    <w:rsid w:val="009F7738"/>
    <w:rsid w:val="00A00646"/>
    <w:rsid w:val="00A00746"/>
    <w:rsid w:val="00A00C38"/>
    <w:rsid w:val="00A01163"/>
    <w:rsid w:val="00A01184"/>
    <w:rsid w:val="00A02024"/>
    <w:rsid w:val="00A022AB"/>
    <w:rsid w:val="00A03D43"/>
    <w:rsid w:val="00A0403C"/>
    <w:rsid w:val="00A042A4"/>
    <w:rsid w:val="00A04380"/>
    <w:rsid w:val="00A057DC"/>
    <w:rsid w:val="00A06811"/>
    <w:rsid w:val="00A116A4"/>
    <w:rsid w:val="00A11CD0"/>
    <w:rsid w:val="00A123E2"/>
    <w:rsid w:val="00A134D7"/>
    <w:rsid w:val="00A13948"/>
    <w:rsid w:val="00A144D0"/>
    <w:rsid w:val="00A15188"/>
    <w:rsid w:val="00A1555B"/>
    <w:rsid w:val="00A155C5"/>
    <w:rsid w:val="00A16AD8"/>
    <w:rsid w:val="00A17E77"/>
    <w:rsid w:val="00A20007"/>
    <w:rsid w:val="00A2000E"/>
    <w:rsid w:val="00A2049C"/>
    <w:rsid w:val="00A211BF"/>
    <w:rsid w:val="00A21671"/>
    <w:rsid w:val="00A21CF3"/>
    <w:rsid w:val="00A22213"/>
    <w:rsid w:val="00A224AA"/>
    <w:rsid w:val="00A264C2"/>
    <w:rsid w:val="00A26B1C"/>
    <w:rsid w:val="00A26E43"/>
    <w:rsid w:val="00A279C5"/>
    <w:rsid w:val="00A27AEC"/>
    <w:rsid w:val="00A30A31"/>
    <w:rsid w:val="00A30C40"/>
    <w:rsid w:val="00A31467"/>
    <w:rsid w:val="00A320DB"/>
    <w:rsid w:val="00A349CA"/>
    <w:rsid w:val="00A351DC"/>
    <w:rsid w:val="00A35D16"/>
    <w:rsid w:val="00A35FBF"/>
    <w:rsid w:val="00A36564"/>
    <w:rsid w:val="00A37023"/>
    <w:rsid w:val="00A370F4"/>
    <w:rsid w:val="00A3799F"/>
    <w:rsid w:val="00A37BCD"/>
    <w:rsid w:val="00A37DA1"/>
    <w:rsid w:val="00A42C1A"/>
    <w:rsid w:val="00A43719"/>
    <w:rsid w:val="00A43C59"/>
    <w:rsid w:val="00A442EE"/>
    <w:rsid w:val="00A45F49"/>
    <w:rsid w:val="00A46C79"/>
    <w:rsid w:val="00A50ECD"/>
    <w:rsid w:val="00A518F3"/>
    <w:rsid w:val="00A52233"/>
    <w:rsid w:val="00A524B0"/>
    <w:rsid w:val="00A524C8"/>
    <w:rsid w:val="00A52729"/>
    <w:rsid w:val="00A52B0C"/>
    <w:rsid w:val="00A534F9"/>
    <w:rsid w:val="00A53675"/>
    <w:rsid w:val="00A53FE3"/>
    <w:rsid w:val="00A54D64"/>
    <w:rsid w:val="00A550B6"/>
    <w:rsid w:val="00A55EA7"/>
    <w:rsid w:val="00A564D7"/>
    <w:rsid w:val="00A56975"/>
    <w:rsid w:val="00A56B6A"/>
    <w:rsid w:val="00A57396"/>
    <w:rsid w:val="00A578DC"/>
    <w:rsid w:val="00A60405"/>
    <w:rsid w:val="00A60856"/>
    <w:rsid w:val="00A612DE"/>
    <w:rsid w:val="00A61B2F"/>
    <w:rsid w:val="00A62C43"/>
    <w:rsid w:val="00A62DE2"/>
    <w:rsid w:val="00A63F42"/>
    <w:rsid w:val="00A64339"/>
    <w:rsid w:val="00A65A1D"/>
    <w:rsid w:val="00A66680"/>
    <w:rsid w:val="00A670CE"/>
    <w:rsid w:val="00A6725B"/>
    <w:rsid w:val="00A7006F"/>
    <w:rsid w:val="00A70196"/>
    <w:rsid w:val="00A7048C"/>
    <w:rsid w:val="00A70605"/>
    <w:rsid w:val="00A728B9"/>
    <w:rsid w:val="00A72B42"/>
    <w:rsid w:val="00A72D49"/>
    <w:rsid w:val="00A73134"/>
    <w:rsid w:val="00A7348F"/>
    <w:rsid w:val="00A74C3B"/>
    <w:rsid w:val="00A7509B"/>
    <w:rsid w:val="00A76C13"/>
    <w:rsid w:val="00A7741A"/>
    <w:rsid w:val="00A777B2"/>
    <w:rsid w:val="00A77C74"/>
    <w:rsid w:val="00A810A1"/>
    <w:rsid w:val="00A81705"/>
    <w:rsid w:val="00A82452"/>
    <w:rsid w:val="00A8418F"/>
    <w:rsid w:val="00A8438A"/>
    <w:rsid w:val="00A8512A"/>
    <w:rsid w:val="00A8621F"/>
    <w:rsid w:val="00A86E8B"/>
    <w:rsid w:val="00A87164"/>
    <w:rsid w:val="00A87B03"/>
    <w:rsid w:val="00A9024C"/>
    <w:rsid w:val="00A90293"/>
    <w:rsid w:val="00A91E03"/>
    <w:rsid w:val="00A92E79"/>
    <w:rsid w:val="00A93072"/>
    <w:rsid w:val="00A932F7"/>
    <w:rsid w:val="00A93953"/>
    <w:rsid w:val="00A9433D"/>
    <w:rsid w:val="00A94CEB"/>
    <w:rsid w:val="00A953F5"/>
    <w:rsid w:val="00A959D8"/>
    <w:rsid w:val="00A9626D"/>
    <w:rsid w:val="00A97240"/>
    <w:rsid w:val="00AA06BD"/>
    <w:rsid w:val="00AA0B7F"/>
    <w:rsid w:val="00AA0C0D"/>
    <w:rsid w:val="00AA101E"/>
    <w:rsid w:val="00AA113D"/>
    <w:rsid w:val="00AA1A87"/>
    <w:rsid w:val="00AA1E1E"/>
    <w:rsid w:val="00AA2328"/>
    <w:rsid w:val="00AA2C22"/>
    <w:rsid w:val="00AA3046"/>
    <w:rsid w:val="00AA3AEA"/>
    <w:rsid w:val="00AA41EC"/>
    <w:rsid w:val="00AA4F71"/>
    <w:rsid w:val="00AA6C7D"/>
    <w:rsid w:val="00AA782C"/>
    <w:rsid w:val="00AA7FD6"/>
    <w:rsid w:val="00AB0108"/>
    <w:rsid w:val="00AB042A"/>
    <w:rsid w:val="00AB0F57"/>
    <w:rsid w:val="00AB11DF"/>
    <w:rsid w:val="00AB26A1"/>
    <w:rsid w:val="00AB2D34"/>
    <w:rsid w:val="00AB2E07"/>
    <w:rsid w:val="00AB3430"/>
    <w:rsid w:val="00AB419C"/>
    <w:rsid w:val="00AB4574"/>
    <w:rsid w:val="00AB488C"/>
    <w:rsid w:val="00AB4AD1"/>
    <w:rsid w:val="00AB6108"/>
    <w:rsid w:val="00AB61A8"/>
    <w:rsid w:val="00AB75A3"/>
    <w:rsid w:val="00AB7CFA"/>
    <w:rsid w:val="00AC08B0"/>
    <w:rsid w:val="00AC0DFF"/>
    <w:rsid w:val="00AC2377"/>
    <w:rsid w:val="00AC2CB9"/>
    <w:rsid w:val="00AC3154"/>
    <w:rsid w:val="00AC32CA"/>
    <w:rsid w:val="00AC3C15"/>
    <w:rsid w:val="00AC42C7"/>
    <w:rsid w:val="00AC4E19"/>
    <w:rsid w:val="00AC5501"/>
    <w:rsid w:val="00AC5B48"/>
    <w:rsid w:val="00AC614A"/>
    <w:rsid w:val="00AD13CF"/>
    <w:rsid w:val="00AD2870"/>
    <w:rsid w:val="00AD3A14"/>
    <w:rsid w:val="00AD3B51"/>
    <w:rsid w:val="00AD5ACB"/>
    <w:rsid w:val="00AD5D76"/>
    <w:rsid w:val="00AD6082"/>
    <w:rsid w:val="00AD6502"/>
    <w:rsid w:val="00AD739B"/>
    <w:rsid w:val="00AE0380"/>
    <w:rsid w:val="00AE0609"/>
    <w:rsid w:val="00AE23C2"/>
    <w:rsid w:val="00AE241E"/>
    <w:rsid w:val="00AE261C"/>
    <w:rsid w:val="00AE350D"/>
    <w:rsid w:val="00AE36E4"/>
    <w:rsid w:val="00AE39A0"/>
    <w:rsid w:val="00AE3DAA"/>
    <w:rsid w:val="00AE49B2"/>
    <w:rsid w:val="00AE569D"/>
    <w:rsid w:val="00AE61DD"/>
    <w:rsid w:val="00AE665F"/>
    <w:rsid w:val="00AE692C"/>
    <w:rsid w:val="00AE6AD2"/>
    <w:rsid w:val="00AF0910"/>
    <w:rsid w:val="00AF1039"/>
    <w:rsid w:val="00AF1315"/>
    <w:rsid w:val="00AF1598"/>
    <w:rsid w:val="00AF19BF"/>
    <w:rsid w:val="00AF2DC3"/>
    <w:rsid w:val="00AF36C4"/>
    <w:rsid w:val="00AF4C4E"/>
    <w:rsid w:val="00AF4E7F"/>
    <w:rsid w:val="00AF55FA"/>
    <w:rsid w:val="00AF603B"/>
    <w:rsid w:val="00AF76EA"/>
    <w:rsid w:val="00AF7A54"/>
    <w:rsid w:val="00B01392"/>
    <w:rsid w:val="00B020DE"/>
    <w:rsid w:val="00B032DF"/>
    <w:rsid w:val="00B033E5"/>
    <w:rsid w:val="00B03A63"/>
    <w:rsid w:val="00B0482F"/>
    <w:rsid w:val="00B052BB"/>
    <w:rsid w:val="00B05E61"/>
    <w:rsid w:val="00B072E5"/>
    <w:rsid w:val="00B07F38"/>
    <w:rsid w:val="00B10336"/>
    <w:rsid w:val="00B10E7E"/>
    <w:rsid w:val="00B10E89"/>
    <w:rsid w:val="00B119E1"/>
    <w:rsid w:val="00B124F5"/>
    <w:rsid w:val="00B16D59"/>
    <w:rsid w:val="00B17DA2"/>
    <w:rsid w:val="00B201A4"/>
    <w:rsid w:val="00B20764"/>
    <w:rsid w:val="00B213A6"/>
    <w:rsid w:val="00B2165C"/>
    <w:rsid w:val="00B21C94"/>
    <w:rsid w:val="00B22338"/>
    <w:rsid w:val="00B22707"/>
    <w:rsid w:val="00B22756"/>
    <w:rsid w:val="00B22FDD"/>
    <w:rsid w:val="00B23718"/>
    <w:rsid w:val="00B2382C"/>
    <w:rsid w:val="00B2425A"/>
    <w:rsid w:val="00B24D79"/>
    <w:rsid w:val="00B24DF6"/>
    <w:rsid w:val="00B2530A"/>
    <w:rsid w:val="00B26591"/>
    <w:rsid w:val="00B271E4"/>
    <w:rsid w:val="00B27632"/>
    <w:rsid w:val="00B30A99"/>
    <w:rsid w:val="00B30C43"/>
    <w:rsid w:val="00B30C87"/>
    <w:rsid w:val="00B31406"/>
    <w:rsid w:val="00B3433D"/>
    <w:rsid w:val="00B3451C"/>
    <w:rsid w:val="00B34F8E"/>
    <w:rsid w:val="00B34FE2"/>
    <w:rsid w:val="00B357D8"/>
    <w:rsid w:val="00B359FD"/>
    <w:rsid w:val="00B35B78"/>
    <w:rsid w:val="00B36A44"/>
    <w:rsid w:val="00B36BE8"/>
    <w:rsid w:val="00B36E28"/>
    <w:rsid w:val="00B36EFA"/>
    <w:rsid w:val="00B37BFC"/>
    <w:rsid w:val="00B37D30"/>
    <w:rsid w:val="00B402F5"/>
    <w:rsid w:val="00B40358"/>
    <w:rsid w:val="00B40B31"/>
    <w:rsid w:val="00B410A1"/>
    <w:rsid w:val="00B41614"/>
    <w:rsid w:val="00B42851"/>
    <w:rsid w:val="00B42F80"/>
    <w:rsid w:val="00B431F1"/>
    <w:rsid w:val="00B435CB"/>
    <w:rsid w:val="00B439A2"/>
    <w:rsid w:val="00B44399"/>
    <w:rsid w:val="00B46258"/>
    <w:rsid w:val="00B46566"/>
    <w:rsid w:val="00B47F58"/>
    <w:rsid w:val="00B50724"/>
    <w:rsid w:val="00B50B23"/>
    <w:rsid w:val="00B50DB8"/>
    <w:rsid w:val="00B51162"/>
    <w:rsid w:val="00B53654"/>
    <w:rsid w:val="00B53905"/>
    <w:rsid w:val="00B5412A"/>
    <w:rsid w:val="00B548EF"/>
    <w:rsid w:val="00B54B5B"/>
    <w:rsid w:val="00B5562E"/>
    <w:rsid w:val="00B55AE4"/>
    <w:rsid w:val="00B55E48"/>
    <w:rsid w:val="00B55F00"/>
    <w:rsid w:val="00B56E85"/>
    <w:rsid w:val="00B57000"/>
    <w:rsid w:val="00B570F2"/>
    <w:rsid w:val="00B602DB"/>
    <w:rsid w:val="00B60939"/>
    <w:rsid w:val="00B60AFD"/>
    <w:rsid w:val="00B60CBB"/>
    <w:rsid w:val="00B6114E"/>
    <w:rsid w:val="00B61A38"/>
    <w:rsid w:val="00B62276"/>
    <w:rsid w:val="00B62715"/>
    <w:rsid w:val="00B62767"/>
    <w:rsid w:val="00B63B63"/>
    <w:rsid w:val="00B64752"/>
    <w:rsid w:val="00B66190"/>
    <w:rsid w:val="00B66C3E"/>
    <w:rsid w:val="00B677ED"/>
    <w:rsid w:val="00B705DD"/>
    <w:rsid w:val="00B722D9"/>
    <w:rsid w:val="00B7286B"/>
    <w:rsid w:val="00B72E2D"/>
    <w:rsid w:val="00B73182"/>
    <w:rsid w:val="00B73C9B"/>
    <w:rsid w:val="00B7474C"/>
    <w:rsid w:val="00B75644"/>
    <w:rsid w:val="00B75ACC"/>
    <w:rsid w:val="00B76943"/>
    <w:rsid w:val="00B774EF"/>
    <w:rsid w:val="00B802BC"/>
    <w:rsid w:val="00B802D1"/>
    <w:rsid w:val="00B80B2A"/>
    <w:rsid w:val="00B81072"/>
    <w:rsid w:val="00B818A4"/>
    <w:rsid w:val="00B826D3"/>
    <w:rsid w:val="00B82CAA"/>
    <w:rsid w:val="00B82CE0"/>
    <w:rsid w:val="00B82F6C"/>
    <w:rsid w:val="00B84117"/>
    <w:rsid w:val="00B8437D"/>
    <w:rsid w:val="00B84967"/>
    <w:rsid w:val="00B84A29"/>
    <w:rsid w:val="00B852C9"/>
    <w:rsid w:val="00B85AA2"/>
    <w:rsid w:val="00B8649C"/>
    <w:rsid w:val="00B865BD"/>
    <w:rsid w:val="00B86CBE"/>
    <w:rsid w:val="00B878E7"/>
    <w:rsid w:val="00B87F0A"/>
    <w:rsid w:val="00B90A9D"/>
    <w:rsid w:val="00B9236E"/>
    <w:rsid w:val="00B92D0B"/>
    <w:rsid w:val="00B94096"/>
    <w:rsid w:val="00B94743"/>
    <w:rsid w:val="00B94945"/>
    <w:rsid w:val="00B94F8A"/>
    <w:rsid w:val="00B952C1"/>
    <w:rsid w:val="00B95942"/>
    <w:rsid w:val="00B962A2"/>
    <w:rsid w:val="00B96F73"/>
    <w:rsid w:val="00BA0834"/>
    <w:rsid w:val="00BA145A"/>
    <w:rsid w:val="00BA1AA7"/>
    <w:rsid w:val="00BA28D1"/>
    <w:rsid w:val="00BA322D"/>
    <w:rsid w:val="00BA37FF"/>
    <w:rsid w:val="00BA3CE7"/>
    <w:rsid w:val="00BA3F8B"/>
    <w:rsid w:val="00BA41E2"/>
    <w:rsid w:val="00BA52AF"/>
    <w:rsid w:val="00BA5F4B"/>
    <w:rsid w:val="00BA629D"/>
    <w:rsid w:val="00BA62B6"/>
    <w:rsid w:val="00BA630E"/>
    <w:rsid w:val="00BA7742"/>
    <w:rsid w:val="00BB057F"/>
    <w:rsid w:val="00BB0BDD"/>
    <w:rsid w:val="00BB2A73"/>
    <w:rsid w:val="00BB3453"/>
    <w:rsid w:val="00BB34BD"/>
    <w:rsid w:val="00BB4ACC"/>
    <w:rsid w:val="00BB4CB3"/>
    <w:rsid w:val="00BB56E9"/>
    <w:rsid w:val="00BB574E"/>
    <w:rsid w:val="00BB6DAE"/>
    <w:rsid w:val="00BB6DB3"/>
    <w:rsid w:val="00BB703E"/>
    <w:rsid w:val="00BB7405"/>
    <w:rsid w:val="00BC142F"/>
    <w:rsid w:val="00BC1AFE"/>
    <w:rsid w:val="00BC22E2"/>
    <w:rsid w:val="00BC35E2"/>
    <w:rsid w:val="00BC3631"/>
    <w:rsid w:val="00BC44BC"/>
    <w:rsid w:val="00BC4507"/>
    <w:rsid w:val="00BC4F5E"/>
    <w:rsid w:val="00BC5AC0"/>
    <w:rsid w:val="00BC646F"/>
    <w:rsid w:val="00BC7085"/>
    <w:rsid w:val="00BC708A"/>
    <w:rsid w:val="00BC7128"/>
    <w:rsid w:val="00BC777E"/>
    <w:rsid w:val="00BC7A64"/>
    <w:rsid w:val="00BD1612"/>
    <w:rsid w:val="00BD384A"/>
    <w:rsid w:val="00BD3906"/>
    <w:rsid w:val="00BD3FA2"/>
    <w:rsid w:val="00BD4167"/>
    <w:rsid w:val="00BD4774"/>
    <w:rsid w:val="00BD487E"/>
    <w:rsid w:val="00BD4DBE"/>
    <w:rsid w:val="00BD561B"/>
    <w:rsid w:val="00BD58AD"/>
    <w:rsid w:val="00BD68A3"/>
    <w:rsid w:val="00BD6938"/>
    <w:rsid w:val="00BD6CF3"/>
    <w:rsid w:val="00BD720C"/>
    <w:rsid w:val="00BD770C"/>
    <w:rsid w:val="00BE01E5"/>
    <w:rsid w:val="00BE0E08"/>
    <w:rsid w:val="00BE2180"/>
    <w:rsid w:val="00BE21F2"/>
    <w:rsid w:val="00BE4275"/>
    <w:rsid w:val="00BE4F33"/>
    <w:rsid w:val="00BE67A5"/>
    <w:rsid w:val="00BE70E1"/>
    <w:rsid w:val="00BE7481"/>
    <w:rsid w:val="00BE7DB3"/>
    <w:rsid w:val="00BF03C7"/>
    <w:rsid w:val="00BF0DD5"/>
    <w:rsid w:val="00BF0E06"/>
    <w:rsid w:val="00BF0F95"/>
    <w:rsid w:val="00BF12CD"/>
    <w:rsid w:val="00BF1E4A"/>
    <w:rsid w:val="00BF1E95"/>
    <w:rsid w:val="00BF2433"/>
    <w:rsid w:val="00BF276E"/>
    <w:rsid w:val="00BF31CF"/>
    <w:rsid w:val="00BF32E6"/>
    <w:rsid w:val="00BF36B1"/>
    <w:rsid w:val="00BF3B75"/>
    <w:rsid w:val="00BF430D"/>
    <w:rsid w:val="00BF48C7"/>
    <w:rsid w:val="00BF5BBA"/>
    <w:rsid w:val="00BF61C9"/>
    <w:rsid w:val="00BF682D"/>
    <w:rsid w:val="00BF6C94"/>
    <w:rsid w:val="00BF75E7"/>
    <w:rsid w:val="00C00424"/>
    <w:rsid w:val="00C00BF2"/>
    <w:rsid w:val="00C01D0A"/>
    <w:rsid w:val="00C01D76"/>
    <w:rsid w:val="00C01F07"/>
    <w:rsid w:val="00C01FE4"/>
    <w:rsid w:val="00C0315D"/>
    <w:rsid w:val="00C035C6"/>
    <w:rsid w:val="00C038C2"/>
    <w:rsid w:val="00C0418C"/>
    <w:rsid w:val="00C04BD8"/>
    <w:rsid w:val="00C051CD"/>
    <w:rsid w:val="00C060C6"/>
    <w:rsid w:val="00C0799A"/>
    <w:rsid w:val="00C07D7B"/>
    <w:rsid w:val="00C11392"/>
    <w:rsid w:val="00C1202A"/>
    <w:rsid w:val="00C12C14"/>
    <w:rsid w:val="00C137FD"/>
    <w:rsid w:val="00C13BA5"/>
    <w:rsid w:val="00C14011"/>
    <w:rsid w:val="00C150F0"/>
    <w:rsid w:val="00C15ECC"/>
    <w:rsid w:val="00C16DDB"/>
    <w:rsid w:val="00C17F0F"/>
    <w:rsid w:val="00C200AA"/>
    <w:rsid w:val="00C226D4"/>
    <w:rsid w:val="00C237ED"/>
    <w:rsid w:val="00C23FBC"/>
    <w:rsid w:val="00C24632"/>
    <w:rsid w:val="00C252FF"/>
    <w:rsid w:val="00C25418"/>
    <w:rsid w:val="00C25D9C"/>
    <w:rsid w:val="00C2638B"/>
    <w:rsid w:val="00C274FA"/>
    <w:rsid w:val="00C2778B"/>
    <w:rsid w:val="00C31649"/>
    <w:rsid w:val="00C318E1"/>
    <w:rsid w:val="00C3196E"/>
    <w:rsid w:val="00C32A93"/>
    <w:rsid w:val="00C32B94"/>
    <w:rsid w:val="00C34BDD"/>
    <w:rsid w:val="00C362B4"/>
    <w:rsid w:val="00C374E3"/>
    <w:rsid w:val="00C40385"/>
    <w:rsid w:val="00C406C7"/>
    <w:rsid w:val="00C40CBD"/>
    <w:rsid w:val="00C4105C"/>
    <w:rsid w:val="00C410AB"/>
    <w:rsid w:val="00C4135A"/>
    <w:rsid w:val="00C41EE0"/>
    <w:rsid w:val="00C4351A"/>
    <w:rsid w:val="00C43FAA"/>
    <w:rsid w:val="00C4527B"/>
    <w:rsid w:val="00C45D5E"/>
    <w:rsid w:val="00C45D84"/>
    <w:rsid w:val="00C473A5"/>
    <w:rsid w:val="00C475AA"/>
    <w:rsid w:val="00C5047A"/>
    <w:rsid w:val="00C511F8"/>
    <w:rsid w:val="00C516F7"/>
    <w:rsid w:val="00C51D99"/>
    <w:rsid w:val="00C52FE7"/>
    <w:rsid w:val="00C5338B"/>
    <w:rsid w:val="00C53EC1"/>
    <w:rsid w:val="00C541D6"/>
    <w:rsid w:val="00C54C36"/>
    <w:rsid w:val="00C5512C"/>
    <w:rsid w:val="00C55B41"/>
    <w:rsid w:val="00C56185"/>
    <w:rsid w:val="00C5714B"/>
    <w:rsid w:val="00C574D6"/>
    <w:rsid w:val="00C60050"/>
    <w:rsid w:val="00C60130"/>
    <w:rsid w:val="00C6072F"/>
    <w:rsid w:val="00C60F3E"/>
    <w:rsid w:val="00C61362"/>
    <w:rsid w:val="00C613F5"/>
    <w:rsid w:val="00C626B9"/>
    <w:rsid w:val="00C62AFF"/>
    <w:rsid w:val="00C633CB"/>
    <w:rsid w:val="00C6389E"/>
    <w:rsid w:val="00C63FA8"/>
    <w:rsid w:val="00C65576"/>
    <w:rsid w:val="00C65CE5"/>
    <w:rsid w:val="00C66165"/>
    <w:rsid w:val="00C67E38"/>
    <w:rsid w:val="00C67E56"/>
    <w:rsid w:val="00C702E7"/>
    <w:rsid w:val="00C705D3"/>
    <w:rsid w:val="00C70D36"/>
    <w:rsid w:val="00C7151A"/>
    <w:rsid w:val="00C71E9E"/>
    <w:rsid w:val="00C71F60"/>
    <w:rsid w:val="00C72241"/>
    <w:rsid w:val="00C72372"/>
    <w:rsid w:val="00C7296B"/>
    <w:rsid w:val="00C73FFA"/>
    <w:rsid w:val="00C74B93"/>
    <w:rsid w:val="00C750C8"/>
    <w:rsid w:val="00C7560F"/>
    <w:rsid w:val="00C7599A"/>
    <w:rsid w:val="00C7648B"/>
    <w:rsid w:val="00C76E39"/>
    <w:rsid w:val="00C771AD"/>
    <w:rsid w:val="00C7765F"/>
    <w:rsid w:val="00C808EC"/>
    <w:rsid w:val="00C80A0E"/>
    <w:rsid w:val="00C80B0D"/>
    <w:rsid w:val="00C81431"/>
    <w:rsid w:val="00C8213F"/>
    <w:rsid w:val="00C82D84"/>
    <w:rsid w:val="00C831AC"/>
    <w:rsid w:val="00C83B62"/>
    <w:rsid w:val="00C8477B"/>
    <w:rsid w:val="00C8483C"/>
    <w:rsid w:val="00C85038"/>
    <w:rsid w:val="00C8647B"/>
    <w:rsid w:val="00C86501"/>
    <w:rsid w:val="00C8797A"/>
    <w:rsid w:val="00C900B8"/>
    <w:rsid w:val="00C904E6"/>
    <w:rsid w:val="00C90C71"/>
    <w:rsid w:val="00C931CF"/>
    <w:rsid w:val="00C93893"/>
    <w:rsid w:val="00C938CF"/>
    <w:rsid w:val="00C94B44"/>
    <w:rsid w:val="00C94DE4"/>
    <w:rsid w:val="00C95B74"/>
    <w:rsid w:val="00C9624D"/>
    <w:rsid w:val="00C96712"/>
    <w:rsid w:val="00C969DA"/>
    <w:rsid w:val="00C96D20"/>
    <w:rsid w:val="00C973E7"/>
    <w:rsid w:val="00CA0A90"/>
    <w:rsid w:val="00CA0DFB"/>
    <w:rsid w:val="00CA162F"/>
    <w:rsid w:val="00CA1938"/>
    <w:rsid w:val="00CA2236"/>
    <w:rsid w:val="00CA2C77"/>
    <w:rsid w:val="00CA444F"/>
    <w:rsid w:val="00CA4999"/>
    <w:rsid w:val="00CA49C7"/>
    <w:rsid w:val="00CA5245"/>
    <w:rsid w:val="00CA5C5C"/>
    <w:rsid w:val="00CA61DA"/>
    <w:rsid w:val="00CA648D"/>
    <w:rsid w:val="00CA71F4"/>
    <w:rsid w:val="00CA7B09"/>
    <w:rsid w:val="00CB170C"/>
    <w:rsid w:val="00CB2F2A"/>
    <w:rsid w:val="00CB316D"/>
    <w:rsid w:val="00CB36B8"/>
    <w:rsid w:val="00CB3F63"/>
    <w:rsid w:val="00CB461D"/>
    <w:rsid w:val="00CB4834"/>
    <w:rsid w:val="00CB4D53"/>
    <w:rsid w:val="00CB5B1A"/>
    <w:rsid w:val="00CB6B22"/>
    <w:rsid w:val="00CB737E"/>
    <w:rsid w:val="00CB7F5F"/>
    <w:rsid w:val="00CC0342"/>
    <w:rsid w:val="00CC0A25"/>
    <w:rsid w:val="00CC1B39"/>
    <w:rsid w:val="00CC2115"/>
    <w:rsid w:val="00CC288B"/>
    <w:rsid w:val="00CC2DDB"/>
    <w:rsid w:val="00CC2E69"/>
    <w:rsid w:val="00CC3514"/>
    <w:rsid w:val="00CC3B8E"/>
    <w:rsid w:val="00CC3D03"/>
    <w:rsid w:val="00CC623D"/>
    <w:rsid w:val="00CC6EB3"/>
    <w:rsid w:val="00CC7086"/>
    <w:rsid w:val="00CC75B9"/>
    <w:rsid w:val="00CD2435"/>
    <w:rsid w:val="00CD29D9"/>
    <w:rsid w:val="00CD5E8A"/>
    <w:rsid w:val="00CD6578"/>
    <w:rsid w:val="00CD675D"/>
    <w:rsid w:val="00CD6ADC"/>
    <w:rsid w:val="00CD7692"/>
    <w:rsid w:val="00CD76A4"/>
    <w:rsid w:val="00CE0DF1"/>
    <w:rsid w:val="00CE2383"/>
    <w:rsid w:val="00CE2851"/>
    <w:rsid w:val="00CE3643"/>
    <w:rsid w:val="00CE5AEC"/>
    <w:rsid w:val="00CE6274"/>
    <w:rsid w:val="00CE648D"/>
    <w:rsid w:val="00CE6B05"/>
    <w:rsid w:val="00CE7C16"/>
    <w:rsid w:val="00CF0D49"/>
    <w:rsid w:val="00CF1C67"/>
    <w:rsid w:val="00CF1C83"/>
    <w:rsid w:val="00CF1F40"/>
    <w:rsid w:val="00CF2B8D"/>
    <w:rsid w:val="00CF456B"/>
    <w:rsid w:val="00CF4799"/>
    <w:rsid w:val="00CF5A22"/>
    <w:rsid w:val="00CF78F5"/>
    <w:rsid w:val="00D00581"/>
    <w:rsid w:val="00D01627"/>
    <w:rsid w:val="00D0262E"/>
    <w:rsid w:val="00D02FA1"/>
    <w:rsid w:val="00D0338B"/>
    <w:rsid w:val="00D03A72"/>
    <w:rsid w:val="00D03D91"/>
    <w:rsid w:val="00D04BE8"/>
    <w:rsid w:val="00D05849"/>
    <w:rsid w:val="00D05CAE"/>
    <w:rsid w:val="00D05F77"/>
    <w:rsid w:val="00D06485"/>
    <w:rsid w:val="00D07C76"/>
    <w:rsid w:val="00D106A0"/>
    <w:rsid w:val="00D10FFA"/>
    <w:rsid w:val="00D110BD"/>
    <w:rsid w:val="00D1320C"/>
    <w:rsid w:val="00D13229"/>
    <w:rsid w:val="00D13675"/>
    <w:rsid w:val="00D1373E"/>
    <w:rsid w:val="00D141E1"/>
    <w:rsid w:val="00D14C2D"/>
    <w:rsid w:val="00D150EB"/>
    <w:rsid w:val="00D15331"/>
    <w:rsid w:val="00D158C5"/>
    <w:rsid w:val="00D15D83"/>
    <w:rsid w:val="00D15F79"/>
    <w:rsid w:val="00D17D6C"/>
    <w:rsid w:val="00D208C1"/>
    <w:rsid w:val="00D217A8"/>
    <w:rsid w:val="00D21B70"/>
    <w:rsid w:val="00D22170"/>
    <w:rsid w:val="00D247A0"/>
    <w:rsid w:val="00D25828"/>
    <w:rsid w:val="00D2708A"/>
    <w:rsid w:val="00D2754D"/>
    <w:rsid w:val="00D27B27"/>
    <w:rsid w:val="00D30D6E"/>
    <w:rsid w:val="00D320E6"/>
    <w:rsid w:val="00D33703"/>
    <w:rsid w:val="00D33BC8"/>
    <w:rsid w:val="00D33BE9"/>
    <w:rsid w:val="00D33DFD"/>
    <w:rsid w:val="00D34BDE"/>
    <w:rsid w:val="00D34F75"/>
    <w:rsid w:val="00D357FF"/>
    <w:rsid w:val="00D35D2C"/>
    <w:rsid w:val="00D37D8F"/>
    <w:rsid w:val="00D4043D"/>
    <w:rsid w:val="00D40AE7"/>
    <w:rsid w:val="00D42486"/>
    <w:rsid w:val="00D424C7"/>
    <w:rsid w:val="00D42C1C"/>
    <w:rsid w:val="00D437E3"/>
    <w:rsid w:val="00D43B2A"/>
    <w:rsid w:val="00D44E38"/>
    <w:rsid w:val="00D47198"/>
    <w:rsid w:val="00D47575"/>
    <w:rsid w:val="00D50989"/>
    <w:rsid w:val="00D50CE7"/>
    <w:rsid w:val="00D516B7"/>
    <w:rsid w:val="00D53A98"/>
    <w:rsid w:val="00D53E35"/>
    <w:rsid w:val="00D5456D"/>
    <w:rsid w:val="00D55F61"/>
    <w:rsid w:val="00D56D65"/>
    <w:rsid w:val="00D56F61"/>
    <w:rsid w:val="00D57460"/>
    <w:rsid w:val="00D576D4"/>
    <w:rsid w:val="00D61F11"/>
    <w:rsid w:val="00D62A45"/>
    <w:rsid w:val="00D63031"/>
    <w:rsid w:val="00D63CC4"/>
    <w:rsid w:val="00D64F42"/>
    <w:rsid w:val="00D657AA"/>
    <w:rsid w:val="00D66CF6"/>
    <w:rsid w:val="00D67517"/>
    <w:rsid w:val="00D675F2"/>
    <w:rsid w:val="00D70F16"/>
    <w:rsid w:val="00D72164"/>
    <w:rsid w:val="00D72A66"/>
    <w:rsid w:val="00D72EE6"/>
    <w:rsid w:val="00D73462"/>
    <w:rsid w:val="00D740EA"/>
    <w:rsid w:val="00D758E2"/>
    <w:rsid w:val="00D75AA1"/>
    <w:rsid w:val="00D76A44"/>
    <w:rsid w:val="00D77306"/>
    <w:rsid w:val="00D7765F"/>
    <w:rsid w:val="00D80977"/>
    <w:rsid w:val="00D81089"/>
    <w:rsid w:val="00D815EF"/>
    <w:rsid w:val="00D82733"/>
    <w:rsid w:val="00D830BB"/>
    <w:rsid w:val="00D83D53"/>
    <w:rsid w:val="00D83DC7"/>
    <w:rsid w:val="00D84035"/>
    <w:rsid w:val="00D8476F"/>
    <w:rsid w:val="00D8489C"/>
    <w:rsid w:val="00D84960"/>
    <w:rsid w:val="00D85550"/>
    <w:rsid w:val="00D86881"/>
    <w:rsid w:val="00D876C6"/>
    <w:rsid w:val="00D91923"/>
    <w:rsid w:val="00D9300B"/>
    <w:rsid w:val="00D9332D"/>
    <w:rsid w:val="00D93753"/>
    <w:rsid w:val="00D94B65"/>
    <w:rsid w:val="00D94BBD"/>
    <w:rsid w:val="00D94CE4"/>
    <w:rsid w:val="00D95D26"/>
    <w:rsid w:val="00D9627A"/>
    <w:rsid w:val="00D97D70"/>
    <w:rsid w:val="00DA0657"/>
    <w:rsid w:val="00DA073F"/>
    <w:rsid w:val="00DA1BAF"/>
    <w:rsid w:val="00DA1DDF"/>
    <w:rsid w:val="00DA3167"/>
    <w:rsid w:val="00DA3416"/>
    <w:rsid w:val="00DA35E0"/>
    <w:rsid w:val="00DA4DC3"/>
    <w:rsid w:val="00DA77A5"/>
    <w:rsid w:val="00DA7AAC"/>
    <w:rsid w:val="00DB1117"/>
    <w:rsid w:val="00DB35C7"/>
    <w:rsid w:val="00DB484F"/>
    <w:rsid w:val="00DB515D"/>
    <w:rsid w:val="00DB54EA"/>
    <w:rsid w:val="00DB5F26"/>
    <w:rsid w:val="00DC0306"/>
    <w:rsid w:val="00DC04F6"/>
    <w:rsid w:val="00DC2854"/>
    <w:rsid w:val="00DC3C57"/>
    <w:rsid w:val="00DC4CFD"/>
    <w:rsid w:val="00DC5501"/>
    <w:rsid w:val="00DC583D"/>
    <w:rsid w:val="00DC73F4"/>
    <w:rsid w:val="00DC75DD"/>
    <w:rsid w:val="00DD16E2"/>
    <w:rsid w:val="00DD1A5B"/>
    <w:rsid w:val="00DD273C"/>
    <w:rsid w:val="00DD2FC1"/>
    <w:rsid w:val="00DD3F28"/>
    <w:rsid w:val="00DD4537"/>
    <w:rsid w:val="00DD4A9A"/>
    <w:rsid w:val="00DD4E15"/>
    <w:rsid w:val="00DE031A"/>
    <w:rsid w:val="00DE0920"/>
    <w:rsid w:val="00DE1163"/>
    <w:rsid w:val="00DE1FBE"/>
    <w:rsid w:val="00DE241D"/>
    <w:rsid w:val="00DE2F31"/>
    <w:rsid w:val="00DE3138"/>
    <w:rsid w:val="00DE37F8"/>
    <w:rsid w:val="00DE4FCB"/>
    <w:rsid w:val="00DE6CE8"/>
    <w:rsid w:val="00DE7832"/>
    <w:rsid w:val="00DF00E6"/>
    <w:rsid w:val="00DF0397"/>
    <w:rsid w:val="00DF18FC"/>
    <w:rsid w:val="00DF1CB4"/>
    <w:rsid w:val="00DF1FBD"/>
    <w:rsid w:val="00DF3E06"/>
    <w:rsid w:val="00DF446C"/>
    <w:rsid w:val="00DF5D2B"/>
    <w:rsid w:val="00DF616F"/>
    <w:rsid w:val="00DF7442"/>
    <w:rsid w:val="00DF7856"/>
    <w:rsid w:val="00DF794E"/>
    <w:rsid w:val="00E00CA2"/>
    <w:rsid w:val="00E00E8E"/>
    <w:rsid w:val="00E02518"/>
    <w:rsid w:val="00E02C52"/>
    <w:rsid w:val="00E033C7"/>
    <w:rsid w:val="00E03938"/>
    <w:rsid w:val="00E03ADC"/>
    <w:rsid w:val="00E0405F"/>
    <w:rsid w:val="00E05630"/>
    <w:rsid w:val="00E063C4"/>
    <w:rsid w:val="00E066DB"/>
    <w:rsid w:val="00E06DBB"/>
    <w:rsid w:val="00E07147"/>
    <w:rsid w:val="00E0749F"/>
    <w:rsid w:val="00E075F2"/>
    <w:rsid w:val="00E077D4"/>
    <w:rsid w:val="00E10149"/>
    <w:rsid w:val="00E117A0"/>
    <w:rsid w:val="00E12607"/>
    <w:rsid w:val="00E12830"/>
    <w:rsid w:val="00E14092"/>
    <w:rsid w:val="00E14E7F"/>
    <w:rsid w:val="00E1502E"/>
    <w:rsid w:val="00E1514B"/>
    <w:rsid w:val="00E1610F"/>
    <w:rsid w:val="00E16372"/>
    <w:rsid w:val="00E16834"/>
    <w:rsid w:val="00E20E4D"/>
    <w:rsid w:val="00E20ED6"/>
    <w:rsid w:val="00E20EDB"/>
    <w:rsid w:val="00E21358"/>
    <w:rsid w:val="00E2249B"/>
    <w:rsid w:val="00E22A0D"/>
    <w:rsid w:val="00E24B6C"/>
    <w:rsid w:val="00E24EAC"/>
    <w:rsid w:val="00E268A1"/>
    <w:rsid w:val="00E2771E"/>
    <w:rsid w:val="00E27DBB"/>
    <w:rsid w:val="00E30CC9"/>
    <w:rsid w:val="00E30D0B"/>
    <w:rsid w:val="00E31E46"/>
    <w:rsid w:val="00E32844"/>
    <w:rsid w:val="00E330FE"/>
    <w:rsid w:val="00E33812"/>
    <w:rsid w:val="00E3388A"/>
    <w:rsid w:val="00E34948"/>
    <w:rsid w:val="00E35E01"/>
    <w:rsid w:val="00E36AB3"/>
    <w:rsid w:val="00E37569"/>
    <w:rsid w:val="00E409C3"/>
    <w:rsid w:val="00E40A5A"/>
    <w:rsid w:val="00E41133"/>
    <w:rsid w:val="00E41568"/>
    <w:rsid w:val="00E415C7"/>
    <w:rsid w:val="00E41791"/>
    <w:rsid w:val="00E41E30"/>
    <w:rsid w:val="00E42205"/>
    <w:rsid w:val="00E42A93"/>
    <w:rsid w:val="00E4334D"/>
    <w:rsid w:val="00E43D70"/>
    <w:rsid w:val="00E4524E"/>
    <w:rsid w:val="00E455F3"/>
    <w:rsid w:val="00E46254"/>
    <w:rsid w:val="00E466F3"/>
    <w:rsid w:val="00E475BA"/>
    <w:rsid w:val="00E47B2C"/>
    <w:rsid w:val="00E502F6"/>
    <w:rsid w:val="00E512D5"/>
    <w:rsid w:val="00E51560"/>
    <w:rsid w:val="00E5179C"/>
    <w:rsid w:val="00E532A9"/>
    <w:rsid w:val="00E54270"/>
    <w:rsid w:val="00E54347"/>
    <w:rsid w:val="00E547AF"/>
    <w:rsid w:val="00E55424"/>
    <w:rsid w:val="00E55BB5"/>
    <w:rsid w:val="00E603E0"/>
    <w:rsid w:val="00E60C5F"/>
    <w:rsid w:val="00E61675"/>
    <w:rsid w:val="00E626A7"/>
    <w:rsid w:val="00E63024"/>
    <w:rsid w:val="00E6572B"/>
    <w:rsid w:val="00E65E6A"/>
    <w:rsid w:val="00E65E79"/>
    <w:rsid w:val="00E6641A"/>
    <w:rsid w:val="00E6683D"/>
    <w:rsid w:val="00E66BA2"/>
    <w:rsid w:val="00E67416"/>
    <w:rsid w:val="00E679E2"/>
    <w:rsid w:val="00E7000C"/>
    <w:rsid w:val="00E70D2A"/>
    <w:rsid w:val="00E70FCD"/>
    <w:rsid w:val="00E71461"/>
    <w:rsid w:val="00E718B6"/>
    <w:rsid w:val="00E71B69"/>
    <w:rsid w:val="00E723BA"/>
    <w:rsid w:val="00E73581"/>
    <w:rsid w:val="00E736FB"/>
    <w:rsid w:val="00E74113"/>
    <w:rsid w:val="00E7446A"/>
    <w:rsid w:val="00E76342"/>
    <w:rsid w:val="00E80B89"/>
    <w:rsid w:val="00E818EA"/>
    <w:rsid w:val="00E8196C"/>
    <w:rsid w:val="00E82672"/>
    <w:rsid w:val="00E833F7"/>
    <w:rsid w:val="00E8355C"/>
    <w:rsid w:val="00E83862"/>
    <w:rsid w:val="00E83A40"/>
    <w:rsid w:val="00E83BDF"/>
    <w:rsid w:val="00E85F13"/>
    <w:rsid w:val="00E86A2F"/>
    <w:rsid w:val="00E877C6"/>
    <w:rsid w:val="00E87A1D"/>
    <w:rsid w:val="00E87B2A"/>
    <w:rsid w:val="00E87E4F"/>
    <w:rsid w:val="00E90ABB"/>
    <w:rsid w:val="00E926A5"/>
    <w:rsid w:val="00E93168"/>
    <w:rsid w:val="00E94022"/>
    <w:rsid w:val="00E96E81"/>
    <w:rsid w:val="00E97774"/>
    <w:rsid w:val="00E979B5"/>
    <w:rsid w:val="00EA014D"/>
    <w:rsid w:val="00EA17C3"/>
    <w:rsid w:val="00EA20FF"/>
    <w:rsid w:val="00EA2C1B"/>
    <w:rsid w:val="00EA2CAA"/>
    <w:rsid w:val="00EA32BE"/>
    <w:rsid w:val="00EA3864"/>
    <w:rsid w:val="00EA7563"/>
    <w:rsid w:val="00EB0DC2"/>
    <w:rsid w:val="00EB15B6"/>
    <w:rsid w:val="00EB1F39"/>
    <w:rsid w:val="00EB28EF"/>
    <w:rsid w:val="00EB393E"/>
    <w:rsid w:val="00EB3A3B"/>
    <w:rsid w:val="00EB3EE3"/>
    <w:rsid w:val="00EB4916"/>
    <w:rsid w:val="00EB4A4D"/>
    <w:rsid w:val="00EB6168"/>
    <w:rsid w:val="00EB6A6E"/>
    <w:rsid w:val="00EB7BEA"/>
    <w:rsid w:val="00EC00C9"/>
    <w:rsid w:val="00EC0DB5"/>
    <w:rsid w:val="00EC127F"/>
    <w:rsid w:val="00EC14A3"/>
    <w:rsid w:val="00EC1928"/>
    <w:rsid w:val="00EC2649"/>
    <w:rsid w:val="00EC340E"/>
    <w:rsid w:val="00EC4FDB"/>
    <w:rsid w:val="00EC52AC"/>
    <w:rsid w:val="00EC53EB"/>
    <w:rsid w:val="00EC557B"/>
    <w:rsid w:val="00EC57EA"/>
    <w:rsid w:val="00EC68A6"/>
    <w:rsid w:val="00EC6E9F"/>
    <w:rsid w:val="00EC7B28"/>
    <w:rsid w:val="00ED0638"/>
    <w:rsid w:val="00ED128D"/>
    <w:rsid w:val="00ED1A45"/>
    <w:rsid w:val="00ED242B"/>
    <w:rsid w:val="00ED27A2"/>
    <w:rsid w:val="00ED27A7"/>
    <w:rsid w:val="00ED27EC"/>
    <w:rsid w:val="00ED3065"/>
    <w:rsid w:val="00ED312C"/>
    <w:rsid w:val="00ED3735"/>
    <w:rsid w:val="00ED385B"/>
    <w:rsid w:val="00ED3B57"/>
    <w:rsid w:val="00ED4756"/>
    <w:rsid w:val="00ED57EA"/>
    <w:rsid w:val="00ED60F8"/>
    <w:rsid w:val="00ED63C3"/>
    <w:rsid w:val="00ED7D61"/>
    <w:rsid w:val="00EE07D3"/>
    <w:rsid w:val="00EE0888"/>
    <w:rsid w:val="00EE0B72"/>
    <w:rsid w:val="00EE1420"/>
    <w:rsid w:val="00EE19F3"/>
    <w:rsid w:val="00EE22AF"/>
    <w:rsid w:val="00EE2CF7"/>
    <w:rsid w:val="00EE40C6"/>
    <w:rsid w:val="00EE6C9D"/>
    <w:rsid w:val="00EF0171"/>
    <w:rsid w:val="00EF07FC"/>
    <w:rsid w:val="00EF1B25"/>
    <w:rsid w:val="00EF3C6C"/>
    <w:rsid w:val="00EF43BE"/>
    <w:rsid w:val="00EF4747"/>
    <w:rsid w:val="00EF4BF8"/>
    <w:rsid w:val="00EF4C96"/>
    <w:rsid w:val="00EF58FE"/>
    <w:rsid w:val="00EF6862"/>
    <w:rsid w:val="00F01544"/>
    <w:rsid w:val="00F018AA"/>
    <w:rsid w:val="00F021B0"/>
    <w:rsid w:val="00F02253"/>
    <w:rsid w:val="00F02C13"/>
    <w:rsid w:val="00F03482"/>
    <w:rsid w:val="00F0348C"/>
    <w:rsid w:val="00F0362C"/>
    <w:rsid w:val="00F03C2E"/>
    <w:rsid w:val="00F03C49"/>
    <w:rsid w:val="00F049AC"/>
    <w:rsid w:val="00F04A66"/>
    <w:rsid w:val="00F0516C"/>
    <w:rsid w:val="00F05730"/>
    <w:rsid w:val="00F062F2"/>
    <w:rsid w:val="00F067A2"/>
    <w:rsid w:val="00F07106"/>
    <w:rsid w:val="00F07B7E"/>
    <w:rsid w:val="00F07FB6"/>
    <w:rsid w:val="00F1098A"/>
    <w:rsid w:val="00F11E14"/>
    <w:rsid w:val="00F1263A"/>
    <w:rsid w:val="00F144CB"/>
    <w:rsid w:val="00F14ABA"/>
    <w:rsid w:val="00F1611C"/>
    <w:rsid w:val="00F179DA"/>
    <w:rsid w:val="00F17EE7"/>
    <w:rsid w:val="00F20C28"/>
    <w:rsid w:val="00F21DAF"/>
    <w:rsid w:val="00F21DBA"/>
    <w:rsid w:val="00F22677"/>
    <w:rsid w:val="00F22A72"/>
    <w:rsid w:val="00F22E23"/>
    <w:rsid w:val="00F23130"/>
    <w:rsid w:val="00F23950"/>
    <w:rsid w:val="00F24837"/>
    <w:rsid w:val="00F24C49"/>
    <w:rsid w:val="00F25148"/>
    <w:rsid w:val="00F2575F"/>
    <w:rsid w:val="00F25971"/>
    <w:rsid w:val="00F25AA4"/>
    <w:rsid w:val="00F27565"/>
    <w:rsid w:val="00F27601"/>
    <w:rsid w:val="00F3011F"/>
    <w:rsid w:val="00F30800"/>
    <w:rsid w:val="00F3080E"/>
    <w:rsid w:val="00F310D4"/>
    <w:rsid w:val="00F31D5A"/>
    <w:rsid w:val="00F31EE2"/>
    <w:rsid w:val="00F320A4"/>
    <w:rsid w:val="00F3288B"/>
    <w:rsid w:val="00F329FC"/>
    <w:rsid w:val="00F33DE9"/>
    <w:rsid w:val="00F341F2"/>
    <w:rsid w:val="00F35C7F"/>
    <w:rsid w:val="00F3619A"/>
    <w:rsid w:val="00F365B8"/>
    <w:rsid w:val="00F36755"/>
    <w:rsid w:val="00F3684E"/>
    <w:rsid w:val="00F368A9"/>
    <w:rsid w:val="00F37423"/>
    <w:rsid w:val="00F4012D"/>
    <w:rsid w:val="00F403DC"/>
    <w:rsid w:val="00F407BD"/>
    <w:rsid w:val="00F40AAA"/>
    <w:rsid w:val="00F40BA7"/>
    <w:rsid w:val="00F42216"/>
    <w:rsid w:val="00F42CBE"/>
    <w:rsid w:val="00F434AD"/>
    <w:rsid w:val="00F438B1"/>
    <w:rsid w:val="00F465C8"/>
    <w:rsid w:val="00F46CB6"/>
    <w:rsid w:val="00F46DD8"/>
    <w:rsid w:val="00F4796E"/>
    <w:rsid w:val="00F47DE8"/>
    <w:rsid w:val="00F5122B"/>
    <w:rsid w:val="00F517DA"/>
    <w:rsid w:val="00F52817"/>
    <w:rsid w:val="00F52E6B"/>
    <w:rsid w:val="00F534D2"/>
    <w:rsid w:val="00F537D1"/>
    <w:rsid w:val="00F539FE"/>
    <w:rsid w:val="00F53ED8"/>
    <w:rsid w:val="00F542C1"/>
    <w:rsid w:val="00F54AF1"/>
    <w:rsid w:val="00F55E73"/>
    <w:rsid w:val="00F55EDA"/>
    <w:rsid w:val="00F56DDD"/>
    <w:rsid w:val="00F5737D"/>
    <w:rsid w:val="00F57DF1"/>
    <w:rsid w:val="00F60092"/>
    <w:rsid w:val="00F615C4"/>
    <w:rsid w:val="00F61675"/>
    <w:rsid w:val="00F61B2F"/>
    <w:rsid w:val="00F634E4"/>
    <w:rsid w:val="00F635F4"/>
    <w:rsid w:val="00F63E49"/>
    <w:rsid w:val="00F63F58"/>
    <w:rsid w:val="00F644A2"/>
    <w:rsid w:val="00F649A9"/>
    <w:rsid w:val="00F64DBD"/>
    <w:rsid w:val="00F65846"/>
    <w:rsid w:val="00F65F4B"/>
    <w:rsid w:val="00F66657"/>
    <w:rsid w:val="00F66D6E"/>
    <w:rsid w:val="00F6724E"/>
    <w:rsid w:val="00F679FE"/>
    <w:rsid w:val="00F70C9D"/>
    <w:rsid w:val="00F71866"/>
    <w:rsid w:val="00F718A9"/>
    <w:rsid w:val="00F7197B"/>
    <w:rsid w:val="00F71DFD"/>
    <w:rsid w:val="00F72067"/>
    <w:rsid w:val="00F72186"/>
    <w:rsid w:val="00F723F0"/>
    <w:rsid w:val="00F73FF0"/>
    <w:rsid w:val="00F74CD9"/>
    <w:rsid w:val="00F77138"/>
    <w:rsid w:val="00F77391"/>
    <w:rsid w:val="00F77C36"/>
    <w:rsid w:val="00F80A7B"/>
    <w:rsid w:val="00F80DC6"/>
    <w:rsid w:val="00F80E5D"/>
    <w:rsid w:val="00F8164A"/>
    <w:rsid w:val="00F81B05"/>
    <w:rsid w:val="00F8290A"/>
    <w:rsid w:val="00F82F79"/>
    <w:rsid w:val="00F8385A"/>
    <w:rsid w:val="00F84493"/>
    <w:rsid w:val="00F84A3F"/>
    <w:rsid w:val="00F84E41"/>
    <w:rsid w:val="00F851CE"/>
    <w:rsid w:val="00F859EF"/>
    <w:rsid w:val="00F863E4"/>
    <w:rsid w:val="00F86B94"/>
    <w:rsid w:val="00F873A2"/>
    <w:rsid w:val="00F901E1"/>
    <w:rsid w:val="00F91219"/>
    <w:rsid w:val="00F9204B"/>
    <w:rsid w:val="00F9228E"/>
    <w:rsid w:val="00F926D0"/>
    <w:rsid w:val="00F97476"/>
    <w:rsid w:val="00F97A78"/>
    <w:rsid w:val="00FA0A27"/>
    <w:rsid w:val="00FA0B20"/>
    <w:rsid w:val="00FA0EC0"/>
    <w:rsid w:val="00FA1272"/>
    <w:rsid w:val="00FA15BB"/>
    <w:rsid w:val="00FA1E1D"/>
    <w:rsid w:val="00FA245A"/>
    <w:rsid w:val="00FA24E7"/>
    <w:rsid w:val="00FA2876"/>
    <w:rsid w:val="00FA31CE"/>
    <w:rsid w:val="00FA3588"/>
    <w:rsid w:val="00FA3D67"/>
    <w:rsid w:val="00FA4908"/>
    <w:rsid w:val="00FA75AB"/>
    <w:rsid w:val="00FB129F"/>
    <w:rsid w:val="00FB1E41"/>
    <w:rsid w:val="00FB2138"/>
    <w:rsid w:val="00FB2FCB"/>
    <w:rsid w:val="00FB33F7"/>
    <w:rsid w:val="00FB3821"/>
    <w:rsid w:val="00FB3CA9"/>
    <w:rsid w:val="00FB4857"/>
    <w:rsid w:val="00FB6020"/>
    <w:rsid w:val="00FB63B6"/>
    <w:rsid w:val="00FB68BF"/>
    <w:rsid w:val="00FB6AF3"/>
    <w:rsid w:val="00FB7C94"/>
    <w:rsid w:val="00FC01C5"/>
    <w:rsid w:val="00FC02DB"/>
    <w:rsid w:val="00FC0395"/>
    <w:rsid w:val="00FC1074"/>
    <w:rsid w:val="00FC1884"/>
    <w:rsid w:val="00FC2BD6"/>
    <w:rsid w:val="00FC371D"/>
    <w:rsid w:val="00FC3F13"/>
    <w:rsid w:val="00FC40FF"/>
    <w:rsid w:val="00FC4BAF"/>
    <w:rsid w:val="00FC5F0B"/>
    <w:rsid w:val="00FC6010"/>
    <w:rsid w:val="00FC62B2"/>
    <w:rsid w:val="00FC67D3"/>
    <w:rsid w:val="00FC7338"/>
    <w:rsid w:val="00FC7FD4"/>
    <w:rsid w:val="00FD0A1F"/>
    <w:rsid w:val="00FD0B58"/>
    <w:rsid w:val="00FD12E9"/>
    <w:rsid w:val="00FD2100"/>
    <w:rsid w:val="00FD21C1"/>
    <w:rsid w:val="00FD21D1"/>
    <w:rsid w:val="00FD2B4D"/>
    <w:rsid w:val="00FD30DE"/>
    <w:rsid w:val="00FD3361"/>
    <w:rsid w:val="00FD393F"/>
    <w:rsid w:val="00FD436C"/>
    <w:rsid w:val="00FD4404"/>
    <w:rsid w:val="00FD446D"/>
    <w:rsid w:val="00FD5AEA"/>
    <w:rsid w:val="00FD5C47"/>
    <w:rsid w:val="00FD638B"/>
    <w:rsid w:val="00FD6394"/>
    <w:rsid w:val="00FD6DED"/>
    <w:rsid w:val="00FE01C7"/>
    <w:rsid w:val="00FE0E6C"/>
    <w:rsid w:val="00FE0F57"/>
    <w:rsid w:val="00FE112F"/>
    <w:rsid w:val="00FE3E68"/>
    <w:rsid w:val="00FE4D97"/>
    <w:rsid w:val="00FE595B"/>
    <w:rsid w:val="00FE5B9C"/>
    <w:rsid w:val="00FE70C3"/>
    <w:rsid w:val="00FE76D4"/>
    <w:rsid w:val="00FF07DC"/>
    <w:rsid w:val="00FF0D5D"/>
    <w:rsid w:val="00FF1329"/>
    <w:rsid w:val="00FF2EE8"/>
    <w:rsid w:val="00FF334E"/>
    <w:rsid w:val="00FF3D87"/>
    <w:rsid w:val="00FF3DCF"/>
    <w:rsid w:val="00FF492C"/>
    <w:rsid w:val="00FF4A21"/>
    <w:rsid w:val="00FF5AA3"/>
    <w:rsid w:val="00FF5AD8"/>
    <w:rsid w:val="00FF60BB"/>
    <w:rsid w:val="00FF6627"/>
    <w:rsid w:val="00FF6730"/>
    <w:rsid w:val="00FF72C9"/>
    <w:rsid w:val="00FF7421"/>
    <w:rsid w:val="00FF78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1EB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953"/>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4004DB"/>
    <w:pPr>
      <w:ind w:left="720" w:hanging="720"/>
      <w:outlineLvl w:val="0"/>
    </w:pPr>
    <w:rPr>
      <w:b/>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H"/>
    <w:basedOn w:val="Normal"/>
    <w:next w:val="Normal"/>
    <w:link w:val="CaptionChar"/>
    <w:uiPriority w:val="1"/>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H Char"/>
    <w:link w:val="Caption"/>
    <w:uiPriority w:val="2"/>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ody Text Bullet Points,Bullet point,List Paragraph11,Recommendation,Section heading,Footnote,Bullet 1,Bullets Points,Styl moj,Akapit z listą1,Akapit z listą11,Table Legend,Bullet1,ES Paragraph"/>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ody Text Bullet Points Char,Bullet point Char,List Paragraph11 Char,Recommendation Char,Section heading Char,Footnote Char,Bullet 1 Char,Bullets Points Char,Styl moj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PBAC table,HTAtableplain,CMA Table Template,ASD Table,RTI AMCP Table,new sty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5F1BDF"/>
    <w:pPr>
      <w:keepNext/>
      <w:widowControl/>
      <w:spacing w:before="40" w:after="40"/>
      <w:jc w:val="left"/>
    </w:pPr>
    <w:rPr>
      <w:rFonts w:ascii="Arial Narrow" w:eastAsiaTheme="minorHAnsi" w:hAnsi="Arial Narrow" w:cstheme="minorBidi"/>
      <w:snapToGrid/>
      <w:sz w:val="20"/>
    </w:rPr>
  </w:style>
  <w:style w:type="paragraph" w:customStyle="1" w:styleId="TableText1">
    <w:name w:val="TableText"/>
    <w:basedOn w:val="Normal"/>
    <w:link w:val="TableTextChar1"/>
    <w:uiPriority w:val="3"/>
    <w:qFormat/>
    <w:rsid w:val="00524001"/>
    <w:pPr>
      <w:widowControl/>
      <w:spacing w:before="20" w:after="20"/>
      <w:jc w:val="left"/>
    </w:pPr>
    <w:rPr>
      <w:rFonts w:cs="Calibri"/>
      <w:bCs/>
      <w:snapToGrid/>
      <w:sz w:val="20"/>
      <w:szCs w:val="20"/>
      <w:lang w:eastAsia="zh-CN"/>
    </w:rPr>
  </w:style>
  <w:style w:type="character" w:customStyle="1" w:styleId="TableTextChar1">
    <w:name w:val="TableText Char"/>
    <w:basedOn w:val="DefaultParagraphFont"/>
    <w:link w:val="TableText1"/>
    <w:uiPriority w:val="3"/>
    <w:rsid w:val="00524001"/>
    <w:rPr>
      <w:rFonts w:ascii="Calibri" w:hAnsi="Calibri" w:cs="Calibri"/>
      <w:bCs/>
      <w:lang w:eastAsia="zh-CN"/>
    </w:rPr>
  </w:style>
  <w:style w:type="paragraph" w:customStyle="1" w:styleId="TableNotes-shorter">
    <w:name w:val="TableNotes-shorter"/>
    <w:basedOn w:val="Normal"/>
    <w:next w:val="Normal"/>
    <w:uiPriority w:val="3"/>
    <w:qFormat/>
    <w:rsid w:val="00EB393E"/>
    <w:pPr>
      <w:widowControl/>
      <w:tabs>
        <w:tab w:val="left" w:pos="709"/>
      </w:tabs>
      <w:ind w:left="709" w:hanging="709"/>
      <w:jc w:val="left"/>
    </w:pPr>
    <w:rPr>
      <w:rFonts w:eastAsiaTheme="minorEastAsia" w:cstheme="minorBidi"/>
      <w:snapToGrid/>
      <w:sz w:val="18"/>
      <w:szCs w:val="18"/>
    </w:rPr>
  </w:style>
  <w:style w:type="table" w:customStyle="1" w:styleId="HTAtableplain1">
    <w:name w:val="HTAtableplain1"/>
    <w:basedOn w:val="TableNormal"/>
    <w:next w:val="TableGrid"/>
    <w:uiPriority w:val="59"/>
    <w:rsid w:val="005C52D8"/>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ableofFigures">
    <w:name w:val="table of figures"/>
    <w:next w:val="Normal"/>
    <w:uiPriority w:val="99"/>
    <w:rsid w:val="00FD2B4D"/>
    <w:pPr>
      <w:tabs>
        <w:tab w:val="left" w:pos="1134"/>
        <w:tab w:val="right" w:leader="dot" w:pos="9923"/>
      </w:tabs>
      <w:spacing w:after="40"/>
      <w:ind w:left="1134" w:right="-2" w:hanging="1134"/>
    </w:pPr>
    <w:rPr>
      <w:rFonts w:asciiTheme="minorHAnsi" w:eastAsiaTheme="minorEastAsia" w:hAnsiTheme="minorHAnsi" w:cstheme="minorBidi"/>
      <w:noProof/>
      <w:sz w:val="22"/>
      <w:szCs w:val="22"/>
      <w:lang w:eastAsia="zh-CN"/>
    </w:rPr>
  </w:style>
  <w:style w:type="paragraph" w:customStyle="1" w:styleId="2-SectionHeading">
    <w:name w:val="2-Section Heading"/>
    <w:qFormat/>
    <w:rsid w:val="009F5351"/>
    <w:pPr>
      <w:keepNext/>
      <w:numPr>
        <w:numId w:val="2"/>
      </w:numPr>
      <w:spacing w:before="240" w:after="1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37240C"/>
    <w:pPr>
      <w:widowControl/>
      <w:numPr>
        <w:ilvl w:val="1"/>
        <w:numId w:val="2"/>
      </w:numPr>
    </w:pPr>
  </w:style>
  <w:style w:type="character" w:customStyle="1" w:styleId="3-BodyTextChar">
    <w:name w:val="3-Body Text Char"/>
    <w:basedOn w:val="DefaultParagraphFont"/>
    <w:link w:val="3-BodyText"/>
    <w:rsid w:val="0037240C"/>
    <w:rPr>
      <w:rFonts w:ascii="Calibri" w:hAnsi="Calibri" w:cs="Arial"/>
      <w:snapToGrid w:val="0"/>
      <w:sz w:val="24"/>
      <w:szCs w:val="22"/>
      <w:lang w:eastAsia="en-US"/>
    </w:rPr>
  </w:style>
  <w:style w:type="table" w:customStyle="1" w:styleId="HTAtableplain2">
    <w:name w:val="HTAtableplain2"/>
    <w:basedOn w:val="TableNormal"/>
    <w:next w:val="TableGrid"/>
    <w:uiPriority w:val="59"/>
    <w:rsid w:val="00CF78F5"/>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TAtableplain3">
    <w:name w:val="HTAtableplain3"/>
    <w:basedOn w:val="TableNormal"/>
    <w:next w:val="TableGrid"/>
    <w:uiPriority w:val="59"/>
    <w:rsid w:val="009864CB"/>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50Instructions">
    <w:name w:val="V5.0 Instructions"/>
    <w:basedOn w:val="Normal"/>
    <w:link w:val="V50InstructionsChar"/>
    <w:qFormat/>
    <w:rsid w:val="003718D4"/>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3718D4"/>
    <w:rPr>
      <w:rFonts w:asciiTheme="minorHAnsi" w:eastAsiaTheme="minorHAnsi" w:hAnsiTheme="minorHAnsi" w:cstheme="minorBidi"/>
      <w:color w:val="4BACC6" w:themeColor="accent5"/>
      <w:sz w:val="24"/>
      <w:szCs w:val="22"/>
      <w:lang w:eastAsia="en-US"/>
    </w:rPr>
  </w:style>
  <w:style w:type="paragraph" w:styleId="FootnoteText">
    <w:name w:val="footnote text"/>
    <w:basedOn w:val="Normal"/>
    <w:link w:val="FootnoteTextChar"/>
    <w:uiPriority w:val="99"/>
    <w:unhideWhenUsed/>
    <w:rsid w:val="00F63E49"/>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F63E49"/>
    <w:rPr>
      <w:rFonts w:asciiTheme="minorHAnsi" w:eastAsiaTheme="minorHAnsi" w:hAnsiTheme="minorHAnsi" w:cstheme="minorBidi"/>
      <w:sz w:val="18"/>
      <w:lang w:eastAsia="en-US"/>
    </w:rPr>
  </w:style>
  <w:style w:type="character" w:customStyle="1" w:styleId="TableTextChar0">
    <w:name w:val="Table Text Char"/>
    <w:link w:val="TableText0"/>
    <w:rsid w:val="00F63E49"/>
    <w:rPr>
      <w:rFonts w:ascii="Arial Narrow" w:eastAsiaTheme="minorHAnsi" w:hAnsi="Arial Narrow" w:cstheme="minorBidi"/>
      <w:szCs w:val="22"/>
      <w:lang w:eastAsia="en-US"/>
    </w:rPr>
  </w:style>
  <w:style w:type="paragraph" w:customStyle="1" w:styleId="TableHeadingRow">
    <w:name w:val="TableHeadingRow"/>
    <w:basedOn w:val="TableText1"/>
    <w:uiPriority w:val="3"/>
    <w:qFormat/>
    <w:rsid w:val="00830432"/>
    <w:pPr>
      <w:keepNext/>
      <w:spacing w:before="40" w:after="40"/>
      <w:jc w:val="center"/>
    </w:pPr>
    <w:rPr>
      <w:b/>
      <w:bCs w:val="0"/>
    </w:rPr>
  </w:style>
  <w:style w:type="paragraph" w:customStyle="1" w:styleId="TableNotes">
    <w:name w:val="TableNotes"/>
    <w:basedOn w:val="Normal"/>
    <w:next w:val="Normal"/>
    <w:link w:val="TableNotesChar"/>
    <w:uiPriority w:val="3"/>
    <w:qFormat/>
    <w:rsid w:val="00830432"/>
    <w:pPr>
      <w:widowControl/>
      <w:tabs>
        <w:tab w:val="left" w:pos="1134"/>
      </w:tabs>
      <w:ind w:left="1134" w:hanging="1134"/>
    </w:pPr>
    <w:rPr>
      <w:rFonts w:eastAsiaTheme="minorEastAsia" w:cstheme="minorBidi"/>
      <w:snapToGrid/>
      <w:sz w:val="18"/>
      <w:szCs w:val="18"/>
      <w:lang w:eastAsia="zh-CN"/>
    </w:rPr>
  </w:style>
  <w:style w:type="character" w:customStyle="1" w:styleId="TableNotesChar">
    <w:name w:val="TableNotes Char"/>
    <w:basedOn w:val="DefaultParagraphFont"/>
    <w:link w:val="TableNotes"/>
    <w:uiPriority w:val="3"/>
    <w:rsid w:val="00830432"/>
    <w:rPr>
      <w:rFonts w:ascii="Calibri" w:eastAsiaTheme="minorEastAsia" w:hAnsi="Calibri" w:cstheme="minorBidi"/>
      <w:sz w:val="18"/>
      <w:szCs w:val="18"/>
      <w:lang w:eastAsia="zh-CN"/>
    </w:rPr>
  </w:style>
  <w:style w:type="character" w:styleId="FootnoteReference">
    <w:name w:val="footnote reference"/>
    <w:basedOn w:val="DefaultParagraphFont"/>
    <w:uiPriority w:val="99"/>
    <w:semiHidden/>
    <w:unhideWhenUsed/>
    <w:rsid w:val="00830432"/>
    <w:rPr>
      <w:vertAlign w:val="superscript"/>
    </w:rPr>
  </w:style>
  <w:style w:type="table" w:customStyle="1" w:styleId="HTAtableplain4">
    <w:name w:val="HTAtableplain4"/>
    <w:basedOn w:val="TableNormal"/>
    <w:next w:val="TableGrid"/>
    <w:uiPriority w:val="59"/>
    <w:rsid w:val="00C5338B"/>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List">
    <w:name w:val="Bullet List"/>
    <w:basedOn w:val="Normal"/>
    <w:uiPriority w:val="2"/>
    <w:qFormat/>
    <w:rsid w:val="004729F1"/>
    <w:pPr>
      <w:widowControl/>
      <w:numPr>
        <w:numId w:val="4"/>
      </w:numPr>
      <w:tabs>
        <w:tab w:val="clear" w:pos="360"/>
        <w:tab w:val="left" w:pos="426"/>
      </w:tabs>
      <w:spacing w:after="200" w:line="264" w:lineRule="auto"/>
      <w:contextualSpacing/>
    </w:pPr>
    <w:rPr>
      <w:rFonts w:eastAsiaTheme="minorEastAsia" w:cstheme="minorBidi"/>
      <w:snapToGrid/>
      <w:sz w:val="22"/>
      <w:lang w:val="en-US" w:eastAsia="zh-CN"/>
    </w:rPr>
  </w:style>
  <w:style w:type="table" w:customStyle="1" w:styleId="HTAtableplain5">
    <w:name w:val="HTAtableplain5"/>
    <w:basedOn w:val="TableNormal"/>
    <w:next w:val="TableGrid"/>
    <w:uiPriority w:val="59"/>
    <w:rsid w:val="009A30B8"/>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TOC">
    <w:name w:val="ReferenceTOC"/>
    <w:basedOn w:val="Normal"/>
    <w:link w:val="ReferenceTOCChar"/>
    <w:uiPriority w:val="9"/>
    <w:rsid w:val="007A2C09"/>
    <w:pPr>
      <w:widowControl/>
      <w:spacing w:after="200"/>
    </w:pPr>
    <w:rPr>
      <w:rFonts w:eastAsiaTheme="minorEastAsia" w:cstheme="minorBidi"/>
      <w:b/>
      <w:snapToGrid/>
      <w:sz w:val="28"/>
      <w:szCs w:val="28"/>
      <w:lang w:eastAsia="zh-CN"/>
    </w:rPr>
  </w:style>
  <w:style w:type="character" w:customStyle="1" w:styleId="ReferenceTOCChar">
    <w:name w:val="ReferenceTOC Char"/>
    <w:basedOn w:val="DefaultParagraphFont"/>
    <w:link w:val="ReferenceTOC"/>
    <w:uiPriority w:val="9"/>
    <w:rsid w:val="007A2C09"/>
    <w:rPr>
      <w:rFonts w:ascii="Calibri" w:eastAsiaTheme="minorEastAsia" w:hAnsi="Calibri" w:cstheme="minorBidi"/>
      <w:b/>
      <w:sz w:val="28"/>
      <w:szCs w:val="28"/>
      <w:lang w:eastAsia="zh-CN"/>
    </w:rPr>
  </w:style>
  <w:style w:type="table" w:customStyle="1" w:styleId="HTAtableplain6">
    <w:name w:val="HTAtableplain6"/>
    <w:basedOn w:val="TableNormal"/>
    <w:next w:val="TableGrid"/>
    <w:uiPriority w:val="59"/>
    <w:rsid w:val="005448CA"/>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TAtableplain7">
    <w:name w:val="HTAtableplain7"/>
    <w:basedOn w:val="TableNormal"/>
    <w:next w:val="TableGrid"/>
    <w:uiPriority w:val="59"/>
    <w:rsid w:val="004D68A1"/>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TAtableplain8">
    <w:name w:val="HTAtableplain8"/>
    <w:basedOn w:val="TableNormal"/>
    <w:next w:val="TableGrid"/>
    <w:uiPriority w:val="59"/>
    <w:rsid w:val="00C406C7"/>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506265"/>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5C6A5C"/>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A042A4"/>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770582"/>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11">
    <w:name w:val="Body Text +11"/>
    <w:link w:val="BodyText11Char"/>
    <w:rsid w:val="009F084F"/>
    <w:pPr>
      <w:spacing w:after="200" w:line="264" w:lineRule="auto"/>
      <w:jc w:val="both"/>
    </w:pPr>
    <w:rPr>
      <w:rFonts w:asciiTheme="minorHAnsi" w:eastAsiaTheme="minorEastAsia" w:hAnsiTheme="minorHAnsi" w:cstheme="minorBidi"/>
      <w:sz w:val="22"/>
      <w:szCs w:val="22"/>
      <w:lang w:eastAsia="zh-CN"/>
    </w:rPr>
  </w:style>
  <w:style w:type="character" w:customStyle="1" w:styleId="BodyText11Char">
    <w:name w:val="Body Text +11 Char"/>
    <w:basedOn w:val="DefaultParagraphFont"/>
    <w:link w:val="BodyText11"/>
    <w:rsid w:val="009F084F"/>
    <w:rPr>
      <w:rFonts w:asciiTheme="minorHAnsi" w:eastAsiaTheme="minorEastAsia" w:hAnsiTheme="minorHAnsi" w:cstheme="minorBidi"/>
      <w:sz w:val="22"/>
      <w:szCs w:val="22"/>
      <w:lang w:eastAsia="zh-CN"/>
    </w:rPr>
  </w:style>
  <w:style w:type="table" w:customStyle="1" w:styleId="HTAtableplain9">
    <w:name w:val="HTAtableplain9"/>
    <w:basedOn w:val="TableNormal"/>
    <w:next w:val="TableGrid"/>
    <w:uiPriority w:val="59"/>
    <w:rsid w:val="004D6DE4"/>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ourceNotes">
    <w:name w:val="SourceNotes"/>
    <w:basedOn w:val="Normal"/>
    <w:next w:val="Normal"/>
    <w:link w:val="SourceNotesChar"/>
    <w:uiPriority w:val="2"/>
    <w:qFormat/>
    <w:rsid w:val="003C1A98"/>
    <w:pPr>
      <w:widowControl/>
      <w:tabs>
        <w:tab w:val="left" w:pos="1100"/>
      </w:tabs>
      <w:ind w:left="1100" w:hanging="1100"/>
      <w:jc w:val="left"/>
    </w:pPr>
    <w:rPr>
      <w:rFonts w:eastAsiaTheme="minorEastAsia" w:cstheme="minorBidi"/>
      <w:snapToGrid/>
      <w:sz w:val="18"/>
      <w:szCs w:val="18"/>
    </w:rPr>
  </w:style>
  <w:style w:type="character" w:customStyle="1" w:styleId="SourceNotesChar">
    <w:name w:val="SourceNotes Char"/>
    <w:basedOn w:val="TableNotesChar"/>
    <w:link w:val="SourceNotes"/>
    <w:uiPriority w:val="2"/>
    <w:rsid w:val="003C1A98"/>
    <w:rPr>
      <w:rFonts w:ascii="Calibri" w:eastAsiaTheme="minorEastAsia" w:hAnsi="Calibri" w:cstheme="minorBidi"/>
      <w:sz w:val="18"/>
      <w:szCs w:val="18"/>
      <w:lang w:eastAsia="en-US"/>
    </w:rPr>
  </w:style>
  <w:style w:type="paragraph" w:customStyle="1" w:styleId="EndNoteBibliographyTitle">
    <w:name w:val="EndNote Bibliography Title"/>
    <w:basedOn w:val="Normal"/>
    <w:link w:val="EndNoteBibliographyTitleChar"/>
    <w:rsid w:val="00FB1E41"/>
    <w:pPr>
      <w:widowControl/>
      <w:spacing w:line="264" w:lineRule="auto"/>
      <w:jc w:val="center"/>
    </w:pPr>
    <w:rPr>
      <w:rFonts w:eastAsiaTheme="minorEastAsia" w:cs="Calibri"/>
      <w:noProof/>
      <w:snapToGrid/>
      <w:sz w:val="20"/>
      <w:lang w:eastAsia="zh-CN"/>
    </w:rPr>
  </w:style>
  <w:style w:type="character" w:customStyle="1" w:styleId="EndNoteBibliographyTitleChar">
    <w:name w:val="EndNote Bibliography Title Char"/>
    <w:basedOn w:val="DefaultParagraphFont"/>
    <w:link w:val="EndNoteBibliographyTitle"/>
    <w:rsid w:val="00FB1E41"/>
    <w:rPr>
      <w:rFonts w:ascii="Calibri" w:eastAsiaTheme="minorEastAsia" w:hAnsi="Calibri" w:cs="Calibri"/>
      <w:noProof/>
      <w:szCs w:val="22"/>
      <w:lang w:eastAsia="zh-CN"/>
    </w:rPr>
  </w:style>
  <w:style w:type="table" w:customStyle="1" w:styleId="HTAtableplain10">
    <w:name w:val="HTAtableplain10"/>
    <w:basedOn w:val="TableNormal"/>
    <w:next w:val="TableGrid"/>
    <w:uiPriority w:val="59"/>
    <w:rsid w:val="00ED4756"/>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TAtableplain11">
    <w:name w:val="HTAtableplain11"/>
    <w:basedOn w:val="TableNormal"/>
    <w:next w:val="TableGrid"/>
    <w:uiPriority w:val="59"/>
    <w:rsid w:val="00ED4756"/>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TAtableplain12">
    <w:name w:val="HTAtableplain12"/>
    <w:basedOn w:val="TableNormal"/>
    <w:next w:val="TableGrid"/>
    <w:uiPriority w:val="59"/>
    <w:rsid w:val="00ED4756"/>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TAtableplain13">
    <w:name w:val="HTAtableplain13"/>
    <w:basedOn w:val="TableNormal"/>
    <w:next w:val="TableGrid"/>
    <w:uiPriority w:val="59"/>
    <w:rsid w:val="00ED4756"/>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TAtableplain14">
    <w:name w:val="HTAtableplain14"/>
    <w:basedOn w:val="TableNormal"/>
    <w:next w:val="TableGrid"/>
    <w:uiPriority w:val="59"/>
    <w:rsid w:val="00ED4756"/>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MainHeading">
    <w:name w:val="1-Main Heading"/>
    <w:link w:val="1-MainHeadingChar"/>
    <w:qFormat/>
    <w:rsid w:val="00CA1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CA1938"/>
    <w:rPr>
      <w:rFonts w:asciiTheme="minorHAnsi" w:eastAsiaTheme="majorEastAsia" w:hAnsiTheme="minorHAnsi" w:cstheme="majorBidi"/>
      <w:b/>
      <w:spacing w:val="5"/>
      <w:kern w:val="28"/>
      <w:sz w:val="36"/>
      <w:szCs w:val="36"/>
    </w:rPr>
  </w:style>
  <w:style w:type="paragraph" w:customStyle="1" w:styleId="4-SubsectionHeading">
    <w:name w:val="4-Subsection Heading"/>
    <w:basedOn w:val="Heading2"/>
    <w:next w:val="3-BodyText"/>
    <w:link w:val="4-SubsectionHeadingChar"/>
    <w:qFormat/>
    <w:rsid w:val="009F5351"/>
    <w:pPr>
      <w:keepNext/>
      <w:widowControl/>
      <w:spacing w:before="120" w:after="120"/>
    </w:pPr>
    <w:rPr>
      <w:rFonts w:asciiTheme="minorHAnsi" w:eastAsiaTheme="majorEastAsia" w:hAnsiTheme="minorHAnsi" w:cstheme="majorBidi"/>
      <w:snapToGrid/>
      <w:spacing w:val="5"/>
      <w:kern w:val="28"/>
      <w:szCs w:val="36"/>
    </w:rPr>
  </w:style>
  <w:style w:type="character" w:customStyle="1" w:styleId="4-SubsectionHeadingChar">
    <w:name w:val="4-Subsection Heading Char"/>
    <w:basedOn w:val="Heading2Char"/>
    <w:link w:val="4-SubsectionHeading"/>
    <w:rsid w:val="009F5351"/>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link w:val="5-SubsectionsubheadingChar"/>
    <w:qFormat/>
    <w:rsid w:val="0037240C"/>
    <w:pPr>
      <w:spacing w:after="120"/>
    </w:pPr>
  </w:style>
  <w:style w:type="character" w:customStyle="1" w:styleId="Heading3Char">
    <w:name w:val="Heading 3 Char"/>
    <w:basedOn w:val="DefaultParagraphFont"/>
    <w:link w:val="Heading3"/>
    <w:rsid w:val="0037240C"/>
    <w:rPr>
      <w:rFonts w:ascii="Calibri" w:hAnsi="Calibri" w:cs="Arial"/>
      <w:snapToGrid w:val="0"/>
      <w:sz w:val="24"/>
      <w:szCs w:val="22"/>
      <w:u w:val="single"/>
      <w:lang w:eastAsia="en-US"/>
    </w:rPr>
  </w:style>
  <w:style w:type="character" w:customStyle="1" w:styleId="5-SubsectionsubheadingChar">
    <w:name w:val="5-Subsection subheading Char"/>
    <w:basedOn w:val="Heading3Char"/>
    <w:link w:val="5-Subsectionsubheading"/>
    <w:rsid w:val="0037240C"/>
    <w:rPr>
      <w:rFonts w:ascii="Calibri" w:hAnsi="Calibri" w:cs="Arial"/>
      <w:snapToGrid w:val="0"/>
      <w:sz w:val="24"/>
      <w:szCs w:val="22"/>
      <w:u w:val="single"/>
      <w:lang w:eastAsia="en-US"/>
    </w:rPr>
  </w:style>
  <w:style w:type="character" w:customStyle="1" w:styleId="Heading1Char">
    <w:name w:val="Heading 1 Char"/>
    <w:basedOn w:val="DefaultParagraphFont"/>
    <w:link w:val="Heading1"/>
    <w:rsid w:val="005631FE"/>
    <w:rPr>
      <w:rFonts w:ascii="Calibri" w:hAnsi="Calibri" w:cs="Arial"/>
      <w:b/>
      <w:snapToGrid w:val="0"/>
      <w:sz w:val="32"/>
      <w:szCs w:val="22"/>
      <w:lang w:eastAsia="en-US"/>
    </w:rPr>
  </w:style>
  <w:style w:type="paragraph" w:customStyle="1" w:styleId="3Bodytext">
    <w:name w:val="3. Body text"/>
    <w:basedOn w:val="ListParagraph"/>
    <w:link w:val="3BodytextChar"/>
    <w:qFormat/>
    <w:rsid w:val="002A51E0"/>
    <w:pPr>
      <w:widowControl/>
      <w:spacing w:after="120"/>
      <w:ind w:hanging="720"/>
      <w:jc w:val="left"/>
    </w:pPr>
    <w:rPr>
      <w:rFonts w:asciiTheme="minorHAnsi" w:eastAsiaTheme="minorHAnsi" w:hAnsiTheme="minorHAnsi" w:cstheme="minorBidi"/>
      <w:snapToGrid/>
    </w:rPr>
  </w:style>
  <w:style w:type="character" w:customStyle="1" w:styleId="3BodytextChar">
    <w:name w:val="3. Body text Char"/>
    <w:basedOn w:val="ListParagraphChar"/>
    <w:link w:val="3Bodytext"/>
    <w:rsid w:val="002A51E0"/>
    <w:rPr>
      <w:rFonts w:asciiTheme="minorHAnsi" w:eastAsiaTheme="minorHAnsi" w:hAnsiTheme="minorHAnsi" w:cstheme="minorBidi"/>
      <w:snapToGrid/>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1795">
      <w:bodyDiv w:val="1"/>
      <w:marLeft w:val="0"/>
      <w:marRight w:val="0"/>
      <w:marTop w:val="0"/>
      <w:marBottom w:val="0"/>
      <w:divBdr>
        <w:top w:val="none" w:sz="0" w:space="0" w:color="auto"/>
        <w:left w:val="none" w:sz="0" w:space="0" w:color="auto"/>
        <w:bottom w:val="none" w:sz="0" w:space="0" w:color="auto"/>
        <w:right w:val="none" w:sz="0" w:space="0" w:color="auto"/>
      </w:divBdr>
    </w:div>
    <w:div w:id="90131150">
      <w:bodyDiv w:val="1"/>
      <w:marLeft w:val="0"/>
      <w:marRight w:val="0"/>
      <w:marTop w:val="0"/>
      <w:marBottom w:val="0"/>
      <w:divBdr>
        <w:top w:val="none" w:sz="0" w:space="0" w:color="auto"/>
        <w:left w:val="none" w:sz="0" w:space="0" w:color="auto"/>
        <w:bottom w:val="none" w:sz="0" w:space="0" w:color="auto"/>
        <w:right w:val="none" w:sz="0" w:space="0" w:color="auto"/>
      </w:divBdr>
    </w:div>
    <w:div w:id="181281489">
      <w:bodyDiv w:val="1"/>
      <w:marLeft w:val="0"/>
      <w:marRight w:val="0"/>
      <w:marTop w:val="0"/>
      <w:marBottom w:val="0"/>
      <w:divBdr>
        <w:top w:val="none" w:sz="0" w:space="0" w:color="auto"/>
        <w:left w:val="none" w:sz="0" w:space="0" w:color="auto"/>
        <w:bottom w:val="none" w:sz="0" w:space="0" w:color="auto"/>
        <w:right w:val="none" w:sz="0" w:space="0" w:color="auto"/>
      </w:divBdr>
    </w:div>
    <w:div w:id="710301938">
      <w:bodyDiv w:val="1"/>
      <w:marLeft w:val="0"/>
      <w:marRight w:val="0"/>
      <w:marTop w:val="0"/>
      <w:marBottom w:val="0"/>
      <w:divBdr>
        <w:top w:val="none" w:sz="0" w:space="0" w:color="auto"/>
        <w:left w:val="none" w:sz="0" w:space="0" w:color="auto"/>
        <w:bottom w:val="none" w:sz="0" w:space="0" w:color="auto"/>
        <w:right w:val="none" w:sz="0" w:space="0" w:color="auto"/>
      </w:divBdr>
    </w:div>
    <w:div w:id="884678206">
      <w:bodyDiv w:val="1"/>
      <w:marLeft w:val="0"/>
      <w:marRight w:val="0"/>
      <w:marTop w:val="0"/>
      <w:marBottom w:val="0"/>
      <w:divBdr>
        <w:top w:val="none" w:sz="0" w:space="0" w:color="auto"/>
        <w:left w:val="none" w:sz="0" w:space="0" w:color="auto"/>
        <w:bottom w:val="none" w:sz="0" w:space="0" w:color="auto"/>
        <w:right w:val="none" w:sz="0" w:space="0" w:color="auto"/>
      </w:divBdr>
    </w:div>
    <w:div w:id="938215842">
      <w:bodyDiv w:val="1"/>
      <w:marLeft w:val="0"/>
      <w:marRight w:val="0"/>
      <w:marTop w:val="0"/>
      <w:marBottom w:val="0"/>
      <w:divBdr>
        <w:top w:val="none" w:sz="0" w:space="0" w:color="auto"/>
        <w:left w:val="none" w:sz="0" w:space="0" w:color="auto"/>
        <w:bottom w:val="none" w:sz="0" w:space="0" w:color="auto"/>
        <w:right w:val="none" w:sz="0" w:space="0" w:color="auto"/>
      </w:divBdr>
    </w:div>
    <w:div w:id="964040068">
      <w:bodyDiv w:val="1"/>
      <w:marLeft w:val="0"/>
      <w:marRight w:val="0"/>
      <w:marTop w:val="0"/>
      <w:marBottom w:val="0"/>
      <w:divBdr>
        <w:top w:val="none" w:sz="0" w:space="0" w:color="auto"/>
        <w:left w:val="none" w:sz="0" w:space="0" w:color="auto"/>
        <w:bottom w:val="none" w:sz="0" w:space="0" w:color="auto"/>
        <w:right w:val="none" w:sz="0" w:space="0" w:color="auto"/>
      </w:divBdr>
    </w:div>
    <w:div w:id="1021585778">
      <w:bodyDiv w:val="1"/>
      <w:marLeft w:val="0"/>
      <w:marRight w:val="0"/>
      <w:marTop w:val="0"/>
      <w:marBottom w:val="0"/>
      <w:divBdr>
        <w:top w:val="none" w:sz="0" w:space="0" w:color="auto"/>
        <w:left w:val="none" w:sz="0" w:space="0" w:color="auto"/>
        <w:bottom w:val="none" w:sz="0" w:space="0" w:color="auto"/>
        <w:right w:val="none" w:sz="0" w:space="0" w:color="auto"/>
      </w:divBdr>
    </w:div>
    <w:div w:id="1174302907">
      <w:bodyDiv w:val="1"/>
      <w:marLeft w:val="0"/>
      <w:marRight w:val="0"/>
      <w:marTop w:val="0"/>
      <w:marBottom w:val="0"/>
      <w:divBdr>
        <w:top w:val="none" w:sz="0" w:space="0" w:color="auto"/>
        <w:left w:val="none" w:sz="0" w:space="0" w:color="auto"/>
        <w:bottom w:val="none" w:sz="0" w:space="0" w:color="auto"/>
        <w:right w:val="none" w:sz="0" w:space="0" w:color="auto"/>
      </w:divBdr>
    </w:div>
    <w:div w:id="1352226128">
      <w:bodyDiv w:val="1"/>
      <w:marLeft w:val="0"/>
      <w:marRight w:val="0"/>
      <w:marTop w:val="0"/>
      <w:marBottom w:val="0"/>
      <w:divBdr>
        <w:top w:val="none" w:sz="0" w:space="0" w:color="auto"/>
        <w:left w:val="none" w:sz="0" w:space="0" w:color="auto"/>
        <w:bottom w:val="none" w:sz="0" w:space="0" w:color="auto"/>
        <w:right w:val="none" w:sz="0" w:space="0" w:color="auto"/>
      </w:divBdr>
    </w:div>
    <w:div w:id="1470391453">
      <w:bodyDiv w:val="1"/>
      <w:marLeft w:val="0"/>
      <w:marRight w:val="0"/>
      <w:marTop w:val="0"/>
      <w:marBottom w:val="0"/>
      <w:divBdr>
        <w:top w:val="none" w:sz="0" w:space="0" w:color="auto"/>
        <w:left w:val="none" w:sz="0" w:space="0" w:color="auto"/>
        <w:bottom w:val="none" w:sz="0" w:space="0" w:color="auto"/>
        <w:right w:val="none" w:sz="0" w:space="0" w:color="auto"/>
      </w:divBdr>
    </w:div>
    <w:div w:id="1529102654">
      <w:bodyDiv w:val="1"/>
      <w:marLeft w:val="0"/>
      <w:marRight w:val="0"/>
      <w:marTop w:val="0"/>
      <w:marBottom w:val="0"/>
      <w:divBdr>
        <w:top w:val="none" w:sz="0" w:space="0" w:color="auto"/>
        <w:left w:val="none" w:sz="0" w:space="0" w:color="auto"/>
        <w:bottom w:val="none" w:sz="0" w:space="0" w:color="auto"/>
        <w:right w:val="none" w:sz="0" w:space="0" w:color="auto"/>
      </w:divBdr>
    </w:div>
    <w:div w:id="1579437032">
      <w:bodyDiv w:val="1"/>
      <w:marLeft w:val="0"/>
      <w:marRight w:val="0"/>
      <w:marTop w:val="0"/>
      <w:marBottom w:val="0"/>
      <w:divBdr>
        <w:top w:val="none" w:sz="0" w:space="0" w:color="auto"/>
        <w:left w:val="none" w:sz="0" w:space="0" w:color="auto"/>
        <w:bottom w:val="none" w:sz="0" w:space="0" w:color="auto"/>
        <w:right w:val="none" w:sz="0" w:space="0" w:color="auto"/>
      </w:divBdr>
      <w:divsChild>
        <w:div w:id="1666324465">
          <w:marLeft w:val="360"/>
          <w:marRight w:val="0"/>
          <w:marTop w:val="200"/>
          <w:marBottom w:val="0"/>
          <w:divBdr>
            <w:top w:val="none" w:sz="0" w:space="0" w:color="auto"/>
            <w:left w:val="none" w:sz="0" w:space="0" w:color="auto"/>
            <w:bottom w:val="none" w:sz="0" w:space="0" w:color="auto"/>
            <w:right w:val="none" w:sz="0" w:space="0" w:color="auto"/>
          </w:divBdr>
        </w:div>
        <w:div w:id="1282612215">
          <w:marLeft w:val="1080"/>
          <w:marRight w:val="0"/>
          <w:marTop w:val="100"/>
          <w:marBottom w:val="0"/>
          <w:divBdr>
            <w:top w:val="none" w:sz="0" w:space="0" w:color="auto"/>
            <w:left w:val="none" w:sz="0" w:space="0" w:color="auto"/>
            <w:bottom w:val="none" w:sz="0" w:space="0" w:color="auto"/>
            <w:right w:val="none" w:sz="0" w:space="0" w:color="auto"/>
          </w:divBdr>
        </w:div>
      </w:divsChild>
    </w:div>
    <w:div w:id="1793017821">
      <w:bodyDiv w:val="1"/>
      <w:marLeft w:val="0"/>
      <w:marRight w:val="0"/>
      <w:marTop w:val="0"/>
      <w:marBottom w:val="0"/>
      <w:divBdr>
        <w:top w:val="none" w:sz="0" w:space="0" w:color="auto"/>
        <w:left w:val="none" w:sz="0" w:space="0" w:color="auto"/>
        <w:bottom w:val="none" w:sz="0" w:space="0" w:color="auto"/>
        <w:right w:val="none" w:sz="0" w:space="0" w:color="auto"/>
      </w:divBdr>
    </w:div>
    <w:div w:id="1976450176">
      <w:bodyDiv w:val="1"/>
      <w:marLeft w:val="0"/>
      <w:marRight w:val="0"/>
      <w:marTop w:val="0"/>
      <w:marBottom w:val="0"/>
      <w:divBdr>
        <w:top w:val="none" w:sz="0" w:space="0" w:color="auto"/>
        <w:left w:val="none" w:sz="0" w:space="0" w:color="auto"/>
        <w:bottom w:val="none" w:sz="0" w:space="0" w:color="auto"/>
        <w:right w:val="none" w:sz="0" w:space="0" w:color="auto"/>
      </w:divBdr>
    </w:div>
    <w:div w:id="2006006973">
      <w:bodyDiv w:val="1"/>
      <w:marLeft w:val="0"/>
      <w:marRight w:val="0"/>
      <w:marTop w:val="0"/>
      <w:marBottom w:val="0"/>
      <w:divBdr>
        <w:top w:val="none" w:sz="0" w:space="0" w:color="auto"/>
        <w:left w:val="none" w:sz="0" w:space="0" w:color="auto"/>
        <w:bottom w:val="none" w:sz="0" w:space="0" w:color="auto"/>
        <w:right w:val="none" w:sz="0" w:space="0" w:color="auto"/>
      </w:divBdr>
    </w:div>
    <w:div w:id="2087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vicesaustralia.gov.au/hpo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hpo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D448-B4AD-4F4A-86C8-04F0BA8B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19101</Words>
  <Characters>108881</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2021-07-05T05:57:00Z</dcterms:created>
  <dcterms:modified xsi:type="dcterms:W3CDTF">2021-07-05T06:20:00Z</dcterms:modified>
</cp:coreProperties>
</file>