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A0" w:rsidRPr="00A4659F" w:rsidRDefault="001C4AB9" w:rsidP="00877656">
      <w:pPr>
        <w:pStyle w:val="1MainTitle"/>
        <w:ind w:left="1134" w:hanging="1134"/>
        <w:jc w:val="left"/>
        <w:rPr>
          <w:rFonts w:eastAsia="Calibri"/>
          <w:lang w:eastAsia="en-US"/>
        </w:rPr>
      </w:pPr>
      <w:r w:rsidRPr="00A4659F">
        <w:rPr>
          <w:rFonts w:eastAsia="Calibri"/>
          <w:lang w:eastAsia="en-US"/>
        </w:rPr>
        <w:t>6.17</w:t>
      </w:r>
      <w:r w:rsidR="00BF27A0" w:rsidRPr="00A4659F">
        <w:rPr>
          <w:rFonts w:eastAsia="Calibri"/>
          <w:lang w:eastAsia="en-US"/>
        </w:rPr>
        <w:tab/>
      </w:r>
      <w:r w:rsidRPr="00A4659F">
        <w:rPr>
          <w:rFonts w:eastAsia="Calibri"/>
          <w:lang w:eastAsia="en-US"/>
        </w:rPr>
        <w:t>TESTOSTERONE</w:t>
      </w:r>
      <w:r w:rsidR="00953248" w:rsidRPr="00A4659F">
        <w:rPr>
          <w:rFonts w:eastAsia="Calibri"/>
          <w:lang w:eastAsia="en-US"/>
        </w:rPr>
        <w:t>,</w:t>
      </w:r>
      <w:r w:rsidR="005E0D82" w:rsidRPr="00A4659F">
        <w:rPr>
          <w:rFonts w:eastAsia="Calibri"/>
          <w:lang w:eastAsia="en-US"/>
        </w:rPr>
        <w:br/>
      </w:r>
      <w:r w:rsidR="00953248" w:rsidRPr="00A4659F">
        <w:rPr>
          <w:rFonts w:eastAsia="Calibri"/>
          <w:lang w:eastAsia="en-US"/>
        </w:rPr>
        <w:t>Transdermal cream 50 mg per mL, 50 mL</w:t>
      </w:r>
      <w:r w:rsidR="00BF27A0" w:rsidRPr="00A4659F">
        <w:rPr>
          <w:rFonts w:eastAsia="Calibri"/>
          <w:lang w:eastAsia="en-US"/>
        </w:rPr>
        <w:t>,</w:t>
      </w:r>
      <w:r w:rsidR="005E0D82" w:rsidRPr="00A4659F">
        <w:rPr>
          <w:rFonts w:eastAsia="Calibri"/>
          <w:lang w:eastAsia="en-US"/>
        </w:rPr>
        <w:br/>
      </w:r>
      <w:r w:rsidR="00953248" w:rsidRPr="00A4659F">
        <w:rPr>
          <w:rFonts w:eastAsia="Calibri"/>
          <w:lang w:eastAsia="en-US"/>
        </w:rPr>
        <w:t>AndroForte 5</w:t>
      </w:r>
      <w:r w:rsidRPr="00A4659F">
        <w:rPr>
          <w:rStyle w:val="1MainTitleChar"/>
        </w:rPr>
        <w:t>®</w:t>
      </w:r>
      <w:r w:rsidR="00BF27A0" w:rsidRPr="00A4659F">
        <w:rPr>
          <w:rFonts w:eastAsia="Calibri"/>
          <w:lang w:eastAsia="en-US"/>
        </w:rPr>
        <w:t>,</w:t>
      </w:r>
      <w:r w:rsidR="005E0D82" w:rsidRPr="00A4659F">
        <w:rPr>
          <w:rFonts w:eastAsia="Calibri"/>
          <w:lang w:eastAsia="en-US"/>
        </w:rPr>
        <w:br/>
      </w:r>
      <w:r w:rsidR="00953248" w:rsidRPr="00A4659F">
        <w:rPr>
          <w:rFonts w:eastAsia="Calibri"/>
          <w:lang w:eastAsia="en-US"/>
        </w:rPr>
        <w:t>Lawley Pharmaceuticals Pty Ltd</w:t>
      </w:r>
      <w:r w:rsidR="00BF27A0" w:rsidRPr="00A4659F">
        <w:rPr>
          <w:rFonts w:eastAsia="Calibri"/>
          <w:lang w:eastAsia="en-US"/>
        </w:rPr>
        <w:t xml:space="preserve"> </w:t>
      </w:r>
    </w:p>
    <w:p w:rsidR="008A50F1" w:rsidRPr="00A4659F" w:rsidRDefault="00CE10C4" w:rsidP="008F0213">
      <w:pPr>
        <w:pStyle w:val="2-SectionHeading"/>
      </w:pPr>
      <w:r w:rsidRPr="00A4659F">
        <w:t xml:space="preserve">Purpose of </w:t>
      </w:r>
      <w:r w:rsidR="0004240E" w:rsidRPr="00A4659F">
        <w:t>Application</w:t>
      </w:r>
      <w:r w:rsidR="00034905" w:rsidRPr="00A4659F">
        <w:t xml:space="preserve"> </w:t>
      </w:r>
    </w:p>
    <w:p w:rsidR="00697806" w:rsidRPr="00A4659F" w:rsidRDefault="008C3358" w:rsidP="00BB066F">
      <w:pPr>
        <w:pStyle w:val="3Bodytext"/>
        <w:jc w:val="both"/>
      </w:pPr>
      <w:r w:rsidRPr="00A4659F">
        <w:t>The minor submission requested</w:t>
      </w:r>
      <w:r w:rsidR="008F29DC" w:rsidRPr="00A4659F">
        <w:t xml:space="preserve"> that the PBAC reconsider the </w:t>
      </w:r>
      <w:r w:rsidR="0094267C" w:rsidRPr="00A4659F">
        <w:t xml:space="preserve">equi-effective dosing </w:t>
      </w:r>
      <w:r w:rsidR="008F29DC" w:rsidRPr="00A4659F">
        <w:t xml:space="preserve">for testosterone </w:t>
      </w:r>
      <w:r w:rsidR="008F29DC" w:rsidRPr="00A4659F">
        <w:rPr>
          <w:rFonts w:eastAsia="Calibri"/>
          <w:lang w:eastAsia="en-US"/>
        </w:rPr>
        <w:t>transdermal cream 50 mg per mL, 50 mL</w:t>
      </w:r>
      <w:r w:rsidR="008F29DC" w:rsidRPr="00A4659F">
        <w:t xml:space="preserve"> (referred to as AndroForte</w:t>
      </w:r>
      <w:r w:rsidR="000823F2" w:rsidRPr="00A4659F">
        <w:t> </w:t>
      </w:r>
      <w:r w:rsidR="008F29DC" w:rsidRPr="00A4659F">
        <w:t>5</w:t>
      </w:r>
      <w:r w:rsidR="008F29DC" w:rsidRPr="00A4659F">
        <w:rPr>
          <w:rFonts w:cstheme="minorHAnsi"/>
          <w:szCs w:val="24"/>
        </w:rPr>
        <w:t xml:space="preserve"> from herein) </w:t>
      </w:r>
      <w:r w:rsidR="008F29DC" w:rsidRPr="00A4659F">
        <w:t xml:space="preserve">following changes to approved application sites that reduce the recommended dose from 100 mg (2 mL) to 25 mg (0.5 mL) and increase </w:t>
      </w:r>
      <w:r w:rsidR="008F29DC" w:rsidRPr="00A4659F">
        <w:rPr>
          <w:lang w:eastAsia="en-US"/>
        </w:rPr>
        <w:t>the number of treatments per tube from 25 to 100</w:t>
      </w:r>
      <w:r w:rsidR="008F29DC" w:rsidRPr="00A4659F">
        <w:t xml:space="preserve">. </w:t>
      </w:r>
    </w:p>
    <w:p w:rsidR="0094267C" w:rsidRDefault="008F29DC" w:rsidP="00BB066F">
      <w:pPr>
        <w:pStyle w:val="3Bodytext"/>
        <w:jc w:val="both"/>
      </w:pPr>
      <w:r w:rsidRPr="00A4659F">
        <w:t>AndroForte 5 is currently available as a</w:t>
      </w:r>
      <w:r w:rsidR="00400BF6" w:rsidRPr="00A4659F">
        <w:t>n</w:t>
      </w:r>
      <w:r w:rsidRPr="00A4659F">
        <w:t xml:space="preserve"> Authority Required listing with a maximum number of six repeats and an AEMP of $49.98. The submission requested a </w:t>
      </w:r>
      <w:r w:rsidR="00FD0FC2">
        <w:rPr>
          <w:noProof/>
          <w:color w:val="000000"/>
          <w:highlight w:val="black"/>
        </w:rPr>
        <w:t>'''''</w:t>
      </w:r>
      <w:r w:rsidRPr="00A4659F">
        <w:t xml:space="preserve">% increase in AEMP for this brand, and a new prescribing rule with two repeats. </w:t>
      </w:r>
    </w:p>
    <w:p w:rsidR="00A01432" w:rsidRPr="00A4659F" w:rsidRDefault="00A01432" w:rsidP="00056B72">
      <w:pPr>
        <w:pStyle w:val="2-SectionHeading"/>
      </w:pPr>
      <w:r w:rsidRPr="00A4659F">
        <w:t xml:space="preserve">Background </w:t>
      </w:r>
    </w:p>
    <w:p w:rsidR="00275509" w:rsidRPr="00A4659F" w:rsidRDefault="00A01432" w:rsidP="00275509">
      <w:pPr>
        <w:pStyle w:val="4-SubsectionHeading"/>
      </w:pPr>
      <w:r w:rsidRPr="00A4659F">
        <w:t>Registration status</w:t>
      </w:r>
    </w:p>
    <w:p w:rsidR="00DA6A8E" w:rsidRPr="00A4659F" w:rsidRDefault="007514AE" w:rsidP="00BB066F">
      <w:pPr>
        <w:pStyle w:val="3Bodytext"/>
        <w:jc w:val="both"/>
      </w:pPr>
      <w:r w:rsidRPr="00A4659F">
        <w:t>AndroF</w:t>
      </w:r>
      <w:r w:rsidR="00DA6A8E" w:rsidRPr="00A4659F">
        <w:t xml:space="preserve">orte 5 </w:t>
      </w:r>
      <w:r w:rsidR="00275509" w:rsidRPr="00A4659F">
        <w:t xml:space="preserve">was registered </w:t>
      </w:r>
      <w:r w:rsidR="00DA6A8E" w:rsidRPr="00A4659F">
        <w:t xml:space="preserve">by the TGA </w:t>
      </w:r>
      <w:r w:rsidR="00275509" w:rsidRPr="00A4659F">
        <w:t xml:space="preserve">on </w:t>
      </w:r>
      <w:r w:rsidR="00354B01">
        <w:t>1</w:t>
      </w:r>
      <w:r w:rsidR="00275509" w:rsidRPr="00A4659F">
        <w:t>1</w:t>
      </w:r>
      <w:r w:rsidR="00286F9D" w:rsidRPr="00A4659F">
        <w:t xml:space="preserve"> </w:t>
      </w:r>
      <w:r w:rsidR="00354B01">
        <w:t>July 2014</w:t>
      </w:r>
      <w:r w:rsidR="00275509" w:rsidRPr="00A4659F">
        <w:t xml:space="preserve"> </w:t>
      </w:r>
      <w:r w:rsidR="00DA6A8E" w:rsidRPr="00A4659F">
        <w:t>and is approved for</w:t>
      </w:r>
      <w:r w:rsidR="00DA6A8E" w:rsidRPr="00A4659F" w:rsidDel="009A61CA">
        <w:t xml:space="preserve"> </w:t>
      </w:r>
      <w:r w:rsidR="00DA6A8E" w:rsidRPr="00A4659F">
        <w:t>the following indication:</w:t>
      </w:r>
    </w:p>
    <w:p w:rsidR="00A01432" w:rsidRPr="00A4659F" w:rsidRDefault="00DA6A8E" w:rsidP="00BB066F">
      <w:pPr>
        <w:pStyle w:val="3Bodytext"/>
        <w:numPr>
          <w:ilvl w:val="0"/>
          <w:numId w:val="0"/>
        </w:numPr>
        <w:ind w:left="720"/>
        <w:jc w:val="both"/>
      </w:pPr>
      <w:r w:rsidRPr="00A4659F">
        <w:t>“U</w:t>
      </w:r>
      <w:r w:rsidR="00275509" w:rsidRPr="00A4659F">
        <w:t>se as testosterone replacement therapy for male hypogonadism when testosterone deficiency has been confirmed by clinical features and biochemical tests</w:t>
      </w:r>
      <w:r w:rsidRPr="00A4659F">
        <w:t>”</w:t>
      </w:r>
      <w:r w:rsidR="00275509" w:rsidRPr="00A4659F">
        <w:t>.</w:t>
      </w:r>
      <w:r w:rsidR="00A01432" w:rsidRPr="00A4659F">
        <w:t xml:space="preserve"> </w:t>
      </w:r>
    </w:p>
    <w:p w:rsidR="00B17EE5" w:rsidRPr="00A4659F" w:rsidRDefault="00B17EE5" w:rsidP="00917D69">
      <w:pPr>
        <w:pStyle w:val="2-SectionHeading"/>
      </w:pPr>
      <w:r w:rsidRPr="00A4659F">
        <w:t>Requested listing</w:t>
      </w:r>
    </w:p>
    <w:p w:rsidR="00DA6A8E" w:rsidRPr="00A4659F" w:rsidRDefault="007514AE" w:rsidP="00BB066F">
      <w:pPr>
        <w:pStyle w:val="3Bodytext"/>
        <w:spacing w:after="0"/>
        <w:jc w:val="both"/>
        <w:rPr>
          <w:color w:val="000000" w:themeColor="text1"/>
        </w:rPr>
      </w:pPr>
      <w:r w:rsidRPr="00A4659F">
        <w:t>AndroF</w:t>
      </w:r>
      <w:r w:rsidR="00DA6A8E" w:rsidRPr="00A4659F">
        <w:t>orte 5 is currently registered and listed on the PBS (</w:t>
      </w:r>
      <w:r w:rsidR="004D7B0D" w:rsidRPr="00A4659F">
        <w:t>item</w:t>
      </w:r>
      <w:r w:rsidR="00DA6A8E" w:rsidRPr="00A4659F">
        <w:t xml:space="preserve"> code 10378F) as an</w:t>
      </w:r>
      <w:r w:rsidR="004D7B0D" w:rsidRPr="00A4659F">
        <w:t> </w:t>
      </w:r>
      <w:r w:rsidR="00DA6A8E" w:rsidRPr="00A4659F">
        <w:t>Authority Required listing for androgen deficiency, micropenis, pubertal induction and the constitutional delay of growth or onset of puberty.</w:t>
      </w:r>
    </w:p>
    <w:p w:rsidR="00443DA7" w:rsidRPr="00A4659F" w:rsidRDefault="00B17EE5" w:rsidP="00BB066F">
      <w:pPr>
        <w:pStyle w:val="3Bodytext"/>
        <w:spacing w:after="0"/>
        <w:jc w:val="both"/>
      </w:pPr>
      <w:r w:rsidRPr="00A4659F">
        <w:t xml:space="preserve">The submission requested the </w:t>
      </w:r>
      <w:r w:rsidR="008F29DC" w:rsidRPr="00A4659F">
        <w:t xml:space="preserve">addition of nurse practitioner as </w:t>
      </w:r>
      <w:r w:rsidR="00697806" w:rsidRPr="00A4659F">
        <w:t xml:space="preserve">a </w:t>
      </w:r>
      <w:r w:rsidR="008F29DC" w:rsidRPr="00A4659F">
        <w:t>prescriber type</w:t>
      </w:r>
      <w:r w:rsidRPr="00A4659F">
        <w:t xml:space="preserve"> to the existing </w:t>
      </w:r>
      <w:bookmarkStart w:id="0" w:name="_Toc535915928"/>
      <w:r w:rsidR="00443DA7" w:rsidRPr="00A4659F">
        <w:t>restriction</w:t>
      </w:r>
      <w:r w:rsidR="00044126" w:rsidRPr="00A4659F">
        <w:t xml:space="preserve">. </w:t>
      </w:r>
    </w:p>
    <w:p w:rsidR="0077724B" w:rsidRPr="00A4659F" w:rsidRDefault="008F29DC" w:rsidP="00BB066F">
      <w:pPr>
        <w:pStyle w:val="3Bodytext"/>
        <w:jc w:val="both"/>
        <w:rPr>
          <w:i/>
        </w:rPr>
      </w:pPr>
      <w:r w:rsidRPr="00A4659F">
        <w:t xml:space="preserve">The submission also requested </w:t>
      </w:r>
      <w:r w:rsidR="00D677BF" w:rsidRPr="00A4659F">
        <w:t xml:space="preserve">an additional prescribing rule with a maximum of two repeats, reflecting </w:t>
      </w:r>
      <w:r w:rsidR="009E05AA" w:rsidRPr="00A4659F">
        <w:t xml:space="preserve">a reduction in the recommended dose from 100 mg (2 mL) </w:t>
      </w:r>
      <w:r w:rsidR="00697806" w:rsidRPr="00A4659F">
        <w:t xml:space="preserve">daily </w:t>
      </w:r>
      <w:r w:rsidR="009E05AA" w:rsidRPr="00A4659F">
        <w:t>to 25</w:t>
      </w:r>
      <w:r w:rsidR="00EC15B0" w:rsidRPr="00A4659F">
        <w:t> </w:t>
      </w:r>
      <w:r w:rsidR="009E05AA" w:rsidRPr="00A4659F">
        <w:t>mg (0.5 mL)</w:t>
      </w:r>
      <w:r w:rsidR="00D677BF" w:rsidRPr="00A4659F">
        <w:t xml:space="preserve"> </w:t>
      </w:r>
      <w:r w:rsidR="00697806" w:rsidRPr="00A4659F">
        <w:t xml:space="preserve">daily </w:t>
      </w:r>
      <w:r w:rsidR="00D677BF" w:rsidRPr="00A4659F">
        <w:t>for scrotal application</w:t>
      </w:r>
      <w:r w:rsidR="009E05AA" w:rsidRPr="00A4659F">
        <w:t xml:space="preserve"> that increases the number of treatments per tube from 25 to 100</w:t>
      </w:r>
      <w:r w:rsidR="008D0D54" w:rsidRPr="00A4659F">
        <w:t>.</w:t>
      </w:r>
    </w:p>
    <w:bookmarkEnd w:id="0"/>
    <w:p w:rsidR="008457B0" w:rsidRPr="00E513B8" w:rsidRDefault="008457B0" w:rsidP="00E513B8">
      <w:pPr>
        <w:pStyle w:val="4-SubsectionHeading"/>
      </w:pPr>
      <w:r w:rsidRPr="00A4659F">
        <w:t>Nurse Practitioner Prescribing</w:t>
      </w:r>
    </w:p>
    <w:p w:rsidR="000E5008" w:rsidRPr="00A4659F" w:rsidRDefault="008457B0" w:rsidP="00BB066F">
      <w:pPr>
        <w:pStyle w:val="3Bodytext"/>
        <w:jc w:val="both"/>
      </w:pPr>
      <w:r w:rsidRPr="00A4659F">
        <w:t>The PBAC is requested to consider if Andro</w:t>
      </w:r>
      <w:r w:rsidR="007514AE" w:rsidRPr="00A4659F">
        <w:t>Forte</w:t>
      </w:r>
      <w:r w:rsidRPr="00A4659F">
        <w:t xml:space="preserve"> 5 is suitable for inclusion in the PBS medicines for prescribing by nurse practitioner </w:t>
      </w:r>
      <w:r w:rsidR="002E7BB7" w:rsidRPr="00A4659F">
        <w:t xml:space="preserve">for the continuing </w:t>
      </w:r>
      <w:r w:rsidR="00427EAC" w:rsidRPr="00A4659F">
        <w:t xml:space="preserve">treatment </w:t>
      </w:r>
      <w:r w:rsidR="002E7BB7" w:rsidRPr="00A4659F">
        <w:t xml:space="preserve">phase. </w:t>
      </w:r>
    </w:p>
    <w:p w:rsidR="007514AE" w:rsidRPr="00A4659F" w:rsidRDefault="007514AE" w:rsidP="00BB066F">
      <w:pPr>
        <w:pStyle w:val="3Bodytext"/>
        <w:jc w:val="both"/>
      </w:pPr>
      <w:r w:rsidRPr="00A4659F">
        <w:lastRenderedPageBreak/>
        <w:t>In March 2015, the PBAC advised that AndroForte 5 is not suitable for prescribing by nurse practitioners</w:t>
      </w:r>
      <w:r w:rsidR="009E05AA" w:rsidRPr="00A4659F">
        <w:t xml:space="preserve">. The sponsor has not provided </w:t>
      </w:r>
      <w:r w:rsidR="004D7B0D" w:rsidRPr="00A4659F">
        <w:t>any</w:t>
      </w:r>
      <w:r w:rsidR="009E05AA" w:rsidRPr="00A4659F">
        <w:t xml:space="preserve"> evidence</w:t>
      </w:r>
      <w:r w:rsidR="004D7B0D" w:rsidRPr="00A4659F">
        <w:t xml:space="preserve"> to support prescribing by nurse practitioner</w:t>
      </w:r>
      <w:r w:rsidR="0091247A" w:rsidRPr="00A4659F">
        <w:t>s</w:t>
      </w:r>
      <w:r w:rsidRPr="00A4659F">
        <w:t xml:space="preserve">. </w:t>
      </w:r>
    </w:p>
    <w:p w:rsidR="00800AC2" w:rsidRPr="00A4659F" w:rsidRDefault="00800AC2" w:rsidP="00BB066F">
      <w:pPr>
        <w:pStyle w:val="3Bodytext"/>
        <w:jc w:val="both"/>
      </w:pPr>
      <w:r w:rsidRPr="00A4659F">
        <w:t>In its pre-PBAC response</w:t>
      </w:r>
      <w:r w:rsidR="004A6B18" w:rsidRPr="00A4659F">
        <w:t xml:space="preserve"> </w:t>
      </w:r>
      <w:r w:rsidRPr="00A4659F">
        <w:t xml:space="preserve">the sponsor stated it </w:t>
      </w:r>
      <w:r w:rsidRPr="00A4659F">
        <w:rPr>
          <w:iCs/>
        </w:rPr>
        <w:t>does not wish to pursue prescribing by nurse practitioners.</w:t>
      </w:r>
    </w:p>
    <w:p w:rsidR="00800AC2" w:rsidRPr="00A4659F" w:rsidRDefault="00800AC2" w:rsidP="00A77107">
      <w:pPr>
        <w:pStyle w:val="3Bodytext"/>
        <w:numPr>
          <w:ilvl w:val="0"/>
          <w:numId w:val="0"/>
        </w:numPr>
        <w:jc w:val="both"/>
        <w:rPr>
          <w:i/>
        </w:rPr>
      </w:pPr>
      <w:r w:rsidRPr="00A4659F">
        <w:rPr>
          <w:i/>
        </w:rPr>
        <w:t xml:space="preserve">For more detail on PBAC’s view, see section </w:t>
      </w:r>
      <w:r w:rsidR="002F1975">
        <w:rPr>
          <w:i/>
        </w:rPr>
        <w:t>6</w:t>
      </w:r>
      <w:r w:rsidRPr="00A4659F">
        <w:rPr>
          <w:i/>
        </w:rPr>
        <w:t xml:space="preserve"> PBAC outcome</w:t>
      </w:r>
    </w:p>
    <w:p w:rsidR="005A3173" w:rsidRPr="00A4659F" w:rsidRDefault="005A3173" w:rsidP="00917D69">
      <w:pPr>
        <w:pStyle w:val="2-SectionHeading"/>
        <w:rPr>
          <w:color w:val="FF0000"/>
        </w:rPr>
      </w:pPr>
      <w:r w:rsidRPr="00A4659F">
        <w:t>Comparator</w:t>
      </w:r>
      <w:r w:rsidR="0099465B" w:rsidRPr="00A4659F">
        <w:t xml:space="preserve"> </w:t>
      </w:r>
    </w:p>
    <w:p w:rsidR="00180713" w:rsidRPr="00A4659F" w:rsidRDefault="00180713" w:rsidP="00BB066F">
      <w:pPr>
        <w:pStyle w:val="3Bodytext"/>
        <w:jc w:val="both"/>
      </w:pPr>
      <w:r w:rsidRPr="00A4659F">
        <w:t xml:space="preserve">The submission considered by the PBAC in </w:t>
      </w:r>
      <w:r w:rsidR="003D311C" w:rsidRPr="00A4659F">
        <w:t>March 2015</w:t>
      </w:r>
      <w:r w:rsidR="00095ADA" w:rsidRPr="00A4659F">
        <w:t xml:space="preserve"> </w:t>
      </w:r>
      <w:r w:rsidRPr="00A4659F">
        <w:t xml:space="preserve">nominated </w:t>
      </w:r>
      <w:r w:rsidR="003D311C" w:rsidRPr="00A4659F">
        <w:t>testosterone 1% gel 50</w:t>
      </w:r>
      <w:r w:rsidR="00046DC6" w:rsidRPr="00A4659F">
        <w:t> </w:t>
      </w:r>
      <w:r w:rsidR="003D311C" w:rsidRPr="00A4659F">
        <w:t>mg</w:t>
      </w:r>
      <w:r w:rsidR="00814854" w:rsidRPr="00A4659F">
        <w:t xml:space="preserve"> (testosterone 1% gel from herein)</w:t>
      </w:r>
      <w:r w:rsidR="002E7BB7" w:rsidRPr="00A4659F">
        <w:t xml:space="preserve"> as a relevant comparator. </w:t>
      </w:r>
      <w:r w:rsidR="007F7E43" w:rsidRPr="00A4659F">
        <w:t>This was based on the TGA delegate’s determination that ‘AndroForte and Testogel are therapeutically equivalent for all practical purposes’.</w:t>
      </w:r>
      <w:r w:rsidR="00CF5AA0" w:rsidRPr="00A4659F">
        <w:t xml:space="preserve"> This remained unchanged.</w:t>
      </w:r>
      <w:r w:rsidR="00697806" w:rsidRPr="00A4659F">
        <w:t xml:space="preserve"> </w:t>
      </w:r>
    </w:p>
    <w:p w:rsidR="005B4197" w:rsidRPr="00A4659F" w:rsidRDefault="007F7E43" w:rsidP="00BB066F">
      <w:pPr>
        <w:pStyle w:val="3Bodytext"/>
        <w:jc w:val="both"/>
      </w:pPr>
      <w:r w:rsidRPr="00A4659F">
        <w:t xml:space="preserve">The sponsor acknowledged that </w:t>
      </w:r>
      <w:r w:rsidR="00814854" w:rsidRPr="00A4659F">
        <w:t xml:space="preserve">AndroForte 5 </w:t>
      </w:r>
      <w:r w:rsidR="0091247A" w:rsidRPr="00A4659F">
        <w:t xml:space="preserve">was listed </w:t>
      </w:r>
      <w:r w:rsidR="00814854" w:rsidRPr="00A4659F">
        <w:t>on a cost-minimisation bas</w:t>
      </w:r>
      <w:r w:rsidR="00871581" w:rsidRPr="00A4659F">
        <w:t>i</w:t>
      </w:r>
      <w:r w:rsidR="00814854" w:rsidRPr="00A4659F">
        <w:t xml:space="preserve">s </w:t>
      </w:r>
      <w:r w:rsidR="0091247A" w:rsidRPr="00A4659F">
        <w:t>to</w:t>
      </w:r>
      <w:r w:rsidR="00814854" w:rsidRPr="00A4659F">
        <w:t xml:space="preserve"> testosterone 1% gel</w:t>
      </w:r>
      <w:r w:rsidR="00871581" w:rsidRPr="00A4659F">
        <w:t xml:space="preserve"> and that the PBAC considered </w:t>
      </w:r>
      <w:r w:rsidR="00697806" w:rsidRPr="00A4659F">
        <w:t xml:space="preserve">the equi-effective doses are </w:t>
      </w:r>
      <w:r w:rsidR="00871581" w:rsidRPr="00A4659F">
        <w:t>testosterone 5% cream 100</w:t>
      </w:r>
      <w:r w:rsidR="0026637E" w:rsidRPr="00A4659F">
        <w:t xml:space="preserve"> </w:t>
      </w:r>
      <w:r w:rsidR="00871581" w:rsidRPr="00A4659F">
        <w:t xml:space="preserve">mg daily </w:t>
      </w:r>
      <w:r w:rsidR="008D0D54" w:rsidRPr="00A4659F">
        <w:t xml:space="preserve">and </w:t>
      </w:r>
      <w:r w:rsidR="00871581" w:rsidRPr="00A4659F">
        <w:t>testosterone 1% gel 50</w:t>
      </w:r>
      <w:r w:rsidR="00046DC6" w:rsidRPr="00A4659F">
        <w:t> </w:t>
      </w:r>
      <w:r w:rsidR="00871581" w:rsidRPr="00A4659F">
        <w:t>mg daily.</w:t>
      </w:r>
    </w:p>
    <w:p w:rsidR="002E2EC4" w:rsidRPr="00A4659F" w:rsidRDefault="002E2EC4" w:rsidP="00BB066F">
      <w:pPr>
        <w:pStyle w:val="3Bodytext"/>
        <w:jc w:val="both"/>
      </w:pPr>
      <w:r w:rsidRPr="00A4659F">
        <w:t xml:space="preserve">The minor submission presented a cost-minimisation analysis of scrotal application </w:t>
      </w:r>
      <w:r w:rsidR="00CF5AA0" w:rsidRPr="00A4659F">
        <w:t>with new</w:t>
      </w:r>
      <w:r w:rsidRPr="00A4659F">
        <w:t xml:space="preserve"> equi-effective doses estimated as scrotal application 25 mg daily and upper body application 100 mg daily.</w:t>
      </w:r>
    </w:p>
    <w:p w:rsidR="00C40567" w:rsidRDefault="00C40567">
      <w:pPr>
        <w:jc w:val="left"/>
        <w:rPr>
          <w:rFonts w:ascii="Arial Narrow" w:eastAsiaTheme="minorHAnsi" w:hAnsi="Arial Narrow" w:cs="Calibri"/>
          <w:b/>
          <w:bCs/>
          <w:color w:val="000000"/>
          <w:sz w:val="20"/>
          <w:szCs w:val="20"/>
        </w:rPr>
      </w:pPr>
      <w:r>
        <w:rPr>
          <w:rFonts w:ascii="Arial Narrow" w:hAnsi="Arial Narrow" w:cs="Calibri"/>
          <w:b/>
          <w:bCs/>
          <w:color w:val="000000"/>
          <w:sz w:val="20"/>
          <w:szCs w:val="20"/>
        </w:rPr>
        <w:br w:type="page"/>
      </w:r>
    </w:p>
    <w:p w:rsidR="002E2EC4" w:rsidRPr="00A4659F" w:rsidRDefault="002E2EC4" w:rsidP="002E2EC4">
      <w:pPr>
        <w:pStyle w:val="3Bodytext"/>
        <w:numPr>
          <w:ilvl w:val="0"/>
          <w:numId w:val="0"/>
        </w:numPr>
        <w:spacing w:before="240" w:after="0"/>
        <w:rPr>
          <w:rFonts w:cstheme="minorHAnsi"/>
          <w:szCs w:val="24"/>
        </w:rPr>
      </w:pPr>
      <w:r w:rsidRPr="00A4659F">
        <w:rPr>
          <w:rFonts w:ascii="Arial Narrow" w:hAnsi="Arial Narrow" w:cs="Calibri"/>
          <w:b/>
          <w:bCs/>
          <w:color w:val="000000"/>
          <w:sz w:val="20"/>
          <w:szCs w:val="20"/>
        </w:rPr>
        <w:lastRenderedPageBreak/>
        <w:t xml:space="preserve">Table </w:t>
      </w:r>
      <w:r w:rsidR="003C1911">
        <w:rPr>
          <w:rFonts w:ascii="Arial Narrow" w:hAnsi="Arial Narrow" w:cs="Calibri"/>
          <w:b/>
          <w:bCs/>
          <w:color w:val="000000"/>
          <w:sz w:val="20"/>
          <w:szCs w:val="20"/>
        </w:rPr>
        <w:t>1</w:t>
      </w:r>
      <w:r w:rsidRPr="00A4659F">
        <w:rPr>
          <w:rFonts w:ascii="Arial Narrow" w:hAnsi="Arial Narrow" w:cs="Calibri"/>
          <w:b/>
          <w:bCs/>
          <w:color w:val="000000"/>
          <w:sz w:val="20"/>
          <w:szCs w:val="20"/>
        </w:rPr>
        <w:t xml:space="preserve"> - Cost-minimisation of A</w:t>
      </w:r>
      <w:r w:rsidR="00CF5AA0" w:rsidRPr="00A4659F">
        <w:rPr>
          <w:rFonts w:ascii="Arial Narrow" w:hAnsi="Arial Narrow" w:cs="Calibri"/>
          <w:b/>
          <w:bCs/>
          <w:color w:val="000000"/>
          <w:sz w:val="20"/>
          <w:szCs w:val="20"/>
        </w:rPr>
        <w:t>ndroforte</w:t>
      </w:r>
      <w:r w:rsidRPr="00A4659F">
        <w:rPr>
          <w:rFonts w:ascii="Arial Narrow" w:hAnsi="Arial Narrow" w:cs="Calibri"/>
          <w:b/>
          <w:bCs/>
          <w:color w:val="000000"/>
          <w:sz w:val="20"/>
          <w:szCs w:val="20"/>
        </w:rPr>
        <w:t xml:space="preserve"> 5 with scrotal application versus the existing A</w:t>
      </w:r>
      <w:r w:rsidR="00CF5AA0" w:rsidRPr="00A4659F">
        <w:rPr>
          <w:rFonts w:ascii="Arial Narrow" w:hAnsi="Arial Narrow" w:cs="Calibri"/>
          <w:b/>
          <w:bCs/>
          <w:color w:val="000000"/>
          <w:sz w:val="20"/>
          <w:szCs w:val="20"/>
        </w:rPr>
        <w:t>ndroforte</w:t>
      </w:r>
      <w:r w:rsidRPr="00A4659F">
        <w:rPr>
          <w:rFonts w:ascii="Arial Narrow" w:hAnsi="Arial Narrow" w:cs="Calibri"/>
          <w:b/>
          <w:bCs/>
          <w:color w:val="000000"/>
          <w:sz w:val="20"/>
          <w:szCs w:val="20"/>
        </w:rPr>
        <w:t xml:space="preserve"> 5 </w:t>
      </w:r>
      <w:r w:rsidR="00CF5AA0" w:rsidRPr="00A4659F">
        <w:rPr>
          <w:rFonts w:ascii="Arial Narrow" w:hAnsi="Arial Narrow" w:cs="Calibri"/>
          <w:b/>
          <w:bCs/>
          <w:color w:val="000000"/>
          <w:sz w:val="20"/>
          <w:szCs w:val="20"/>
        </w:rPr>
        <w:t>cost</w:t>
      </w:r>
      <w:r w:rsidR="00CF5AA0" w:rsidRPr="00A4659F">
        <w:rPr>
          <w:rFonts w:ascii="Arial Narrow" w:hAnsi="Arial Narrow" w:cs="Calibri"/>
          <w:b/>
          <w:bCs/>
          <w:color w:val="000000"/>
          <w:sz w:val="20"/>
          <w:szCs w:val="20"/>
        </w:rPr>
        <w:noBreakHyphen/>
        <w:t>minimisation</w:t>
      </w:r>
      <w:r w:rsidRPr="00A4659F">
        <w:rPr>
          <w:rFonts w:ascii="Arial Narrow" w:hAnsi="Arial Narrow" w:cs="Calibri"/>
          <w:b/>
          <w:bCs/>
          <w:color w:val="000000"/>
          <w:sz w:val="20"/>
          <w:szCs w:val="20"/>
        </w:rPr>
        <w:t xml:space="preserve"> with torso application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5"/>
        <w:gridCol w:w="3005"/>
        <w:gridCol w:w="3006"/>
      </w:tblGrid>
      <w:tr w:rsidR="002E2EC4" w:rsidRPr="00A4659F" w:rsidTr="0022730C">
        <w:trPr>
          <w:trHeight w:val="99"/>
        </w:trPr>
        <w:tc>
          <w:tcPr>
            <w:tcW w:w="1666"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p>
        </w:tc>
        <w:tc>
          <w:tcPr>
            <w:tcW w:w="1666"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b/>
                <w:bCs/>
                <w:color w:val="000000"/>
                <w:sz w:val="20"/>
                <w:szCs w:val="20"/>
              </w:rPr>
              <w:t>ANDROFORTE® 5 (scrotal application) Proposed</w:t>
            </w:r>
          </w:p>
        </w:tc>
        <w:tc>
          <w:tcPr>
            <w:tcW w:w="1667"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b/>
                <w:bCs/>
                <w:color w:val="000000"/>
                <w:sz w:val="20"/>
                <w:szCs w:val="20"/>
              </w:rPr>
              <w:t>ANDROFORTE® 5 (torso application) Current</w:t>
            </w:r>
          </w:p>
        </w:tc>
      </w:tr>
      <w:tr w:rsidR="002E2EC4" w:rsidRPr="00A4659F" w:rsidTr="0022730C">
        <w:trPr>
          <w:trHeight w:val="99"/>
        </w:trPr>
        <w:tc>
          <w:tcPr>
            <w:tcW w:w="1666"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Item code </w:t>
            </w:r>
          </w:p>
        </w:tc>
        <w:tc>
          <w:tcPr>
            <w:tcW w:w="1666" w:type="pct"/>
          </w:tcPr>
          <w:p w:rsidR="002E2EC4" w:rsidRPr="00A4659F" w:rsidRDefault="00046DC6"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TBC</w:t>
            </w:r>
          </w:p>
        </w:tc>
        <w:tc>
          <w:tcPr>
            <w:tcW w:w="1667" w:type="pct"/>
          </w:tcPr>
          <w:p w:rsidR="002E2EC4" w:rsidRPr="00A4659F" w:rsidRDefault="00046DC6"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10378F</w:t>
            </w:r>
          </w:p>
        </w:tc>
      </w:tr>
      <w:tr w:rsidR="002E2EC4" w:rsidRPr="00A4659F" w:rsidTr="0022730C">
        <w:trPr>
          <w:trHeight w:val="99"/>
        </w:trPr>
        <w:tc>
          <w:tcPr>
            <w:tcW w:w="1666"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DPMQ </w:t>
            </w:r>
          </w:p>
        </w:tc>
        <w:tc>
          <w:tcPr>
            <w:tcW w:w="1666"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w:t>
            </w:r>
            <w:r w:rsidRPr="00B274CC">
              <w:rPr>
                <w:rFonts w:ascii="Arial Narrow" w:hAnsi="Arial Narrow" w:cs="Calibri"/>
                <w:color w:val="000000"/>
                <w:sz w:val="20"/>
                <w:szCs w:val="20"/>
              </w:rPr>
              <w:t>263.04</w:t>
            </w:r>
            <w:r w:rsidRPr="00A4659F">
              <w:rPr>
                <w:rFonts w:ascii="Arial Narrow" w:hAnsi="Arial Narrow" w:cs="Calibri"/>
                <w:color w:val="000000"/>
                <w:sz w:val="20"/>
                <w:szCs w:val="20"/>
              </w:rPr>
              <w:t xml:space="preserve"> </w:t>
            </w:r>
          </w:p>
        </w:tc>
        <w:tc>
          <w:tcPr>
            <w:tcW w:w="1667"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$65.22 </w:t>
            </w:r>
          </w:p>
        </w:tc>
      </w:tr>
      <w:tr w:rsidR="002E2EC4" w:rsidRPr="00A4659F" w:rsidTr="0022730C">
        <w:trPr>
          <w:trHeight w:val="99"/>
        </w:trPr>
        <w:tc>
          <w:tcPr>
            <w:tcW w:w="1666"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Units </w:t>
            </w:r>
          </w:p>
        </w:tc>
        <w:tc>
          <w:tcPr>
            <w:tcW w:w="1666"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50 </w:t>
            </w:r>
            <w:r w:rsidR="0091247A" w:rsidRPr="00A4659F">
              <w:rPr>
                <w:rFonts w:ascii="Arial Narrow" w:hAnsi="Arial Narrow" w:cs="Calibri"/>
                <w:color w:val="000000"/>
                <w:sz w:val="20"/>
                <w:szCs w:val="20"/>
              </w:rPr>
              <w:t>mL</w:t>
            </w:r>
          </w:p>
        </w:tc>
        <w:tc>
          <w:tcPr>
            <w:tcW w:w="1667"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50 </w:t>
            </w:r>
            <w:r w:rsidR="0091247A" w:rsidRPr="00A4659F">
              <w:rPr>
                <w:rFonts w:ascii="Arial Narrow" w:hAnsi="Arial Narrow" w:cs="Calibri"/>
                <w:color w:val="000000"/>
                <w:sz w:val="20"/>
                <w:szCs w:val="20"/>
              </w:rPr>
              <w:t>mL</w:t>
            </w:r>
          </w:p>
        </w:tc>
      </w:tr>
      <w:tr w:rsidR="002E2EC4" w:rsidRPr="00A4659F" w:rsidTr="0022730C">
        <w:trPr>
          <w:trHeight w:val="99"/>
        </w:trPr>
        <w:tc>
          <w:tcPr>
            <w:tcW w:w="1666"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Strength per unit (mg) </w:t>
            </w:r>
          </w:p>
        </w:tc>
        <w:tc>
          <w:tcPr>
            <w:tcW w:w="1666"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50 </w:t>
            </w:r>
          </w:p>
        </w:tc>
        <w:tc>
          <w:tcPr>
            <w:tcW w:w="1667"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50 </w:t>
            </w:r>
          </w:p>
        </w:tc>
      </w:tr>
      <w:tr w:rsidR="002E2EC4" w:rsidRPr="00A4659F" w:rsidTr="0022730C">
        <w:trPr>
          <w:trHeight w:val="99"/>
        </w:trPr>
        <w:tc>
          <w:tcPr>
            <w:tcW w:w="1666"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Strength per pack (mg) </w:t>
            </w:r>
          </w:p>
        </w:tc>
        <w:tc>
          <w:tcPr>
            <w:tcW w:w="1666"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2500 </w:t>
            </w:r>
          </w:p>
        </w:tc>
        <w:tc>
          <w:tcPr>
            <w:tcW w:w="1667"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2500 </w:t>
            </w:r>
          </w:p>
        </w:tc>
      </w:tr>
      <w:tr w:rsidR="002E2EC4" w:rsidRPr="00A4659F" w:rsidTr="0022730C">
        <w:trPr>
          <w:trHeight w:val="99"/>
        </w:trPr>
        <w:tc>
          <w:tcPr>
            <w:tcW w:w="1666"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Average dose (mg) </w:t>
            </w:r>
          </w:p>
        </w:tc>
        <w:tc>
          <w:tcPr>
            <w:tcW w:w="1666"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25 </w:t>
            </w:r>
          </w:p>
        </w:tc>
        <w:tc>
          <w:tcPr>
            <w:tcW w:w="1667"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100 </w:t>
            </w:r>
          </w:p>
        </w:tc>
      </w:tr>
      <w:tr w:rsidR="002E2EC4" w:rsidRPr="00A4659F" w:rsidTr="0022730C">
        <w:trPr>
          <w:trHeight w:val="99"/>
        </w:trPr>
        <w:tc>
          <w:tcPr>
            <w:tcW w:w="1666"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Cost per dose </w:t>
            </w:r>
          </w:p>
        </w:tc>
        <w:tc>
          <w:tcPr>
            <w:tcW w:w="1666"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$2.61 </w:t>
            </w:r>
          </w:p>
        </w:tc>
        <w:tc>
          <w:tcPr>
            <w:tcW w:w="1667"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$2.61 </w:t>
            </w:r>
          </w:p>
        </w:tc>
      </w:tr>
      <w:tr w:rsidR="002E2EC4" w:rsidRPr="00A4659F" w:rsidTr="0022730C">
        <w:trPr>
          <w:trHeight w:val="99"/>
        </w:trPr>
        <w:tc>
          <w:tcPr>
            <w:tcW w:w="1666"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No. days’ supply per pack </w:t>
            </w:r>
          </w:p>
        </w:tc>
        <w:tc>
          <w:tcPr>
            <w:tcW w:w="1666" w:type="pct"/>
          </w:tcPr>
          <w:p w:rsidR="002E2EC4" w:rsidRPr="00A4659F" w:rsidRDefault="002E2EC4" w:rsidP="00EE4028">
            <w:pPr>
              <w:tabs>
                <w:tab w:val="right" w:pos="2789"/>
              </w:tabs>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100 </w:t>
            </w:r>
            <w:r w:rsidR="00EE4028" w:rsidRPr="00A4659F">
              <w:rPr>
                <w:rFonts w:ascii="Arial Narrow" w:hAnsi="Arial Narrow" w:cs="Calibri"/>
                <w:color w:val="000000"/>
                <w:sz w:val="20"/>
                <w:szCs w:val="20"/>
              </w:rPr>
              <w:tab/>
            </w:r>
          </w:p>
        </w:tc>
        <w:tc>
          <w:tcPr>
            <w:tcW w:w="1667"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25 </w:t>
            </w:r>
          </w:p>
        </w:tc>
      </w:tr>
      <w:tr w:rsidR="002E2EC4" w:rsidRPr="00A4659F" w:rsidTr="0022730C">
        <w:trPr>
          <w:trHeight w:val="99"/>
        </w:trPr>
        <w:tc>
          <w:tcPr>
            <w:tcW w:w="1666"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Repeats </w:t>
            </w:r>
          </w:p>
        </w:tc>
        <w:tc>
          <w:tcPr>
            <w:tcW w:w="1666"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2 </w:t>
            </w:r>
          </w:p>
        </w:tc>
        <w:tc>
          <w:tcPr>
            <w:tcW w:w="1667"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6 </w:t>
            </w:r>
          </w:p>
        </w:tc>
      </w:tr>
      <w:tr w:rsidR="002E2EC4" w:rsidRPr="00A4659F" w:rsidTr="0022730C">
        <w:trPr>
          <w:trHeight w:val="99"/>
        </w:trPr>
        <w:tc>
          <w:tcPr>
            <w:tcW w:w="1666"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Total days’ supply + repeats </w:t>
            </w:r>
          </w:p>
        </w:tc>
        <w:tc>
          <w:tcPr>
            <w:tcW w:w="1666"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300 </w:t>
            </w:r>
          </w:p>
        </w:tc>
        <w:tc>
          <w:tcPr>
            <w:tcW w:w="1667"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175 </w:t>
            </w:r>
          </w:p>
        </w:tc>
      </w:tr>
      <w:tr w:rsidR="002E2EC4" w:rsidRPr="00A4659F" w:rsidTr="0022730C">
        <w:trPr>
          <w:trHeight w:val="99"/>
        </w:trPr>
        <w:tc>
          <w:tcPr>
            <w:tcW w:w="1666"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Cost per day </w:t>
            </w:r>
          </w:p>
        </w:tc>
        <w:tc>
          <w:tcPr>
            <w:tcW w:w="1666"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$2.63 </w:t>
            </w:r>
          </w:p>
        </w:tc>
        <w:tc>
          <w:tcPr>
            <w:tcW w:w="1667"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$2.63 </w:t>
            </w:r>
          </w:p>
        </w:tc>
      </w:tr>
      <w:tr w:rsidR="002E2EC4" w:rsidRPr="00A4659F" w:rsidTr="0022730C">
        <w:trPr>
          <w:trHeight w:val="99"/>
        </w:trPr>
        <w:tc>
          <w:tcPr>
            <w:tcW w:w="1666"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Packs per year </w:t>
            </w:r>
          </w:p>
        </w:tc>
        <w:tc>
          <w:tcPr>
            <w:tcW w:w="1666"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3.7 </w:t>
            </w:r>
          </w:p>
        </w:tc>
        <w:tc>
          <w:tcPr>
            <w:tcW w:w="1667"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14.6 </w:t>
            </w:r>
          </w:p>
        </w:tc>
      </w:tr>
      <w:tr w:rsidR="002E2EC4" w:rsidRPr="00A4659F" w:rsidTr="0022730C">
        <w:trPr>
          <w:trHeight w:val="99"/>
        </w:trPr>
        <w:tc>
          <w:tcPr>
            <w:tcW w:w="1666"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Cost per year </w:t>
            </w:r>
          </w:p>
        </w:tc>
        <w:tc>
          <w:tcPr>
            <w:tcW w:w="1666"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$960.75 </w:t>
            </w:r>
          </w:p>
        </w:tc>
        <w:tc>
          <w:tcPr>
            <w:tcW w:w="1667" w:type="pct"/>
          </w:tcPr>
          <w:p w:rsidR="002E2EC4" w:rsidRPr="00A4659F" w:rsidRDefault="002E2EC4" w:rsidP="00EB416C">
            <w:pPr>
              <w:autoSpaceDE w:val="0"/>
              <w:autoSpaceDN w:val="0"/>
              <w:adjustRightInd w:val="0"/>
              <w:jc w:val="left"/>
              <w:rPr>
                <w:rFonts w:ascii="Arial Narrow" w:hAnsi="Arial Narrow" w:cs="Calibri"/>
                <w:color w:val="000000"/>
                <w:sz w:val="20"/>
                <w:szCs w:val="20"/>
              </w:rPr>
            </w:pPr>
            <w:r w:rsidRPr="00A4659F">
              <w:rPr>
                <w:rFonts w:ascii="Arial Narrow" w:hAnsi="Arial Narrow" w:cs="Calibri"/>
                <w:color w:val="000000"/>
                <w:sz w:val="20"/>
                <w:szCs w:val="20"/>
              </w:rPr>
              <w:t xml:space="preserve">$960.75 </w:t>
            </w:r>
          </w:p>
        </w:tc>
      </w:tr>
    </w:tbl>
    <w:p w:rsidR="007A6BED" w:rsidRPr="00A4659F" w:rsidRDefault="007A6BED" w:rsidP="0091247A">
      <w:pPr>
        <w:pStyle w:val="TableFigureFooter"/>
        <w:keepNext/>
      </w:pPr>
      <w:r w:rsidRPr="00A4659F">
        <w:t>Source: table 3.4, p37 of the submission main body.</w:t>
      </w:r>
    </w:p>
    <w:p w:rsidR="009E750B" w:rsidRPr="00A4659F" w:rsidRDefault="007C2609" w:rsidP="009E750B">
      <w:pPr>
        <w:pStyle w:val="3Bodytext"/>
      </w:pPr>
      <w:r w:rsidRPr="00A4659F">
        <w:t>The sponsor requested</w:t>
      </w:r>
      <w:r w:rsidR="004C0D66" w:rsidRPr="00A4659F">
        <w:t xml:space="preserve"> a price increase based on reductions to the cost per day for AndroForte 5</w:t>
      </w:r>
      <w:r w:rsidR="00403167" w:rsidRPr="00A4659F">
        <w:t xml:space="preserve"> following scrotal application</w:t>
      </w:r>
      <w:r w:rsidR="00CF5AA0" w:rsidRPr="00A4659F">
        <w:t>, assuming all patients will switch to scrotal application</w:t>
      </w:r>
      <w:r w:rsidR="00403167" w:rsidRPr="00A4659F">
        <w:t xml:space="preserve">. The sponsor anticipates that upper body application will continue due to variable uptake rates </w:t>
      </w:r>
      <w:r w:rsidR="00CF5AA0" w:rsidRPr="00A4659F">
        <w:t>and</w:t>
      </w:r>
      <w:r w:rsidR="00403167" w:rsidRPr="00A4659F">
        <w:t xml:space="preserve"> prescribing behaviour.</w:t>
      </w:r>
    </w:p>
    <w:p w:rsidR="00800AC2" w:rsidRPr="00A4659F" w:rsidRDefault="00800AC2" w:rsidP="00A77107">
      <w:pPr>
        <w:pStyle w:val="3Bodytext"/>
        <w:numPr>
          <w:ilvl w:val="0"/>
          <w:numId w:val="0"/>
        </w:numPr>
        <w:jc w:val="both"/>
        <w:rPr>
          <w:i/>
        </w:rPr>
      </w:pPr>
      <w:r w:rsidRPr="00A4659F">
        <w:rPr>
          <w:i/>
        </w:rPr>
        <w:t xml:space="preserve">For more detail on PBAC’s view, see section </w:t>
      </w:r>
      <w:r w:rsidR="002F1975">
        <w:rPr>
          <w:i/>
        </w:rPr>
        <w:t>6</w:t>
      </w:r>
      <w:r w:rsidRPr="00A4659F">
        <w:rPr>
          <w:i/>
        </w:rPr>
        <w:t xml:space="preserve"> PBAC outcome</w:t>
      </w:r>
    </w:p>
    <w:p w:rsidR="00356E5B" w:rsidRPr="00A4659F" w:rsidRDefault="00E55D8A" w:rsidP="002E2EC4">
      <w:pPr>
        <w:pStyle w:val="Heading1"/>
        <w:keepNext/>
        <w:keepLines/>
        <w:numPr>
          <w:ilvl w:val="0"/>
          <w:numId w:val="3"/>
        </w:numPr>
        <w:spacing w:before="240"/>
        <w:ind w:left="709" w:hanging="709"/>
        <w:rPr>
          <w:sz w:val="32"/>
          <w:szCs w:val="32"/>
        </w:rPr>
      </w:pPr>
      <w:r w:rsidRPr="00A4659F">
        <w:rPr>
          <w:sz w:val="32"/>
          <w:szCs w:val="32"/>
        </w:rPr>
        <w:t>PBAC c</w:t>
      </w:r>
      <w:r w:rsidR="00D84934" w:rsidRPr="00A4659F">
        <w:rPr>
          <w:sz w:val="32"/>
          <w:szCs w:val="32"/>
        </w:rPr>
        <w:t>onsideration of the evidence</w:t>
      </w:r>
    </w:p>
    <w:p w:rsidR="003C2FB5" w:rsidRPr="00A4659F" w:rsidRDefault="005A3173" w:rsidP="002E2EC4">
      <w:pPr>
        <w:pStyle w:val="4-SubsectionHeading"/>
        <w:keepLines/>
        <w:rPr>
          <w:lang w:eastAsia="en-US"/>
        </w:rPr>
      </w:pPr>
      <w:r w:rsidRPr="00A4659F">
        <w:rPr>
          <w:lang w:eastAsia="en-US"/>
        </w:rPr>
        <w:t xml:space="preserve">Clinical </w:t>
      </w:r>
      <w:r w:rsidR="00A866C8" w:rsidRPr="00A4659F">
        <w:rPr>
          <w:lang w:eastAsia="en-US"/>
        </w:rPr>
        <w:t>claim</w:t>
      </w:r>
    </w:p>
    <w:p w:rsidR="00C6390C" w:rsidRPr="00A4659F" w:rsidRDefault="00C6390C" w:rsidP="00BB066F">
      <w:pPr>
        <w:pStyle w:val="3Bodytext"/>
        <w:keepNext/>
        <w:keepLines/>
        <w:jc w:val="both"/>
      </w:pPr>
      <w:r w:rsidRPr="00A4659F">
        <w:t xml:space="preserve">On </w:t>
      </w:r>
      <w:r w:rsidR="0053373B" w:rsidRPr="00A4659F">
        <w:t>17</w:t>
      </w:r>
      <w:r w:rsidRPr="00A4659F">
        <w:t xml:space="preserve"> November 2020 the TGA </w:t>
      </w:r>
      <w:r w:rsidR="0053373B" w:rsidRPr="00A4659F">
        <w:t xml:space="preserve">updated the </w:t>
      </w:r>
      <w:r w:rsidR="0053373B" w:rsidRPr="00A4659F">
        <w:rPr>
          <w:szCs w:val="24"/>
        </w:rPr>
        <w:t>PI</w:t>
      </w:r>
      <w:r w:rsidR="0053373B" w:rsidRPr="00A4659F">
        <w:t xml:space="preserve"> to include</w:t>
      </w:r>
      <w:r w:rsidRPr="00A4659F">
        <w:t xml:space="preserve"> a new site of application, scrotum, for </w:t>
      </w:r>
      <w:r w:rsidR="005E6CCA" w:rsidRPr="00A4659F">
        <w:t>AndroForte 5</w:t>
      </w:r>
      <w:r w:rsidRPr="00A4659F">
        <w:t>.</w:t>
      </w:r>
    </w:p>
    <w:p w:rsidR="00403167" w:rsidRPr="00A4659F" w:rsidRDefault="00403167" w:rsidP="00BB066F">
      <w:pPr>
        <w:pStyle w:val="3Bodytext"/>
        <w:jc w:val="both"/>
      </w:pPr>
      <w:r w:rsidRPr="00A4659F">
        <w:rPr>
          <w:szCs w:val="24"/>
        </w:rPr>
        <w:t xml:space="preserve">The </w:t>
      </w:r>
      <w:r w:rsidR="00697806" w:rsidRPr="00A4659F">
        <w:rPr>
          <w:szCs w:val="24"/>
        </w:rPr>
        <w:t xml:space="preserve">PI </w:t>
      </w:r>
      <w:r w:rsidRPr="00A4659F">
        <w:rPr>
          <w:szCs w:val="24"/>
        </w:rPr>
        <w:t xml:space="preserve">for </w:t>
      </w:r>
      <w:r w:rsidRPr="00A4659F">
        <w:t>AndroForte 5 recommends a dose of 25</w:t>
      </w:r>
      <w:r w:rsidR="008F3B8E" w:rsidRPr="00A4659F">
        <w:t xml:space="preserve"> to 50 mg (0.5 – 1 mL)</w:t>
      </w:r>
      <w:r w:rsidRPr="00A4659F">
        <w:t xml:space="preserve"> applied to the scrotum daily. This compares with a recommended dose of 100 </w:t>
      </w:r>
      <w:r w:rsidR="008F3B8E" w:rsidRPr="00A4659F">
        <w:t xml:space="preserve">– 200 </w:t>
      </w:r>
      <w:r w:rsidRPr="00A4659F">
        <w:t>mg (2</w:t>
      </w:r>
      <w:r w:rsidR="008F3B8E" w:rsidRPr="00A4659F">
        <w:t xml:space="preserve"> - 4</w:t>
      </w:r>
      <w:r w:rsidRPr="00A4659F">
        <w:t xml:space="preserve"> mL) to the upper body. The submission claims that this change in dose </w:t>
      </w:r>
      <w:r w:rsidR="00446465" w:rsidRPr="00A4659F">
        <w:t>reduces the cost per day of AndroForte 5</w:t>
      </w:r>
      <w:r w:rsidRPr="00A4659F">
        <w:t xml:space="preserve">. </w:t>
      </w:r>
    </w:p>
    <w:p w:rsidR="00446465" w:rsidRPr="00A4659F" w:rsidRDefault="00446465" w:rsidP="00BB066F">
      <w:pPr>
        <w:pStyle w:val="3Bodytext"/>
        <w:jc w:val="both"/>
      </w:pPr>
      <w:r w:rsidRPr="00A4659F">
        <w:t>The submission also claims that scrotal application reduces the risk of accidental exposure of the patient’s partner and/or children via passive transfer, which could lead to adverse effects in those exposed with repeated contact</w:t>
      </w:r>
      <w:r w:rsidR="00CF5AA0" w:rsidRPr="00A4659F">
        <w:t xml:space="preserve">. </w:t>
      </w:r>
      <w:r w:rsidR="007D23CF" w:rsidRPr="00A4659F">
        <w:t xml:space="preserve">The submission adds that currently there are no other testosterone preparations registered in Australia that can be administered via transdermal scrotal application. </w:t>
      </w:r>
    </w:p>
    <w:p w:rsidR="00EB416C" w:rsidRPr="00A4659F" w:rsidRDefault="004B4C98" w:rsidP="00BB066F">
      <w:pPr>
        <w:pStyle w:val="3Bodytext"/>
        <w:jc w:val="both"/>
      </w:pPr>
      <w:r w:rsidRPr="00A4659F">
        <w:t xml:space="preserve">The sponsor has not submitted clinical evidence to indicate what proportion of patients will be maintained on the 25 mg daily dose, what proportion will need a 50 mg daily dose. </w:t>
      </w:r>
    </w:p>
    <w:p w:rsidR="00C246EC" w:rsidRPr="00A4659F" w:rsidRDefault="00C246EC" w:rsidP="00BB066F">
      <w:pPr>
        <w:pStyle w:val="3Bodytext"/>
        <w:jc w:val="both"/>
      </w:pPr>
      <w:r w:rsidRPr="00A4659F">
        <w:t xml:space="preserve">In its pre-PBAC response the sponsor advised </w:t>
      </w:r>
      <w:r w:rsidR="00481468" w:rsidRPr="00A4659F">
        <w:t>d</w:t>
      </w:r>
      <w:r w:rsidRPr="00A4659F">
        <w:t xml:space="preserve">irect feedback from prescribing physicians suggests a 25 mg scrotal dose will achieve mid-eugonadal range (the range </w:t>
      </w:r>
      <w:r w:rsidRPr="00A4659F">
        <w:lastRenderedPageBreak/>
        <w:t>in which the sponsor claims the vast majority of patients experience resolution of symptoms) in 70% of hypogonadal men. The sponsor also submitted that approximately 20% will require an increase to 50 mg and 10% will require a reduction to 12.5 mg.</w:t>
      </w:r>
    </w:p>
    <w:p w:rsidR="002E2EC4" w:rsidRPr="00A4659F" w:rsidRDefault="00591775" w:rsidP="00BB066F">
      <w:pPr>
        <w:pStyle w:val="3Bodytext"/>
        <w:jc w:val="both"/>
      </w:pPr>
      <w:r w:rsidRPr="00A4659F">
        <w:t xml:space="preserve">Furthermore, the </w:t>
      </w:r>
      <w:r w:rsidR="00214D55" w:rsidRPr="00A4659F">
        <w:t>PI</w:t>
      </w:r>
      <w:r w:rsidRPr="00A4659F">
        <w:t xml:space="preserve"> maintain</w:t>
      </w:r>
      <w:r w:rsidR="00136DA5" w:rsidRPr="00A4659F">
        <w:t>s</w:t>
      </w:r>
      <w:r w:rsidRPr="00A4659F">
        <w:t xml:space="preserve"> upper body as an application site</w:t>
      </w:r>
      <w:r w:rsidR="00EB416C" w:rsidRPr="00A4659F">
        <w:t xml:space="preserve"> and t</w:t>
      </w:r>
      <w:r w:rsidRPr="00A4659F">
        <w:t>he sponsor estimates a variable uptake rate of the new application site of 70% in year one,</w:t>
      </w:r>
      <w:r w:rsidR="00757458" w:rsidRPr="00A4659F">
        <w:t xml:space="preserve"> </w:t>
      </w:r>
      <w:r w:rsidRPr="00A4659F">
        <w:t xml:space="preserve">increasing to 90% in year 3 for existing AndroForte 5 users. </w:t>
      </w:r>
    </w:p>
    <w:p w:rsidR="00587101" w:rsidRPr="00A4659F" w:rsidRDefault="00587101" w:rsidP="00587101">
      <w:pPr>
        <w:pStyle w:val="3Bodytext"/>
        <w:numPr>
          <w:ilvl w:val="0"/>
          <w:numId w:val="0"/>
        </w:numPr>
        <w:rPr>
          <w:rFonts w:eastAsiaTheme="majorEastAsia" w:cstheme="majorBidi"/>
          <w:b/>
          <w:i/>
          <w:spacing w:val="5"/>
          <w:kern w:val="28"/>
          <w:sz w:val="28"/>
          <w:szCs w:val="36"/>
          <w:lang w:eastAsia="en-US"/>
        </w:rPr>
      </w:pPr>
      <w:bookmarkStart w:id="1" w:name="_bookmark0"/>
      <w:bookmarkEnd w:id="1"/>
      <w:r w:rsidRPr="00A4659F">
        <w:rPr>
          <w:rFonts w:eastAsiaTheme="majorEastAsia" w:cstheme="majorBidi"/>
          <w:b/>
          <w:i/>
          <w:spacing w:val="5"/>
          <w:kern w:val="28"/>
          <w:sz w:val="28"/>
          <w:szCs w:val="36"/>
          <w:lang w:eastAsia="en-US"/>
        </w:rPr>
        <w:t>Pricing considerations</w:t>
      </w:r>
    </w:p>
    <w:p w:rsidR="00587101" w:rsidRPr="00A4659F" w:rsidRDefault="00587101" w:rsidP="00352064">
      <w:pPr>
        <w:pStyle w:val="3Bodytext"/>
      </w:pPr>
      <w:r w:rsidRPr="00A4659F">
        <w:t xml:space="preserve">The proposed price for </w:t>
      </w:r>
      <w:r w:rsidR="00820527" w:rsidRPr="00A4659F">
        <w:t>AndroForte 5</w:t>
      </w:r>
      <w:r w:rsidRPr="00A4659F">
        <w:t xml:space="preserve"> is shown in table </w:t>
      </w:r>
      <w:r w:rsidR="003C1911">
        <w:t>2</w:t>
      </w:r>
      <w:r w:rsidR="00820527" w:rsidRPr="00A4659F">
        <w:t>.</w:t>
      </w:r>
    </w:p>
    <w:p w:rsidR="00021A5C" w:rsidRPr="00A4659F" w:rsidRDefault="00021A5C" w:rsidP="004B4C98">
      <w:pPr>
        <w:pStyle w:val="3Bodytext"/>
        <w:keepNext/>
        <w:keepLines/>
        <w:numPr>
          <w:ilvl w:val="0"/>
          <w:numId w:val="0"/>
        </w:numPr>
        <w:spacing w:after="0"/>
      </w:pPr>
      <w:r w:rsidRPr="00A4659F">
        <w:rPr>
          <w:rFonts w:ascii="Arial Narrow" w:hAnsi="Arial Narrow" w:cs="Calibri"/>
          <w:b/>
          <w:bCs/>
          <w:color w:val="000000"/>
          <w:sz w:val="20"/>
          <w:szCs w:val="20"/>
        </w:rPr>
        <w:t xml:space="preserve">Table </w:t>
      </w:r>
      <w:r w:rsidR="003C1911">
        <w:rPr>
          <w:rFonts w:ascii="Arial Narrow" w:hAnsi="Arial Narrow" w:cs="Calibri"/>
          <w:b/>
          <w:bCs/>
          <w:color w:val="000000"/>
          <w:sz w:val="20"/>
          <w:szCs w:val="20"/>
        </w:rPr>
        <w:t>2</w:t>
      </w:r>
      <w:r w:rsidRPr="00A4659F">
        <w:rPr>
          <w:rFonts w:ascii="Arial Narrow" w:hAnsi="Arial Narrow" w:cs="Calibri"/>
          <w:b/>
          <w:bCs/>
          <w:color w:val="000000"/>
          <w:sz w:val="20"/>
          <w:szCs w:val="20"/>
        </w:rPr>
        <w:t xml:space="preserve"> </w:t>
      </w:r>
      <w:r w:rsidR="00820527" w:rsidRPr="00A4659F">
        <w:rPr>
          <w:rFonts w:ascii="Arial Narrow" w:hAnsi="Arial Narrow" w:cs="Calibri"/>
          <w:b/>
          <w:bCs/>
          <w:color w:val="000000"/>
          <w:sz w:val="20"/>
          <w:szCs w:val="20"/>
        </w:rPr>
        <w:t>– Current and proposed price for AndroForte 5</w:t>
      </w:r>
    </w:p>
    <w:tbl>
      <w:tblPr>
        <w:tblStyle w:val="TableGrid"/>
        <w:tblW w:w="5000" w:type="pct"/>
        <w:tblLook w:val="04A0" w:firstRow="1" w:lastRow="0" w:firstColumn="1" w:lastColumn="0" w:noHBand="0" w:noVBand="1"/>
        <w:tblCaption w:val="Table 2 – Current and proposed price for AndroForte 5"/>
      </w:tblPr>
      <w:tblGrid>
        <w:gridCol w:w="2254"/>
        <w:gridCol w:w="2254"/>
        <w:gridCol w:w="2254"/>
        <w:gridCol w:w="2254"/>
      </w:tblGrid>
      <w:tr w:rsidR="00820527" w:rsidRPr="00A4659F" w:rsidTr="00541819">
        <w:trPr>
          <w:trHeight w:val="265"/>
          <w:tblHeader/>
        </w:trPr>
        <w:tc>
          <w:tcPr>
            <w:tcW w:w="1250" w:type="pct"/>
          </w:tcPr>
          <w:p w:rsidR="00820527" w:rsidRPr="00A4659F" w:rsidRDefault="00820527" w:rsidP="002E2EC4">
            <w:pPr>
              <w:pStyle w:val="3Bodytext"/>
              <w:keepNext/>
              <w:keepLines/>
              <w:numPr>
                <w:ilvl w:val="0"/>
                <w:numId w:val="0"/>
              </w:numPr>
              <w:contextualSpacing/>
              <w:rPr>
                <w:rFonts w:ascii="Arial Narrow" w:hAnsi="Arial Narrow"/>
                <w:b/>
                <w:sz w:val="20"/>
                <w:szCs w:val="20"/>
              </w:rPr>
            </w:pPr>
            <w:r w:rsidRPr="00A4659F">
              <w:rPr>
                <w:rFonts w:ascii="Arial Narrow" w:hAnsi="Arial Narrow"/>
                <w:b/>
                <w:sz w:val="20"/>
                <w:szCs w:val="20"/>
              </w:rPr>
              <w:t>AndroForte 5</w:t>
            </w:r>
          </w:p>
        </w:tc>
        <w:tc>
          <w:tcPr>
            <w:tcW w:w="1250" w:type="pct"/>
          </w:tcPr>
          <w:p w:rsidR="00820527" w:rsidRPr="00A4659F" w:rsidRDefault="00820527" w:rsidP="002E2EC4">
            <w:pPr>
              <w:pStyle w:val="3Bodytext"/>
              <w:keepNext/>
              <w:keepLines/>
              <w:numPr>
                <w:ilvl w:val="0"/>
                <w:numId w:val="0"/>
              </w:numPr>
              <w:contextualSpacing/>
              <w:rPr>
                <w:rFonts w:ascii="Arial Narrow" w:hAnsi="Arial Narrow"/>
                <w:b/>
                <w:sz w:val="20"/>
                <w:szCs w:val="20"/>
              </w:rPr>
            </w:pPr>
            <w:r w:rsidRPr="00A4659F">
              <w:rPr>
                <w:rFonts w:ascii="Arial Narrow" w:hAnsi="Arial Narrow"/>
                <w:b/>
                <w:sz w:val="20"/>
                <w:szCs w:val="20"/>
              </w:rPr>
              <w:t>AEMP</w:t>
            </w:r>
          </w:p>
        </w:tc>
        <w:tc>
          <w:tcPr>
            <w:tcW w:w="1250" w:type="pct"/>
          </w:tcPr>
          <w:p w:rsidR="00820527" w:rsidRPr="00A4659F" w:rsidRDefault="00820527" w:rsidP="002E2EC4">
            <w:pPr>
              <w:pStyle w:val="3Bodytext"/>
              <w:keepNext/>
              <w:keepLines/>
              <w:numPr>
                <w:ilvl w:val="0"/>
                <w:numId w:val="0"/>
              </w:numPr>
              <w:contextualSpacing/>
              <w:rPr>
                <w:rFonts w:ascii="Arial Narrow" w:hAnsi="Arial Narrow"/>
                <w:b/>
                <w:sz w:val="20"/>
                <w:szCs w:val="20"/>
              </w:rPr>
            </w:pPr>
            <w:r w:rsidRPr="00A4659F">
              <w:rPr>
                <w:rFonts w:ascii="Arial Narrow" w:hAnsi="Arial Narrow"/>
                <w:b/>
                <w:sz w:val="20"/>
                <w:szCs w:val="20"/>
              </w:rPr>
              <w:t>Price to pharmacy</w:t>
            </w:r>
          </w:p>
        </w:tc>
        <w:tc>
          <w:tcPr>
            <w:tcW w:w="1250" w:type="pct"/>
          </w:tcPr>
          <w:p w:rsidR="00820527" w:rsidRPr="00A4659F" w:rsidRDefault="00820527" w:rsidP="002E2EC4">
            <w:pPr>
              <w:pStyle w:val="3Bodytext"/>
              <w:keepNext/>
              <w:keepLines/>
              <w:numPr>
                <w:ilvl w:val="0"/>
                <w:numId w:val="0"/>
              </w:numPr>
              <w:contextualSpacing/>
              <w:rPr>
                <w:rFonts w:ascii="Arial Narrow" w:hAnsi="Arial Narrow"/>
                <w:b/>
                <w:sz w:val="20"/>
                <w:szCs w:val="20"/>
              </w:rPr>
            </w:pPr>
            <w:r w:rsidRPr="00A4659F">
              <w:rPr>
                <w:rFonts w:ascii="Arial Narrow" w:hAnsi="Arial Narrow"/>
                <w:b/>
                <w:sz w:val="20"/>
                <w:szCs w:val="20"/>
              </w:rPr>
              <w:t>DPMQ</w:t>
            </w:r>
          </w:p>
        </w:tc>
      </w:tr>
      <w:tr w:rsidR="00820527" w:rsidRPr="00A4659F" w:rsidTr="00F06F3E">
        <w:trPr>
          <w:trHeight w:val="265"/>
        </w:trPr>
        <w:tc>
          <w:tcPr>
            <w:tcW w:w="1250" w:type="pct"/>
          </w:tcPr>
          <w:p w:rsidR="00820527" w:rsidRPr="00A4659F" w:rsidDel="00820527" w:rsidRDefault="00820527" w:rsidP="002E2EC4">
            <w:pPr>
              <w:pStyle w:val="3Bodytext"/>
              <w:keepNext/>
              <w:keepLines/>
              <w:numPr>
                <w:ilvl w:val="0"/>
                <w:numId w:val="0"/>
              </w:numPr>
              <w:contextualSpacing/>
              <w:rPr>
                <w:rFonts w:ascii="Arial Narrow" w:hAnsi="Arial Narrow"/>
                <w:b/>
                <w:sz w:val="20"/>
                <w:szCs w:val="20"/>
              </w:rPr>
            </w:pPr>
            <w:r w:rsidRPr="00A4659F">
              <w:rPr>
                <w:rFonts w:ascii="Arial Narrow" w:hAnsi="Arial Narrow"/>
                <w:sz w:val="20"/>
                <w:szCs w:val="20"/>
              </w:rPr>
              <w:t>Current price</w:t>
            </w:r>
          </w:p>
        </w:tc>
        <w:tc>
          <w:tcPr>
            <w:tcW w:w="1250" w:type="pct"/>
          </w:tcPr>
          <w:p w:rsidR="00820527" w:rsidRPr="00A4659F" w:rsidRDefault="00820527" w:rsidP="002E2EC4">
            <w:pPr>
              <w:pStyle w:val="3Bodytext"/>
              <w:keepNext/>
              <w:keepLines/>
              <w:numPr>
                <w:ilvl w:val="0"/>
                <w:numId w:val="0"/>
              </w:numPr>
              <w:contextualSpacing/>
              <w:rPr>
                <w:rFonts w:ascii="Arial Narrow" w:hAnsi="Arial Narrow"/>
                <w:b/>
                <w:sz w:val="20"/>
                <w:szCs w:val="20"/>
              </w:rPr>
            </w:pPr>
            <w:r w:rsidRPr="00A4659F">
              <w:rPr>
                <w:rFonts w:ascii="Arial Narrow" w:hAnsi="Arial Narrow"/>
                <w:sz w:val="20"/>
                <w:szCs w:val="20"/>
              </w:rPr>
              <w:t>$49.98</w:t>
            </w:r>
          </w:p>
        </w:tc>
        <w:tc>
          <w:tcPr>
            <w:tcW w:w="1250" w:type="pct"/>
          </w:tcPr>
          <w:p w:rsidR="00820527" w:rsidRPr="00A4659F" w:rsidRDefault="00820527" w:rsidP="002E2EC4">
            <w:pPr>
              <w:pStyle w:val="3Bodytext"/>
              <w:keepNext/>
              <w:keepLines/>
              <w:numPr>
                <w:ilvl w:val="0"/>
                <w:numId w:val="0"/>
              </w:numPr>
              <w:contextualSpacing/>
              <w:rPr>
                <w:rFonts w:ascii="Arial Narrow" w:hAnsi="Arial Narrow"/>
                <w:b/>
                <w:sz w:val="20"/>
                <w:szCs w:val="20"/>
              </w:rPr>
            </w:pPr>
            <w:r w:rsidRPr="00A4659F">
              <w:rPr>
                <w:rFonts w:ascii="Arial Narrow" w:hAnsi="Arial Narrow"/>
                <w:sz w:val="20"/>
                <w:szCs w:val="20"/>
              </w:rPr>
              <w:t>$53.74</w:t>
            </w:r>
          </w:p>
        </w:tc>
        <w:tc>
          <w:tcPr>
            <w:tcW w:w="1250" w:type="pct"/>
          </w:tcPr>
          <w:p w:rsidR="00820527" w:rsidRPr="00A4659F" w:rsidRDefault="00820527" w:rsidP="002E2EC4">
            <w:pPr>
              <w:pStyle w:val="3Bodytext"/>
              <w:keepNext/>
              <w:keepLines/>
              <w:numPr>
                <w:ilvl w:val="0"/>
                <w:numId w:val="0"/>
              </w:numPr>
              <w:contextualSpacing/>
              <w:rPr>
                <w:rFonts w:ascii="Arial Narrow" w:hAnsi="Arial Narrow"/>
                <w:b/>
                <w:sz w:val="20"/>
                <w:szCs w:val="20"/>
              </w:rPr>
            </w:pPr>
            <w:r w:rsidRPr="00A4659F">
              <w:rPr>
                <w:rFonts w:ascii="Arial Narrow" w:hAnsi="Arial Narrow"/>
                <w:sz w:val="20"/>
                <w:szCs w:val="20"/>
              </w:rPr>
              <w:t>$65.76</w:t>
            </w:r>
          </w:p>
        </w:tc>
      </w:tr>
      <w:tr w:rsidR="00820527" w:rsidRPr="00A4659F" w:rsidTr="00F06F3E">
        <w:trPr>
          <w:trHeight w:val="265"/>
        </w:trPr>
        <w:tc>
          <w:tcPr>
            <w:tcW w:w="1250" w:type="pct"/>
          </w:tcPr>
          <w:p w:rsidR="00820527" w:rsidRPr="00A4659F" w:rsidRDefault="00820527" w:rsidP="002E2EC4">
            <w:pPr>
              <w:pStyle w:val="3Bodytext"/>
              <w:keepNext/>
              <w:keepLines/>
              <w:numPr>
                <w:ilvl w:val="0"/>
                <w:numId w:val="0"/>
              </w:numPr>
              <w:contextualSpacing/>
              <w:rPr>
                <w:rFonts w:ascii="Arial Narrow" w:hAnsi="Arial Narrow"/>
                <w:sz w:val="20"/>
                <w:szCs w:val="20"/>
              </w:rPr>
            </w:pPr>
            <w:r w:rsidRPr="00A4659F">
              <w:rPr>
                <w:rFonts w:ascii="Arial Narrow" w:hAnsi="Arial Narrow"/>
                <w:sz w:val="20"/>
                <w:szCs w:val="20"/>
              </w:rPr>
              <w:t>Requested price</w:t>
            </w:r>
          </w:p>
        </w:tc>
        <w:tc>
          <w:tcPr>
            <w:tcW w:w="1250" w:type="pct"/>
          </w:tcPr>
          <w:p w:rsidR="00820527" w:rsidRPr="00A4659F" w:rsidRDefault="00820527" w:rsidP="002E2EC4">
            <w:pPr>
              <w:pStyle w:val="3Bodytext"/>
              <w:keepNext/>
              <w:keepLines/>
              <w:numPr>
                <w:ilvl w:val="0"/>
                <w:numId w:val="0"/>
              </w:numPr>
              <w:contextualSpacing/>
              <w:rPr>
                <w:rFonts w:ascii="Arial Narrow" w:hAnsi="Arial Narrow"/>
                <w:sz w:val="20"/>
                <w:szCs w:val="20"/>
              </w:rPr>
            </w:pPr>
            <w:r w:rsidRPr="00A4659F">
              <w:rPr>
                <w:rFonts w:ascii="Arial Narrow" w:hAnsi="Arial Narrow"/>
                <w:sz w:val="20"/>
                <w:szCs w:val="20"/>
              </w:rPr>
              <w:t>$</w:t>
            </w:r>
            <w:r w:rsidR="00FD0FC2">
              <w:rPr>
                <w:rFonts w:ascii="Arial Narrow" w:hAnsi="Arial Narrow"/>
                <w:noProof/>
                <w:color w:val="000000"/>
                <w:sz w:val="20"/>
                <w:szCs w:val="20"/>
                <w:highlight w:val="black"/>
              </w:rPr>
              <w:t>'''''''''''''</w:t>
            </w:r>
            <w:r w:rsidRPr="00A4659F">
              <w:rPr>
                <w:rFonts w:ascii="Arial Narrow" w:hAnsi="Arial Narrow"/>
                <w:sz w:val="20"/>
                <w:szCs w:val="20"/>
              </w:rPr>
              <w:t xml:space="preserve"> </w:t>
            </w:r>
          </w:p>
          <w:p w:rsidR="00820527" w:rsidRPr="00A4659F" w:rsidRDefault="00820527" w:rsidP="002E2EC4">
            <w:pPr>
              <w:pStyle w:val="3Bodytext"/>
              <w:keepNext/>
              <w:keepLines/>
              <w:numPr>
                <w:ilvl w:val="0"/>
                <w:numId w:val="0"/>
              </w:numPr>
              <w:contextualSpacing/>
              <w:rPr>
                <w:rFonts w:ascii="Arial Narrow" w:hAnsi="Arial Narrow"/>
                <w:sz w:val="20"/>
                <w:szCs w:val="20"/>
              </w:rPr>
            </w:pPr>
            <w:r w:rsidRPr="00A4659F">
              <w:rPr>
                <w:rFonts w:ascii="Arial Narrow" w:hAnsi="Arial Narrow"/>
                <w:sz w:val="20"/>
                <w:szCs w:val="20"/>
              </w:rPr>
              <w:t xml:space="preserve">(an increase of </w:t>
            </w:r>
            <w:r w:rsidR="00FD0FC2">
              <w:rPr>
                <w:rFonts w:ascii="Arial Narrow" w:hAnsi="Arial Narrow"/>
                <w:noProof/>
                <w:color w:val="000000"/>
                <w:sz w:val="20"/>
                <w:szCs w:val="20"/>
                <w:highlight w:val="black"/>
              </w:rPr>
              <w:t>''''''</w:t>
            </w:r>
            <w:r w:rsidRPr="00A4659F">
              <w:rPr>
                <w:rFonts w:ascii="Arial Narrow" w:hAnsi="Arial Narrow"/>
                <w:sz w:val="20"/>
                <w:szCs w:val="20"/>
              </w:rPr>
              <w:t>% per dose)</w:t>
            </w:r>
          </w:p>
        </w:tc>
        <w:tc>
          <w:tcPr>
            <w:tcW w:w="1250" w:type="pct"/>
          </w:tcPr>
          <w:p w:rsidR="00820527" w:rsidRPr="00A4659F" w:rsidRDefault="00820527" w:rsidP="002E2EC4">
            <w:pPr>
              <w:pStyle w:val="3Bodytext"/>
              <w:keepNext/>
              <w:keepLines/>
              <w:numPr>
                <w:ilvl w:val="0"/>
                <w:numId w:val="0"/>
              </w:numPr>
              <w:contextualSpacing/>
              <w:rPr>
                <w:rFonts w:ascii="Arial Narrow" w:hAnsi="Arial Narrow"/>
                <w:sz w:val="20"/>
                <w:szCs w:val="20"/>
              </w:rPr>
            </w:pPr>
            <w:r w:rsidRPr="00A4659F">
              <w:rPr>
                <w:rFonts w:ascii="Arial Narrow" w:hAnsi="Arial Narrow"/>
                <w:sz w:val="20"/>
                <w:szCs w:val="20"/>
              </w:rPr>
              <w:t>$</w:t>
            </w:r>
            <w:r w:rsidR="00FD0FC2">
              <w:rPr>
                <w:rFonts w:ascii="Arial Narrow" w:hAnsi="Arial Narrow"/>
                <w:noProof/>
                <w:color w:val="000000"/>
                <w:sz w:val="20"/>
                <w:szCs w:val="20"/>
                <w:highlight w:val="black"/>
              </w:rPr>
              <w:t>''''''''''''''</w:t>
            </w:r>
          </w:p>
        </w:tc>
        <w:tc>
          <w:tcPr>
            <w:tcW w:w="1250" w:type="pct"/>
          </w:tcPr>
          <w:p w:rsidR="00820527" w:rsidRPr="00A4659F" w:rsidRDefault="00820527" w:rsidP="002E2EC4">
            <w:pPr>
              <w:pStyle w:val="3Bodytext"/>
              <w:keepNext/>
              <w:keepLines/>
              <w:numPr>
                <w:ilvl w:val="0"/>
                <w:numId w:val="0"/>
              </w:numPr>
              <w:contextualSpacing/>
              <w:rPr>
                <w:rFonts w:ascii="Arial Narrow" w:hAnsi="Arial Narrow"/>
                <w:sz w:val="20"/>
                <w:szCs w:val="20"/>
              </w:rPr>
            </w:pPr>
            <w:r w:rsidRPr="00A4659F">
              <w:rPr>
                <w:rFonts w:ascii="Arial Narrow" w:hAnsi="Arial Narrow"/>
                <w:sz w:val="20"/>
                <w:szCs w:val="20"/>
              </w:rPr>
              <w:t>$</w:t>
            </w:r>
            <w:r w:rsidR="00FD0FC2">
              <w:rPr>
                <w:rFonts w:ascii="Arial Narrow" w:hAnsi="Arial Narrow"/>
                <w:noProof/>
                <w:color w:val="000000"/>
                <w:sz w:val="20"/>
                <w:szCs w:val="20"/>
                <w:highlight w:val="black"/>
              </w:rPr>
              <w:t>'''''''''''''''''</w:t>
            </w:r>
          </w:p>
        </w:tc>
      </w:tr>
    </w:tbl>
    <w:p w:rsidR="00F06F3E" w:rsidRPr="00A4659F" w:rsidRDefault="00F06F3E" w:rsidP="00F06F3E">
      <w:pPr>
        <w:pStyle w:val="TableFigureFooter"/>
        <w:keepNext/>
      </w:pPr>
      <w:r w:rsidRPr="00A4659F">
        <w:t>Source: table 3.3, p36 of the submission main body.</w:t>
      </w:r>
    </w:p>
    <w:p w:rsidR="007A6BED" w:rsidRPr="00A4659F" w:rsidRDefault="007A6BED" w:rsidP="00BB066F">
      <w:pPr>
        <w:pStyle w:val="3Bodytext"/>
        <w:spacing w:before="240"/>
        <w:jc w:val="both"/>
      </w:pPr>
      <w:r w:rsidRPr="00A4659F">
        <w:t xml:space="preserve">The sponsor claimed that the current AEMP for AndroForte 5 is below the cost of goods, and is therefore unviable. The sponsor did not provide </w:t>
      </w:r>
      <w:r w:rsidR="00757458" w:rsidRPr="00A4659F">
        <w:t xml:space="preserve">any additional </w:t>
      </w:r>
      <w:bookmarkStart w:id="2" w:name="_GoBack"/>
      <w:bookmarkEnd w:id="2"/>
      <w:r w:rsidRPr="00A4659F">
        <w:t>information on the cost of goods for Androforte 5.</w:t>
      </w:r>
    </w:p>
    <w:p w:rsidR="004B4C98" w:rsidRPr="00A4659F" w:rsidRDefault="00820527" w:rsidP="00BB066F">
      <w:pPr>
        <w:pStyle w:val="3Bodytext"/>
        <w:spacing w:before="240"/>
        <w:jc w:val="both"/>
      </w:pPr>
      <w:r w:rsidRPr="00A4659F">
        <w:t xml:space="preserve">The submission requested a </w:t>
      </w:r>
      <w:r w:rsidR="00FD0FC2">
        <w:rPr>
          <w:noProof/>
          <w:color w:val="000000"/>
          <w:highlight w:val="black"/>
        </w:rPr>
        <w:t>'''''</w:t>
      </w:r>
      <w:r w:rsidRPr="00A4659F">
        <w:t xml:space="preserve">% increase in the AEMP for AndroForte 5 claiming that </w:t>
      </w:r>
      <w:r w:rsidR="004B4C98" w:rsidRPr="00A4659F">
        <w:t xml:space="preserve">changes to the recommended dose for scrotal application </w:t>
      </w:r>
      <w:r w:rsidR="00757458" w:rsidRPr="00A4659F">
        <w:t xml:space="preserve">required reconsideration of </w:t>
      </w:r>
      <w:r w:rsidR="004B4C98" w:rsidRPr="00A4659F">
        <w:t>the equi-effective dose</w:t>
      </w:r>
      <w:r w:rsidR="00757458" w:rsidRPr="00A4659F">
        <w:t>s</w:t>
      </w:r>
      <w:r w:rsidR="004B4C98" w:rsidRPr="00A4659F">
        <w:t xml:space="preserve">. </w:t>
      </w:r>
    </w:p>
    <w:p w:rsidR="00EB416C" w:rsidRPr="00A4659F" w:rsidRDefault="00EB416C" w:rsidP="00BB066F">
      <w:pPr>
        <w:pStyle w:val="3Bodytext"/>
        <w:jc w:val="both"/>
      </w:pPr>
      <w:r w:rsidRPr="00A4659F">
        <w:t xml:space="preserve">There is insufficient evidence presented to confirm that 100% of the market will switch to using a 25 mg daily dose, </w:t>
      </w:r>
      <w:r w:rsidR="00046DC6" w:rsidRPr="00A4659F">
        <w:t xml:space="preserve">which is </w:t>
      </w:r>
      <w:r w:rsidRPr="00A4659F">
        <w:t>the basis of the submission’s cost minimisation analysis. A conservative approach that patients will be switching to a 50 mg daily dose may be adapted</w:t>
      </w:r>
      <w:r w:rsidR="00757458" w:rsidRPr="00A4659F">
        <w:t xml:space="preserve">, which would also minimise the impact of patients who </w:t>
      </w:r>
      <w:r w:rsidR="007A6BED" w:rsidRPr="00A4659F">
        <w:t>will continue</w:t>
      </w:r>
      <w:r w:rsidR="009F656A" w:rsidRPr="00A4659F">
        <w:t xml:space="preserve"> to</w:t>
      </w:r>
      <w:r w:rsidR="007A6BED" w:rsidRPr="00A4659F">
        <w:t xml:space="preserve"> apply AndroForte 5 </w:t>
      </w:r>
      <w:r w:rsidR="00757458" w:rsidRPr="00A4659F">
        <w:t>to</w:t>
      </w:r>
      <w:r w:rsidR="007A6BED" w:rsidRPr="00A4659F">
        <w:t xml:space="preserve"> the upper body</w:t>
      </w:r>
      <w:r w:rsidR="00757458" w:rsidRPr="00A4659F">
        <w:t>,</w:t>
      </w:r>
      <w:r w:rsidR="00214D55" w:rsidRPr="00A4659F">
        <w:t xml:space="preserve"> </w:t>
      </w:r>
      <w:r w:rsidR="007A6BED" w:rsidRPr="00A4659F">
        <w:t>requir</w:t>
      </w:r>
      <w:r w:rsidR="00757458" w:rsidRPr="00A4659F">
        <w:t>ing</w:t>
      </w:r>
      <w:r w:rsidR="007A6BED" w:rsidRPr="00A4659F">
        <w:t xml:space="preserve"> up</w:t>
      </w:r>
      <w:r w:rsidR="00757458" w:rsidRPr="00A4659F">
        <w:t xml:space="preserve"> </w:t>
      </w:r>
      <w:r w:rsidR="007A6BED" w:rsidRPr="00A4659F">
        <w:t>to 200 mg daily.</w:t>
      </w:r>
    </w:p>
    <w:p w:rsidR="00A4519D" w:rsidRPr="00A4659F" w:rsidRDefault="00C246EC" w:rsidP="00A77107">
      <w:pPr>
        <w:pStyle w:val="3Bodytext"/>
        <w:jc w:val="both"/>
      </w:pPr>
      <w:r w:rsidRPr="00A4659F">
        <w:t>In its pre-PBAC response t</w:t>
      </w:r>
      <w:r w:rsidR="00A4519D" w:rsidRPr="00A4659F">
        <w:t>he</w:t>
      </w:r>
      <w:r w:rsidRPr="00A4659F">
        <w:t xml:space="preserve"> sponsor </w:t>
      </w:r>
      <w:r w:rsidR="00A4519D" w:rsidRPr="00A4659F">
        <w:t xml:space="preserve">commented that a comparison of a higher dose with the lowest dose is inappropriate. The sponsor </w:t>
      </w:r>
      <w:r w:rsidRPr="00A4659F">
        <w:t xml:space="preserve">reiterated </w:t>
      </w:r>
      <w:r w:rsidR="00A4519D" w:rsidRPr="00A4659F">
        <w:t xml:space="preserve">that </w:t>
      </w:r>
      <w:r w:rsidRPr="00A4659F">
        <w:t xml:space="preserve">a price increase of </w:t>
      </w:r>
      <w:r w:rsidR="00FD0FC2">
        <w:rPr>
          <w:noProof/>
          <w:color w:val="000000"/>
          <w:highlight w:val="black"/>
        </w:rPr>
        <w:t>'''''</w:t>
      </w:r>
      <w:r w:rsidRPr="00A4659F">
        <w:t>% was requested, not a 4-fold price increase. The sponsor also submitted the requested price increase will be cost</w:t>
      </w:r>
      <w:r w:rsidRPr="00A4659F">
        <w:noBreakHyphen/>
        <w:t>neutral if only 50% of patients switch to scrotal administration.</w:t>
      </w:r>
      <w:r w:rsidR="00A4519D" w:rsidRPr="00A4659F">
        <w:t xml:space="preserve"> </w:t>
      </w:r>
    </w:p>
    <w:p w:rsidR="00A4519D" w:rsidRPr="00A4659F" w:rsidRDefault="0092438B" w:rsidP="0092438B">
      <w:pPr>
        <w:pStyle w:val="3Bodytext"/>
        <w:numPr>
          <w:ilvl w:val="0"/>
          <w:numId w:val="0"/>
        </w:numPr>
        <w:jc w:val="both"/>
        <w:rPr>
          <w:i/>
        </w:rPr>
      </w:pPr>
      <w:r w:rsidRPr="00A4659F">
        <w:rPr>
          <w:i/>
        </w:rPr>
        <w:t xml:space="preserve">For more detail on PBAC’s view, see section </w:t>
      </w:r>
      <w:r w:rsidR="002F1975">
        <w:rPr>
          <w:i/>
        </w:rPr>
        <w:t>6</w:t>
      </w:r>
      <w:r w:rsidRPr="00A4659F">
        <w:rPr>
          <w:i/>
        </w:rPr>
        <w:t xml:space="preserve"> PBAC outcome.</w:t>
      </w:r>
    </w:p>
    <w:p w:rsidR="005A3173" w:rsidRPr="00A4659F" w:rsidRDefault="005A3173" w:rsidP="00A4519D">
      <w:pPr>
        <w:pStyle w:val="3Bodytext"/>
        <w:numPr>
          <w:ilvl w:val="0"/>
          <w:numId w:val="0"/>
        </w:numPr>
        <w:jc w:val="both"/>
      </w:pPr>
      <w:r w:rsidRPr="00A4659F">
        <w:rPr>
          <w:rFonts w:eastAsiaTheme="majorEastAsia" w:cstheme="majorBidi"/>
          <w:b/>
          <w:i/>
          <w:spacing w:val="5"/>
          <w:kern w:val="28"/>
          <w:sz w:val="28"/>
          <w:szCs w:val="36"/>
          <w:lang w:eastAsia="en-US"/>
        </w:rPr>
        <w:t>Estimated PBS usage &amp; financial implications</w:t>
      </w:r>
    </w:p>
    <w:p w:rsidR="00E078D9" w:rsidRPr="00A4659F" w:rsidRDefault="00FF2801" w:rsidP="00BB066F">
      <w:pPr>
        <w:pStyle w:val="3Bodytext"/>
        <w:spacing w:before="240"/>
        <w:jc w:val="both"/>
      </w:pPr>
      <w:r w:rsidRPr="00A4659F">
        <w:t>The minor submission estimated</w:t>
      </w:r>
      <w:r w:rsidR="00C00DA7" w:rsidRPr="00A4659F">
        <w:t xml:space="preserve"> a save to the PBS in Year </w:t>
      </w:r>
      <w:r w:rsidR="00977BF3" w:rsidRPr="00A4659F">
        <w:t>6</w:t>
      </w:r>
      <w:r w:rsidR="00C00DA7" w:rsidRPr="00A4659F">
        <w:t xml:space="preserve"> of listing, with a total net save to the PBS of </w:t>
      </w:r>
      <w:r w:rsidR="00021A5C" w:rsidRPr="00A4659F">
        <w:t>$</w:t>
      </w:r>
      <w:r w:rsidR="00F07F7F">
        <w:t>0 to &lt;$10 million</w:t>
      </w:r>
      <w:r w:rsidR="00C7409E" w:rsidRPr="00A4659F">
        <w:t xml:space="preserve"> </w:t>
      </w:r>
      <w:r w:rsidR="00C00DA7" w:rsidRPr="00A4659F">
        <w:t>ove</w:t>
      </w:r>
      <w:r w:rsidR="00C7409E" w:rsidRPr="00A4659F">
        <w:t xml:space="preserve">r the first </w:t>
      </w:r>
      <w:r w:rsidR="00977BF3" w:rsidRPr="00A4659F">
        <w:t>6</w:t>
      </w:r>
      <w:r w:rsidR="00C7409E" w:rsidRPr="00A4659F">
        <w:t xml:space="preserve"> years of listing. </w:t>
      </w:r>
      <w:r w:rsidR="00C00DA7" w:rsidRPr="00A4659F">
        <w:t xml:space="preserve">This is summarised in table </w:t>
      </w:r>
      <w:r w:rsidR="00C40567">
        <w:t>3</w:t>
      </w:r>
      <w:r w:rsidR="00C00DA7" w:rsidRPr="00A4659F">
        <w:t xml:space="preserve">. </w:t>
      </w:r>
    </w:p>
    <w:p w:rsidR="00C7409E" w:rsidRPr="00A4659F" w:rsidRDefault="00C7409E" w:rsidP="00F37ECA">
      <w:pPr>
        <w:pStyle w:val="Tabletitles"/>
        <w:keepNext/>
      </w:pPr>
      <w:r w:rsidRPr="00A4659F">
        <w:rPr>
          <w:rStyle w:val="CommentReference"/>
          <w:sz w:val="20"/>
          <w:szCs w:val="22"/>
        </w:rPr>
        <w:lastRenderedPageBreak/>
        <w:t>Table</w:t>
      </w:r>
      <w:r w:rsidR="008C197D" w:rsidRPr="00A4659F">
        <w:rPr>
          <w:rFonts w:eastAsiaTheme="majorEastAsia"/>
        </w:rPr>
        <w:t xml:space="preserve"> </w:t>
      </w:r>
      <w:r w:rsidR="003C1911">
        <w:rPr>
          <w:rFonts w:eastAsiaTheme="majorEastAsia"/>
        </w:rPr>
        <w:t>3</w:t>
      </w:r>
      <w:r w:rsidR="00EE31A2" w:rsidRPr="00A4659F">
        <w:rPr>
          <w:rFonts w:eastAsiaTheme="majorEastAsia"/>
        </w:rPr>
        <w:t xml:space="preserve">: </w:t>
      </w:r>
      <w:r w:rsidRPr="00A4659F">
        <w:rPr>
          <w:rStyle w:val="CommentReference"/>
          <w:sz w:val="20"/>
          <w:szCs w:val="22"/>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5"/>
        <w:gridCol w:w="1166"/>
        <w:gridCol w:w="1167"/>
        <w:gridCol w:w="1167"/>
        <w:gridCol w:w="1167"/>
        <w:gridCol w:w="1167"/>
        <w:gridCol w:w="1167"/>
      </w:tblGrid>
      <w:tr w:rsidR="00C7409E" w:rsidRPr="00A4659F" w:rsidTr="0022730C">
        <w:trPr>
          <w:tblHeader/>
        </w:trPr>
        <w:tc>
          <w:tcPr>
            <w:tcW w:w="1118" w:type="pct"/>
            <w:shd w:val="clear" w:color="auto" w:fill="auto"/>
            <w:vAlign w:val="center"/>
          </w:tcPr>
          <w:p w:rsidR="00C7409E" w:rsidRPr="00A4659F" w:rsidRDefault="00C7409E" w:rsidP="00F37ECA">
            <w:pPr>
              <w:pStyle w:val="TableText0"/>
              <w:rPr>
                <w:szCs w:val="20"/>
              </w:rPr>
            </w:pPr>
          </w:p>
        </w:tc>
        <w:tc>
          <w:tcPr>
            <w:tcW w:w="647" w:type="pct"/>
            <w:shd w:val="clear" w:color="auto" w:fill="auto"/>
            <w:vAlign w:val="center"/>
          </w:tcPr>
          <w:p w:rsidR="00C7409E" w:rsidRPr="00A4659F" w:rsidRDefault="00C7409E" w:rsidP="00F37ECA">
            <w:pPr>
              <w:pStyle w:val="TableText0"/>
              <w:rPr>
                <w:b/>
                <w:szCs w:val="20"/>
              </w:rPr>
            </w:pPr>
            <w:r w:rsidRPr="00A4659F">
              <w:rPr>
                <w:b/>
                <w:szCs w:val="20"/>
              </w:rPr>
              <w:t>Year 1</w:t>
            </w:r>
          </w:p>
        </w:tc>
        <w:tc>
          <w:tcPr>
            <w:tcW w:w="647" w:type="pct"/>
            <w:shd w:val="clear" w:color="auto" w:fill="auto"/>
            <w:vAlign w:val="center"/>
          </w:tcPr>
          <w:p w:rsidR="00C7409E" w:rsidRPr="00A4659F" w:rsidRDefault="00C7409E" w:rsidP="00F37ECA">
            <w:pPr>
              <w:pStyle w:val="TableText0"/>
              <w:rPr>
                <w:b/>
                <w:szCs w:val="20"/>
              </w:rPr>
            </w:pPr>
            <w:r w:rsidRPr="00A4659F">
              <w:rPr>
                <w:b/>
                <w:szCs w:val="20"/>
              </w:rPr>
              <w:t>Year 2</w:t>
            </w:r>
          </w:p>
        </w:tc>
        <w:tc>
          <w:tcPr>
            <w:tcW w:w="647" w:type="pct"/>
            <w:shd w:val="clear" w:color="auto" w:fill="auto"/>
            <w:vAlign w:val="center"/>
          </w:tcPr>
          <w:p w:rsidR="00C7409E" w:rsidRPr="00A4659F" w:rsidRDefault="00C7409E" w:rsidP="00F37ECA">
            <w:pPr>
              <w:pStyle w:val="TableText0"/>
              <w:rPr>
                <w:b/>
                <w:szCs w:val="20"/>
              </w:rPr>
            </w:pPr>
            <w:r w:rsidRPr="00A4659F">
              <w:rPr>
                <w:b/>
                <w:szCs w:val="20"/>
              </w:rPr>
              <w:t>Year 3</w:t>
            </w:r>
          </w:p>
        </w:tc>
        <w:tc>
          <w:tcPr>
            <w:tcW w:w="647" w:type="pct"/>
            <w:shd w:val="clear" w:color="auto" w:fill="auto"/>
            <w:vAlign w:val="center"/>
          </w:tcPr>
          <w:p w:rsidR="00C7409E" w:rsidRPr="00A4659F" w:rsidRDefault="00C7409E" w:rsidP="00F37ECA">
            <w:pPr>
              <w:pStyle w:val="TableText0"/>
              <w:rPr>
                <w:b/>
                <w:szCs w:val="20"/>
              </w:rPr>
            </w:pPr>
            <w:r w:rsidRPr="00A4659F">
              <w:rPr>
                <w:b/>
                <w:szCs w:val="20"/>
              </w:rPr>
              <w:t>Year 4</w:t>
            </w:r>
          </w:p>
        </w:tc>
        <w:tc>
          <w:tcPr>
            <w:tcW w:w="647" w:type="pct"/>
            <w:shd w:val="clear" w:color="auto" w:fill="auto"/>
            <w:vAlign w:val="center"/>
          </w:tcPr>
          <w:p w:rsidR="00C7409E" w:rsidRPr="00A4659F" w:rsidRDefault="00C7409E" w:rsidP="00F37ECA">
            <w:pPr>
              <w:pStyle w:val="TableText0"/>
              <w:rPr>
                <w:b/>
                <w:szCs w:val="20"/>
              </w:rPr>
            </w:pPr>
            <w:r w:rsidRPr="00A4659F">
              <w:rPr>
                <w:b/>
                <w:szCs w:val="20"/>
              </w:rPr>
              <w:t>Year 5</w:t>
            </w:r>
          </w:p>
        </w:tc>
        <w:tc>
          <w:tcPr>
            <w:tcW w:w="647" w:type="pct"/>
          </w:tcPr>
          <w:p w:rsidR="00C7409E" w:rsidRPr="00A4659F" w:rsidRDefault="00C7409E" w:rsidP="00F37ECA">
            <w:pPr>
              <w:pStyle w:val="TableText0"/>
              <w:rPr>
                <w:b/>
                <w:szCs w:val="20"/>
              </w:rPr>
            </w:pPr>
            <w:r w:rsidRPr="00A4659F">
              <w:rPr>
                <w:b/>
                <w:szCs w:val="20"/>
              </w:rPr>
              <w:t>Year 6</w:t>
            </w:r>
          </w:p>
        </w:tc>
      </w:tr>
      <w:tr w:rsidR="00C7409E" w:rsidRPr="00A4659F" w:rsidTr="0022730C">
        <w:tc>
          <w:tcPr>
            <w:tcW w:w="5000" w:type="pct"/>
            <w:gridSpan w:val="7"/>
            <w:shd w:val="clear" w:color="auto" w:fill="auto"/>
            <w:vAlign w:val="center"/>
          </w:tcPr>
          <w:p w:rsidR="00C7409E" w:rsidRPr="00A4659F" w:rsidRDefault="00C7409E" w:rsidP="00F37ECA">
            <w:pPr>
              <w:pStyle w:val="TableText0"/>
              <w:rPr>
                <w:b/>
                <w:color w:val="000000"/>
                <w:szCs w:val="20"/>
              </w:rPr>
            </w:pPr>
            <w:r w:rsidRPr="00A4659F">
              <w:rPr>
                <w:b/>
                <w:color w:val="000000"/>
                <w:szCs w:val="20"/>
              </w:rPr>
              <w:t>Estimated extent of use</w:t>
            </w:r>
            <w:r w:rsidR="009C3914" w:rsidRPr="00A4659F">
              <w:rPr>
                <w:b/>
                <w:color w:val="000000"/>
                <w:szCs w:val="20"/>
              </w:rPr>
              <w:t xml:space="preserve"> (pr</w:t>
            </w:r>
            <w:r w:rsidR="00BC19D2" w:rsidRPr="00A4659F">
              <w:rPr>
                <w:b/>
                <w:color w:val="000000"/>
                <w:szCs w:val="20"/>
              </w:rPr>
              <w:t>escriptions per year)</w:t>
            </w:r>
          </w:p>
        </w:tc>
      </w:tr>
      <w:tr w:rsidR="00BC19D2" w:rsidRPr="00A4659F" w:rsidTr="0022730C">
        <w:tc>
          <w:tcPr>
            <w:tcW w:w="1118" w:type="pct"/>
            <w:shd w:val="clear" w:color="auto" w:fill="auto"/>
            <w:vAlign w:val="center"/>
          </w:tcPr>
          <w:p w:rsidR="00BC19D2" w:rsidRPr="00A4659F" w:rsidRDefault="009F656A" w:rsidP="00BC19D2">
            <w:pPr>
              <w:pStyle w:val="TableText0"/>
              <w:rPr>
                <w:szCs w:val="20"/>
              </w:rPr>
            </w:pPr>
            <w:r w:rsidRPr="00A4659F">
              <w:rPr>
                <w:szCs w:val="20"/>
              </w:rPr>
              <w:t>T</w:t>
            </w:r>
            <w:r w:rsidR="00BC19D2" w:rsidRPr="00A4659F">
              <w:rPr>
                <w:szCs w:val="20"/>
              </w:rPr>
              <w:t>orso application (current)</w:t>
            </w:r>
          </w:p>
        </w:tc>
        <w:tc>
          <w:tcPr>
            <w:tcW w:w="647" w:type="pct"/>
            <w:shd w:val="clear" w:color="auto" w:fill="auto"/>
          </w:tcPr>
          <w:p w:rsidR="00BC19D2" w:rsidRPr="00FD0FC2" w:rsidRDefault="00FD0FC2" w:rsidP="00A4659F">
            <w:pPr>
              <w:pStyle w:val="TableText0"/>
              <w:jc w:val="right"/>
              <w:rPr>
                <w:color w:val="000000"/>
                <w:szCs w:val="20"/>
              </w:rPr>
            </w:pPr>
            <w:r>
              <w:rPr>
                <w:noProof/>
                <w:color w:val="000000"/>
                <w:szCs w:val="20"/>
                <w:highlight w:val="black"/>
              </w:rPr>
              <w:t>''''''''''''''</w:t>
            </w:r>
            <w:r w:rsidR="00F07F7F" w:rsidRPr="00FD0FC2">
              <w:rPr>
                <w:szCs w:val="20"/>
                <w:vertAlign w:val="superscript"/>
              </w:rPr>
              <w:t>1</w:t>
            </w:r>
            <w:r>
              <w:rPr>
                <w:noProof/>
                <w:color w:val="000000"/>
                <w:szCs w:val="20"/>
                <w:highlight w:val="black"/>
              </w:rPr>
              <w:t xml:space="preserve"> </w:t>
            </w:r>
          </w:p>
        </w:tc>
        <w:tc>
          <w:tcPr>
            <w:tcW w:w="647" w:type="pct"/>
            <w:shd w:val="clear" w:color="auto" w:fill="auto"/>
          </w:tcPr>
          <w:p w:rsidR="00BC19D2" w:rsidRPr="00FD0FC2" w:rsidRDefault="00FD0FC2" w:rsidP="00A4659F">
            <w:pPr>
              <w:pStyle w:val="TableText0"/>
              <w:jc w:val="right"/>
              <w:rPr>
                <w:color w:val="000000"/>
                <w:szCs w:val="20"/>
              </w:rPr>
            </w:pPr>
            <w:r>
              <w:rPr>
                <w:noProof/>
                <w:color w:val="000000"/>
                <w:szCs w:val="20"/>
                <w:highlight w:val="black"/>
              </w:rPr>
              <w:t>''''''''''''''</w:t>
            </w:r>
            <w:r w:rsidR="00F07F7F" w:rsidRPr="00D7671F">
              <w:rPr>
                <w:szCs w:val="20"/>
                <w:vertAlign w:val="superscript"/>
              </w:rPr>
              <w:t>1</w:t>
            </w:r>
            <w:r>
              <w:rPr>
                <w:noProof/>
                <w:color w:val="000000"/>
                <w:szCs w:val="20"/>
                <w:highlight w:val="black"/>
              </w:rPr>
              <w:t xml:space="preserve"> </w:t>
            </w:r>
          </w:p>
        </w:tc>
        <w:tc>
          <w:tcPr>
            <w:tcW w:w="647" w:type="pct"/>
            <w:shd w:val="clear" w:color="auto" w:fill="auto"/>
          </w:tcPr>
          <w:p w:rsidR="00BC19D2" w:rsidRPr="00FD0FC2" w:rsidRDefault="00FD0FC2" w:rsidP="00A4659F">
            <w:pPr>
              <w:pStyle w:val="TableText0"/>
              <w:jc w:val="right"/>
              <w:rPr>
                <w:color w:val="000000"/>
                <w:szCs w:val="20"/>
              </w:rPr>
            </w:pPr>
            <w:r>
              <w:rPr>
                <w:noProof/>
                <w:color w:val="000000"/>
                <w:szCs w:val="20"/>
                <w:highlight w:val="black"/>
              </w:rPr>
              <w:t>''''''''''''''</w:t>
            </w:r>
            <w:r w:rsidR="00F07F7F" w:rsidRPr="00D7671F">
              <w:rPr>
                <w:szCs w:val="20"/>
                <w:vertAlign w:val="superscript"/>
              </w:rPr>
              <w:t>1</w:t>
            </w:r>
            <w:r>
              <w:rPr>
                <w:noProof/>
                <w:color w:val="000000"/>
                <w:szCs w:val="20"/>
                <w:highlight w:val="black"/>
              </w:rPr>
              <w:t xml:space="preserve"> </w:t>
            </w:r>
          </w:p>
        </w:tc>
        <w:tc>
          <w:tcPr>
            <w:tcW w:w="647" w:type="pct"/>
            <w:shd w:val="clear" w:color="auto" w:fill="auto"/>
          </w:tcPr>
          <w:p w:rsidR="00BC19D2" w:rsidRPr="00FD0FC2" w:rsidRDefault="00FD0FC2" w:rsidP="00A4659F">
            <w:pPr>
              <w:pStyle w:val="TableText0"/>
              <w:jc w:val="right"/>
              <w:rPr>
                <w:color w:val="000000"/>
                <w:szCs w:val="20"/>
              </w:rPr>
            </w:pPr>
            <w:r>
              <w:rPr>
                <w:noProof/>
                <w:color w:val="000000"/>
                <w:szCs w:val="20"/>
                <w:highlight w:val="black"/>
              </w:rPr>
              <w:t>''''''''''''''</w:t>
            </w:r>
            <w:r w:rsidR="00F07F7F" w:rsidRPr="00D7671F">
              <w:rPr>
                <w:szCs w:val="20"/>
                <w:vertAlign w:val="superscript"/>
              </w:rPr>
              <w:t>1</w:t>
            </w:r>
            <w:r>
              <w:rPr>
                <w:noProof/>
                <w:color w:val="000000"/>
                <w:szCs w:val="20"/>
                <w:highlight w:val="black"/>
              </w:rPr>
              <w:t xml:space="preserve"> </w:t>
            </w:r>
          </w:p>
        </w:tc>
        <w:tc>
          <w:tcPr>
            <w:tcW w:w="647" w:type="pct"/>
            <w:shd w:val="clear" w:color="auto" w:fill="auto"/>
          </w:tcPr>
          <w:p w:rsidR="00BC19D2" w:rsidRPr="00FD0FC2" w:rsidRDefault="00FD0FC2" w:rsidP="00A4659F">
            <w:pPr>
              <w:pStyle w:val="TableText0"/>
              <w:jc w:val="right"/>
              <w:rPr>
                <w:color w:val="000000"/>
                <w:szCs w:val="20"/>
              </w:rPr>
            </w:pPr>
            <w:r>
              <w:rPr>
                <w:noProof/>
                <w:color w:val="000000"/>
                <w:szCs w:val="20"/>
                <w:highlight w:val="black"/>
              </w:rPr>
              <w:t>''''''''''''''</w:t>
            </w:r>
            <w:r w:rsidR="00F07F7F" w:rsidRPr="00D7671F">
              <w:rPr>
                <w:szCs w:val="20"/>
                <w:vertAlign w:val="superscript"/>
              </w:rPr>
              <w:t>1</w:t>
            </w:r>
            <w:r>
              <w:rPr>
                <w:noProof/>
                <w:color w:val="000000"/>
                <w:szCs w:val="20"/>
                <w:highlight w:val="black"/>
              </w:rPr>
              <w:t xml:space="preserve"> </w:t>
            </w:r>
          </w:p>
        </w:tc>
        <w:tc>
          <w:tcPr>
            <w:tcW w:w="647" w:type="pct"/>
          </w:tcPr>
          <w:p w:rsidR="00BC19D2" w:rsidRPr="00FD0FC2" w:rsidRDefault="00FD0FC2" w:rsidP="00A4659F">
            <w:pPr>
              <w:pStyle w:val="TableText0"/>
              <w:jc w:val="right"/>
              <w:rPr>
                <w:color w:val="000000"/>
                <w:szCs w:val="20"/>
              </w:rPr>
            </w:pPr>
            <w:r>
              <w:rPr>
                <w:noProof/>
                <w:color w:val="000000"/>
                <w:szCs w:val="20"/>
                <w:highlight w:val="black"/>
              </w:rPr>
              <w:t>'''''''''''''</w:t>
            </w:r>
            <w:r w:rsidR="00F07F7F" w:rsidRPr="00D7671F">
              <w:rPr>
                <w:szCs w:val="20"/>
                <w:vertAlign w:val="superscript"/>
              </w:rPr>
              <w:t>1</w:t>
            </w:r>
            <w:r>
              <w:rPr>
                <w:noProof/>
                <w:color w:val="000000"/>
                <w:szCs w:val="20"/>
                <w:highlight w:val="black"/>
              </w:rPr>
              <w:t xml:space="preserve"> </w:t>
            </w:r>
          </w:p>
        </w:tc>
      </w:tr>
      <w:tr w:rsidR="00BC19D2" w:rsidRPr="00A4659F" w:rsidTr="0022730C">
        <w:tc>
          <w:tcPr>
            <w:tcW w:w="1118" w:type="pct"/>
            <w:shd w:val="clear" w:color="auto" w:fill="auto"/>
            <w:vAlign w:val="center"/>
          </w:tcPr>
          <w:p w:rsidR="00BC19D2" w:rsidRPr="00A4659F" w:rsidRDefault="009F656A" w:rsidP="00BC19D2">
            <w:pPr>
              <w:pStyle w:val="TableText0"/>
              <w:rPr>
                <w:szCs w:val="20"/>
              </w:rPr>
            </w:pPr>
            <w:r w:rsidRPr="00A4659F">
              <w:rPr>
                <w:szCs w:val="20"/>
              </w:rPr>
              <w:t>S</w:t>
            </w:r>
            <w:r w:rsidR="00BC19D2" w:rsidRPr="00A4659F">
              <w:rPr>
                <w:szCs w:val="20"/>
              </w:rPr>
              <w:t>crotal application (proposed)</w:t>
            </w:r>
            <w:r w:rsidR="00BC19D2" w:rsidRPr="00A4659F">
              <w:rPr>
                <w:szCs w:val="20"/>
                <w:vertAlign w:val="superscript"/>
              </w:rPr>
              <w:t>a</w:t>
            </w:r>
          </w:p>
        </w:tc>
        <w:tc>
          <w:tcPr>
            <w:tcW w:w="647" w:type="pct"/>
            <w:shd w:val="clear" w:color="auto" w:fill="auto"/>
          </w:tcPr>
          <w:p w:rsidR="00BC19D2" w:rsidRPr="00A4659F" w:rsidRDefault="00FD0FC2" w:rsidP="00A4659F">
            <w:pPr>
              <w:pStyle w:val="TableText0"/>
              <w:jc w:val="right"/>
              <w:rPr>
                <w:color w:val="000000"/>
                <w:szCs w:val="20"/>
              </w:rPr>
            </w:pPr>
            <w:r>
              <w:rPr>
                <w:noProof/>
                <w:color w:val="000000"/>
                <w:szCs w:val="20"/>
                <w:highlight w:val="black"/>
              </w:rPr>
              <w:t>''''''''''''''</w:t>
            </w:r>
            <w:r w:rsidR="00F07F7F">
              <w:rPr>
                <w:szCs w:val="20"/>
                <w:vertAlign w:val="superscript"/>
              </w:rPr>
              <w:t>2</w:t>
            </w:r>
            <w:r w:rsidR="00BC19D2" w:rsidRPr="00A4659F">
              <w:rPr>
                <w:szCs w:val="20"/>
              </w:rPr>
              <w:t xml:space="preserve"> </w:t>
            </w:r>
          </w:p>
        </w:tc>
        <w:tc>
          <w:tcPr>
            <w:tcW w:w="647" w:type="pct"/>
            <w:shd w:val="clear" w:color="auto" w:fill="auto"/>
          </w:tcPr>
          <w:p w:rsidR="00BC19D2" w:rsidRPr="00FD0FC2" w:rsidRDefault="00FD0FC2" w:rsidP="00A4659F">
            <w:pPr>
              <w:pStyle w:val="TableText0"/>
              <w:jc w:val="right"/>
              <w:rPr>
                <w:color w:val="000000"/>
                <w:szCs w:val="20"/>
              </w:rPr>
            </w:pPr>
            <w:r>
              <w:rPr>
                <w:noProof/>
                <w:color w:val="000000"/>
                <w:szCs w:val="20"/>
                <w:highlight w:val="black"/>
              </w:rPr>
              <w:t>''''''''''''</w:t>
            </w:r>
            <w:r w:rsidR="00F07F7F">
              <w:rPr>
                <w:szCs w:val="20"/>
                <w:vertAlign w:val="superscript"/>
              </w:rPr>
              <w:t>2</w:t>
            </w:r>
            <w:r>
              <w:rPr>
                <w:noProof/>
                <w:color w:val="000000"/>
                <w:szCs w:val="20"/>
                <w:highlight w:val="black"/>
              </w:rPr>
              <w:t xml:space="preserve"> </w:t>
            </w:r>
          </w:p>
        </w:tc>
        <w:tc>
          <w:tcPr>
            <w:tcW w:w="647" w:type="pct"/>
            <w:shd w:val="clear" w:color="auto" w:fill="auto"/>
          </w:tcPr>
          <w:p w:rsidR="00BC19D2" w:rsidRPr="00FD0FC2" w:rsidRDefault="00FD0FC2" w:rsidP="00A4659F">
            <w:pPr>
              <w:pStyle w:val="TableText0"/>
              <w:jc w:val="right"/>
              <w:rPr>
                <w:color w:val="000000"/>
                <w:szCs w:val="20"/>
              </w:rPr>
            </w:pPr>
            <w:r>
              <w:rPr>
                <w:noProof/>
                <w:color w:val="000000"/>
                <w:szCs w:val="20"/>
                <w:highlight w:val="black"/>
              </w:rPr>
              <w:t>'''''''''''''</w:t>
            </w:r>
            <w:r w:rsidR="00F07F7F">
              <w:rPr>
                <w:szCs w:val="20"/>
                <w:vertAlign w:val="superscript"/>
              </w:rPr>
              <w:t>2</w:t>
            </w:r>
            <w:r>
              <w:rPr>
                <w:noProof/>
                <w:color w:val="000000"/>
                <w:szCs w:val="20"/>
                <w:highlight w:val="black"/>
              </w:rPr>
              <w:t xml:space="preserve"> </w:t>
            </w:r>
          </w:p>
        </w:tc>
        <w:tc>
          <w:tcPr>
            <w:tcW w:w="647" w:type="pct"/>
            <w:shd w:val="clear" w:color="auto" w:fill="auto"/>
          </w:tcPr>
          <w:p w:rsidR="00BC19D2" w:rsidRPr="00FD0FC2" w:rsidRDefault="00FD0FC2" w:rsidP="00A4659F">
            <w:pPr>
              <w:pStyle w:val="TableText0"/>
              <w:jc w:val="right"/>
              <w:rPr>
                <w:color w:val="000000"/>
                <w:szCs w:val="20"/>
              </w:rPr>
            </w:pPr>
            <w:r>
              <w:rPr>
                <w:noProof/>
                <w:color w:val="000000"/>
                <w:szCs w:val="20"/>
                <w:highlight w:val="black"/>
              </w:rPr>
              <w:t>''''''''''''''</w:t>
            </w:r>
            <w:r w:rsidR="00F07F7F">
              <w:rPr>
                <w:szCs w:val="20"/>
                <w:vertAlign w:val="superscript"/>
              </w:rPr>
              <w:t>2</w:t>
            </w:r>
            <w:r>
              <w:rPr>
                <w:noProof/>
                <w:color w:val="000000"/>
                <w:szCs w:val="20"/>
                <w:highlight w:val="black"/>
              </w:rPr>
              <w:t xml:space="preserve"> </w:t>
            </w:r>
          </w:p>
        </w:tc>
        <w:tc>
          <w:tcPr>
            <w:tcW w:w="647" w:type="pct"/>
            <w:shd w:val="clear" w:color="auto" w:fill="auto"/>
          </w:tcPr>
          <w:p w:rsidR="00BC19D2" w:rsidRPr="00FD0FC2" w:rsidRDefault="00FD0FC2" w:rsidP="00A4659F">
            <w:pPr>
              <w:pStyle w:val="TableText0"/>
              <w:jc w:val="right"/>
              <w:rPr>
                <w:color w:val="000000"/>
                <w:szCs w:val="20"/>
              </w:rPr>
            </w:pPr>
            <w:r>
              <w:rPr>
                <w:noProof/>
                <w:color w:val="000000"/>
                <w:szCs w:val="20"/>
                <w:highlight w:val="black"/>
              </w:rPr>
              <w:t>'''''''''''''</w:t>
            </w:r>
            <w:r w:rsidR="00F07F7F">
              <w:rPr>
                <w:szCs w:val="20"/>
                <w:vertAlign w:val="superscript"/>
              </w:rPr>
              <w:t>2</w:t>
            </w:r>
            <w:r>
              <w:rPr>
                <w:noProof/>
                <w:color w:val="000000"/>
                <w:szCs w:val="20"/>
                <w:highlight w:val="black"/>
              </w:rPr>
              <w:t xml:space="preserve"> </w:t>
            </w:r>
          </w:p>
        </w:tc>
        <w:tc>
          <w:tcPr>
            <w:tcW w:w="647" w:type="pct"/>
          </w:tcPr>
          <w:p w:rsidR="00BC19D2" w:rsidRPr="00FD0FC2" w:rsidRDefault="00FD0FC2" w:rsidP="00A4659F">
            <w:pPr>
              <w:pStyle w:val="TableText0"/>
              <w:jc w:val="right"/>
              <w:rPr>
                <w:color w:val="000000"/>
                <w:szCs w:val="20"/>
              </w:rPr>
            </w:pPr>
            <w:r>
              <w:rPr>
                <w:noProof/>
                <w:color w:val="000000"/>
                <w:szCs w:val="20"/>
                <w:highlight w:val="black"/>
              </w:rPr>
              <w:t>'''''''''''''</w:t>
            </w:r>
            <w:r w:rsidR="00F07F7F">
              <w:rPr>
                <w:szCs w:val="20"/>
                <w:vertAlign w:val="superscript"/>
              </w:rPr>
              <w:t>2</w:t>
            </w:r>
            <w:r>
              <w:rPr>
                <w:noProof/>
                <w:color w:val="000000"/>
                <w:szCs w:val="20"/>
                <w:highlight w:val="black"/>
              </w:rPr>
              <w:t xml:space="preserve"> </w:t>
            </w:r>
          </w:p>
        </w:tc>
      </w:tr>
      <w:tr w:rsidR="00C7409E" w:rsidRPr="00A4659F" w:rsidTr="0022730C">
        <w:tc>
          <w:tcPr>
            <w:tcW w:w="5000" w:type="pct"/>
            <w:gridSpan w:val="7"/>
            <w:shd w:val="clear" w:color="auto" w:fill="auto"/>
            <w:vAlign w:val="center"/>
          </w:tcPr>
          <w:p w:rsidR="00C7409E" w:rsidRPr="00A4659F" w:rsidRDefault="00C7409E" w:rsidP="009C3914">
            <w:pPr>
              <w:pStyle w:val="TableText0"/>
              <w:rPr>
                <w:b/>
                <w:color w:val="000000"/>
                <w:szCs w:val="20"/>
              </w:rPr>
            </w:pPr>
            <w:r w:rsidRPr="00A4659F">
              <w:rPr>
                <w:b/>
                <w:color w:val="000000"/>
                <w:szCs w:val="20"/>
              </w:rPr>
              <w:t xml:space="preserve">Estimated financial implications of </w:t>
            </w:r>
            <w:r w:rsidR="009C3914" w:rsidRPr="00A4659F">
              <w:rPr>
                <w:b/>
                <w:color w:val="000000"/>
                <w:szCs w:val="20"/>
              </w:rPr>
              <w:t>scrotal application</w:t>
            </w:r>
          </w:p>
        </w:tc>
      </w:tr>
      <w:tr w:rsidR="009C3914" w:rsidRPr="00A4659F" w:rsidTr="0022730C">
        <w:tc>
          <w:tcPr>
            <w:tcW w:w="1118" w:type="pct"/>
            <w:shd w:val="clear" w:color="auto" w:fill="auto"/>
            <w:vAlign w:val="center"/>
          </w:tcPr>
          <w:p w:rsidR="009C3914" w:rsidRPr="00A4659F" w:rsidRDefault="009C3914" w:rsidP="009C3914">
            <w:pPr>
              <w:pStyle w:val="TableText0"/>
              <w:rPr>
                <w:szCs w:val="20"/>
              </w:rPr>
            </w:pPr>
            <w:r w:rsidRPr="00A4659F">
              <w:rPr>
                <w:szCs w:val="20"/>
              </w:rPr>
              <w:t>Cost to PBS/RPBS</w:t>
            </w:r>
          </w:p>
        </w:tc>
        <w:tc>
          <w:tcPr>
            <w:tcW w:w="647" w:type="pct"/>
            <w:shd w:val="clear" w:color="auto" w:fill="auto"/>
          </w:tcPr>
          <w:p w:rsidR="009C3914" w:rsidRPr="00A4659F" w:rsidRDefault="009C3914" w:rsidP="00A4659F">
            <w:pPr>
              <w:pStyle w:val="TableText0"/>
              <w:jc w:val="right"/>
              <w:rPr>
                <w:color w:val="000000"/>
                <w:szCs w:val="20"/>
              </w:rPr>
            </w:pPr>
            <w:r w:rsidRPr="00A4659F">
              <w:rPr>
                <w:szCs w:val="20"/>
              </w:rPr>
              <w:t>$</w:t>
            </w:r>
            <w:r w:rsidR="00FD0FC2">
              <w:rPr>
                <w:noProof/>
                <w:color w:val="000000"/>
                <w:szCs w:val="20"/>
                <w:highlight w:val="black"/>
              </w:rPr>
              <w:t>'''''''''''''''''''</w:t>
            </w:r>
            <w:r w:rsidR="00F07F7F">
              <w:rPr>
                <w:szCs w:val="20"/>
                <w:vertAlign w:val="superscript"/>
              </w:rPr>
              <w:t>3</w:t>
            </w:r>
            <w:r w:rsidRPr="00A4659F">
              <w:rPr>
                <w:szCs w:val="20"/>
              </w:rPr>
              <w:t xml:space="preserve"> </w:t>
            </w:r>
          </w:p>
        </w:tc>
        <w:tc>
          <w:tcPr>
            <w:tcW w:w="647" w:type="pct"/>
            <w:shd w:val="clear" w:color="auto" w:fill="auto"/>
          </w:tcPr>
          <w:p w:rsidR="009C3914" w:rsidRPr="00A4659F" w:rsidRDefault="009C3914" w:rsidP="00A4659F">
            <w:pPr>
              <w:pStyle w:val="TableText0"/>
              <w:jc w:val="right"/>
              <w:rPr>
                <w:color w:val="000000"/>
                <w:szCs w:val="20"/>
              </w:rPr>
            </w:pPr>
            <w:r w:rsidRPr="00A4659F">
              <w:rPr>
                <w:szCs w:val="20"/>
              </w:rPr>
              <w:t>$</w:t>
            </w:r>
            <w:r w:rsidR="00FD0FC2">
              <w:rPr>
                <w:noProof/>
                <w:color w:val="000000"/>
                <w:szCs w:val="20"/>
                <w:highlight w:val="black"/>
              </w:rPr>
              <w:t>''''''''''''''''''''</w:t>
            </w:r>
            <w:r w:rsidR="00F07F7F">
              <w:rPr>
                <w:szCs w:val="20"/>
                <w:vertAlign w:val="superscript"/>
              </w:rPr>
              <w:t>3</w:t>
            </w:r>
            <w:r w:rsidRPr="00A4659F">
              <w:rPr>
                <w:szCs w:val="20"/>
              </w:rPr>
              <w:t xml:space="preserve"> </w:t>
            </w:r>
          </w:p>
        </w:tc>
        <w:tc>
          <w:tcPr>
            <w:tcW w:w="647" w:type="pct"/>
            <w:shd w:val="clear" w:color="auto" w:fill="auto"/>
          </w:tcPr>
          <w:p w:rsidR="009C3914" w:rsidRPr="00A4659F" w:rsidRDefault="009C3914" w:rsidP="00A4659F">
            <w:pPr>
              <w:pStyle w:val="TableText0"/>
              <w:jc w:val="right"/>
              <w:rPr>
                <w:color w:val="000000"/>
                <w:szCs w:val="20"/>
              </w:rPr>
            </w:pPr>
            <w:r w:rsidRPr="00A4659F">
              <w:rPr>
                <w:szCs w:val="20"/>
              </w:rPr>
              <w:t>$</w:t>
            </w:r>
            <w:r w:rsidR="00FD0FC2">
              <w:rPr>
                <w:noProof/>
                <w:color w:val="000000"/>
                <w:szCs w:val="20"/>
                <w:highlight w:val="black"/>
              </w:rPr>
              <w:t>'''''''''''''''''</w:t>
            </w:r>
            <w:r w:rsidR="00F07F7F">
              <w:rPr>
                <w:szCs w:val="20"/>
                <w:vertAlign w:val="superscript"/>
              </w:rPr>
              <w:t>3</w:t>
            </w:r>
            <w:r w:rsidRPr="00A4659F">
              <w:rPr>
                <w:szCs w:val="20"/>
              </w:rPr>
              <w:t xml:space="preserve"> </w:t>
            </w:r>
          </w:p>
        </w:tc>
        <w:tc>
          <w:tcPr>
            <w:tcW w:w="647" w:type="pct"/>
            <w:shd w:val="clear" w:color="auto" w:fill="auto"/>
          </w:tcPr>
          <w:p w:rsidR="009C3914" w:rsidRPr="00A4659F" w:rsidRDefault="009C3914" w:rsidP="00A4659F">
            <w:pPr>
              <w:pStyle w:val="TableText0"/>
              <w:jc w:val="right"/>
              <w:rPr>
                <w:color w:val="000000"/>
                <w:szCs w:val="20"/>
              </w:rPr>
            </w:pPr>
            <w:r w:rsidRPr="00A4659F">
              <w:rPr>
                <w:szCs w:val="20"/>
              </w:rPr>
              <w:t>$</w:t>
            </w:r>
            <w:r w:rsidR="00FD0FC2">
              <w:rPr>
                <w:noProof/>
                <w:color w:val="000000"/>
                <w:szCs w:val="20"/>
                <w:highlight w:val="black"/>
              </w:rPr>
              <w:t>'''''''''''''''''''</w:t>
            </w:r>
            <w:r w:rsidR="00F07F7F">
              <w:rPr>
                <w:szCs w:val="20"/>
                <w:vertAlign w:val="superscript"/>
              </w:rPr>
              <w:t>3</w:t>
            </w:r>
            <w:r w:rsidRPr="00A4659F">
              <w:rPr>
                <w:szCs w:val="20"/>
              </w:rPr>
              <w:t xml:space="preserve"> </w:t>
            </w:r>
          </w:p>
        </w:tc>
        <w:tc>
          <w:tcPr>
            <w:tcW w:w="647" w:type="pct"/>
            <w:shd w:val="clear" w:color="auto" w:fill="auto"/>
          </w:tcPr>
          <w:p w:rsidR="009C3914" w:rsidRPr="00A4659F" w:rsidRDefault="009C3914" w:rsidP="00A4659F">
            <w:pPr>
              <w:pStyle w:val="TableText0"/>
              <w:jc w:val="right"/>
              <w:rPr>
                <w:color w:val="000000"/>
                <w:szCs w:val="20"/>
              </w:rPr>
            </w:pPr>
            <w:r w:rsidRPr="00A4659F">
              <w:rPr>
                <w:szCs w:val="20"/>
              </w:rPr>
              <w:t>$</w:t>
            </w:r>
            <w:r w:rsidR="00FD0FC2">
              <w:rPr>
                <w:noProof/>
                <w:color w:val="000000"/>
                <w:szCs w:val="20"/>
                <w:highlight w:val="black"/>
              </w:rPr>
              <w:t>'''''''''''''''''''</w:t>
            </w:r>
            <w:r w:rsidR="00F07F7F">
              <w:rPr>
                <w:szCs w:val="20"/>
                <w:vertAlign w:val="superscript"/>
              </w:rPr>
              <w:t>3</w:t>
            </w:r>
            <w:r w:rsidRPr="00A4659F">
              <w:rPr>
                <w:szCs w:val="20"/>
              </w:rPr>
              <w:t xml:space="preserve"> </w:t>
            </w:r>
          </w:p>
        </w:tc>
        <w:tc>
          <w:tcPr>
            <w:tcW w:w="647" w:type="pct"/>
          </w:tcPr>
          <w:p w:rsidR="009C3914" w:rsidRPr="00A4659F" w:rsidRDefault="009C3914" w:rsidP="00A4659F">
            <w:pPr>
              <w:pStyle w:val="TableText0"/>
              <w:jc w:val="right"/>
              <w:rPr>
                <w:color w:val="000000"/>
                <w:szCs w:val="20"/>
              </w:rPr>
            </w:pPr>
            <w:r w:rsidRPr="00A4659F">
              <w:rPr>
                <w:szCs w:val="20"/>
              </w:rPr>
              <w:t>$</w:t>
            </w:r>
            <w:r w:rsidR="00FD0FC2">
              <w:rPr>
                <w:noProof/>
                <w:color w:val="000000"/>
                <w:szCs w:val="20"/>
                <w:highlight w:val="black"/>
              </w:rPr>
              <w:t>''''''''''''''''''''</w:t>
            </w:r>
            <w:r w:rsidR="00F07F7F">
              <w:rPr>
                <w:szCs w:val="20"/>
                <w:vertAlign w:val="superscript"/>
              </w:rPr>
              <w:t>3</w:t>
            </w:r>
            <w:r w:rsidRPr="00A4659F">
              <w:rPr>
                <w:szCs w:val="20"/>
              </w:rPr>
              <w:t xml:space="preserve"> </w:t>
            </w:r>
          </w:p>
        </w:tc>
      </w:tr>
      <w:tr w:rsidR="009C3914" w:rsidRPr="00A4659F" w:rsidTr="0022730C">
        <w:tc>
          <w:tcPr>
            <w:tcW w:w="1118" w:type="pct"/>
            <w:shd w:val="clear" w:color="auto" w:fill="auto"/>
            <w:vAlign w:val="center"/>
          </w:tcPr>
          <w:p w:rsidR="009C3914" w:rsidRPr="00A4659F" w:rsidRDefault="009C3914" w:rsidP="009C3914">
            <w:pPr>
              <w:pStyle w:val="TableText0"/>
              <w:rPr>
                <w:szCs w:val="20"/>
              </w:rPr>
            </w:pPr>
            <w:r w:rsidRPr="00A4659F">
              <w:rPr>
                <w:szCs w:val="20"/>
              </w:rPr>
              <w:t>Copayments</w:t>
            </w:r>
          </w:p>
        </w:tc>
        <w:tc>
          <w:tcPr>
            <w:tcW w:w="647" w:type="pct"/>
            <w:shd w:val="clear" w:color="auto" w:fill="auto"/>
          </w:tcPr>
          <w:p w:rsidR="009C3914" w:rsidRPr="00A4659F" w:rsidRDefault="009C3914" w:rsidP="00A4659F">
            <w:pPr>
              <w:pStyle w:val="TableText0"/>
              <w:jc w:val="right"/>
              <w:rPr>
                <w:color w:val="000000"/>
                <w:szCs w:val="20"/>
              </w:rPr>
            </w:pPr>
            <w:r w:rsidRPr="00A4659F">
              <w:rPr>
                <w:szCs w:val="20"/>
              </w:rPr>
              <w:t>-$</w:t>
            </w:r>
            <w:r w:rsidR="00FD0FC2">
              <w:rPr>
                <w:noProof/>
                <w:color w:val="000000"/>
                <w:szCs w:val="20"/>
                <w:highlight w:val="black"/>
              </w:rPr>
              <w:t>''''''''''''''''</w:t>
            </w:r>
            <w:r w:rsidR="00804831">
              <w:rPr>
                <w:szCs w:val="20"/>
                <w:vertAlign w:val="superscript"/>
              </w:rPr>
              <w:t>3</w:t>
            </w:r>
            <w:r w:rsidRPr="00A4659F">
              <w:rPr>
                <w:szCs w:val="20"/>
              </w:rPr>
              <w:t xml:space="preserve"> </w:t>
            </w:r>
          </w:p>
        </w:tc>
        <w:tc>
          <w:tcPr>
            <w:tcW w:w="647" w:type="pct"/>
            <w:shd w:val="clear" w:color="auto" w:fill="auto"/>
          </w:tcPr>
          <w:p w:rsidR="009C3914" w:rsidRPr="00A4659F" w:rsidRDefault="009C3914" w:rsidP="00A4659F">
            <w:pPr>
              <w:pStyle w:val="TableText0"/>
              <w:jc w:val="right"/>
              <w:rPr>
                <w:color w:val="000000"/>
                <w:szCs w:val="20"/>
              </w:rPr>
            </w:pPr>
            <w:r w:rsidRPr="00A4659F">
              <w:rPr>
                <w:szCs w:val="20"/>
              </w:rPr>
              <w:t>-$</w:t>
            </w:r>
            <w:r w:rsidR="00FD0FC2">
              <w:rPr>
                <w:noProof/>
                <w:color w:val="000000"/>
                <w:szCs w:val="20"/>
                <w:highlight w:val="black"/>
              </w:rPr>
              <w:t>''''''''''''''''</w:t>
            </w:r>
            <w:r w:rsidR="00804831">
              <w:rPr>
                <w:szCs w:val="20"/>
                <w:vertAlign w:val="superscript"/>
              </w:rPr>
              <w:t>3</w:t>
            </w:r>
            <w:r w:rsidRPr="00A4659F">
              <w:rPr>
                <w:szCs w:val="20"/>
              </w:rPr>
              <w:t xml:space="preserve"> </w:t>
            </w:r>
          </w:p>
        </w:tc>
        <w:tc>
          <w:tcPr>
            <w:tcW w:w="647" w:type="pct"/>
            <w:shd w:val="clear" w:color="auto" w:fill="auto"/>
          </w:tcPr>
          <w:p w:rsidR="009C3914" w:rsidRPr="00A4659F" w:rsidRDefault="009C3914" w:rsidP="00A4659F">
            <w:pPr>
              <w:pStyle w:val="TableText0"/>
              <w:jc w:val="right"/>
              <w:rPr>
                <w:color w:val="000000"/>
                <w:szCs w:val="20"/>
              </w:rPr>
            </w:pPr>
            <w:r w:rsidRPr="00A4659F">
              <w:rPr>
                <w:szCs w:val="20"/>
              </w:rPr>
              <w:t>-$</w:t>
            </w:r>
            <w:r w:rsidR="00FD0FC2">
              <w:rPr>
                <w:noProof/>
                <w:color w:val="000000"/>
                <w:szCs w:val="20"/>
                <w:highlight w:val="black"/>
              </w:rPr>
              <w:t>''''''''''''''''</w:t>
            </w:r>
            <w:r w:rsidR="00804831">
              <w:rPr>
                <w:szCs w:val="20"/>
                <w:vertAlign w:val="superscript"/>
              </w:rPr>
              <w:t>3</w:t>
            </w:r>
            <w:r w:rsidRPr="00A4659F">
              <w:rPr>
                <w:szCs w:val="20"/>
              </w:rPr>
              <w:t xml:space="preserve"> </w:t>
            </w:r>
          </w:p>
        </w:tc>
        <w:tc>
          <w:tcPr>
            <w:tcW w:w="647" w:type="pct"/>
            <w:shd w:val="clear" w:color="auto" w:fill="auto"/>
          </w:tcPr>
          <w:p w:rsidR="009C3914" w:rsidRPr="00A4659F" w:rsidRDefault="009C3914" w:rsidP="00A4659F">
            <w:pPr>
              <w:pStyle w:val="TableText0"/>
              <w:jc w:val="right"/>
              <w:rPr>
                <w:color w:val="000000"/>
                <w:szCs w:val="20"/>
              </w:rPr>
            </w:pPr>
            <w:r w:rsidRPr="00A4659F">
              <w:rPr>
                <w:szCs w:val="20"/>
              </w:rPr>
              <w:t>-$</w:t>
            </w:r>
            <w:r w:rsidR="00FD0FC2">
              <w:rPr>
                <w:noProof/>
                <w:color w:val="000000"/>
                <w:szCs w:val="20"/>
                <w:highlight w:val="black"/>
              </w:rPr>
              <w:t>'''''''''''''''</w:t>
            </w:r>
            <w:r w:rsidR="00804831">
              <w:rPr>
                <w:szCs w:val="20"/>
                <w:vertAlign w:val="superscript"/>
              </w:rPr>
              <w:t>3</w:t>
            </w:r>
            <w:r w:rsidRPr="00A4659F">
              <w:rPr>
                <w:szCs w:val="20"/>
              </w:rPr>
              <w:t xml:space="preserve"> </w:t>
            </w:r>
          </w:p>
        </w:tc>
        <w:tc>
          <w:tcPr>
            <w:tcW w:w="647" w:type="pct"/>
            <w:shd w:val="clear" w:color="auto" w:fill="auto"/>
          </w:tcPr>
          <w:p w:rsidR="009C3914" w:rsidRPr="00A4659F" w:rsidRDefault="009C3914" w:rsidP="00A4659F">
            <w:pPr>
              <w:pStyle w:val="TableText0"/>
              <w:jc w:val="right"/>
              <w:rPr>
                <w:color w:val="000000"/>
                <w:szCs w:val="20"/>
              </w:rPr>
            </w:pPr>
            <w:r w:rsidRPr="00A4659F">
              <w:rPr>
                <w:szCs w:val="20"/>
              </w:rPr>
              <w:t>-$</w:t>
            </w:r>
            <w:r w:rsidR="00FD0FC2">
              <w:rPr>
                <w:noProof/>
                <w:color w:val="000000"/>
                <w:szCs w:val="20"/>
                <w:highlight w:val="black"/>
              </w:rPr>
              <w:t>'''''''''''''''</w:t>
            </w:r>
            <w:r w:rsidR="00804831">
              <w:rPr>
                <w:szCs w:val="20"/>
                <w:vertAlign w:val="superscript"/>
              </w:rPr>
              <w:t>3</w:t>
            </w:r>
            <w:r w:rsidRPr="00A4659F">
              <w:rPr>
                <w:szCs w:val="20"/>
              </w:rPr>
              <w:t xml:space="preserve"> </w:t>
            </w:r>
          </w:p>
        </w:tc>
        <w:tc>
          <w:tcPr>
            <w:tcW w:w="647" w:type="pct"/>
          </w:tcPr>
          <w:p w:rsidR="009C3914" w:rsidRPr="00A4659F" w:rsidRDefault="009C3914" w:rsidP="00A4659F">
            <w:pPr>
              <w:pStyle w:val="TableText0"/>
              <w:jc w:val="right"/>
              <w:rPr>
                <w:color w:val="000000"/>
                <w:szCs w:val="20"/>
              </w:rPr>
            </w:pPr>
            <w:r w:rsidRPr="00A4659F">
              <w:rPr>
                <w:szCs w:val="20"/>
              </w:rPr>
              <w:t>-$</w:t>
            </w:r>
            <w:r w:rsidR="00FD0FC2">
              <w:rPr>
                <w:noProof/>
                <w:color w:val="000000"/>
                <w:szCs w:val="20"/>
                <w:highlight w:val="black"/>
              </w:rPr>
              <w:t>''''''''''''''''''</w:t>
            </w:r>
            <w:r w:rsidR="00804831">
              <w:rPr>
                <w:szCs w:val="20"/>
                <w:vertAlign w:val="superscript"/>
              </w:rPr>
              <w:t>3</w:t>
            </w:r>
            <w:r w:rsidRPr="00A4659F">
              <w:rPr>
                <w:szCs w:val="20"/>
              </w:rPr>
              <w:t xml:space="preserve"> </w:t>
            </w:r>
          </w:p>
        </w:tc>
      </w:tr>
      <w:tr w:rsidR="009C3914" w:rsidRPr="00A4659F" w:rsidTr="0022730C">
        <w:tc>
          <w:tcPr>
            <w:tcW w:w="1118" w:type="pct"/>
            <w:shd w:val="clear" w:color="auto" w:fill="auto"/>
            <w:vAlign w:val="center"/>
          </w:tcPr>
          <w:p w:rsidR="009C3914" w:rsidRPr="00A4659F" w:rsidRDefault="009C3914" w:rsidP="009C3914">
            <w:pPr>
              <w:pStyle w:val="TableText0"/>
              <w:rPr>
                <w:szCs w:val="20"/>
              </w:rPr>
            </w:pPr>
            <w:r w:rsidRPr="00A4659F">
              <w:rPr>
                <w:szCs w:val="20"/>
              </w:rPr>
              <w:t>Cost to PBS/RPBS less copayments</w:t>
            </w:r>
          </w:p>
        </w:tc>
        <w:tc>
          <w:tcPr>
            <w:tcW w:w="647" w:type="pct"/>
            <w:shd w:val="clear" w:color="auto" w:fill="auto"/>
          </w:tcPr>
          <w:p w:rsidR="009C3914" w:rsidRPr="00A4659F" w:rsidRDefault="009C3914" w:rsidP="00A4659F">
            <w:pPr>
              <w:pStyle w:val="TableText0"/>
              <w:jc w:val="right"/>
              <w:rPr>
                <w:color w:val="000000"/>
                <w:szCs w:val="20"/>
              </w:rPr>
            </w:pPr>
            <w:r w:rsidRPr="00A4659F">
              <w:rPr>
                <w:szCs w:val="20"/>
              </w:rPr>
              <w:t>$</w:t>
            </w:r>
            <w:r w:rsidR="00FD0FC2">
              <w:rPr>
                <w:noProof/>
                <w:color w:val="000000"/>
                <w:szCs w:val="20"/>
                <w:highlight w:val="black"/>
              </w:rPr>
              <w:t>'''''''''''''''''''</w:t>
            </w:r>
            <w:r w:rsidR="00804831">
              <w:rPr>
                <w:szCs w:val="20"/>
                <w:vertAlign w:val="superscript"/>
              </w:rPr>
              <w:t>3</w:t>
            </w:r>
            <w:r w:rsidRPr="00A4659F">
              <w:rPr>
                <w:szCs w:val="20"/>
              </w:rPr>
              <w:t xml:space="preserve"> </w:t>
            </w:r>
          </w:p>
        </w:tc>
        <w:tc>
          <w:tcPr>
            <w:tcW w:w="647" w:type="pct"/>
            <w:shd w:val="clear" w:color="auto" w:fill="auto"/>
          </w:tcPr>
          <w:p w:rsidR="009C3914" w:rsidRPr="00A4659F" w:rsidRDefault="009C3914" w:rsidP="00A4659F">
            <w:pPr>
              <w:pStyle w:val="TableText0"/>
              <w:jc w:val="right"/>
              <w:rPr>
                <w:color w:val="000000"/>
                <w:szCs w:val="20"/>
              </w:rPr>
            </w:pPr>
            <w:r w:rsidRPr="00A4659F">
              <w:rPr>
                <w:szCs w:val="20"/>
              </w:rPr>
              <w:t>$</w:t>
            </w:r>
            <w:r w:rsidR="00FD0FC2">
              <w:rPr>
                <w:noProof/>
                <w:color w:val="000000"/>
                <w:szCs w:val="20"/>
                <w:highlight w:val="black"/>
              </w:rPr>
              <w:t>'''''''''''''''''</w:t>
            </w:r>
            <w:r w:rsidR="00804831">
              <w:rPr>
                <w:szCs w:val="20"/>
                <w:vertAlign w:val="superscript"/>
              </w:rPr>
              <w:t>3</w:t>
            </w:r>
            <w:r w:rsidRPr="00A4659F">
              <w:rPr>
                <w:szCs w:val="20"/>
              </w:rPr>
              <w:t xml:space="preserve"> </w:t>
            </w:r>
          </w:p>
        </w:tc>
        <w:tc>
          <w:tcPr>
            <w:tcW w:w="647" w:type="pct"/>
            <w:shd w:val="clear" w:color="auto" w:fill="auto"/>
          </w:tcPr>
          <w:p w:rsidR="009C3914" w:rsidRPr="00A4659F" w:rsidRDefault="009C3914" w:rsidP="00A4659F">
            <w:pPr>
              <w:pStyle w:val="TableText0"/>
              <w:jc w:val="right"/>
              <w:rPr>
                <w:color w:val="000000"/>
                <w:szCs w:val="20"/>
              </w:rPr>
            </w:pPr>
            <w:r w:rsidRPr="00A4659F">
              <w:rPr>
                <w:szCs w:val="20"/>
              </w:rPr>
              <w:t>$</w:t>
            </w:r>
            <w:r w:rsidR="00FD0FC2">
              <w:rPr>
                <w:noProof/>
                <w:color w:val="000000"/>
                <w:szCs w:val="20"/>
                <w:highlight w:val="black"/>
              </w:rPr>
              <w:t>''''''''''''''''''</w:t>
            </w:r>
            <w:r w:rsidR="00804831">
              <w:rPr>
                <w:szCs w:val="20"/>
                <w:vertAlign w:val="superscript"/>
              </w:rPr>
              <w:t>3</w:t>
            </w:r>
            <w:r w:rsidRPr="00A4659F">
              <w:rPr>
                <w:szCs w:val="20"/>
              </w:rPr>
              <w:t xml:space="preserve"> </w:t>
            </w:r>
          </w:p>
        </w:tc>
        <w:tc>
          <w:tcPr>
            <w:tcW w:w="647" w:type="pct"/>
            <w:shd w:val="clear" w:color="auto" w:fill="auto"/>
          </w:tcPr>
          <w:p w:rsidR="009C3914" w:rsidRPr="00A4659F" w:rsidRDefault="009C3914" w:rsidP="00A4659F">
            <w:pPr>
              <w:pStyle w:val="TableText0"/>
              <w:jc w:val="right"/>
              <w:rPr>
                <w:color w:val="000000"/>
                <w:szCs w:val="20"/>
              </w:rPr>
            </w:pPr>
            <w:r w:rsidRPr="00A4659F">
              <w:rPr>
                <w:szCs w:val="20"/>
              </w:rPr>
              <w:t>$</w:t>
            </w:r>
            <w:r w:rsidR="00FD0FC2">
              <w:rPr>
                <w:noProof/>
                <w:color w:val="000000"/>
                <w:szCs w:val="20"/>
                <w:highlight w:val="black"/>
              </w:rPr>
              <w:t>'''''''''''''''''</w:t>
            </w:r>
            <w:r w:rsidR="00804831">
              <w:rPr>
                <w:szCs w:val="20"/>
                <w:vertAlign w:val="superscript"/>
              </w:rPr>
              <w:t>3</w:t>
            </w:r>
            <w:r w:rsidRPr="00A4659F">
              <w:rPr>
                <w:szCs w:val="20"/>
              </w:rPr>
              <w:t xml:space="preserve"> </w:t>
            </w:r>
          </w:p>
        </w:tc>
        <w:tc>
          <w:tcPr>
            <w:tcW w:w="647" w:type="pct"/>
            <w:shd w:val="clear" w:color="auto" w:fill="auto"/>
          </w:tcPr>
          <w:p w:rsidR="009C3914" w:rsidRPr="00A4659F" w:rsidRDefault="009C3914" w:rsidP="00A4659F">
            <w:pPr>
              <w:pStyle w:val="TableText0"/>
              <w:jc w:val="right"/>
              <w:rPr>
                <w:color w:val="000000"/>
                <w:szCs w:val="20"/>
              </w:rPr>
            </w:pPr>
            <w:r w:rsidRPr="00A4659F">
              <w:rPr>
                <w:szCs w:val="20"/>
              </w:rPr>
              <w:t>$</w:t>
            </w:r>
            <w:r w:rsidR="00FD0FC2">
              <w:rPr>
                <w:noProof/>
                <w:color w:val="000000"/>
                <w:szCs w:val="20"/>
                <w:highlight w:val="black"/>
              </w:rPr>
              <w:t>'''''''''''''''''''''</w:t>
            </w:r>
            <w:r w:rsidR="00804831">
              <w:rPr>
                <w:szCs w:val="20"/>
                <w:vertAlign w:val="superscript"/>
              </w:rPr>
              <w:t>3</w:t>
            </w:r>
            <w:r w:rsidRPr="00A4659F">
              <w:rPr>
                <w:szCs w:val="20"/>
              </w:rPr>
              <w:t xml:space="preserve"> </w:t>
            </w:r>
          </w:p>
        </w:tc>
        <w:tc>
          <w:tcPr>
            <w:tcW w:w="647" w:type="pct"/>
          </w:tcPr>
          <w:p w:rsidR="009C3914" w:rsidRPr="00A4659F" w:rsidRDefault="009C3914" w:rsidP="00A4659F">
            <w:pPr>
              <w:pStyle w:val="TableText0"/>
              <w:jc w:val="right"/>
              <w:rPr>
                <w:color w:val="000000"/>
                <w:szCs w:val="20"/>
              </w:rPr>
            </w:pPr>
            <w:r w:rsidRPr="00A4659F">
              <w:rPr>
                <w:szCs w:val="20"/>
              </w:rPr>
              <w:t>$</w:t>
            </w:r>
            <w:r w:rsidR="00FD0FC2">
              <w:rPr>
                <w:noProof/>
                <w:color w:val="000000"/>
                <w:szCs w:val="20"/>
                <w:highlight w:val="black"/>
              </w:rPr>
              <w:t>''''''''''''''''''</w:t>
            </w:r>
            <w:r w:rsidR="00804831">
              <w:rPr>
                <w:szCs w:val="20"/>
                <w:vertAlign w:val="superscript"/>
              </w:rPr>
              <w:t>3</w:t>
            </w:r>
            <w:r w:rsidRPr="00A4659F">
              <w:rPr>
                <w:szCs w:val="20"/>
              </w:rPr>
              <w:t xml:space="preserve"> </w:t>
            </w:r>
          </w:p>
        </w:tc>
      </w:tr>
      <w:tr w:rsidR="00C7409E" w:rsidRPr="00A4659F" w:rsidTr="0022730C">
        <w:tc>
          <w:tcPr>
            <w:tcW w:w="5000" w:type="pct"/>
            <w:gridSpan w:val="7"/>
            <w:shd w:val="clear" w:color="auto" w:fill="auto"/>
            <w:vAlign w:val="center"/>
          </w:tcPr>
          <w:p w:rsidR="00C7409E" w:rsidRPr="00A4659F" w:rsidRDefault="00C7409E" w:rsidP="009C3914">
            <w:pPr>
              <w:pStyle w:val="TableText0"/>
              <w:rPr>
                <w:b/>
                <w:color w:val="000000"/>
                <w:szCs w:val="20"/>
              </w:rPr>
            </w:pPr>
            <w:r w:rsidRPr="00A4659F">
              <w:rPr>
                <w:b/>
                <w:color w:val="000000"/>
                <w:szCs w:val="20"/>
              </w:rPr>
              <w:t>Net financial implications</w:t>
            </w:r>
            <w:r w:rsidRPr="00A4659F">
              <w:rPr>
                <w:b/>
                <w:color w:val="4BACC6" w:themeColor="accent5"/>
                <w:szCs w:val="20"/>
              </w:rPr>
              <w:t xml:space="preserve"> </w:t>
            </w:r>
          </w:p>
        </w:tc>
      </w:tr>
      <w:tr w:rsidR="009C3914" w:rsidRPr="00A4659F" w:rsidTr="0022730C">
        <w:tc>
          <w:tcPr>
            <w:tcW w:w="1118" w:type="pct"/>
            <w:shd w:val="clear" w:color="auto" w:fill="auto"/>
            <w:vAlign w:val="center"/>
          </w:tcPr>
          <w:p w:rsidR="009C3914" w:rsidRPr="00A4659F" w:rsidRDefault="009C3914" w:rsidP="009C3914">
            <w:pPr>
              <w:pStyle w:val="TableText0"/>
              <w:rPr>
                <w:szCs w:val="20"/>
              </w:rPr>
            </w:pPr>
            <w:r w:rsidRPr="00A4659F">
              <w:rPr>
                <w:szCs w:val="20"/>
              </w:rPr>
              <w:t>Net cost to PBS/RPB</w:t>
            </w:r>
            <w:r w:rsidRPr="00A4659F">
              <w:rPr>
                <w:color w:val="000000" w:themeColor="text1"/>
                <w:szCs w:val="20"/>
              </w:rPr>
              <w:t>S</w:t>
            </w:r>
            <w:r w:rsidRPr="00A4659F">
              <w:rPr>
                <w:color w:val="FF0000"/>
                <w:szCs w:val="20"/>
              </w:rPr>
              <w:t xml:space="preserve"> </w:t>
            </w:r>
          </w:p>
        </w:tc>
        <w:tc>
          <w:tcPr>
            <w:tcW w:w="647" w:type="pct"/>
            <w:shd w:val="clear" w:color="auto" w:fill="auto"/>
          </w:tcPr>
          <w:p w:rsidR="009C3914" w:rsidRPr="00A4659F" w:rsidRDefault="009C3914" w:rsidP="00A4659F">
            <w:pPr>
              <w:pStyle w:val="TableText0"/>
              <w:jc w:val="right"/>
              <w:rPr>
                <w:color w:val="000000"/>
                <w:szCs w:val="20"/>
              </w:rPr>
            </w:pPr>
            <w:r w:rsidRPr="00A4659F">
              <w:rPr>
                <w:szCs w:val="20"/>
              </w:rPr>
              <w:t>-$</w:t>
            </w:r>
            <w:r w:rsidR="00FD0FC2">
              <w:rPr>
                <w:noProof/>
                <w:color w:val="000000"/>
                <w:szCs w:val="20"/>
                <w:highlight w:val="black"/>
              </w:rPr>
              <w:t>'''''''''''''''''''''</w:t>
            </w:r>
            <w:r w:rsidR="00804831">
              <w:rPr>
                <w:szCs w:val="20"/>
                <w:vertAlign w:val="superscript"/>
              </w:rPr>
              <w:t>4</w:t>
            </w:r>
          </w:p>
        </w:tc>
        <w:tc>
          <w:tcPr>
            <w:tcW w:w="647" w:type="pct"/>
            <w:shd w:val="clear" w:color="auto" w:fill="auto"/>
          </w:tcPr>
          <w:p w:rsidR="009C3914" w:rsidRPr="00A4659F" w:rsidRDefault="009C3914" w:rsidP="00A4659F">
            <w:pPr>
              <w:pStyle w:val="TableText0"/>
              <w:jc w:val="right"/>
              <w:rPr>
                <w:color w:val="000000"/>
                <w:szCs w:val="20"/>
              </w:rPr>
            </w:pPr>
            <w:r w:rsidRPr="00A4659F">
              <w:rPr>
                <w:szCs w:val="20"/>
              </w:rPr>
              <w:t>-$</w:t>
            </w:r>
            <w:r w:rsidR="00FD0FC2">
              <w:rPr>
                <w:noProof/>
                <w:color w:val="000000"/>
                <w:szCs w:val="20"/>
                <w:highlight w:val="black"/>
              </w:rPr>
              <w:t>''''''''''''''''''''''</w:t>
            </w:r>
            <w:r w:rsidR="00804831">
              <w:rPr>
                <w:szCs w:val="20"/>
                <w:vertAlign w:val="superscript"/>
              </w:rPr>
              <w:t>4</w:t>
            </w:r>
          </w:p>
        </w:tc>
        <w:tc>
          <w:tcPr>
            <w:tcW w:w="647" w:type="pct"/>
            <w:shd w:val="clear" w:color="auto" w:fill="auto"/>
          </w:tcPr>
          <w:p w:rsidR="009C3914" w:rsidRPr="00A4659F" w:rsidRDefault="009C3914" w:rsidP="00A4659F">
            <w:pPr>
              <w:pStyle w:val="TableText0"/>
              <w:jc w:val="right"/>
              <w:rPr>
                <w:color w:val="000000"/>
                <w:szCs w:val="20"/>
              </w:rPr>
            </w:pPr>
            <w:r w:rsidRPr="00A4659F">
              <w:rPr>
                <w:szCs w:val="20"/>
              </w:rPr>
              <w:t>-$</w:t>
            </w:r>
            <w:r w:rsidR="00FD0FC2">
              <w:rPr>
                <w:noProof/>
                <w:color w:val="000000"/>
                <w:szCs w:val="20"/>
                <w:highlight w:val="black"/>
              </w:rPr>
              <w:t>''''''''''''''''''''''</w:t>
            </w:r>
            <w:r w:rsidR="00804831">
              <w:rPr>
                <w:szCs w:val="20"/>
                <w:vertAlign w:val="superscript"/>
              </w:rPr>
              <w:t>4</w:t>
            </w:r>
          </w:p>
        </w:tc>
        <w:tc>
          <w:tcPr>
            <w:tcW w:w="647" w:type="pct"/>
            <w:shd w:val="clear" w:color="auto" w:fill="auto"/>
          </w:tcPr>
          <w:p w:rsidR="009C3914" w:rsidRPr="00A4659F" w:rsidRDefault="009C3914" w:rsidP="00A4659F">
            <w:pPr>
              <w:pStyle w:val="TableText0"/>
              <w:jc w:val="right"/>
              <w:rPr>
                <w:color w:val="000000"/>
                <w:szCs w:val="20"/>
              </w:rPr>
            </w:pPr>
            <w:r w:rsidRPr="00A4659F">
              <w:rPr>
                <w:szCs w:val="20"/>
              </w:rPr>
              <w:t>-$</w:t>
            </w:r>
            <w:r w:rsidR="00FD0FC2">
              <w:rPr>
                <w:noProof/>
                <w:color w:val="000000"/>
                <w:szCs w:val="20"/>
                <w:highlight w:val="black"/>
              </w:rPr>
              <w:t>'''''''''''''''''''''</w:t>
            </w:r>
            <w:r w:rsidR="00804831">
              <w:rPr>
                <w:szCs w:val="20"/>
                <w:vertAlign w:val="superscript"/>
              </w:rPr>
              <w:t>4</w:t>
            </w:r>
          </w:p>
        </w:tc>
        <w:tc>
          <w:tcPr>
            <w:tcW w:w="647" w:type="pct"/>
            <w:shd w:val="clear" w:color="auto" w:fill="auto"/>
          </w:tcPr>
          <w:p w:rsidR="009C3914" w:rsidRPr="00A4659F" w:rsidRDefault="009C3914" w:rsidP="00A4659F">
            <w:pPr>
              <w:pStyle w:val="TableText0"/>
              <w:jc w:val="right"/>
              <w:rPr>
                <w:color w:val="000000"/>
                <w:szCs w:val="20"/>
              </w:rPr>
            </w:pPr>
            <w:r w:rsidRPr="00A4659F">
              <w:rPr>
                <w:szCs w:val="20"/>
              </w:rPr>
              <w:t>-$</w:t>
            </w:r>
            <w:r w:rsidR="00FD0FC2">
              <w:rPr>
                <w:noProof/>
                <w:color w:val="000000"/>
                <w:szCs w:val="20"/>
                <w:highlight w:val="black"/>
              </w:rPr>
              <w:t>'''''''''''''''''''''''</w:t>
            </w:r>
            <w:r w:rsidR="00804831">
              <w:rPr>
                <w:szCs w:val="20"/>
                <w:vertAlign w:val="superscript"/>
              </w:rPr>
              <w:t>4</w:t>
            </w:r>
          </w:p>
        </w:tc>
        <w:tc>
          <w:tcPr>
            <w:tcW w:w="647" w:type="pct"/>
          </w:tcPr>
          <w:p w:rsidR="009C3914" w:rsidRPr="00A4659F" w:rsidRDefault="009C3914" w:rsidP="00A4659F">
            <w:pPr>
              <w:pStyle w:val="TableText0"/>
              <w:jc w:val="right"/>
              <w:rPr>
                <w:color w:val="000000"/>
                <w:szCs w:val="20"/>
              </w:rPr>
            </w:pPr>
            <w:r w:rsidRPr="00A4659F">
              <w:rPr>
                <w:szCs w:val="20"/>
              </w:rPr>
              <w:t>-$</w:t>
            </w:r>
            <w:r w:rsidR="00FD0FC2">
              <w:rPr>
                <w:noProof/>
                <w:color w:val="000000"/>
                <w:szCs w:val="20"/>
                <w:highlight w:val="black"/>
              </w:rPr>
              <w:t>'''''''''''''''''''''''</w:t>
            </w:r>
            <w:r w:rsidR="00804831">
              <w:rPr>
                <w:szCs w:val="20"/>
                <w:vertAlign w:val="superscript"/>
              </w:rPr>
              <w:t>4</w:t>
            </w:r>
          </w:p>
        </w:tc>
      </w:tr>
    </w:tbl>
    <w:p w:rsidR="00C7409E" w:rsidRPr="00A4659F" w:rsidRDefault="00C7409E" w:rsidP="00F37ECA">
      <w:pPr>
        <w:pStyle w:val="TableFigureFooter"/>
        <w:keepNext/>
        <w:jc w:val="left"/>
      </w:pPr>
      <w:r w:rsidRPr="00A4659F">
        <w:rPr>
          <w:vertAlign w:val="superscript"/>
        </w:rPr>
        <w:t>a</w:t>
      </w:r>
      <w:r w:rsidR="00EE31A2" w:rsidRPr="00A4659F">
        <w:t xml:space="preserve"> </w:t>
      </w:r>
      <w:r w:rsidRPr="00A4659F">
        <w:t xml:space="preserve">Assuming </w:t>
      </w:r>
      <w:r w:rsidR="00BC19D2" w:rsidRPr="00A4659F">
        <w:t>4</w:t>
      </w:r>
      <w:r w:rsidRPr="00A4659F">
        <w:t xml:space="preserve"> </w:t>
      </w:r>
      <w:r w:rsidR="00BC19D2" w:rsidRPr="00A4659F">
        <w:t xml:space="preserve">scripts </w:t>
      </w:r>
      <w:r w:rsidRPr="00A4659F">
        <w:t>per</w:t>
      </w:r>
      <w:r w:rsidR="00977BF3" w:rsidRPr="00A4659F">
        <w:t xml:space="preserve"> patient per</w:t>
      </w:r>
      <w:r w:rsidRPr="00A4659F">
        <w:t xml:space="preserve"> year as estimated by the submission.</w:t>
      </w:r>
    </w:p>
    <w:p w:rsidR="00BB7EC3" w:rsidRDefault="00C7409E" w:rsidP="00F37ECA">
      <w:pPr>
        <w:pStyle w:val="TableFigureFooter"/>
        <w:keepNext/>
      </w:pPr>
      <w:r w:rsidRPr="00A4659F">
        <w:t xml:space="preserve">Source: </w:t>
      </w:r>
      <w:r w:rsidR="00BC19D2" w:rsidRPr="00A4659F">
        <w:t>table 4.9, p51 of the submission</w:t>
      </w:r>
      <w:r w:rsidR="008C197D" w:rsidRPr="00A4659F">
        <w:t xml:space="preserve"> main body</w:t>
      </w:r>
      <w:r w:rsidRPr="00A4659F">
        <w:t>.</w:t>
      </w:r>
    </w:p>
    <w:p w:rsidR="00F07F7F" w:rsidRPr="00FD0FC2" w:rsidRDefault="00F07F7F" w:rsidP="00F37ECA">
      <w:pPr>
        <w:pStyle w:val="TableFigureFooter"/>
        <w:keepNext/>
        <w:rPr>
          <w:i/>
        </w:rPr>
      </w:pPr>
      <w:r w:rsidRPr="00FD0FC2">
        <w:rPr>
          <w:i/>
        </w:rPr>
        <w:t>The redacted values correspond to the following ranges:</w:t>
      </w:r>
    </w:p>
    <w:p w:rsidR="00F07F7F" w:rsidRPr="00FD0FC2" w:rsidRDefault="00F07F7F" w:rsidP="00F37ECA">
      <w:pPr>
        <w:pStyle w:val="TableFigureFooter"/>
        <w:keepNext/>
        <w:rPr>
          <w:i/>
        </w:rPr>
      </w:pPr>
      <w:r w:rsidRPr="00FD0FC2">
        <w:rPr>
          <w:i/>
          <w:vertAlign w:val="superscript"/>
        </w:rPr>
        <w:t>1</w:t>
      </w:r>
      <w:r w:rsidRPr="00FD0FC2">
        <w:rPr>
          <w:i/>
        </w:rPr>
        <w:t>5,000 to &lt;10,000</w:t>
      </w:r>
    </w:p>
    <w:p w:rsidR="00F07F7F" w:rsidRPr="00FD0FC2" w:rsidRDefault="00F07F7F" w:rsidP="00F37ECA">
      <w:pPr>
        <w:pStyle w:val="TableFigureFooter"/>
        <w:keepNext/>
        <w:rPr>
          <w:i/>
        </w:rPr>
      </w:pPr>
      <w:r w:rsidRPr="00FD0FC2">
        <w:rPr>
          <w:i/>
          <w:vertAlign w:val="superscript"/>
        </w:rPr>
        <w:t>2</w:t>
      </w:r>
      <w:r w:rsidRPr="00FD0FC2">
        <w:rPr>
          <w:i/>
        </w:rPr>
        <w:t>500 to &lt;5,000</w:t>
      </w:r>
    </w:p>
    <w:p w:rsidR="00F07F7F" w:rsidRPr="00FD0FC2" w:rsidRDefault="00F07F7F" w:rsidP="00F37ECA">
      <w:pPr>
        <w:pStyle w:val="TableFigureFooter"/>
        <w:keepNext/>
        <w:rPr>
          <w:i/>
        </w:rPr>
      </w:pPr>
      <w:r w:rsidRPr="00FD0FC2">
        <w:rPr>
          <w:i/>
          <w:vertAlign w:val="superscript"/>
        </w:rPr>
        <w:t>3</w:t>
      </w:r>
      <w:r w:rsidRPr="00FD0FC2">
        <w:rPr>
          <w:i/>
        </w:rPr>
        <w:t>$0 to &lt;$10 million</w:t>
      </w:r>
    </w:p>
    <w:p w:rsidR="00804831" w:rsidRPr="00FD0FC2" w:rsidRDefault="00804831" w:rsidP="00F37ECA">
      <w:pPr>
        <w:pStyle w:val="TableFigureFooter"/>
        <w:keepNext/>
        <w:rPr>
          <w:i/>
        </w:rPr>
      </w:pPr>
      <w:r w:rsidRPr="00FD0FC2">
        <w:rPr>
          <w:i/>
          <w:vertAlign w:val="superscript"/>
        </w:rPr>
        <w:t>4</w:t>
      </w:r>
      <w:r w:rsidRPr="00FD0FC2">
        <w:rPr>
          <w:i/>
        </w:rPr>
        <w:t>net cost saving</w:t>
      </w:r>
    </w:p>
    <w:p w:rsidR="00A866C8" w:rsidRPr="00A4659F" w:rsidRDefault="00A866C8" w:rsidP="00BB066F">
      <w:pPr>
        <w:pStyle w:val="3Bodytext"/>
        <w:jc w:val="both"/>
      </w:pPr>
      <w:r w:rsidRPr="00A4659F">
        <w:t xml:space="preserve">This estimate assumes graduated uptake to allow time for clinician education, with 70% Year 1 to 90% from Year 3 onwards. </w:t>
      </w:r>
    </w:p>
    <w:p w:rsidR="00A866C8" w:rsidRPr="00A4659F" w:rsidRDefault="00757458" w:rsidP="00BB066F">
      <w:pPr>
        <w:pStyle w:val="3Bodytext"/>
        <w:jc w:val="both"/>
      </w:pPr>
      <w:r w:rsidRPr="00A4659F">
        <w:t xml:space="preserve">A </w:t>
      </w:r>
      <w:r w:rsidR="00A866C8" w:rsidRPr="00A4659F">
        <w:t>DUSC review undertaken in February 2020 noted</w:t>
      </w:r>
      <w:r w:rsidR="007A6BED" w:rsidRPr="00A4659F">
        <w:t xml:space="preserve"> that</w:t>
      </w:r>
      <w:r w:rsidR="00A866C8" w:rsidRPr="00A4659F">
        <w:t xml:space="preserve"> the number of patients initiating on testosterone ha</w:t>
      </w:r>
      <w:r w:rsidR="007A6BED" w:rsidRPr="00A4659F">
        <w:t>s</w:t>
      </w:r>
      <w:r w:rsidR="00A866C8" w:rsidRPr="00A4659F">
        <w:t xml:space="preserve"> stabilised. Based on this, the sponsor applie</w:t>
      </w:r>
      <w:r w:rsidR="00214D55" w:rsidRPr="00A4659F">
        <w:t>d</w:t>
      </w:r>
      <w:r w:rsidR="00A866C8" w:rsidRPr="00A4659F">
        <w:t xml:space="preserve"> only general population growth o</w:t>
      </w:r>
      <w:r w:rsidR="00214D55" w:rsidRPr="00A4659F">
        <w:t>ver</w:t>
      </w:r>
      <w:r w:rsidR="00A866C8" w:rsidRPr="00A4659F">
        <w:t xml:space="preserve"> the forward estimates</w:t>
      </w:r>
      <w:r w:rsidR="00214D55" w:rsidRPr="00A4659F">
        <w:t xml:space="preserve"> of </w:t>
      </w:r>
      <w:r w:rsidR="005901BB" w:rsidRPr="00A4659F">
        <w:t>1.7</w:t>
      </w:r>
      <w:r w:rsidR="00214D55" w:rsidRPr="00A4659F">
        <w:t>%</w:t>
      </w:r>
      <w:r w:rsidR="00A866C8" w:rsidRPr="00A4659F">
        <w:t>.</w:t>
      </w:r>
    </w:p>
    <w:p w:rsidR="007A6BED" w:rsidRPr="00A4659F" w:rsidRDefault="007A6BED" w:rsidP="00BB066F">
      <w:pPr>
        <w:pStyle w:val="3Bodytext"/>
        <w:jc w:val="both"/>
      </w:pPr>
      <w:r w:rsidRPr="00A4659F">
        <w:t>Notably, the submission forecasts that the introduction of the new application site will cause market displacement of other testosterone products, indicating that the market share for AndroForte 5 is expected to rise.</w:t>
      </w:r>
      <w:r w:rsidR="00225772" w:rsidRPr="00A4659F">
        <w:t xml:space="preserve"> The sponsor considers that scrotal application provides safety and efficacy advantages over other products from the administration of a smaller volume of product, enhanced absorption, and less risk of accidental exposure of the patient’s partner and/or children via passive transfer.</w:t>
      </w:r>
    </w:p>
    <w:p w:rsidR="007A6BED" w:rsidRPr="00A4659F" w:rsidRDefault="003C1911" w:rsidP="00564123">
      <w:pPr>
        <w:pStyle w:val="3Bodytext"/>
        <w:keepNext/>
        <w:keepLines/>
        <w:numPr>
          <w:ilvl w:val="0"/>
          <w:numId w:val="0"/>
        </w:numPr>
        <w:spacing w:after="0"/>
      </w:pPr>
      <w:r>
        <w:rPr>
          <w:rFonts w:ascii="Arial Narrow" w:hAnsi="Arial Narrow" w:cs="Calibri"/>
          <w:b/>
          <w:bCs/>
          <w:color w:val="000000"/>
          <w:sz w:val="20"/>
          <w:szCs w:val="20"/>
        </w:rPr>
        <w:lastRenderedPageBreak/>
        <w:t>Table 4</w:t>
      </w:r>
      <w:r w:rsidR="007A6BED" w:rsidRPr="00A4659F">
        <w:rPr>
          <w:rFonts w:ascii="Arial Narrow" w:hAnsi="Arial Narrow" w:cs="Calibri"/>
          <w:b/>
          <w:bCs/>
          <w:color w:val="000000"/>
          <w:sz w:val="20"/>
          <w:szCs w:val="20"/>
        </w:rPr>
        <w:t xml:space="preserve"> – Estimated changes to the testosterone market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18"/>
        <w:gridCol w:w="1082"/>
        <w:gridCol w:w="1084"/>
        <w:gridCol w:w="1084"/>
        <w:gridCol w:w="1084"/>
        <w:gridCol w:w="1084"/>
        <w:gridCol w:w="1080"/>
      </w:tblGrid>
      <w:tr w:rsidR="007A6BED" w:rsidRPr="00A4659F" w:rsidTr="0022730C">
        <w:trPr>
          <w:trHeight w:val="239"/>
        </w:trPr>
        <w:tc>
          <w:tcPr>
            <w:tcW w:w="1397" w:type="pct"/>
            <w:shd w:val="clear" w:color="auto" w:fill="BEBEBE"/>
          </w:tcPr>
          <w:p w:rsidR="007A6BED" w:rsidRPr="00A4659F" w:rsidRDefault="007A6BED" w:rsidP="00564123">
            <w:pPr>
              <w:pStyle w:val="TableParagraph"/>
              <w:keepNext/>
              <w:keepLines/>
              <w:kinsoku w:val="0"/>
              <w:overflowPunct w:val="0"/>
              <w:spacing w:before="3" w:line="216" w:lineRule="exact"/>
              <w:ind w:left="110"/>
              <w:jc w:val="left"/>
              <w:rPr>
                <w:rFonts w:ascii="Arial Narrow" w:hAnsi="Arial Narrow"/>
                <w:b/>
                <w:bCs/>
                <w:sz w:val="20"/>
                <w:szCs w:val="20"/>
              </w:rPr>
            </w:pPr>
            <w:r w:rsidRPr="00A4659F">
              <w:rPr>
                <w:rFonts w:ascii="Arial Narrow" w:hAnsi="Arial Narrow"/>
                <w:b/>
                <w:bCs/>
                <w:sz w:val="20"/>
                <w:szCs w:val="20"/>
              </w:rPr>
              <w:t>PBS utilisation</w:t>
            </w:r>
          </w:p>
        </w:tc>
        <w:tc>
          <w:tcPr>
            <w:tcW w:w="600" w:type="pct"/>
            <w:shd w:val="clear" w:color="auto" w:fill="BEBEBE"/>
          </w:tcPr>
          <w:p w:rsidR="007A6BED" w:rsidRPr="00A4659F" w:rsidRDefault="007A6BED" w:rsidP="00564123">
            <w:pPr>
              <w:pStyle w:val="TableParagraph"/>
              <w:keepNext/>
              <w:keepLines/>
              <w:kinsoku w:val="0"/>
              <w:overflowPunct w:val="0"/>
              <w:spacing w:before="3" w:line="216" w:lineRule="exact"/>
              <w:ind w:left="147" w:right="135"/>
              <w:rPr>
                <w:rFonts w:ascii="Arial Narrow" w:hAnsi="Arial Narrow"/>
                <w:b/>
                <w:bCs/>
                <w:sz w:val="20"/>
                <w:szCs w:val="20"/>
              </w:rPr>
            </w:pPr>
            <w:r w:rsidRPr="00A4659F">
              <w:rPr>
                <w:rFonts w:ascii="Arial Narrow" w:hAnsi="Arial Narrow"/>
                <w:b/>
                <w:bCs/>
                <w:sz w:val="20"/>
                <w:szCs w:val="20"/>
              </w:rPr>
              <w:t>2021</w:t>
            </w:r>
          </w:p>
        </w:tc>
        <w:tc>
          <w:tcPr>
            <w:tcW w:w="601" w:type="pct"/>
            <w:shd w:val="clear" w:color="auto" w:fill="BEBEBE"/>
          </w:tcPr>
          <w:p w:rsidR="007A6BED" w:rsidRPr="00A4659F" w:rsidRDefault="007A6BED" w:rsidP="00564123">
            <w:pPr>
              <w:pStyle w:val="TableParagraph"/>
              <w:keepNext/>
              <w:keepLines/>
              <w:kinsoku w:val="0"/>
              <w:overflowPunct w:val="0"/>
              <w:spacing w:before="3" w:line="216" w:lineRule="exact"/>
              <w:ind w:right="130"/>
              <w:rPr>
                <w:rFonts w:ascii="Arial Narrow" w:hAnsi="Arial Narrow"/>
                <w:b/>
                <w:bCs/>
                <w:sz w:val="20"/>
                <w:szCs w:val="20"/>
              </w:rPr>
            </w:pPr>
            <w:r w:rsidRPr="00A4659F">
              <w:rPr>
                <w:rFonts w:ascii="Arial Narrow" w:hAnsi="Arial Narrow"/>
                <w:b/>
                <w:bCs/>
                <w:sz w:val="20"/>
                <w:szCs w:val="20"/>
              </w:rPr>
              <w:t>2022</w:t>
            </w:r>
          </w:p>
        </w:tc>
        <w:tc>
          <w:tcPr>
            <w:tcW w:w="601" w:type="pct"/>
            <w:shd w:val="clear" w:color="auto" w:fill="BEBEBE"/>
          </w:tcPr>
          <w:p w:rsidR="007A6BED" w:rsidRPr="00A4659F" w:rsidRDefault="007A6BED" w:rsidP="00564123">
            <w:pPr>
              <w:pStyle w:val="TableParagraph"/>
              <w:keepNext/>
              <w:keepLines/>
              <w:kinsoku w:val="0"/>
              <w:overflowPunct w:val="0"/>
              <w:spacing w:before="3" w:line="216" w:lineRule="exact"/>
              <w:ind w:right="130"/>
              <w:rPr>
                <w:rFonts w:ascii="Arial Narrow" w:hAnsi="Arial Narrow"/>
                <w:b/>
                <w:bCs/>
                <w:sz w:val="20"/>
                <w:szCs w:val="20"/>
              </w:rPr>
            </w:pPr>
            <w:r w:rsidRPr="00A4659F">
              <w:rPr>
                <w:rFonts w:ascii="Arial Narrow" w:hAnsi="Arial Narrow"/>
                <w:b/>
                <w:bCs/>
                <w:sz w:val="20"/>
                <w:szCs w:val="20"/>
              </w:rPr>
              <w:t>2023</w:t>
            </w:r>
          </w:p>
        </w:tc>
        <w:tc>
          <w:tcPr>
            <w:tcW w:w="601" w:type="pct"/>
            <w:shd w:val="clear" w:color="auto" w:fill="BEBEBE"/>
          </w:tcPr>
          <w:p w:rsidR="007A6BED" w:rsidRPr="00A4659F" w:rsidRDefault="007A6BED" w:rsidP="00564123">
            <w:pPr>
              <w:pStyle w:val="TableParagraph"/>
              <w:keepNext/>
              <w:keepLines/>
              <w:kinsoku w:val="0"/>
              <w:overflowPunct w:val="0"/>
              <w:spacing w:before="3" w:line="216" w:lineRule="exact"/>
              <w:ind w:right="134"/>
              <w:rPr>
                <w:rFonts w:ascii="Arial Narrow" w:hAnsi="Arial Narrow"/>
                <w:b/>
                <w:bCs/>
                <w:sz w:val="20"/>
                <w:szCs w:val="20"/>
              </w:rPr>
            </w:pPr>
            <w:r w:rsidRPr="00A4659F">
              <w:rPr>
                <w:rFonts w:ascii="Arial Narrow" w:hAnsi="Arial Narrow"/>
                <w:b/>
                <w:bCs/>
                <w:sz w:val="20"/>
                <w:szCs w:val="20"/>
              </w:rPr>
              <w:t>2024</w:t>
            </w:r>
          </w:p>
        </w:tc>
        <w:tc>
          <w:tcPr>
            <w:tcW w:w="601" w:type="pct"/>
            <w:shd w:val="clear" w:color="auto" w:fill="BEBEBE"/>
          </w:tcPr>
          <w:p w:rsidR="007A6BED" w:rsidRPr="00A4659F" w:rsidRDefault="007A6BED" w:rsidP="00564123">
            <w:pPr>
              <w:pStyle w:val="TableParagraph"/>
              <w:keepNext/>
              <w:keepLines/>
              <w:kinsoku w:val="0"/>
              <w:overflowPunct w:val="0"/>
              <w:spacing w:before="3" w:line="216" w:lineRule="exact"/>
              <w:ind w:right="136"/>
              <w:rPr>
                <w:rFonts w:ascii="Arial Narrow" w:hAnsi="Arial Narrow"/>
                <w:b/>
                <w:bCs/>
                <w:sz w:val="20"/>
                <w:szCs w:val="20"/>
              </w:rPr>
            </w:pPr>
            <w:r w:rsidRPr="00A4659F">
              <w:rPr>
                <w:rFonts w:ascii="Arial Narrow" w:hAnsi="Arial Narrow"/>
                <w:b/>
                <w:bCs/>
                <w:sz w:val="20"/>
                <w:szCs w:val="20"/>
              </w:rPr>
              <w:t>2025</w:t>
            </w:r>
          </w:p>
        </w:tc>
        <w:tc>
          <w:tcPr>
            <w:tcW w:w="601" w:type="pct"/>
            <w:shd w:val="clear" w:color="auto" w:fill="BEBEBE"/>
          </w:tcPr>
          <w:p w:rsidR="007A6BED" w:rsidRPr="00A4659F" w:rsidRDefault="007A6BED" w:rsidP="00564123">
            <w:pPr>
              <w:pStyle w:val="TableParagraph"/>
              <w:keepNext/>
              <w:keepLines/>
              <w:kinsoku w:val="0"/>
              <w:overflowPunct w:val="0"/>
              <w:spacing w:before="3" w:line="216" w:lineRule="exact"/>
              <w:ind w:right="136"/>
              <w:rPr>
                <w:rFonts w:ascii="Arial Narrow" w:hAnsi="Arial Narrow"/>
                <w:b/>
                <w:bCs/>
                <w:sz w:val="20"/>
                <w:szCs w:val="20"/>
              </w:rPr>
            </w:pPr>
            <w:r w:rsidRPr="00A4659F">
              <w:rPr>
                <w:rFonts w:ascii="Arial Narrow" w:hAnsi="Arial Narrow"/>
                <w:b/>
                <w:bCs/>
                <w:sz w:val="20"/>
                <w:szCs w:val="20"/>
              </w:rPr>
              <w:t>2026</w:t>
            </w:r>
          </w:p>
        </w:tc>
      </w:tr>
      <w:tr w:rsidR="007A6BED" w:rsidRPr="00A4659F" w:rsidTr="0022730C">
        <w:trPr>
          <w:trHeight w:val="256"/>
        </w:trPr>
        <w:tc>
          <w:tcPr>
            <w:tcW w:w="5000" w:type="pct"/>
            <w:gridSpan w:val="7"/>
            <w:shd w:val="clear" w:color="auto" w:fill="D9D9D9"/>
          </w:tcPr>
          <w:p w:rsidR="007A6BED" w:rsidRPr="00A4659F" w:rsidRDefault="007A6BED" w:rsidP="00564123">
            <w:pPr>
              <w:pStyle w:val="TableParagraph"/>
              <w:keepNext/>
              <w:keepLines/>
              <w:kinsoku w:val="0"/>
              <w:overflowPunct w:val="0"/>
              <w:spacing w:line="218" w:lineRule="exact"/>
              <w:ind w:left="4971"/>
              <w:jc w:val="left"/>
              <w:rPr>
                <w:rFonts w:ascii="Arial Narrow" w:hAnsi="Arial Narrow"/>
                <w:b/>
                <w:bCs/>
                <w:sz w:val="20"/>
                <w:szCs w:val="20"/>
              </w:rPr>
            </w:pPr>
            <w:r w:rsidRPr="00A4659F">
              <w:rPr>
                <w:rFonts w:ascii="Arial Narrow" w:hAnsi="Arial Narrow"/>
                <w:b/>
                <w:bCs/>
                <w:sz w:val="20"/>
                <w:szCs w:val="20"/>
              </w:rPr>
              <w:t>Estimated market displacement</w:t>
            </w:r>
          </w:p>
        </w:tc>
      </w:tr>
      <w:tr w:rsidR="007A6BED" w:rsidRPr="00A4659F" w:rsidTr="0022730C">
        <w:trPr>
          <w:trHeight w:val="254"/>
        </w:trPr>
        <w:tc>
          <w:tcPr>
            <w:tcW w:w="1397" w:type="pct"/>
          </w:tcPr>
          <w:p w:rsidR="007A6BED" w:rsidRPr="00A4659F" w:rsidRDefault="007A6BED" w:rsidP="00564123">
            <w:pPr>
              <w:pStyle w:val="TableParagraph"/>
              <w:keepNext/>
              <w:keepLines/>
              <w:kinsoku w:val="0"/>
              <w:overflowPunct w:val="0"/>
              <w:spacing w:line="216" w:lineRule="exact"/>
              <w:ind w:left="110"/>
              <w:jc w:val="left"/>
              <w:rPr>
                <w:rFonts w:ascii="Arial Narrow" w:hAnsi="Arial Narrow"/>
                <w:sz w:val="20"/>
                <w:szCs w:val="20"/>
              </w:rPr>
            </w:pPr>
            <w:r w:rsidRPr="00A4659F">
              <w:rPr>
                <w:rFonts w:ascii="Arial Narrow" w:hAnsi="Arial Narrow"/>
                <w:sz w:val="20"/>
                <w:szCs w:val="20"/>
              </w:rPr>
              <w:t>ANDROFORTE® 5 (current DPMQ)</w:t>
            </w:r>
          </w:p>
        </w:tc>
        <w:tc>
          <w:tcPr>
            <w:tcW w:w="600" w:type="pct"/>
          </w:tcPr>
          <w:p w:rsidR="007A6BED" w:rsidRPr="00A4659F" w:rsidRDefault="007A6BED" w:rsidP="00564123">
            <w:pPr>
              <w:pStyle w:val="TableParagraph"/>
              <w:keepNext/>
              <w:keepLines/>
              <w:kinsoku w:val="0"/>
              <w:overflowPunct w:val="0"/>
              <w:spacing w:line="216" w:lineRule="exact"/>
              <w:ind w:left="147" w:right="136"/>
              <w:rPr>
                <w:rFonts w:ascii="Arial Narrow" w:hAnsi="Arial Narrow"/>
                <w:sz w:val="20"/>
                <w:szCs w:val="20"/>
              </w:rPr>
            </w:pPr>
            <w:r w:rsidRPr="00A4659F">
              <w:rPr>
                <w:rFonts w:ascii="Arial Narrow" w:hAnsi="Arial Narrow"/>
                <w:sz w:val="20"/>
                <w:szCs w:val="20"/>
              </w:rPr>
              <w:t>100%</w:t>
            </w:r>
          </w:p>
        </w:tc>
        <w:tc>
          <w:tcPr>
            <w:tcW w:w="601" w:type="pct"/>
          </w:tcPr>
          <w:p w:rsidR="007A6BED" w:rsidRPr="00A4659F" w:rsidRDefault="007A6BED" w:rsidP="00564123">
            <w:pPr>
              <w:pStyle w:val="TableParagraph"/>
              <w:keepNext/>
              <w:keepLines/>
              <w:kinsoku w:val="0"/>
              <w:overflowPunct w:val="0"/>
              <w:spacing w:line="216" w:lineRule="exact"/>
              <w:ind w:right="131"/>
              <w:rPr>
                <w:rFonts w:ascii="Arial Narrow" w:hAnsi="Arial Narrow"/>
                <w:sz w:val="20"/>
                <w:szCs w:val="20"/>
              </w:rPr>
            </w:pPr>
            <w:r w:rsidRPr="00A4659F">
              <w:rPr>
                <w:rFonts w:ascii="Arial Narrow" w:hAnsi="Arial Narrow"/>
                <w:sz w:val="20"/>
                <w:szCs w:val="20"/>
              </w:rPr>
              <w:t>100%</w:t>
            </w:r>
          </w:p>
        </w:tc>
        <w:tc>
          <w:tcPr>
            <w:tcW w:w="601" w:type="pct"/>
          </w:tcPr>
          <w:p w:rsidR="007A6BED" w:rsidRPr="00A4659F" w:rsidRDefault="007A6BED" w:rsidP="00564123">
            <w:pPr>
              <w:pStyle w:val="TableParagraph"/>
              <w:keepNext/>
              <w:keepLines/>
              <w:kinsoku w:val="0"/>
              <w:overflowPunct w:val="0"/>
              <w:spacing w:line="216" w:lineRule="exact"/>
              <w:ind w:right="131"/>
              <w:rPr>
                <w:rFonts w:ascii="Arial Narrow" w:hAnsi="Arial Narrow"/>
                <w:sz w:val="20"/>
                <w:szCs w:val="20"/>
              </w:rPr>
            </w:pPr>
            <w:r w:rsidRPr="00A4659F">
              <w:rPr>
                <w:rFonts w:ascii="Arial Narrow" w:hAnsi="Arial Narrow"/>
                <w:sz w:val="20"/>
                <w:szCs w:val="20"/>
              </w:rPr>
              <w:t>100%</w:t>
            </w:r>
          </w:p>
        </w:tc>
        <w:tc>
          <w:tcPr>
            <w:tcW w:w="601" w:type="pct"/>
          </w:tcPr>
          <w:p w:rsidR="007A6BED" w:rsidRPr="00A4659F" w:rsidRDefault="007A6BED" w:rsidP="00564123">
            <w:pPr>
              <w:pStyle w:val="TableParagraph"/>
              <w:keepNext/>
              <w:keepLines/>
              <w:kinsoku w:val="0"/>
              <w:overflowPunct w:val="0"/>
              <w:spacing w:line="216" w:lineRule="exact"/>
              <w:ind w:right="135"/>
              <w:rPr>
                <w:rFonts w:ascii="Arial Narrow" w:hAnsi="Arial Narrow"/>
                <w:sz w:val="20"/>
                <w:szCs w:val="20"/>
              </w:rPr>
            </w:pPr>
            <w:r w:rsidRPr="00A4659F">
              <w:rPr>
                <w:rFonts w:ascii="Arial Narrow" w:hAnsi="Arial Narrow"/>
                <w:sz w:val="20"/>
                <w:szCs w:val="20"/>
              </w:rPr>
              <w:t>100%</w:t>
            </w:r>
          </w:p>
        </w:tc>
        <w:tc>
          <w:tcPr>
            <w:tcW w:w="601" w:type="pct"/>
          </w:tcPr>
          <w:p w:rsidR="007A6BED" w:rsidRPr="00A4659F" w:rsidRDefault="007A6BED" w:rsidP="00564123">
            <w:pPr>
              <w:pStyle w:val="TableParagraph"/>
              <w:keepNext/>
              <w:keepLines/>
              <w:kinsoku w:val="0"/>
              <w:overflowPunct w:val="0"/>
              <w:spacing w:line="216" w:lineRule="exact"/>
              <w:ind w:right="137"/>
              <w:rPr>
                <w:rFonts w:ascii="Arial Narrow" w:hAnsi="Arial Narrow"/>
                <w:sz w:val="20"/>
                <w:szCs w:val="20"/>
              </w:rPr>
            </w:pPr>
            <w:r w:rsidRPr="00A4659F">
              <w:rPr>
                <w:rFonts w:ascii="Arial Narrow" w:hAnsi="Arial Narrow"/>
                <w:sz w:val="20"/>
                <w:szCs w:val="20"/>
              </w:rPr>
              <w:t>100%</w:t>
            </w:r>
          </w:p>
        </w:tc>
        <w:tc>
          <w:tcPr>
            <w:tcW w:w="601" w:type="pct"/>
          </w:tcPr>
          <w:p w:rsidR="007A6BED" w:rsidRPr="00A4659F" w:rsidRDefault="007A6BED" w:rsidP="00564123">
            <w:pPr>
              <w:pStyle w:val="TableParagraph"/>
              <w:keepNext/>
              <w:keepLines/>
              <w:kinsoku w:val="0"/>
              <w:overflowPunct w:val="0"/>
              <w:spacing w:line="216" w:lineRule="exact"/>
              <w:ind w:right="137"/>
              <w:rPr>
                <w:rFonts w:ascii="Arial Narrow" w:hAnsi="Arial Narrow"/>
                <w:sz w:val="20"/>
                <w:szCs w:val="20"/>
              </w:rPr>
            </w:pPr>
            <w:r w:rsidRPr="00A4659F">
              <w:rPr>
                <w:rFonts w:ascii="Arial Narrow" w:hAnsi="Arial Narrow"/>
                <w:sz w:val="20"/>
                <w:szCs w:val="20"/>
              </w:rPr>
              <w:t>100%</w:t>
            </w:r>
          </w:p>
        </w:tc>
      </w:tr>
      <w:tr w:rsidR="007A6BED" w:rsidRPr="00A4659F" w:rsidTr="0022730C">
        <w:trPr>
          <w:trHeight w:val="256"/>
        </w:trPr>
        <w:tc>
          <w:tcPr>
            <w:tcW w:w="1397" w:type="pct"/>
          </w:tcPr>
          <w:p w:rsidR="007A6BED" w:rsidRPr="00A4659F" w:rsidRDefault="007A6BED" w:rsidP="00564123">
            <w:pPr>
              <w:pStyle w:val="TableParagraph"/>
              <w:keepNext/>
              <w:keepLines/>
              <w:kinsoku w:val="0"/>
              <w:overflowPunct w:val="0"/>
              <w:spacing w:line="218" w:lineRule="exact"/>
              <w:ind w:left="110"/>
              <w:jc w:val="left"/>
              <w:rPr>
                <w:rFonts w:ascii="Arial Narrow" w:hAnsi="Arial Narrow"/>
                <w:sz w:val="20"/>
                <w:szCs w:val="20"/>
              </w:rPr>
            </w:pPr>
            <w:r w:rsidRPr="00A4659F">
              <w:rPr>
                <w:rFonts w:ascii="Arial Narrow" w:hAnsi="Arial Narrow"/>
                <w:sz w:val="20"/>
                <w:szCs w:val="20"/>
              </w:rPr>
              <w:t>Reandron 1000</w:t>
            </w:r>
          </w:p>
        </w:tc>
        <w:tc>
          <w:tcPr>
            <w:tcW w:w="600" w:type="pct"/>
          </w:tcPr>
          <w:p w:rsidR="007A6BED" w:rsidRPr="00A4659F" w:rsidRDefault="007A6BED" w:rsidP="00564123">
            <w:pPr>
              <w:pStyle w:val="TableParagraph"/>
              <w:keepNext/>
              <w:keepLines/>
              <w:kinsoku w:val="0"/>
              <w:overflowPunct w:val="0"/>
              <w:spacing w:line="218" w:lineRule="exact"/>
              <w:ind w:left="147" w:right="136"/>
              <w:rPr>
                <w:rFonts w:ascii="Arial Narrow" w:hAnsi="Arial Narrow"/>
                <w:sz w:val="20"/>
                <w:szCs w:val="20"/>
              </w:rPr>
            </w:pPr>
            <w:r w:rsidRPr="00A4659F">
              <w:rPr>
                <w:rFonts w:ascii="Arial Narrow" w:hAnsi="Arial Narrow"/>
                <w:sz w:val="20"/>
                <w:szCs w:val="20"/>
              </w:rPr>
              <w:t>15%</w:t>
            </w:r>
          </w:p>
        </w:tc>
        <w:tc>
          <w:tcPr>
            <w:tcW w:w="601" w:type="pct"/>
          </w:tcPr>
          <w:p w:rsidR="007A6BED" w:rsidRPr="00A4659F" w:rsidRDefault="007A6BED" w:rsidP="00564123">
            <w:pPr>
              <w:pStyle w:val="TableParagraph"/>
              <w:keepNext/>
              <w:keepLines/>
              <w:kinsoku w:val="0"/>
              <w:overflowPunct w:val="0"/>
              <w:spacing w:line="218" w:lineRule="exact"/>
              <w:ind w:right="131"/>
              <w:rPr>
                <w:rFonts w:ascii="Arial Narrow" w:hAnsi="Arial Narrow"/>
                <w:sz w:val="20"/>
                <w:szCs w:val="20"/>
              </w:rPr>
            </w:pPr>
            <w:r w:rsidRPr="00A4659F">
              <w:rPr>
                <w:rFonts w:ascii="Arial Narrow" w:hAnsi="Arial Narrow"/>
                <w:sz w:val="20"/>
                <w:szCs w:val="20"/>
              </w:rPr>
              <w:t>20%</w:t>
            </w:r>
          </w:p>
        </w:tc>
        <w:tc>
          <w:tcPr>
            <w:tcW w:w="601" w:type="pct"/>
          </w:tcPr>
          <w:p w:rsidR="007A6BED" w:rsidRPr="00A4659F" w:rsidRDefault="007A6BED" w:rsidP="00564123">
            <w:pPr>
              <w:pStyle w:val="TableParagraph"/>
              <w:keepNext/>
              <w:keepLines/>
              <w:kinsoku w:val="0"/>
              <w:overflowPunct w:val="0"/>
              <w:spacing w:line="218" w:lineRule="exact"/>
              <w:ind w:right="131"/>
              <w:rPr>
                <w:rFonts w:ascii="Arial Narrow" w:hAnsi="Arial Narrow"/>
                <w:sz w:val="20"/>
                <w:szCs w:val="20"/>
              </w:rPr>
            </w:pPr>
            <w:r w:rsidRPr="00A4659F">
              <w:rPr>
                <w:rFonts w:ascii="Arial Narrow" w:hAnsi="Arial Narrow"/>
                <w:sz w:val="20"/>
                <w:szCs w:val="20"/>
              </w:rPr>
              <w:t>25%</w:t>
            </w:r>
          </w:p>
        </w:tc>
        <w:tc>
          <w:tcPr>
            <w:tcW w:w="601" w:type="pct"/>
          </w:tcPr>
          <w:p w:rsidR="007A6BED" w:rsidRPr="00A4659F" w:rsidRDefault="007A6BED" w:rsidP="00564123">
            <w:pPr>
              <w:pStyle w:val="TableParagraph"/>
              <w:keepNext/>
              <w:keepLines/>
              <w:kinsoku w:val="0"/>
              <w:overflowPunct w:val="0"/>
              <w:spacing w:line="218" w:lineRule="exact"/>
              <w:ind w:right="135"/>
              <w:rPr>
                <w:rFonts w:ascii="Arial Narrow" w:hAnsi="Arial Narrow"/>
                <w:sz w:val="20"/>
                <w:szCs w:val="20"/>
              </w:rPr>
            </w:pPr>
            <w:r w:rsidRPr="00A4659F">
              <w:rPr>
                <w:rFonts w:ascii="Arial Narrow" w:hAnsi="Arial Narrow"/>
                <w:sz w:val="20"/>
                <w:szCs w:val="20"/>
              </w:rPr>
              <w:t>30%</w:t>
            </w:r>
          </w:p>
        </w:tc>
        <w:tc>
          <w:tcPr>
            <w:tcW w:w="601" w:type="pct"/>
          </w:tcPr>
          <w:p w:rsidR="007A6BED" w:rsidRPr="00A4659F" w:rsidRDefault="007A6BED" w:rsidP="00564123">
            <w:pPr>
              <w:pStyle w:val="TableParagraph"/>
              <w:keepNext/>
              <w:keepLines/>
              <w:kinsoku w:val="0"/>
              <w:overflowPunct w:val="0"/>
              <w:spacing w:line="218" w:lineRule="exact"/>
              <w:ind w:right="137"/>
              <w:rPr>
                <w:rFonts w:ascii="Arial Narrow" w:hAnsi="Arial Narrow"/>
                <w:sz w:val="20"/>
                <w:szCs w:val="20"/>
              </w:rPr>
            </w:pPr>
            <w:r w:rsidRPr="00A4659F">
              <w:rPr>
                <w:rFonts w:ascii="Arial Narrow" w:hAnsi="Arial Narrow"/>
                <w:sz w:val="20"/>
                <w:szCs w:val="20"/>
              </w:rPr>
              <w:t>35%</w:t>
            </w:r>
          </w:p>
        </w:tc>
        <w:tc>
          <w:tcPr>
            <w:tcW w:w="601" w:type="pct"/>
          </w:tcPr>
          <w:p w:rsidR="007A6BED" w:rsidRPr="00A4659F" w:rsidRDefault="007A6BED" w:rsidP="00564123">
            <w:pPr>
              <w:pStyle w:val="TableParagraph"/>
              <w:keepNext/>
              <w:keepLines/>
              <w:kinsoku w:val="0"/>
              <w:overflowPunct w:val="0"/>
              <w:spacing w:line="218" w:lineRule="exact"/>
              <w:ind w:right="137"/>
              <w:rPr>
                <w:rFonts w:ascii="Arial Narrow" w:hAnsi="Arial Narrow"/>
                <w:sz w:val="20"/>
                <w:szCs w:val="20"/>
              </w:rPr>
            </w:pPr>
            <w:r w:rsidRPr="00A4659F">
              <w:rPr>
                <w:rFonts w:ascii="Arial Narrow" w:hAnsi="Arial Narrow"/>
                <w:sz w:val="20"/>
                <w:szCs w:val="20"/>
              </w:rPr>
              <w:t>40%</w:t>
            </w:r>
          </w:p>
        </w:tc>
      </w:tr>
      <w:tr w:rsidR="007A6BED" w:rsidRPr="00A4659F" w:rsidTr="0022730C">
        <w:trPr>
          <w:trHeight w:val="438"/>
        </w:trPr>
        <w:tc>
          <w:tcPr>
            <w:tcW w:w="1397" w:type="pct"/>
          </w:tcPr>
          <w:p w:rsidR="007A6BED" w:rsidRPr="00A4659F" w:rsidRDefault="007A6BED" w:rsidP="00564123">
            <w:pPr>
              <w:pStyle w:val="TableParagraph"/>
              <w:keepNext/>
              <w:keepLines/>
              <w:kinsoku w:val="0"/>
              <w:overflowPunct w:val="0"/>
              <w:spacing w:before="0" w:line="219" w:lineRule="exact"/>
              <w:ind w:left="110"/>
              <w:jc w:val="left"/>
              <w:rPr>
                <w:rFonts w:ascii="Arial Narrow" w:hAnsi="Arial Narrow"/>
                <w:sz w:val="20"/>
                <w:szCs w:val="20"/>
              </w:rPr>
            </w:pPr>
            <w:r w:rsidRPr="00A4659F">
              <w:rPr>
                <w:rFonts w:ascii="Arial Narrow" w:hAnsi="Arial Narrow"/>
                <w:sz w:val="20"/>
                <w:szCs w:val="20"/>
              </w:rPr>
              <w:t>Testogel (all brands), Testavan,</w:t>
            </w:r>
          </w:p>
          <w:p w:rsidR="007A6BED" w:rsidRPr="00A4659F" w:rsidRDefault="007A6BED" w:rsidP="00564123">
            <w:pPr>
              <w:pStyle w:val="TableParagraph"/>
              <w:keepNext/>
              <w:keepLines/>
              <w:kinsoku w:val="0"/>
              <w:overflowPunct w:val="0"/>
              <w:spacing w:before="1" w:line="199" w:lineRule="exact"/>
              <w:ind w:left="110"/>
              <w:jc w:val="left"/>
              <w:rPr>
                <w:rFonts w:ascii="Arial Narrow" w:hAnsi="Arial Narrow"/>
                <w:sz w:val="20"/>
                <w:szCs w:val="20"/>
              </w:rPr>
            </w:pPr>
            <w:r w:rsidRPr="00A4659F">
              <w:rPr>
                <w:rFonts w:ascii="Arial Narrow" w:hAnsi="Arial Narrow"/>
                <w:sz w:val="20"/>
                <w:szCs w:val="20"/>
              </w:rPr>
              <w:t>Androderm (all brands)</w:t>
            </w:r>
          </w:p>
        </w:tc>
        <w:tc>
          <w:tcPr>
            <w:tcW w:w="600" w:type="pct"/>
          </w:tcPr>
          <w:p w:rsidR="007A6BED" w:rsidRPr="00A4659F" w:rsidRDefault="007A6BED" w:rsidP="00564123">
            <w:pPr>
              <w:pStyle w:val="TableParagraph"/>
              <w:keepNext/>
              <w:keepLines/>
              <w:kinsoku w:val="0"/>
              <w:overflowPunct w:val="0"/>
              <w:spacing w:before="109"/>
              <w:ind w:left="147" w:right="136"/>
              <w:rPr>
                <w:rFonts w:ascii="Arial Narrow" w:hAnsi="Arial Narrow"/>
                <w:sz w:val="20"/>
                <w:szCs w:val="20"/>
              </w:rPr>
            </w:pPr>
            <w:r w:rsidRPr="00A4659F">
              <w:rPr>
                <w:rFonts w:ascii="Arial Narrow" w:hAnsi="Arial Narrow"/>
                <w:sz w:val="20"/>
                <w:szCs w:val="20"/>
              </w:rPr>
              <w:t>30%</w:t>
            </w:r>
          </w:p>
        </w:tc>
        <w:tc>
          <w:tcPr>
            <w:tcW w:w="601" w:type="pct"/>
          </w:tcPr>
          <w:p w:rsidR="007A6BED" w:rsidRPr="00A4659F" w:rsidRDefault="007A6BED" w:rsidP="00564123">
            <w:pPr>
              <w:pStyle w:val="TableParagraph"/>
              <w:keepNext/>
              <w:keepLines/>
              <w:kinsoku w:val="0"/>
              <w:overflowPunct w:val="0"/>
              <w:spacing w:before="109"/>
              <w:ind w:right="131"/>
              <w:rPr>
                <w:rFonts w:ascii="Arial Narrow" w:hAnsi="Arial Narrow"/>
                <w:sz w:val="20"/>
                <w:szCs w:val="20"/>
              </w:rPr>
            </w:pPr>
            <w:r w:rsidRPr="00A4659F">
              <w:rPr>
                <w:rFonts w:ascii="Arial Narrow" w:hAnsi="Arial Narrow"/>
                <w:sz w:val="20"/>
                <w:szCs w:val="20"/>
              </w:rPr>
              <w:t>50%</w:t>
            </w:r>
          </w:p>
        </w:tc>
        <w:tc>
          <w:tcPr>
            <w:tcW w:w="601" w:type="pct"/>
          </w:tcPr>
          <w:p w:rsidR="007A6BED" w:rsidRPr="00A4659F" w:rsidRDefault="007A6BED" w:rsidP="00564123">
            <w:pPr>
              <w:pStyle w:val="TableParagraph"/>
              <w:keepNext/>
              <w:keepLines/>
              <w:kinsoku w:val="0"/>
              <w:overflowPunct w:val="0"/>
              <w:spacing w:before="109"/>
              <w:ind w:right="131"/>
              <w:rPr>
                <w:rFonts w:ascii="Arial Narrow" w:hAnsi="Arial Narrow"/>
                <w:sz w:val="20"/>
                <w:szCs w:val="20"/>
              </w:rPr>
            </w:pPr>
            <w:r w:rsidRPr="00A4659F">
              <w:rPr>
                <w:rFonts w:ascii="Arial Narrow" w:hAnsi="Arial Narrow"/>
                <w:sz w:val="20"/>
                <w:szCs w:val="20"/>
              </w:rPr>
              <w:t>60%</w:t>
            </w:r>
          </w:p>
        </w:tc>
        <w:tc>
          <w:tcPr>
            <w:tcW w:w="601" w:type="pct"/>
          </w:tcPr>
          <w:p w:rsidR="007A6BED" w:rsidRPr="00A4659F" w:rsidRDefault="007A6BED" w:rsidP="00564123">
            <w:pPr>
              <w:pStyle w:val="TableParagraph"/>
              <w:keepNext/>
              <w:keepLines/>
              <w:kinsoku w:val="0"/>
              <w:overflowPunct w:val="0"/>
              <w:spacing w:before="109"/>
              <w:ind w:right="135"/>
              <w:rPr>
                <w:rFonts w:ascii="Arial Narrow" w:hAnsi="Arial Narrow"/>
                <w:sz w:val="20"/>
                <w:szCs w:val="20"/>
              </w:rPr>
            </w:pPr>
            <w:r w:rsidRPr="00A4659F">
              <w:rPr>
                <w:rFonts w:ascii="Arial Narrow" w:hAnsi="Arial Narrow"/>
                <w:sz w:val="20"/>
                <w:szCs w:val="20"/>
              </w:rPr>
              <w:t>70%</w:t>
            </w:r>
          </w:p>
        </w:tc>
        <w:tc>
          <w:tcPr>
            <w:tcW w:w="601" w:type="pct"/>
          </w:tcPr>
          <w:p w:rsidR="007A6BED" w:rsidRPr="00A4659F" w:rsidRDefault="007A6BED" w:rsidP="00564123">
            <w:pPr>
              <w:pStyle w:val="TableParagraph"/>
              <w:keepNext/>
              <w:keepLines/>
              <w:kinsoku w:val="0"/>
              <w:overflowPunct w:val="0"/>
              <w:spacing w:before="109"/>
              <w:ind w:right="137"/>
              <w:rPr>
                <w:rFonts w:ascii="Arial Narrow" w:hAnsi="Arial Narrow"/>
                <w:sz w:val="20"/>
                <w:szCs w:val="20"/>
              </w:rPr>
            </w:pPr>
            <w:r w:rsidRPr="00A4659F">
              <w:rPr>
                <w:rFonts w:ascii="Arial Narrow" w:hAnsi="Arial Narrow"/>
                <w:sz w:val="20"/>
                <w:szCs w:val="20"/>
              </w:rPr>
              <w:t>75%</w:t>
            </w:r>
          </w:p>
        </w:tc>
        <w:tc>
          <w:tcPr>
            <w:tcW w:w="601" w:type="pct"/>
          </w:tcPr>
          <w:p w:rsidR="007A6BED" w:rsidRPr="00A4659F" w:rsidRDefault="007A6BED" w:rsidP="00564123">
            <w:pPr>
              <w:pStyle w:val="TableParagraph"/>
              <w:keepNext/>
              <w:keepLines/>
              <w:kinsoku w:val="0"/>
              <w:overflowPunct w:val="0"/>
              <w:spacing w:before="109"/>
              <w:ind w:right="137"/>
              <w:rPr>
                <w:rFonts w:ascii="Arial Narrow" w:hAnsi="Arial Narrow"/>
                <w:sz w:val="20"/>
                <w:szCs w:val="20"/>
              </w:rPr>
            </w:pPr>
            <w:r w:rsidRPr="00A4659F">
              <w:rPr>
                <w:rFonts w:ascii="Arial Narrow" w:hAnsi="Arial Narrow"/>
                <w:sz w:val="20"/>
                <w:szCs w:val="20"/>
              </w:rPr>
              <w:t>75%</w:t>
            </w:r>
          </w:p>
        </w:tc>
      </w:tr>
      <w:tr w:rsidR="007A6BED" w:rsidRPr="00A4659F" w:rsidTr="0022730C">
        <w:trPr>
          <w:trHeight w:val="253"/>
        </w:trPr>
        <w:tc>
          <w:tcPr>
            <w:tcW w:w="5000" w:type="pct"/>
            <w:gridSpan w:val="7"/>
            <w:shd w:val="clear" w:color="auto" w:fill="D9D9D9"/>
          </w:tcPr>
          <w:p w:rsidR="007A6BED" w:rsidRPr="00A4659F" w:rsidRDefault="007A6BED" w:rsidP="00564123">
            <w:pPr>
              <w:pStyle w:val="TableParagraph"/>
              <w:keepNext/>
              <w:keepLines/>
              <w:kinsoku w:val="0"/>
              <w:overflowPunct w:val="0"/>
              <w:spacing w:line="216" w:lineRule="exact"/>
              <w:ind w:left="5290"/>
              <w:jc w:val="left"/>
              <w:rPr>
                <w:rFonts w:ascii="Arial Narrow" w:hAnsi="Arial Narrow"/>
                <w:b/>
                <w:bCs/>
                <w:sz w:val="20"/>
                <w:szCs w:val="20"/>
              </w:rPr>
            </w:pPr>
            <w:r w:rsidRPr="00A4659F">
              <w:rPr>
                <w:rFonts w:ascii="Arial Narrow" w:hAnsi="Arial Narrow"/>
                <w:b/>
                <w:bCs/>
                <w:sz w:val="20"/>
                <w:szCs w:val="20"/>
              </w:rPr>
              <w:t>Displaced prescriptions</w:t>
            </w:r>
          </w:p>
        </w:tc>
      </w:tr>
      <w:tr w:rsidR="007A6BED" w:rsidRPr="00A4659F" w:rsidTr="0022730C">
        <w:trPr>
          <w:trHeight w:val="441"/>
        </w:trPr>
        <w:tc>
          <w:tcPr>
            <w:tcW w:w="1397" w:type="pct"/>
          </w:tcPr>
          <w:p w:rsidR="007A6BED" w:rsidRPr="00A4659F" w:rsidRDefault="007A6BED" w:rsidP="00564123">
            <w:pPr>
              <w:pStyle w:val="TableParagraph"/>
              <w:keepNext/>
              <w:keepLines/>
              <w:kinsoku w:val="0"/>
              <w:overflowPunct w:val="0"/>
              <w:spacing w:before="1" w:line="220" w:lineRule="atLeast"/>
              <w:ind w:left="110" w:right="482"/>
              <w:jc w:val="left"/>
              <w:rPr>
                <w:rFonts w:ascii="Arial Narrow" w:hAnsi="Arial Narrow"/>
                <w:sz w:val="20"/>
                <w:szCs w:val="20"/>
              </w:rPr>
            </w:pPr>
            <w:r w:rsidRPr="00A4659F">
              <w:rPr>
                <w:rFonts w:ascii="Arial Narrow" w:hAnsi="Arial Narrow"/>
                <w:sz w:val="20"/>
                <w:szCs w:val="20"/>
              </w:rPr>
              <w:t>All testosterone comparator scripts</w:t>
            </w:r>
          </w:p>
        </w:tc>
        <w:tc>
          <w:tcPr>
            <w:tcW w:w="600" w:type="pct"/>
          </w:tcPr>
          <w:p w:rsidR="007A6BED" w:rsidRPr="00FD0FC2" w:rsidRDefault="00FD0FC2" w:rsidP="00564123">
            <w:pPr>
              <w:pStyle w:val="TableParagraph"/>
              <w:keepNext/>
              <w:keepLines/>
              <w:kinsoku w:val="0"/>
              <w:overflowPunct w:val="0"/>
              <w:spacing w:before="111"/>
              <w:ind w:left="146" w:right="137"/>
              <w:rPr>
                <w:rFonts w:ascii="Arial Narrow" w:hAnsi="Arial Narrow"/>
                <w:sz w:val="20"/>
                <w:szCs w:val="20"/>
                <w:vertAlign w:val="superscript"/>
              </w:rPr>
            </w:pPr>
            <w:r>
              <w:rPr>
                <w:rFonts w:ascii="Arial Narrow" w:hAnsi="Arial Narrow"/>
                <w:noProof/>
                <w:color w:val="000000"/>
                <w:sz w:val="20"/>
                <w:szCs w:val="20"/>
                <w:highlight w:val="black"/>
              </w:rPr>
              <w:t>''''''''''''''''</w:t>
            </w:r>
            <w:r w:rsidR="00990597" w:rsidRPr="00FD0FC2">
              <w:rPr>
                <w:rFonts w:ascii="Arial Narrow" w:hAnsi="Arial Narrow"/>
                <w:sz w:val="20"/>
                <w:szCs w:val="20"/>
                <w:vertAlign w:val="superscript"/>
              </w:rPr>
              <w:t>1</w:t>
            </w:r>
          </w:p>
        </w:tc>
        <w:tc>
          <w:tcPr>
            <w:tcW w:w="601" w:type="pct"/>
          </w:tcPr>
          <w:p w:rsidR="007A6BED" w:rsidRPr="00FD0FC2" w:rsidRDefault="00FD0FC2" w:rsidP="00564123">
            <w:pPr>
              <w:pStyle w:val="TableParagraph"/>
              <w:keepNext/>
              <w:keepLines/>
              <w:kinsoku w:val="0"/>
              <w:overflowPunct w:val="0"/>
              <w:spacing w:before="111"/>
              <w:ind w:right="132"/>
              <w:rPr>
                <w:rFonts w:ascii="Arial Narrow" w:hAnsi="Arial Narrow"/>
                <w:sz w:val="20"/>
                <w:szCs w:val="20"/>
              </w:rPr>
            </w:pPr>
            <w:r>
              <w:rPr>
                <w:rFonts w:ascii="Arial Narrow" w:hAnsi="Arial Narrow"/>
                <w:noProof/>
                <w:color w:val="000000"/>
                <w:sz w:val="20"/>
                <w:szCs w:val="20"/>
                <w:highlight w:val="black"/>
              </w:rPr>
              <w:t>''''''''''''''''</w:t>
            </w:r>
            <w:r w:rsidR="00990597">
              <w:rPr>
                <w:rFonts w:ascii="Arial Narrow" w:hAnsi="Arial Narrow"/>
                <w:sz w:val="20"/>
                <w:szCs w:val="20"/>
                <w:vertAlign w:val="superscript"/>
              </w:rPr>
              <w:t>2</w:t>
            </w:r>
          </w:p>
        </w:tc>
        <w:tc>
          <w:tcPr>
            <w:tcW w:w="601" w:type="pct"/>
          </w:tcPr>
          <w:p w:rsidR="007A6BED" w:rsidRPr="00FD0FC2" w:rsidRDefault="00FD0FC2" w:rsidP="00564123">
            <w:pPr>
              <w:pStyle w:val="TableParagraph"/>
              <w:keepNext/>
              <w:keepLines/>
              <w:kinsoku w:val="0"/>
              <w:overflowPunct w:val="0"/>
              <w:spacing w:before="111"/>
              <w:ind w:right="133"/>
              <w:rPr>
                <w:rFonts w:ascii="Arial Narrow" w:hAnsi="Arial Narrow"/>
                <w:sz w:val="20"/>
                <w:szCs w:val="20"/>
              </w:rPr>
            </w:pPr>
            <w:r>
              <w:rPr>
                <w:rFonts w:ascii="Arial Narrow" w:hAnsi="Arial Narrow"/>
                <w:noProof/>
                <w:color w:val="000000"/>
                <w:sz w:val="20"/>
                <w:szCs w:val="20"/>
                <w:highlight w:val="black"/>
              </w:rPr>
              <w:t>''''''''''''''''</w:t>
            </w:r>
            <w:r w:rsidR="00990597">
              <w:rPr>
                <w:rFonts w:ascii="Arial Narrow" w:hAnsi="Arial Narrow"/>
                <w:sz w:val="20"/>
                <w:szCs w:val="20"/>
                <w:vertAlign w:val="superscript"/>
              </w:rPr>
              <w:t>3</w:t>
            </w:r>
          </w:p>
        </w:tc>
        <w:tc>
          <w:tcPr>
            <w:tcW w:w="601" w:type="pct"/>
          </w:tcPr>
          <w:p w:rsidR="007A6BED" w:rsidRPr="00FD0FC2" w:rsidRDefault="00FD0FC2" w:rsidP="00564123">
            <w:pPr>
              <w:pStyle w:val="TableParagraph"/>
              <w:keepNext/>
              <w:keepLines/>
              <w:kinsoku w:val="0"/>
              <w:overflowPunct w:val="0"/>
              <w:spacing w:before="111"/>
              <w:ind w:right="137"/>
              <w:rPr>
                <w:rFonts w:ascii="Arial Narrow" w:hAnsi="Arial Narrow"/>
                <w:sz w:val="20"/>
                <w:szCs w:val="20"/>
              </w:rPr>
            </w:pPr>
            <w:r>
              <w:rPr>
                <w:rFonts w:ascii="Arial Narrow" w:hAnsi="Arial Narrow"/>
                <w:noProof/>
                <w:color w:val="000000"/>
                <w:sz w:val="20"/>
                <w:szCs w:val="20"/>
                <w:highlight w:val="black"/>
              </w:rPr>
              <w:t>'''''''''''''''</w:t>
            </w:r>
            <w:r w:rsidR="00990597">
              <w:rPr>
                <w:rFonts w:ascii="Arial Narrow" w:hAnsi="Arial Narrow"/>
                <w:sz w:val="20"/>
                <w:szCs w:val="20"/>
                <w:vertAlign w:val="superscript"/>
              </w:rPr>
              <w:t>4</w:t>
            </w:r>
          </w:p>
        </w:tc>
        <w:tc>
          <w:tcPr>
            <w:tcW w:w="601" w:type="pct"/>
          </w:tcPr>
          <w:p w:rsidR="007A6BED" w:rsidRPr="00FD0FC2" w:rsidRDefault="00FD0FC2" w:rsidP="00564123">
            <w:pPr>
              <w:pStyle w:val="TableParagraph"/>
              <w:keepNext/>
              <w:keepLines/>
              <w:kinsoku w:val="0"/>
              <w:overflowPunct w:val="0"/>
              <w:spacing w:before="111"/>
              <w:ind w:right="139"/>
              <w:rPr>
                <w:rFonts w:ascii="Arial Narrow" w:hAnsi="Arial Narrow"/>
                <w:sz w:val="20"/>
                <w:szCs w:val="20"/>
              </w:rPr>
            </w:pPr>
            <w:r>
              <w:rPr>
                <w:rFonts w:ascii="Arial Narrow" w:hAnsi="Arial Narrow"/>
                <w:noProof/>
                <w:color w:val="000000"/>
                <w:sz w:val="20"/>
                <w:szCs w:val="20"/>
                <w:highlight w:val="black"/>
              </w:rPr>
              <w:t>''''''''''''''''''</w:t>
            </w:r>
            <w:r w:rsidR="00990597">
              <w:rPr>
                <w:rFonts w:ascii="Arial Narrow" w:hAnsi="Arial Narrow"/>
                <w:sz w:val="20"/>
                <w:szCs w:val="20"/>
                <w:vertAlign w:val="superscript"/>
              </w:rPr>
              <w:t>5</w:t>
            </w:r>
          </w:p>
        </w:tc>
        <w:tc>
          <w:tcPr>
            <w:tcW w:w="601" w:type="pct"/>
          </w:tcPr>
          <w:p w:rsidR="007A6BED" w:rsidRPr="00FD0FC2" w:rsidRDefault="00FD0FC2" w:rsidP="00564123">
            <w:pPr>
              <w:pStyle w:val="TableParagraph"/>
              <w:keepNext/>
              <w:keepLines/>
              <w:kinsoku w:val="0"/>
              <w:overflowPunct w:val="0"/>
              <w:spacing w:before="111"/>
              <w:ind w:left="141" w:right="137"/>
              <w:rPr>
                <w:rFonts w:ascii="Arial Narrow" w:hAnsi="Arial Narrow"/>
                <w:sz w:val="20"/>
                <w:szCs w:val="20"/>
              </w:rPr>
            </w:pPr>
            <w:r>
              <w:rPr>
                <w:rFonts w:ascii="Arial Narrow" w:hAnsi="Arial Narrow"/>
                <w:noProof/>
                <w:color w:val="000000"/>
                <w:sz w:val="20"/>
                <w:szCs w:val="20"/>
                <w:highlight w:val="black"/>
              </w:rPr>
              <w:t>'''''''''''''''''</w:t>
            </w:r>
            <w:r w:rsidR="00990597">
              <w:rPr>
                <w:rFonts w:ascii="Arial Narrow" w:hAnsi="Arial Narrow"/>
                <w:sz w:val="20"/>
                <w:szCs w:val="20"/>
                <w:vertAlign w:val="superscript"/>
              </w:rPr>
              <w:t>5</w:t>
            </w:r>
          </w:p>
        </w:tc>
      </w:tr>
      <w:tr w:rsidR="007A6BED" w:rsidRPr="00A4659F" w:rsidTr="0022730C">
        <w:trPr>
          <w:trHeight w:val="439"/>
        </w:trPr>
        <w:tc>
          <w:tcPr>
            <w:tcW w:w="1397" w:type="pct"/>
          </w:tcPr>
          <w:p w:rsidR="007A6BED" w:rsidRPr="00A4659F" w:rsidRDefault="007A6BED" w:rsidP="00564123">
            <w:pPr>
              <w:pStyle w:val="TableParagraph"/>
              <w:keepNext/>
              <w:keepLines/>
              <w:kinsoku w:val="0"/>
              <w:overflowPunct w:val="0"/>
              <w:spacing w:before="0" w:line="219" w:lineRule="exact"/>
              <w:ind w:left="110"/>
              <w:jc w:val="left"/>
              <w:rPr>
                <w:rFonts w:ascii="Arial Narrow" w:hAnsi="Arial Narrow"/>
                <w:sz w:val="20"/>
                <w:szCs w:val="20"/>
              </w:rPr>
            </w:pPr>
            <w:r w:rsidRPr="00A4659F">
              <w:rPr>
                <w:rFonts w:ascii="Arial Narrow" w:hAnsi="Arial Narrow"/>
                <w:sz w:val="20"/>
                <w:szCs w:val="20"/>
              </w:rPr>
              <w:t>Script equivalence (substitution</w:t>
            </w:r>
          </w:p>
          <w:p w:rsidR="007A6BED" w:rsidRPr="00A4659F" w:rsidRDefault="007A6BED" w:rsidP="00564123">
            <w:pPr>
              <w:pStyle w:val="TableParagraph"/>
              <w:keepNext/>
              <w:keepLines/>
              <w:kinsoku w:val="0"/>
              <w:overflowPunct w:val="0"/>
              <w:spacing w:before="1" w:line="199" w:lineRule="exact"/>
              <w:ind w:left="110"/>
              <w:jc w:val="left"/>
              <w:rPr>
                <w:rFonts w:ascii="Arial Narrow" w:hAnsi="Arial Narrow"/>
                <w:sz w:val="20"/>
                <w:szCs w:val="20"/>
              </w:rPr>
            </w:pPr>
            <w:r w:rsidRPr="00A4659F">
              <w:rPr>
                <w:rFonts w:ascii="Arial Narrow" w:hAnsi="Arial Narrow"/>
                <w:sz w:val="20"/>
                <w:szCs w:val="20"/>
              </w:rPr>
              <w:t>rate = 0.25)</w:t>
            </w:r>
          </w:p>
        </w:tc>
        <w:tc>
          <w:tcPr>
            <w:tcW w:w="600" w:type="pct"/>
          </w:tcPr>
          <w:p w:rsidR="007A6BED" w:rsidRPr="00FD0FC2" w:rsidRDefault="00FD0FC2" w:rsidP="00564123">
            <w:pPr>
              <w:pStyle w:val="TableParagraph"/>
              <w:keepNext/>
              <w:keepLines/>
              <w:kinsoku w:val="0"/>
              <w:overflowPunct w:val="0"/>
              <w:spacing w:before="110"/>
              <w:ind w:left="146" w:right="137"/>
              <w:rPr>
                <w:rFonts w:ascii="Arial Narrow" w:hAnsi="Arial Narrow"/>
                <w:sz w:val="20"/>
                <w:szCs w:val="20"/>
                <w:vertAlign w:val="superscript"/>
              </w:rPr>
            </w:pPr>
            <w:r>
              <w:rPr>
                <w:rFonts w:ascii="Arial Narrow" w:hAnsi="Arial Narrow"/>
                <w:noProof/>
                <w:color w:val="000000"/>
                <w:sz w:val="20"/>
                <w:szCs w:val="20"/>
                <w:highlight w:val="black"/>
              </w:rPr>
              <w:t>''''''''''''''</w:t>
            </w:r>
            <w:r w:rsidR="00990597" w:rsidRPr="00FD0FC2">
              <w:rPr>
                <w:rFonts w:ascii="Arial Narrow" w:hAnsi="Arial Narrow"/>
                <w:sz w:val="20"/>
                <w:szCs w:val="20"/>
                <w:vertAlign w:val="superscript"/>
              </w:rPr>
              <w:t>6</w:t>
            </w:r>
          </w:p>
        </w:tc>
        <w:tc>
          <w:tcPr>
            <w:tcW w:w="601" w:type="pct"/>
          </w:tcPr>
          <w:p w:rsidR="007A6BED" w:rsidRPr="00FD0FC2" w:rsidRDefault="00FD0FC2" w:rsidP="00564123">
            <w:pPr>
              <w:pStyle w:val="TableParagraph"/>
              <w:keepNext/>
              <w:keepLines/>
              <w:kinsoku w:val="0"/>
              <w:overflowPunct w:val="0"/>
              <w:spacing w:before="110"/>
              <w:ind w:right="132"/>
              <w:rPr>
                <w:rFonts w:ascii="Arial Narrow" w:hAnsi="Arial Narrow"/>
                <w:sz w:val="20"/>
                <w:szCs w:val="20"/>
              </w:rPr>
            </w:pPr>
            <w:r>
              <w:rPr>
                <w:rFonts w:ascii="Arial Narrow" w:hAnsi="Arial Narrow"/>
                <w:noProof/>
                <w:color w:val="000000"/>
                <w:sz w:val="20"/>
                <w:szCs w:val="20"/>
                <w:highlight w:val="black"/>
              </w:rPr>
              <w:t>''''''''''''''''</w:t>
            </w:r>
            <w:r w:rsidR="00990597">
              <w:rPr>
                <w:rFonts w:ascii="Arial Narrow" w:hAnsi="Arial Narrow"/>
                <w:sz w:val="20"/>
                <w:szCs w:val="20"/>
                <w:vertAlign w:val="superscript"/>
              </w:rPr>
              <w:t>7</w:t>
            </w:r>
          </w:p>
        </w:tc>
        <w:tc>
          <w:tcPr>
            <w:tcW w:w="601" w:type="pct"/>
          </w:tcPr>
          <w:p w:rsidR="007A6BED" w:rsidRPr="00FD0FC2" w:rsidRDefault="00FD0FC2" w:rsidP="00564123">
            <w:pPr>
              <w:pStyle w:val="TableParagraph"/>
              <w:keepNext/>
              <w:keepLines/>
              <w:kinsoku w:val="0"/>
              <w:overflowPunct w:val="0"/>
              <w:spacing w:before="110"/>
              <w:ind w:right="133"/>
              <w:rPr>
                <w:rFonts w:ascii="Arial Narrow" w:hAnsi="Arial Narrow"/>
                <w:sz w:val="20"/>
                <w:szCs w:val="20"/>
              </w:rPr>
            </w:pPr>
            <w:r>
              <w:rPr>
                <w:rFonts w:ascii="Arial Narrow" w:hAnsi="Arial Narrow"/>
                <w:noProof/>
                <w:color w:val="000000"/>
                <w:sz w:val="20"/>
                <w:szCs w:val="20"/>
                <w:highlight w:val="black"/>
              </w:rPr>
              <w:t>''''''''''''''''''</w:t>
            </w:r>
            <w:r w:rsidR="00990597">
              <w:rPr>
                <w:rFonts w:ascii="Arial Narrow" w:hAnsi="Arial Narrow"/>
                <w:sz w:val="20"/>
                <w:szCs w:val="20"/>
                <w:vertAlign w:val="superscript"/>
              </w:rPr>
              <w:t>7</w:t>
            </w:r>
          </w:p>
        </w:tc>
        <w:tc>
          <w:tcPr>
            <w:tcW w:w="601" w:type="pct"/>
          </w:tcPr>
          <w:p w:rsidR="007A6BED" w:rsidRPr="00FD0FC2" w:rsidRDefault="00FD0FC2" w:rsidP="00564123">
            <w:pPr>
              <w:pStyle w:val="TableParagraph"/>
              <w:keepNext/>
              <w:keepLines/>
              <w:kinsoku w:val="0"/>
              <w:overflowPunct w:val="0"/>
              <w:spacing w:before="110"/>
              <w:ind w:right="137"/>
              <w:rPr>
                <w:rFonts w:ascii="Arial Narrow" w:hAnsi="Arial Narrow"/>
                <w:sz w:val="20"/>
                <w:szCs w:val="20"/>
              </w:rPr>
            </w:pPr>
            <w:r>
              <w:rPr>
                <w:rFonts w:ascii="Arial Narrow" w:hAnsi="Arial Narrow"/>
                <w:noProof/>
                <w:color w:val="000000"/>
                <w:sz w:val="20"/>
                <w:szCs w:val="20"/>
                <w:highlight w:val="black"/>
              </w:rPr>
              <w:t>'''''''''''''''</w:t>
            </w:r>
            <w:r w:rsidR="00990597" w:rsidRPr="00FD0FC2">
              <w:rPr>
                <w:rFonts w:ascii="Arial Narrow" w:hAnsi="Arial Narrow"/>
                <w:sz w:val="20"/>
                <w:szCs w:val="20"/>
                <w:vertAlign w:val="superscript"/>
              </w:rPr>
              <w:t>8</w:t>
            </w:r>
          </w:p>
        </w:tc>
        <w:tc>
          <w:tcPr>
            <w:tcW w:w="601" w:type="pct"/>
          </w:tcPr>
          <w:p w:rsidR="007A6BED" w:rsidRPr="00FD0FC2" w:rsidRDefault="00FD0FC2" w:rsidP="00564123">
            <w:pPr>
              <w:pStyle w:val="TableParagraph"/>
              <w:keepNext/>
              <w:keepLines/>
              <w:kinsoku w:val="0"/>
              <w:overflowPunct w:val="0"/>
              <w:spacing w:before="110"/>
              <w:ind w:right="139"/>
              <w:rPr>
                <w:rFonts w:ascii="Arial Narrow" w:hAnsi="Arial Narrow"/>
                <w:sz w:val="20"/>
                <w:szCs w:val="20"/>
              </w:rPr>
            </w:pPr>
            <w:r>
              <w:rPr>
                <w:rFonts w:ascii="Arial Narrow" w:hAnsi="Arial Narrow"/>
                <w:noProof/>
                <w:color w:val="000000"/>
                <w:sz w:val="20"/>
                <w:szCs w:val="20"/>
                <w:highlight w:val="black"/>
              </w:rPr>
              <w:t>'''''''''''''''''</w:t>
            </w:r>
            <w:r w:rsidR="008377BF" w:rsidRPr="00D7671F">
              <w:rPr>
                <w:rFonts w:ascii="Arial Narrow" w:hAnsi="Arial Narrow"/>
                <w:sz w:val="20"/>
                <w:szCs w:val="20"/>
                <w:vertAlign w:val="superscript"/>
              </w:rPr>
              <w:t>8</w:t>
            </w:r>
          </w:p>
        </w:tc>
        <w:tc>
          <w:tcPr>
            <w:tcW w:w="601" w:type="pct"/>
          </w:tcPr>
          <w:p w:rsidR="007A6BED" w:rsidRPr="00FD0FC2" w:rsidRDefault="00FD0FC2" w:rsidP="00564123">
            <w:pPr>
              <w:pStyle w:val="TableParagraph"/>
              <w:keepNext/>
              <w:keepLines/>
              <w:kinsoku w:val="0"/>
              <w:overflowPunct w:val="0"/>
              <w:spacing w:before="110"/>
              <w:ind w:left="141" w:right="137"/>
              <w:rPr>
                <w:rFonts w:ascii="Arial Narrow" w:hAnsi="Arial Narrow"/>
                <w:sz w:val="20"/>
                <w:szCs w:val="20"/>
              </w:rPr>
            </w:pPr>
            <w:r>
              <w:rPr>
                <w:rFonts w:ascii="Arial Narrow" w:hAnsi="Arial Narrow"/>
                <w:noProof/>
                <w:color w:val="000000"/>
                <w:sz w:val="20"/>
                <w:szCs w:val="20"/>
                <w:highlight w:val="black"/>
              </w:rPr>
              <w:t>'''''''''''''''</w:t>
            </w:r>
            <w:r w:rsidR="008377BF" w:rsidRPr="00D7671F">
              <w:rPr>
                <w:rFonts w:ascii="Arial Narrow" w:hAnsi="Arial Narrow"/>
                <w:sz w:val="20"/>
                <w:szCs w:val="20"/>
                <w:vertAlign w:val="superscript"/>
              </w:rPr>
              <w:t>8</w:t>
            </w:r>
          </w:p>
        </w:tc>
      </w:tr>
      <w:tr w:rsidR="007A6BED" w:rsidRPr="00A4659F" w:rsidTr="0022730C">
        <w:trPr>
          <w:trHeight w:val="659"/>
        </w:trPr>
        <w:tc>
          <w:tcPr>
            <w:tcW w:w="1397" w:type="pct"/>
          </w:tcPr>
          <w:p w:rsidR="007A6BED" w:rsidRPr="00A4659F" w:rsidRDefault="007A6BED" w:rsidP="00564123">
            <w:pPr>
              <w:pStyle w:val="TableParagraph"/>
              <w:keepNext/>
              <w:keepLines/>
              <w:kinsoku w:val="0"/>
              <w:overflowPunct w:val="0"/>
              <w:spacing w:before="1"/>
              <w:ind w:left="110"/>
              <w:jc w:val="left"/>
              <w:rPr>
                <w:rFonts w:ascii="Arial Narrow" w:hAnsi="Arial Narrow"/>
                <w:sz w:val="20"/>
                <w:szCs w:val="20"/>
              </w:rPr>
            </w:pPr>
            <w:r w:rsidRPr="00A4659F">
              <w:rPr>
                <w:rFonts w:ascii="Arial Narrow" w:hAnsi="Arial Narrow"/>
                <w:sz w:val="20"/>
                <w:szCs w:val="20"/>
              </w:rPr>
              <w:t>ANDROFORTE® 5 scripts adjusted for variable uptake rate of</w:t>
            </w:r>
          </w:p>
          <w:p w:rsidR="007A6BED" w:rsidRPr="00A4659F" w:rsidRDefault="007A6BED" w:rsidP="00564123">
            <w:pPr>
              <w:pStyle w:val="TableParagraph"/>
              <w:keepNext/>
              <w:keepLines/>
              <w:kinsoku w:val="0"/>
              <w:overflowPunct w:val="0"/>
              <w:spacing w:before="0" w:line="199" w:lineRule="exact"/>
              <w:ind w:left="110"/>
              <w:jc w:val="left"/>
              <w:rPr>
                <w:rFonts w:ascii="Arial Narrow" w:hAnsi="Arial Narrow"/>
                <w:sz w:val="20"/>
                <w:szCs w:val="20"/>
              </w:rPr>
            </w:pPr>
            <w:r w:rsidRPr="00A4659F">
              <w:rPr>
                <w:rFonts w:ascii="Arial Narrow" w:hAnsi="Arial Narrow"/>
                <w:sz w:val="20"/>
                <w:szCs w:val="20"/>
              </w:rPr>
              <w:t>existing users (proposed DPMQ)</w:t>
            </w:r>
          </w:p>
        </w:tc>
        <w:tc>
          <w:tcPr>
            <w:tcW w:w="600" w:type="pct"/>
          </w:tcPr>
          <w:p w:rsidR="007A6BED" w:rsidRPr="00FD0FC2" w:rsidRDefault="007A6BED" w:rsidP="00564123">
            <w:pPr>
              <w:pStyle w:val="TableParagraph"/>
              <w:keepNext/>
              <w:keepLines/>
              <w:kinsoku w:val="0"/>
              <w:overflowPunct w:val="0"/>
              <w:spacing w:before="12"/>
              <w:ind w:left="0"/>
              <w:jc w:val="left"/>
              <w:rPr>
                <w:rFonts w:ascii="Arial Narrow" w:hAnsi="Arial Narrow"/>
                <w:b/>
                <w:bCs/>
                <w:sz w:val="20"/>
                <w:szCs w:val="20"/>
              </w:rPr>
            </w:pPr>
          </w:p>
          <w:p w:rsidR="007A6BED" w:rsidRPr="00FD0FC2" w:rsidRDefault="00FD0FC2" w:rsidP="00564123">
            <w:pPr>
              <w:pStyle w:val="TableParagraph"/>
              <w:keepNext/>
              <w:keepLines/>
              <w:kinsoku w:val="0"/>
              <w:overflowPunct w:val="0"/>
              <w:spacing w:before="0"/>
              <w:ind w:left="146" w:right="137"/>
              <w:rPr>
                <w:rFonts w:ascii="Arial Narrow" w:hAnsi="Arial Narrow"/>
                <w:sz w:val="20"/>
                <w:szCs w:val="20"/>
              </w:rPr>
            </w:pPr>
            <w:r>
              <w:rPr>
                <w:rFonts w:ascii="Arial Narrow" w:hAnsi="Arial Narrow"/>
                <w:noProof/>
                <w:color w:val="000000"/>
                <w:sz w:val="20"/>
                <w:szCs w:val="20"/>
                <w:highlight w:val="black"/>
              </w:rPr>
              <w:t>'''''''''''''''</w:t>
            </w:r>
            <w:r w:rsidR="00990597">
              <w:rPr>
                <w:rFonts w:ascii="Arial Narrow" w:hAnsi="Arial Narrow"/>
                <w:sz w:val="20"/>
                <w:szCs w:val="20"/>
                <w:vertAlign w:val="superscript"/>
              </w:rPr>
              <w:t>7</w:t>
            </w:r>
          </w:p>
        </w:tc>
        <w:tc>
          <w:tcPr>
            <w:tcW w:w="601" w:type="pct"/>
          </w:tcPr>
          <w:p w:rsidR="007A6BED" w:rsidRPr="00FD0FC2" w:rsidRDefault="007A6BED" w:rsidP="00564123">
            <w:pPr>
              <w:pStyle w:val="TableParagraph"/>
              <w:keepNext/>
              <w:keepLines/>
              <w:kinsoku w:val="0"/>
              <w:overflowPunct w:val="0"/>
              <w:spacing w:before="12"/>
              <w:ind w:left="0"/>
              <w:jc w:val="left"/>
              <w:rPr>
                <w:rFonts w:ascii="Arial Narrow" w:hAnsi="Arial Narrow"/>
                <w:b/>
                <w:bCs/>
                <w:sz w:val="20"/>
                <w:szCs w:val="20"/>
              </w:rPr>
            </w:pPr>
          </w:p>
          <w:p w:rsidR="007A6BED" w:rsidRPr="00FD0FC2" w:rsidRDefault="00FD0FC2" w:rsidP="00564123">
            <w:pPr>
              <w:pStyle w:val="TableParagraph"/>
              <w:keepNext/>
              <w:keepLines/>
              <w:kinsoku w:val="0"/>
              <w:overflowPunct w:val="0"/>
              <w:spacing w:before="0"/>
              <w:ind w:right="132"/>
              <w:rPr>
                <w:rFonts w:ascii="Arial Narrow" w:hAnsi="Arial Narrow"/>
                <w:sz w:val="20"/>
                <w:szCs w:val="20"/>
              </w:rPr>
            </w:pPr>
            <w:r>
              <w:rPr>
                <w:rFonts w:ascii="Arial Narrow" w:hAnsi="Arial Narrow"/>
                <w:noProof/>
                <w:color w:val="000000"/>
                <w:sz w:val="20"/>
                <w:szCs w:val="20"/>
                <w:highlight w:val="black"/>
              </w:rPr>
              <w:t>''''''''''''''''''</w:t>
            </w:r>
            <w:r w:rsidR="00990597">
              <w:rPr>
                <w:rFonts w:ascii="Arial Narrow" w:hAnsi="Arial Narrow"/>
                <w:sz w:val="20"/>
                <w:szCs w:val="20"/>
                <w:vertAlign w:val="superscript"/>
              </w:rPr>
              <w:t>7</w:t>
            </w:r>
          </w:p>
        </w:tc>
        <w:tc>
          <w:tcPr>
            <w:tcW w:w="601" w:type="pct"/>
          </w:tcPr>
          <w:p w:rsidR="007A6BED" w:rsidRPr="00FD0FC2" w:rsidRDefault="007A6BED" w:rsidP="00564123">
            <w:pPr>
              <w:pStyle w:val="TableParagraph"/>
              <w:keepNext/>
              <w:keepLines/>
              <w:kinsoku w:val="0"/>
              <w:overflowPunct w:val="0"/>
              <w:spacing w:before="12"/>
              <w:ind w:left="0"/>
              <w:jc w:val="left"/>
              <w:rPr>
                <w:rFonts w:ascii="Arial Narrow" w:hAnsi="Arial Narrow"/>
                <w:b/>
                <w:bCs/>
                <w:sz w:val="20"/>
                <w:szCs w:val="20"/>
              </w:rPr>
            </w:pPr>
          </w:p>
          <w:p w:rsidR="007A6BED" w:rsidRPr="00FD0FC2" w:rsidRDefault="00FD0FC2" w:rsidP="00564123">
            <w:pPr>
              <w:pStyle w:val="TableParagraph"/>
              <w:keepNext/>
              <w:keepLines/>
              <w:kinsoku w:val="0"/>
              <w:overflowPunct w:val="0"/>
              <w:spacing w:before="0"/>
              <w:ind w:right="133"/>
              <w:rPr>
                <w:rFonts w:ascii="Arial Narrow" w:hAnsi="Arial Narrow"/>
                <w:sz w:val="20"/>
                <w:szCs w:val="20"/>
              </w:rPr>
            </w:pPr>
            <w:r>
              <w:rPr>
                <w:rFonts w:ascii="Arial Narrow" w:hAnsi="Arial Narrow"/>
                <w:noProof/>
                <w:color w:val="000000"/>
                <w:sz w:val="20"/>
                <w:szCs w:val="20"/>
                <w:highlight w:val="black"/>
              </w:rPr>
              <w:t>'''''''''''''''''</w:t>
            </w:r>
            <w:r w:rsidR="00990597">
              <w:rPr>
                <w:rFonts w:ascii="Arial Narrow" w:hAnsi="Arial Narrow"/>
                <w:sz w:val="20"/>
                <w:szCs w:val="20"/>
                <w:vertAlign w:val="superscript"/>
              </w:rPr>
              <w:t>7</w:t>
            </w:r>
          </w:p>
        </w:tc>
        <w:tc>
          <w:tcPr>
            <w:tcW w:w="601" w:type="pct"/>
          </w:tcPr>
          <w:p w:rsidR="007A6BED" w:rsidRPr="00FD0FC2" w:rsidRDefault="007A6BED" w:rsidP="00564123">
            <w:pPr>
              <w:pStyle w:val="TableParagraph"/>
              <w:keepNext/>
              <w:keepLines/>
              <w:kinsoku w:val="0"/>
              <w:overflowPunct w:val="0"/>
              <w:spacing w:before="12"/>
              <w:ind w:left="0"/>
              <w:jc w:val="left"/>
              <w:rPr>
                <w:rFonts w:ascii="Arial Narrow" w:hAnsi="Arial Narrow"/>
                <w:b/>
                <w:bCs/>
                <w:sz w:val="20"/>
                <w:szCs w:val="20"/>
              </w:rPr>
            </w:pPr>
          </w:p>
          <w:p w:rsidR="007A6BED" w:rsidRPr="00FD0FC2" w:rsidRDefault="00FD0FC2" w:rsidP="00564123">
            <w:pPr>
              <w:pStyle w:val="TableParagraph"/>
              <w:keepNext/>
              <w:keepLines/>
              <w:kinsoku w:val="0"/>
              <w:overflowPunct w:val="0"/>
              <w:spacing w:before="0"/>
              <w:ind w:right="137"/>
              <w:rPr>
                <w:rFonts w:ascii="Arial Narrow" w:hAnsi="Arial Narrow"/>
                <w:sz w:val="20"/>
                <w:szCs w:val="20"/>
              </w:rPr>
            </w:pPr>
            <w:r>
              <w:rPr>
                <w:rFonts w:ascii="Arial Narrow" w:hAnsi="Arial Narrow"/>
                <w:noProof/>
                <w:color w:val="000000"/>
                <w:sz w:val="20"/>
                <w:szCs w:val="20"/>
                <w:highlight w:val="black"/>
              </w:rPr>
              <w:t>'''''''''''''''''</w:t>
            </w:r>
            <w:r w:rsidR="008377BF" w:rsidRPr="00D7671F">
              <w:rPr>
                <w:rFonts w:ascii="Arial Narrow" w:hAnsi="Arial Narrow"/>
                <w:sz w:val="20"/>
                <w:szCs w:val="20"/>
                <w:vertAlign w:val="superscript"/>
              </w:rPr>
              <w:t>8</w:t>
            </w:r>
          </w:p>
        </w:tc>
        <w:tc>
          <w:tcPr>
            <w:tcW w:w="601" w:type="pct"/>
          </w:tcPr>
          <w:p w:rsidR="007A6BED" w:rsidRPr="00FD0FC2" w:rsidRDefault="007A6BED" w:rsidP="00564123">
            <w:pPr>
              <w:pStyle w:val="TableParagraph"/>
              <w:keepNext/>
              <w:keepLines/>
              <w:kinsoku w:val="0"/>
              <w:overflowPunct w:val="0"/>
              <w:spacing w:before="12"/>
              <w:ind w:left="0"/>
              <w:jc w:val="left"/>
              <w:rPr>
                <w:rFonts w:ascii="Arial Narrow" w:hAnsi="Arial Narrow"/>
                <w:b/>
                <w:bCs/>
                <w:sz w:val="20"/>
                <w:szCs w:val="20"/>
              </w:rPr>
            </w:pPr>
          </w:p>
          <w:p w:rsidR="007A6BED" w:rsidRPr="00FD0FC2" w:rsidRDefault="00FD0FC2" w:rsidP="00564123">
            <w:pPr>
              <w:pStyle w:val="TableParagraph"/>
              <w:keepNext/>
              <w:keepLines/>
              <w:kinsoku w:val="0"/>
              <w:overflowPunct w:val="0"/>
              <w:spacing w:before="0"/>
              <w:ind w:right="139"/>
              <w:rPr>
                <w:rFonts w:ascii="Arial Narrow" w:hAnsi="Arial Narrow"/>
                <w:sz w:val="20"/>
                <w:szCs w:val="20"/>
              </w:rPr>
            </w:pPr>
            <w:r>
              <w:rPr>
                <w:rFonts w:ascii="Arial Narrow" w:hAnsi="Arial Narrow"/>
                <w:noProof/>
                <w:color w:val="000000"/>
                <w:sz w:val="20"/>
                <w:szCs w:val="20"/>
                <w:highlight w:val="black"/>
              </w:rPr>
              <w:t>''''''''''''''''''</w:t>
            </w:r>
            <w:r w:rsidR="008377BF" w:rsidRPr="00D7671F">
              <w:rPr>
                <w:rFonts w:ascii="Arial Narrow" w:hAnsi="Arial Narrow"/>
                <w:sz w:val="20"/>
                <w:szCs w:val="20"/>
                <w:vertAlign w:val="superscript"/>
              </w:rPr>
              <w:t>8</w:t>
            </w:r>
          </w:p>
        </w:tc>
        <w:tc>
          <w:tcPr>
            <w:tcW w:w="601" w:type="pct"/>
          </w:tcPr>
          <w:p w:rsidR="007A6BED" w:rsidRPr="00FD0FC2" w:rsidRDefault="007A6BED" w:rsidP="00564123">
            <w:pPr>
              <w:pStyle w:val="TableParagraph"/>
              <w:keepNext/>
              <w:keepLines/>
              <w:kinsoku w:val="0"/>
              <w:overflowPunct w:val="0"/>
              <w:spacing w:before="12"/>
              <w:ind w:left="0"/>
              <w:jc w:val="left"/>
              <w:rPr>
                <w:rFonts w:ascii="Arial Narrow" w:hAnsi="Arial Narrow"/>
                <w:b/>
                <w:bCs/>
                <w:sz w:val="20"/>
                <w:szCs w:val="20"/>
              </w:rPr>
            </w:pPr>
          </w:p>
          <w:p w:rsidR="007A6BED" w:rsidRPr="00FD0FC2" w:rsidRDefault="00FD0FC2" w:rsidP="00564123">
            <w:pPr>
              <w:pStyle w:val="TableParagraph"/>
              <w:keepNext/>
              <w:keepLines/>
              <w:kinsoku w:val="0"/>
              <w:overflowPunct w:val="0"/>
              <w:spacing w:before="0"/>
              <w:ind w:left="141" w:right="137"/>
              <w:rPr>
                <w:rFonts w:ascii="Arial Narrow" w:hAnsi="Arial Narrow"/>
                <w:sz w:val="20"/>
                <w:szCs w:val="20"/>
              </w:rPr>
            </w:pPr>
            <w:r>
              <w:rPr>
                <w:rFonts w:ascii="Arial Narrow" w:hAnsi="Arial Narrow"/>
                <w:noProof/>
                <w:color w:val="000000"/>
                <w:sz w:val="20"/>
                <w:szCs w:val="20"/>
                <w:highlight w:val="black"/>
              </w:rPr>
              <w:t>'''''''''''''''''</w:t>
            </w:r>
            <w:r w:rsidR="008377BF" w:rsidRPr="00D7671F">
              <w:rPr>
                <w:rFonts w:ascii="Arial Narrow" w:hAnsi="Arial Narrow"/>
                <w:sz w:val="20"/>
                <w:szCs w:val="20"/>
                <w:vertAlign w:val="superscript"/>
              </w:rPr>
              <w:t>8</w:t>
            </w:r>
          </w:p>
        </w:tc>
      </w:tr>
    </w:tbl>
    <w:p w:rsidR="007A6BED" w:rsidRDefault="007A6BED" w:rsidP="00564123">
      <w:pPr>
        <w:pStyle w:val="TableFigureFooter"/>
        <w:keepNext/>
        <w:keepLines/>
      </w:pPr>
      <w:r w:rsidRPr="00A4659F">
        <w:t xml:space="preserve">Source: </w:t>
      </w:r>
      <w:r w:rsidR="0022730C" w:rsidRPr="00A4659F">
        <w:t>T</w:t>
      </w:r>
      <w:r w:rsidRPr="00A4659F">
        <w:t>able 4.5, p4</w:t>
      </w:r>
      <w:r w:rsidR="0086559F" w:rsidRPr="00A4659F">
        <w:t>6</w:t>
      </w:r>
      <w:r w:rsidRPr="00A4659F">
        <w:t xml:space="preserve"> of the submission main body.</w:t>
      </w:r>
    </w:p>
    <w:p w:rsidR="00990597" w:rsidRPr="00FD0FC2" w:rsidRDefault="00990597" w:rsidP="00564123">
      <w:pPr>
        <w:pStyle w:val="TableFigureFooter"/>
        <w:keepNext/>
        <w:keepLines/>
        <w:rPr>
          <w:i/>
        </w:rPr>
      </w:pPr>
      <w:r w:rsidRPr="00FD0FC2">
        <w:rPr>
          <w:i/>
        </w:rPr>
        <w:t>The redacted values correspond to the following ranges:</w:t>
      </w:r>
    </w:p>
    <w:p w:rsidR="00990597" w:rsidRPr="00FD0FC2" w:rsidRDefault="00990597" w:rsidP="00564123">
      <w:pPr>
        <w:pStyle w:val="TableFigureFooter"/>
        <w:keepNext/>
        <w:keepLines/>
        <w:rPr>
          <w:i/>
        </w:rPr>
      </w:pPr>
      <w:r w:rsidRPr="00FD0FC2">
        <w:rPr>
          <w:i/>
          <w:vertAlign w:val="superscript"/>
        </w:rPr>
        <w:t>1</w:t>
      </w:r>
      <w:r w:rsidRPr="00FD0FC2">
        <w:rPr>
          <w:i/>
        </w:rPr>
        <w:t>30,000 to &lt;40,000</w:t>
      </w:r>
    </w:p>
    <w:p w:rsidR="00990597" w:rsidRPr="00FD0FC2" w:rsidRDefault="00990597" w:rsidP="00564123">
      <w:pPr>
        <w:pStyle w:val="TableFigureFooter"/>
        <w:keepNext/>
        <w:keepLines/>
        <w:rPr>
          <w:i/>
        </w:rPr>
      </w:pPr>
      <w:r w:rsidRPr="00FD0FC2">
        <w:rPr>
          <w:i/>
          <w:vertAlign w:val="superscript"/>
        </w:rPr>
        <w:t>2</w:t>
      </w:r>
      <w:r w:rsidRPr="00FD0FC2">
        <w:rPr>
          <w:i/>
        </w:rPr>
        <w:t>50,000 to &lt;60,000</w:t>
      </w:r>
    </w:p>
    <w:p w:rsidR="00990597" w:rsidRPr="00FD0FC2" w:rsidRDefault="00990597" w:rsidP="00564123">
      <w:pPr>
        <w:pStyle w:val="TableFigureFooter"/>
        <w:keepNext/>
        <w:keepLines/>
        <w:rPr>
          <w:i/>
        </w:rPr>
      </w:pPr>
      <w:r w:rsidRPr="00FD0FC2">
        <w:rPr>
          <w:i/>
          <w:vertAlign w:val="superscript"/>
        </w:rPr>
        <w:t>3</w:t>
      </w:r>
      <w:r w:rsidRPr="00FD0FC2">
        <w:rPr>
          <w:i/>
        </w:rPr>
        <w:t>60,000 to &lt;70,000</w:t>
      </w:r>
    </w:p>
    <w:p w:rsidR="00990597" w:rsidRPr="00FD0FC2" w:rsidRDefault="00990597" w:rsidP="00564123">
      <w:pPr>
        <w:pStyle w:val="TableFigureFooter"/>
        <w:keepNext/>
        <w:keepLines/>
        <w:rPr>
          <w:i/>
        </w:rPr>
      </w:pPr>
      <w:r w:rsidRPr="00FD0FC2">
        <w:rPr>
          <w:i/>
          <w:vertAlign w:val="superscript"/>
        </w:rPr>
        <w:t>4</w:t>
      </w:r>
      <w:r w:rsidRPr="00FD0FC2">
        <w:rPr>
          <w:i/>
        </w:rPr>
        <w:t>80,000 to &lt;90,000</w:t>
      </w:r>
    </w:p>
    <w:p w:rsidR="00990597" w:rsidRPr="00FD0FC2" w:rsidRDefault="00990597" w:rsidP="00564123">
      <w:pPr>
        <w:pStyle w:val="TableFigureFooter"/>
        <w:keepNext/>
        <w:keepLines/>
        <w:rPr>
          <w:i/>
        </w:rPr>
      </w:pPr>
      <w:r w:rsidRPr="00FD0FC2">
        <w:rPr>
          <w:i/>
          <w:vertAlign w:val="superscript"/>
        </w:rPr>
        <w:t>5</w:t>
      </w:r>
      <w:r w:rsidRPr="00FD0FC2">
        <w:rPr>
          <w:i/>
        </w:rPr>
        <w:t>90,000 to &lt;100,000</w:t>
      </w:r>
    </w:p>
    <w:p w:rsidR="00990597" w:rsidRPr="00FD0FC2" w:rsidRDefault="00990597" w:rsidP="00564123">
      <w:pPr>
        <w:pStyle w:val="TableFigureFooter"/>
        <w:keepNext/>
        <w:keepLines/>
        <w:rPr>
          <w:i/>
        </w:rPr>
      </w:pPr>
      <w:r w:rsidRPr="00FD0FC2">
        <w:rPr>
          <w:i/>
          <w:vertAlign w:val="superscript"/>
        </w:rPr>
        <w:t>6</w:t>
      </w:r>
      <w:r w:rsidRPr="00FD0FC2">
        <w:rPr>
          <w:i/>
        </w:rPr>
        <w:t>5,000 to &lt;10,000</w:t>
      </w:r>
    </w:p>
    <w:p w:rsidR="00990597" w:rsidRPr="00FD0FC2" w:rsidRDefault="00990597" w:rsidP="00564123">
      <w:pPr>
        <w:pStyle w:val="TableFigureFooter"/>
        <w:keepNext/>
        <w:keepLines/>
        <w:rPr>
          <w:i/>
        </w:rPr>
      </w:pPr>
      <w:r w:rsidRPr="00FD0FC2">
        <w:rPr>
          <w:i/>
          <w:vertAlign w:val="superscript"/>
        </w:rPr>
        <w:t>7</w:t>
      </w:r>
      <w:r w:rsidRPr="00FD0FC2">
        <w:rPr>
          <w:i/>
        </w:rPr>
        <w:t>10,000 to &lt;20,000</w:t>
      </w:r>
    </w:p>
    <w:p w:rsidR="00990597" w:rsidRPr="00FD0FC2" w:rsidRDefault="00990597" w:rsidP="00564123">
      <w:pPr>
        <w:pStyle w:val="TableFigureFooter"/>
        <w:keepNext/>
        <w:keepLines/>
        <w:rPr>
          <w:i/>
        </w:rPr>
      </w:pPr>
      <w:r w:rsidRPr="00FD0FC2">
        <w:rPr>
          <w:i/>
          <w:vertAlign w:val="superscript"/>
        </w:rPr>
        <w:t>8</w:t>
      </w:r>
      <w:r w:rsidRPr="00FD0FC2">
        <w:rPr>
          <w:i/>
        </w:rPr>
        <w:t>20,000 to &lt;30,000</w:t>
      </w:r>
    </w:p>
    <w:p w:rsidR="009F656A" w:rsidRPr="00A4659F" w:rsidRDefault="009F656A" w:rsidP="0022229C">
      <w:pPr>
        <w:pStyle w:val="3Bodytext"/>
      </w:pPr>
      <w:r w:rsidRPr="00A4659F">
        <w:t xml:space="preserve">Based on historical PBS </w:t>
      </w:r>
      <w:r w:rsidR="00046DC6" w:rsidRPr="00A4659F">
        <w:t xml:space="preserve">prescription </w:t>
      </w:r>
      <w:r w:rsidRPr="00A4659F">
        <w:t xml:space="preserve">data, the Department </w:t>
      </w:r>
      <w:r w:rsidR="00BC7B58" w:rsidRPr="00A4659F">
        <w:t xml:space="preserve">estimated </w:t>
      </w:r>
      <w:r w:rsidRPr="00A4659F">
        <w:t xml:space="preserve">an average annual growth rate of </w:t>
      </w:r>
      <w:r w:rsidR="00705DB8" w:rsidRPr="00A4659F">
        <w:t>1.04</w:t>
      </w:r>
      <w:r w:rsidRPr="00A4659F">
        <w:t>%</w:t>
      </w:r>
      <w:r w:rsidR="00705DB8" w:rsidRPr="00A4659F">
        <w:t xml:space="preserve"> between January 2021 and December 2025</w:t>
      </w:r>
      <w:r w:rsidRPr="00A4659F">
        <w:t>.</w:t>
      </w:r>
    </w:p>
    <w:p w:rsidR="000C76A0" w:rsidRPr="00A4659F" w:rsidRDefault="009C3914" w:rsidP="00BB066F">
      <w:pPr>
        <w:pStyle w:val="3Bodytext"/>
        <w:jc w:val="both"/>
      </w:pPr>
      <w:r w:rsidRPr="00A4659F">
        <w:t>As</w:t>
      </w:r>
      <w:r w:rsidR="0086559F" w:rsidRPr="00A4659F">
        <w:t xml:space="preserve"> this is</w:t>
      </w:r>
      <w:r w:rsidRPr="00A4659F">
        <w:t xml:space="preserve"> a minor submission, the financial estimates have not been independently evaluated.</w:t>
      </w:r>
    </w:p>
    <w:p w:rsidR="00800AC2" w:rsidRPr="00A4659F" w:rsidRDefault="00800AC2" w:rsidP="00A77107">
      <w:pPr>
        <w:pStyle w:val="3Bodytext"/>
        <w:numPr>
          <w:ilvl w:val="0"/>
          <w:numId w:val="0"/>
        </w:numPr>
        <w:rPr>
          <w:i/>
        </w:rPr>
      </w:pPr>
      <w:r w:rsidRPr="00A4659F">
        <w:rPr>
          <w:i/>
        </w:rPr>
        <w:t xml:space="preserve">For more detail on PBAC’s view, see section </w:t>
      </w:r>
      <w:r w:rsidR="002F1975">
        <w:rPr>
          <w:i/>
        </w:rPr>
        <w:t>6</w:t>
      </w:r>
      <w:r w:rsidRPr="00A4659F">
        <w:rPr>
          <w:i/>
        </w:rPr>
        <w:t xml:space="preserve"> PBAC outcome</w:t>
      </w:r>
    </w:p>
    <w:p w:rsidR="00F6318A" w:rsidRPr="00A4659F" w:rsidRDefault="00F6318A" w:rsidP="00F6318A">
      <w:pPr>
        <w:pStyle w:val="Heading1"/>
        <w:keepLines/>
        <w:numPr>
          <w:ilvl w:val="0"/>
          <w:numId w:val="1"/>
        </w:numPr>
        <w:spacing w:before="240"/>
        <w:ind w:left="709" w:hanging="709"/>
        <w:rPr>
          <w:rFonts w:cstheme="minorHAnsi"/>
          <w:sz w:val="32"/>
          <w:szCs w:val="32"/>
        </w:rPr>
      </w:pPr>
      <w:r w:rsidRPr="00A4659F">
        <w:rPr>
          <w:rFonts w:cstheme="minorHAnsi"/>
          <w:sz w:val="32"/>
          <w:szCs w:val="32"/>
        </w:rPr>
        <w:t>PBAC Outcome</w:t>
      </w:r>
    </w:p>
    <w:p w:rsidR="00F6318A" w:rsidRPr="00A4659F" w:rsidRDefault="0075113B" w:rsidP="00BB066F">
      <w:pPr>
        <w:pStyle w:val="3Bodytext"/>
        <w:jc w:val="both"/>
      </w:pPr>
      <w:r w:rsidRPr="00A4659F">
        <w:t xml:space="preserve">The PBAC recommended </w:t>
      </w:r>
      <w:r w:rsidR="00AA5E52" w:rsidRPr="00A4659F">
        <w:t xml:space="preserve">the </w:t>
      </w:r>
      <w:r w:rsidR="00C246EC" w:rsidRPr="00A4659F">
        <w:t xml:space="preserve">administrative advice for the restriction be </w:t>
      </w:r>
      <w:r w:rsidR="00AA5E52" w:rsidRPr="00A4659F">
        <w:t>amend</w:t>
      </w:r>
      <w:r w:rsidR="00C246EC" w:rsidRPr="00A4659F">
        <w:t>ed to specify scrotal application and that</w:t>
      </w:r>
      <w:r w:rsidR="00AA5E52" w:rsidRPr="00A4659F">
        <w:t xml:space="preserve"> </w:t>
      </w:r>
      <w:r w:rsidR="00E55D8A" w:rsidRPr="00A4659F">
        <w:t xml:space="preserve">the maximum number of repeats </w:t>
      </w:r>
      <w:r w:rsidR="00C246EC" w:rsidRPr="00A4659F">
        <w:t>be</w:t>
      </w:r>
      <w:r w:rsidR="00E55D8A" w:rsidRPr="00A4659F">
        <w:t xml:space="preserve"> reduced to </w:t>
      </w:r>
      <w:r w:rsidR="00431126" w:rsidRPr="00A4659F">
        <w:t>1</w:t>
      </w:r>
      <w:r w:rsidR="00E55D8A" w:rsidRPr="00A4659F">
        <w:t>.</w:t>
      </w:r>
    </w:p>
    <w:p w:rsidR="00184BC4" w:rsidRPr="00A4659F" w:rsidRDefault="005E288D" w:rsidP="00184BC4">
      <w:pPr>
        <w:pStyle w:val="3Bodytext"/>
        <w:jc w:val="both"/>
      </w:pPr>
      <w:r w:rsidRPr="00A4659F">
        <w:t xml:space="preserve">The PBAC considered that </w:t>
      </w:r>
      <w:r w:rsidR="00BB071D" w:rsidRPr="00A4659F">
        <w:t>the evidence presented did not support a reconsideration of the equi-effective dose of testosterone. The PBAC considered that there was considerable variation between the dose applied to upper body (100 mg) and scrotum (25 mg)</w:t>
      </w:r>
      <w:r w:rsidR="00710392" w:rsidRPr="00A4659F">
        <w:t xml:space="preserve">, and </w:t>
      </w:r>
      <w:r w:rsidR="00686CF6" w:rsidRPr="00A4659F">
        <w:t xml:space="preserve">considered, based on the </w:t>
      </w:r>
      <w:r w:rsidR="00184BC4" w:rsidRPr="00A4659F">
        <w:t xml:space="preserve">evidence </w:t>
      </w:r>
      <w:r w:rsidR="00686CF6" w:rsidRPr="00A4659F">
        <w:t xml:space="preserve">provided, </w:t>
      </w:r>
      <w:r w:rsidR="00A8482C" w:rsidRPr="00A4659F">
        <w:t xml:space="preserve">the </w:t>
      </w:r>
      <w:r w:rsidR="00184BC4" w:rsidRPr="00A4659F">
        <w:t xml:space="preserve">proportion of patients that will </w:t>
      </w:r>
      <w:r w:rsidR="00686CF6" w:rsidRPr="00A4659F">
        <w:t>achieve a clinical benefit with a</w:t>
      </w:r>
      <w:r w:rsidR="00184BC4" w:rsidRPr="00A4659F">
        <w:t xml:space="preserve"> 25 mg daily dose</w:t>
      </w:r>
      <w:r w:rsidR="00431126" w:rsidRPr="00A4659F">
        <w:t xml:space="preserve"> is uncertain</w:t>
      </w:r>
      <w:r w:rsidR="00184BC4" w:rsidRPr="00A4659F">
        <w:t xml:space="preserve">. The PBAC therefore </w:t>
      </w:r>
      <w:r w:rsidR="00B005F1" w:rsidRPr="00A4659F">
        <w:t xml:space="preserve">advised that if a single </w:t>
      </w:r>
      <w:r w:rsidR="00686CF6" w:rsidRPr="00A4659F">
        <w:t>restriction</w:t>
      </w:r>
      <w:r w:rsidR="00B005F1" w:rsidRPr="00A4659F">
        <w:t xml:space="preserve"> is maintained with one repeat for scrotal application, </w:t>
      </w:r>
      <w:r w:rsidR="00896631" w:rsidRPr="00A4659F">
        <w:t xml:space="preserve">the </w:t>
      </w:r>
      <w:r w:rsidR="00B005F1" w:rsidRPr="00A4659F">
        <w:t xml:space="preserve">premium </w:t>
      </w:r>
      <w:r w:rsidR="00431126" w:rsidRPr="00A4659F">
        <w:t xml:space="preserve">amount </w:t>
      </w:r>
      <w:r w:rsidR="00896631" w:rsidRPr="00A4659F">
        <w:t>requested</w:t>
      </w:r>
      <w:r w:rsidR="00431126" w:rsidRPr="00A4659F">
        <w:t xml:space="preserve"> </w:t>
      </w:r>
      <w:r w:rsidR="00B005F1" w:rsidRPr="00A4659F">
        <w:t xml:space="preserve">above the current unit price of Androforte 5 is appropriate. </w:t>
      </w:r>
    </w:p>
    <w:p w:rsidR="00686CF6" w:rsidRDefault="00686CF6" w:rsidP="00184BC4">
      <w:pPr>
        <w:pStyle w:val="3Bodytext"/>
        <w:jc w:val="both"/>
      </w:pPr>
      <w:r w:rsidRPr="00A4659F">
        <w:t>The PBAC noted the sponsor</w:t>
      </w:r>
      <w:r w:rsidR="00B62594" w:rsidRPr="00A4659F">
        <w:t>’</w:t>
      </w:r>
      <w:r w:rsidRPr="00A4659F">
        <w:t>s claim that the requested price increase would be cost neutral to the PBS</w:t>
      </w:r>
      <w:r w:rsidR="00DB29D8" w:rsidRPr="00A4659F">
        <w:t>. The PBAC</w:t>
      </w:r>
      <w:r w:rsidRPr="00A4659F">
        <w:t xml:space="preserve"> considered </w:t>
      </w:r>
      <w:r w:rsidR="00B62594" w:rsidRPr="00A4659F">
        <w:t xml:space="preserve">that </w:t>
      </w:r>
      <w:r w:rsidR="00DB29D8" w:rsidRPr="00A4659F">
        <w:t xml:space="preserve">it was appropriate that </w:t>
      </w:r>
      <w:r w:rsidR="00A71B8C" w:rsidRPr="00A4659F">
        <w:t>the requested</w:t>
      </w:r>
      <w:r w:rsidR="00B62594" w:rsidRPr="00A4659F">
        <w:t xml:space="preserve"> </w:t>
      </w:r>
      <w:r w:rsidR="00B62594" w:rsidRPr="00A4659F">
        <w:lastRenderedPageBreak/>
        <w:t>price increase</w:t>
      </w:r>
      <w:r w:rsidR="00A71B8C" w:rsidRPr="00A4659F">
        <w:t xml:space="preserve"> and change in the restriction to reduce the number of repeats to 1 and specify the application site as scrotal, </w:t>
      </w:r>
      <w:r w:rsidR="00DB29D8" w:rsidRPr="00A4659F">
        <w:t>should not result in any</w:t>
      </w:r>
      <w:r w:rsidR="00B62594" w:rsidRPr="00A4659F">
        <w:t xml:space="preserve"> additional cost to the </w:t>
      </w:r>
      <w:r w:rsidR="00A71B8C" w:rsidRPr="00A4659F">
        <w:t>PBS</w:t>
      </w:r>
      <w:r w:rsidR="00AA0737" w:rsidRPr="00A4659F">
        <w:t>.</w:t>
      </w:r>
    </w:p>
    <w:p w:rsidR="00A65C1C" w:rsidRPr="00A4659F" w:rsidRDefault="00A65C1C" w:rsidP="00184BC4">
      <w:pPr>
        <w:pStyle w:val="3Bodytext"/>
        <w:jc w:val="both"/>
      </w:pPr>
      <w:r>
        <w:t xml:space="preserve">The PBAC noted that, consistent with section 84 of the </w:t>
      </w:r>
      <w:r>
        <w:rPr>
          <w:i/>
        </w:rPr>
        <w:t>National Health Act 1953</w:t>
      </w:r>
      <w:r>
        <w:t>, the AEMP</w:t>
      </w:r>
      <w:r w:rsidRPr="00A65C1C">
        <w:t> </w:t>
      </w:r>
      <w:r>
        <w:t xml:space="preserve">is </w:t>
      </w:r>
      <w:r w:rsidRPr="00A65C1C">
        <w:t>the appropriate maximum price of the brand of the pharmaceutical item</w:t>
      </w:r>
      <w:r>
        <w:t xml:space="preserve"> made up of the drug, form and manner of administration. The PBAC therefore noted, given the same pharmaceutical item could be applied to both the torso and scrotum, it would not be possible to have different AEMPs for different sites of application.</w:t>
      </w:r>
    </w:p>
    <w:p w:rsidR="00B005F1" w:rsidRPr="00A4659F" w:rsidRDefault="00831630" w:rsidP="00184BC4">
      <w:pPr>
        <w:pStyle w:val="3Bodytext"/>
        <w:jc w:val="both"/>
      </w:pPr>
      <w:r w:rsidRPr="00A4659F">
        <w:rPr>
          <w:rFonts w:cs="Arial"/>
          <w:bCs/>
          <w:snapToGrid w:val="0"/>
        </w:rPr>
        <w:t>The PBAC</w:t>
      </w:r>
      <w:r w:rsidR="007C2609" w:rsidRPr="00A4659F">
        <w:rPr>
          <w:rFonts w:cs="Arial"/>
          <w:bCs/>
          <w:snapToGrid w:val="0"/>
        </w:rPr>
        <w:t xml:space="preserve"> reiterated its previous advice</w:t>
      </w:r>
      <w:r w:rsidRPr="00A4659F">
        <w:rPr>
          <w:rFonts w:cs="Arial"/>
          <w:bCs/>
          <w:snapToGrid w:val="0"/>
        </w:rPr>
        <w:t xml:space="preserve"> that Androforte 5 is not suitable for prescribing by nurse practitioners.</w:t>
      </w:r>
    </w:p>
    <w:p w:rsidR="007C2609" w:rsidRPr="00A4659F" w:rsidRDefault="007C2609" w:rsidP="00184BC4">
      <w:pPr>
        <w:pStyle w:val="3Bodytext"/>
        <w:jc w:val="both"/>
      </w:pPr>
      <w:r w:rsidRPr="00A4659F">
        <w:rPr>
          <w:rFonts w:cstheme="minorHAnsi"/>
        </w:rPr>
        <w:t>The PBAC reiterated its previous advice that the Early Supply Rule should not apply to AndroForte 5.</w:t>
      </w:r>
    </w:p>
    <w:p w:rsidR="002F0296" w:rsidRPr="00A4659F" w:rsidRDefault="002F0296" w:rsidP="002F0296">
      <w:pPr>
        <w:pStyle w:val="3Bodytext"/>
      </w:pPr>
      <w:r w:rsidRPr="00A4659F">
        <w:t>The PBAC considered that AndroForte 5 does not meet the criteria prescribed for Pricing Pathway A.</w:t>
      </w:r>
    </w:p>
    <w:p w:rsidR="007C2609" w:rsidRPr="00A4659F" w:rsidRDefault="007C2609" w:rsidP="002F0296">
      <w:pPr>
        <w:pStyle w:val="3Bodytext"/>
      </w:pPr>
      <w:r w:rsidRPr="00A4659F">
        <w:rPr>
          <w:rFonts w:cs="Arial"/>
          <w:bCs/>
          <w:snapToGrid w:val="0"/>
        </w:rPr>
        <w:t>The PBAC noted that this submission is not eligible for an Independent Review</w:t>
      </w:r>
      <w:r w:rsidR="00AA0737" w:rsidRPr="00A4659F">
        <w:rPr>
          <w:rFonts w:cs="Arial"/>
          <w:bCs/>
          <w:snapToGrid w:val="0"/>
        </w:rPr>
        <w:t xml:space="preserve"> because it received a positive recommendation</w:t>
      </w:r>
      <w:r w:rsidRPr="00A4659F">
        <w:rPr>
          <w:rFonts w:cs="Arial"/>
          <w:bCs/>
          <w:snapToGrid w:val="0"/>
        </w:rPr>
        <w:t>.</w:t>
      </w:r>
    </w:p>
    <w:p w:rsidR="00B005F1" w:rsidRPr="00A4659F" w:rsidRDefault="00B005F1" w:rsidP="00B005F1">
      <w:pPr>
        <w:spacing w:before="240"/>
        <w:rPr>
          <w:rFonts w:asciiTheme="minorHAnsi" w:hAnsiTheme="minorHAnsi" w:cs="Arial"/>
          <w:b/>
          <w:bCs/>
          <w:snapToGrid w:val="0"/>
        </w:rPr>
      </w:pPr>
      <w:r w:rsidRPr="00A4659F">
        <w:rPr>
          <w:rFonts w:asciiTheme="minorHAnsi" w:hAnsiTheme="minorHAnsi" w:cs="Arial"/>
          <w:b/>
          <w:bCs/>
          <w:snapToGrid w:val="0"/>
        </w:rPr>
        <w:t>Outcome:</w:t>
      </w:r>
    </w:p>
    <w:p w:rsidR="00B005F1" w:rsidRPr="00A4659F" w:rsidRDefault="00B005F1" w:rsidP="00B005F1">
      <w:pPr>
        <w:rPr>
          <w:rFonts w:asciiTheme="minorHAnsi" w:hAnsiTheme="minorHAnsi" w:cs="Arial"/>
          <w:bCs/>
          <w:snapToGrid w:val="0"/>
        </w:rPr>
      </w:pPr>
      <w:r w:rsidRPr="00A4659F">
        <w:rPr>
          <w:rFonts w:asciiTheme="minorHAnsi" w:hAnsiTheme="minorHAnsi" w:cs="Arial"/>
          <w:bCs/>
          <w:snapToGrid w:val="0"/>
        </w:rPr>
        <w:t xml:space="preserve">Recommended </w:t>
      </w:r>
    </w:p>
    <w:p w:rsidR="007C2609" w:rsidRPr="00A4659F" w:rsidRDefault="007C2609" w:rsidP="00B005F1">
      <w:pPr>
        <w:rPr>
          <w:rFonts w:asciiTheme="minorHAnsi" w:hAnsiTheme="minorHAnsi" w:cs="Arial"/>
          <w:bCs/>
          <w:snapToGrid w:val="0"/>
        </w:rPr>
      </w:pPr>
    </w:p>
    <w:p w:rsidR="00B005F1" w:rsidRPr="00A4659F" w:rsidRDefault="00B005F1" w:rsidP="00B005F1"/>
    <w:p w:rsidR="00B005F1" w:rsidRPr="00A4659F" w:rsidRDefault="00B005F1" w:rsidP="002F0296">
      <w:pPr>
        <w:pStyle w:val="2-SectionHeading"/>
        <w:keepLines/>
      </w:pPr>
      <w:r w:rsidRPr="00A4659F">
        <w:t>Recommended listing</w:t>
      </w:r>
    </w:p>
    <w:p w:rsidR="00B005F1" w:rsidRPr="00A4659F" w:rsidRDefault="00C246EC" w:rsidP="002F0296">
      <w:pPr>
        <w:pStyle w:val="3Bodytext"/>
        <w:keepNext/>
        <w:keepLines/>
        <w:numPr>
          <w:ilvl w:val="0"/>
          <w:numId w:val="0"/>
        </w:numPr>
        <w:rPr>
          <w:i/>
        </w:rPr>
      </w:pPr>
      <w:r w:rsidRPr="00A4659F">
        <w:rPr>
          <w:i/>
        </w:rPr>
        <w:t>Amend existing listing</w:t>
      </w:r>
      <w:r w:rsidR="00B005F1" w:rsidRPr="00A4659F">
        <w:rPr>
          <w:i/>
        </w:rPr>
        <w:t xml:space="preserve"> </w:t>
      </w:r>
      <w:r w:rsidR="00AD107D" w:rsidRPr="00A4659F">
        <w:rPr>
          <w:i/>
        </w:rPr>
        <w:t xml:space="preserve">for PBS item 10378F </w:t>
      </w:r>
      <w:r w:rsidR="00B005F1" w:rsidRPr="00A4659F">
        <w:rPr>
          <w:i/>
        </w:rPr>
        <w:t>as follows:</w:t>
      </w:r>
    </w:p>
    <w:p w:rsidR="00AD107D" w:rsidRPr="00A4659F" w:rsidRDefault="00AD107D" w:rsidP="002F0296">
      <w:pPr>
        <w:pStyle w:val="3Bodytext"/>
        <w:keepNext/>
        <w:keepLines/>
        <w:numPr>
          <w:ilvl w:val="0"/>
          <w:numId w:val="0"/>
        </w:numPr>
        <w:rPr>
          <w:i/>
        </w:rPr>
      </w:pPr>
      <w:r w:rsidRPr="00A4659F">
        <w:rPr>
          <w:i/>
        </w:rPr>
        <w:t>Number of repeats changed from 6 to 1</w:t>
      </w:r>
    </w:p>
    <w:p w:rsidR="00B005F1" w:rsidRPr="00C40567" w:rsidRDefault="00B005F1" w:rsidP="002F0296">
      <w:pPr>
        <w:pStyle w:val="3Bodytext"/>
        <w:keepNext/>
        <w:keepLines/>
        <w:numPr>
          <w:ilvl w:val="0"/>
          <w:numId w:val="0"/>
        </w:numPr>
        <w:spacing w:after="0"/>
        <w:rPr>
          <w:sz w:val="20"/>
          <w:szCs w:val="20"/>
        </w:rPr>
      </w:pPr>
      <w:r w:rsidRPr="00C40567">
        <w:rPr>
          <w:rFonts w:ascii="Arial Narrow" w:hAnsi="Arial Narrow" w:cs="Calibri"/>
          <w:b/>
          <w:bCs/>
          <w:color w:val="000000"/>
          <w:sz w:val="20"/>
          <w:szCs w:val="20"/>
        </w:rPr>
        <w:t>Requested listing</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4"/>
        <w:gridCol w:w="958"/>
        <w:gridCol w:w="959"/>
        <w:gridCol w:w="798"/>
        <w:gridCol w:w="1759"/>
      </w:tblGrid>
      <w:tr w:rsidR="00B005F1" w:rsidRPr="00C40567" w:rsidTr="00E55D8A">
        <w:trPr>
          <w:cantSplit/>
          <w:trHeight w:val="535"/>
          <w:jc w:val="center"/>
        </w:trPr>
        <w:tc>
          <w:tcPr>
            <w:tcW w:w="4484" w:type="dxa"/>
          </w:tcPr>
          <w:p w:rsidR="00B005F1" w:rsidRPr="00C40567" w:rsidRDefault="00B005F1" w:rsidP="002F0296">
            <w:pPr>
              <w:keepNext/>
              <w:keepLines/>
              <w:ind w:left="-108"/>
              <w:rPr>
                <w:rFonts w:ascii="Arial Narrow" w:hAnsi="Arial Narrow" w:cs="Arial"/>
                <w:b/>
                <w:bCs/>
                <w:sz w:val="20"/>
                <w:szCs w:val="20"/>
              </w:rPr>
            </w:pPr>
            <w:r w:rsidRPr="00C40567">
              <w:rPr>
                <w:rFonts w:ascii="Arial Narrow" w:hAnsi="Arial Narrow" w:cs="Arial"/>
                <w:b/>
                <w:bCs/>
                <w:sz w:val="20"/>
                <w:szCs w:val="20"/>
              </w:rPr>
              <w:t xml:space="preserve"> MEDICINAL PRODUCT</w:t>
            </w:r>
          </w:p>
          <w:p w:rsidR="00B005F1" w:rsidRPr="00C40567" w:rsidRDefault="00B005F1" w:rsidP="002F0296">
            <w:pPr>
              <w:keepNext/>
              <w:keepLines/>
              <w:ind w:left="-108"/>
              <w:rPr>
                <w:rFonts w:ascii="Arial Narrow" w:hAnsi="Arial Narrow" w:cs="Arial"/>
                <w:b/>
                <w:sz w:val="20"/>
                <w:szCs w:val="20"/>
              </w:rPr>
            </w:pPr>
            <w:r w:rsidRPr="00C40567">
              <w:rPr>
                <w:rFonts w:ascii="Arial Narrow" w:hAnsi="Arial Narrow" w:cs="Arial"/>
                <w:b/>
                <w:bCs/>
                <w:sz w:val="20"/>
                <w:szCs w:val="20"/>
              </w:rPr>
              <w:t xml:space="preserve"> Medicinal Product Pack</w:t>
            </w:r>
          </w:p>
        </w:tc>
        <w:tc>
          <w:tcPr>
            <w:tcW w:w="958" w:type="dxa"/>
          </w:tcPr>
          <w:p w:rsidR="00B005F1" w:rsidRPr="00C40567" w:rsidRDefault="00B005F1" w:rsidP="002F0296">
            <w:pPr>
              <w:keepNext/>
              <w:keepLines/>
              <w:ind w:left="-108"/>
              <w:jc w:val="center"/>
              <w:rPr>
                <w:rFonts w:ascii="Arial Narrow" w:hAnsi="Arial Narrow" w:cs="Arial"/>
                <w:b/>
                <w:sz w:val="20"/>
                <w:szCs w:val="20"/>
              </w:rPr>
            </w:pPr>
            <w:r w:rsidRPr="00C40567">
              <w:rPr>
                <w:rFonts w:ascii="Arial Narrow" w:hAnsi="Arial Narrow" w:cs="Arial"/>
                <w:b/>
                <w:sz w:val="20"/>
                <w:szCs w:val="20"/>
              </w:rPr>
              <w:t>Max. qty packs</w:t>
            </w:r>
          </w:p>
        </w:tc>
        <w:tc>
          <w:tcPr>
            <w:tcW w:w="959" w:type="dxa"/>
          </w:tcPr>
          <w:p w:rsidR="00B005F1" w:rsidRPr="00C40567" w:rsidRDefault="00B005F1" w:rsidP="002F0296">
            <w:pPr>
              <w:keepNext/>
              <w:keepLines/>
              <w:ind w:left="-108"/>
              <w:jc w:val="center"/>
              <w:rPr>
                <w:rFonts w:ascii="Arial Narrow" w:hAnsi="Arial Narrow" w:cs="Arial"/>
                <w:b/>
                <w:sz w:val="20"/>
                <w:szCs w:val="20"/>
              </w:rPr>
            </w:pPr>
            <w:r w:rsidRPr="00C40567">
              <w:rPr>
                <w:rFonts w:ascii="Arial Narrow" w:hAnsi="Arial Narrow" w:cs="Arial"/>
                <w:b/>
                <w:sz w:val="20"/>
                <w:szCs w:val="20"/>
              </w:rPr>
              <w:t>Max. qty units</w:t>
            </w:r>
          </w:p>
        </w:tc>
        <w:tc>
          <w:tcPr>
            <w:tcW w:w="798" w:type="dxa"/>
          </w:tcPr>
          <w:p w:rsidR="00B005F1" w:rsidRPr="00C40567" w:rsidRDefault="00B005F1" w:rsidP="002F0296">
            <w:pPr>
              <w:keepNext/>
              <w:keepLines/>
              <w:ind w:left="-108"/>
              <w:jc w:val="center"/>
              <w:rPr>
                <w:rFonts w:ascii="Arial Narrow" w:hAnsi="Arial Narrow" w:cs="Arial"/>
                <w:b/>
                <w:sz w:val="20"/>
                <w:szCs w:val="20"/>
              </w:rPr>
            </w:pPr>
            <w:r w:rsidRPr="00C40567">
              <w:rPr>
                <w:rFonts w:ascii="Arial Narrow" w:hAnsi="Arial Narrow" w:cs="Arial"/>
                <w:b/>
                <w:sz w:val="20"/>
                <w:szCs w:val="20"/>
              </w:rPr>
              <w:t>№.of</w:t>
            </w:r>
          </w:p>
          <w:p w:rsidR="00B005F1" w:rsidRPr="00C40567" w:rsidRDefault="00B005F1" w:rsidP="002F0296">
            <w:pPr>
              <w:keepNext/>
              <w:keepLines/>
              <w:ind w:left="-108"/>
              <w:jc w:val="center"/>
              <w:rPr>
                <w:rFonts w:ascii="Arial Narrow" w:hAnsi="Arial Narrow" w:cs="Arial"/>
                <w:b/>
                <w:sz w:val="20"/>
                <w:szCs w:val="20"/>
              </w:rPr>
            </w:pPr>
            <w:r w:rsidRPr="00C40567">
              <w:rPr>
                <w:rFonts w:ascii="Arial Narrow" w:hAnsi="Arial Narrow" w:cs="Arial"/>
                <w:b/>
                <w:sz w:val="20"/>
                <w:szCs w:val="20"/>
              </w:rPr>
              <w:t>Rpts</w:t>
            </w:r>
          </w:p>
        </w:tc>
        <w:tc>
          <w:tcPr>
            <w:tcW w:w="1759" w:type="dxa"/>
          </w:tcPr>
          <w:p w:rsidR="00B005F1" w:rsidRPr="00C40567" w:rsidRDefault="00B005F1" w:rsidP="002F0296">
            <w:pPr>
              <w:keepNext/>
              <w:keepLines/>
              <w:rPr>
                <w:rFonts w:ascii="Arial Narrow" w:hAnsi="Arial Narrow" w:cs="Arial"/>
                <w:b/>
                <w:sz w:val="20"/>
                <w:szCs w:val="20"/>
              </w:rPr>
            </w:pPr>
            <w:r w:rsidRPr="00C40567">
              <w:rPr>
                <w:rFonts w:ascii="Arial Narrow" w:hAnsi="Arial Narrow" w:cs="Arial"/>
                <w:b/>
                <w:sz w:val="20"/>
                <w:szCs w:val="20"/>
              </w:rPr>
              <w:t>Available brands</w:t>
            </w:r>
          </w:p>
        </w:tc>
      </w:tr>
      <w:tr w:rsidR="00B005F1" w:rsidRPr="00C40567" w:rsidTr="00E55D8A">
        <w:trPr>
          <w:cantSplit/>
          <w:trHeight w:val="587"/>
          <w:jc w:val="center"/>
        </w:trPr>
        <w:tc>
          <w:tcPr>
            <w:tcW w:w="4484" w:type="dxa"/>
            <w:vAlign w:val="center"/>
          </w:tcPr>
          <w:p w:rsidR="00B005F1" w:rsidRPr="00C40567" w:rsidRDefault="00B005F1" w:rsidP="002F0296">
            <w:pPr>
              <w:keepNext/>
              <w:keepLines/>
              <w:ind w:left="-108"/>
              <w:rPr>
                <w:rFonts w:ascii="Arial Narrow" w:hAnsi="Arial Narrow" w:cs="Arial"/>
                <w:sz w:val="20"/>
                <w:szCs w:val="20"/>
              </w:rPr>
            </w:pPr>
            <w:r w:rsidRPr="00C40567">
              <w:rPr>
                <w:rFonts w:ascii="Arial Narrow" w:hAnsi="Arial Narrow" w:cs="Arial"/>
                <w:sz w:val="20"/>
                <w:szCs w:val="20"/>
              </w:rPr>
              <w:t xml:space="preserve">  TESTOSTERONE</w:t>
            </w:r>
          </w:p>
          <w:p w:rsidR="00B005F1" w:rsidRPr="00C40567" w:rsidRDefault="00B005F1" w:rsidP="002F0296">
            <w:pPr>
              <w:keepNext/>
              <w:keepLines/>
              <w:rPr>
                <w:rFonts w:ascii="Arial Narrow" w:hAnsi="Arial Narrow" w:cs="Arial"/>
                <w:sz w:val="20"/>
                <w:szCs w:val="20"/>
              </w:rPr>
            </w:pPr>
            <w:r w:rsidRPr="00C40567">
              <w:rPr>
                <w:rFonts w:ascii="Arial Narrow" w:hAnsi="Arial Narrow" w:cs="Arial"/>
                <w:sz w:val="20"/>
                <w:szCs w:val="20"/>
              </w:rPr>
              <w:t>testosterone 5% (50 mg/mL) cream, 50 mL</w:t>
            </w:r>
          </w:p>
        </w:tc>
        <w:tc>
          <w:tcPr>
            <w:tcW w:w="958" w:type="dxa"/>
            <w:vAlign w:val="center"/>
          </w:tcPr>
          <w:p w:rsidR="00B005F1" w:rsidRPr="00C40567" w:rsidRDefault="00B005F1" w:rsidP="002F0296">
            <w:pPr>
              <w:keepNext/>
              <w:keepLines/>
              <w:jc w:val="center"/>
              <w:rPr>
                <w:rFonts w:ascii="Arial Narrow" w:hAnsi="Arial Narrow" w:cs="Arial"/>
                <w:sz w:val="20"/>
                <w:szCs w:val="20"/>
              </w:rPr>
            </w:pPr>
            <w:r w:rsidRPr="00C40567">
              <w:rPr>
                <w:rFonts w:ascii="Arial Narrow" w:hAnsi="Arial Narrow" w:cs="Arial"/>
                <w:sz w:val="20"/>
                <w:szCs w:val="20"/>
              </w:rPr>
              <w:t>1</w:t>
            </w:r>
          </w:p>
        </w:tc>
        <w:tc>
          <w:tcPr>
            <w:tcW w:w="959" w:type="dxa"/>
            <w:vAlign w:val="center"/>
          </w:tcPr>
          <w:p w:rsidR="00B005F1" w:rsidRPr="00C40567" w:rsidRDefault="00B005F1" w:rsidP="002F0296">
            <w:pPr>
              <w:keepNext/>
              <w:keepLines/>
              <w:ind w:left="-108"/>
              <w:jc w:val="center"/>
              <w:rPr>
                <w:rFonts w:ascii="Arial Narrow" w:hAnsi="Arial Narrow" w:cs="Arial"/>
                <w:sz w:val="20"/>
                <w:szCs w:val="20"/>
              </w:rPr>
            </w:pPr>
            <w:r w:rsidRPr="00C40567">
              <w:rPr>
                <w:rFonts w:ascii="Arial Narrow" w:hAnsi="Arial Narrow" w:cs="Arial"/>
                <w:sz w:val="20"/>
                <w:szCs w:val="20"/>
              </w:rPr>
              <w:t>1</w:t>
            </w:r>
          </w:p>
        </w:tc>
        <w:tc>
          <w:tcPr>
            <w:tcW w:w="798" w:type="dxa"/>
            <w:vAlign w:val="center"/>
          </w:tcPr>
          <w:p w:rsidR="00B005F1" w:rsidRPr="00C40567" w:rsidRDefault="00B005F1" w:rsidP="002F0296">
            <w:pPr>
              <w:keepNext/>
              <w:keepLines/>
              <w:ind w:left="-108"/>
              <w:jc w:val="center"/>
              <w:rPr>
                <w:rFonts w:ascii="Arial Narrow" w:hAnsi="Arial Narrow" w:cs="Arial"/>
                <w:strike/>
                <w:sz w:val="20"/>
                <w:szCs w:val="20"/>
              </w:rPr>
            </w:pPr>
            <w:r w:rsidRPr="00C40567">
              <w:rPr>
                <w:rFonts w:ascii="Arial Narrow" w:hAnsi="Arial Narrow" w:cs="Arial"/>
                <w:i/>
                <w:sz w:val="20"/>
                <w:szCs w:val="20"/>
              </w:rPr>
              <w:t>1</w:t>
            </w:r>
          </w:p>
        </w:tc>
        <w:tc>
          <w:tcPr>
            <w:tcW w:w="1759" w:type="dxa"/>
            <w:vAlign w:val="center"/>
          </w:tcPr>
          <w:p w:rsidR="00B005F1" w:rsidRPr="00C40567" w:rsidRDefault="00B005F1" w:rsidP="002F0296">
            <w:pPr>
              <w:keepNext/>
              <w:keepLines/>
              <w:rPr>
                <w:rFonts w:ascii="Arial Narrow" w:hAnsi="Arial Narrow" w:cs="Arial"/>
                <w:sz w:val="20"/>
                <w:szCs w:val="20"/>
              </w:rPr>
            </w:pPr>
            <w:r w:rsidRPr="00C40567">
              <w:rPr>
                <w:rFonts w:ascii="Arial Narrow" w:hAnsi="Arial Narrow" w:cs="Arial"/>
                <w:sz w:val="20"/>
                <w:szCs w:val="20"/>
              </w:rPr>
              <w:t>ANDROFORTE 5</w:t>
            </w:r>
            <w:r w:rsidRPr="00C40567">
              <w:rPr>
                <w:rFonts w:ascii="Arial Narrow" w:hAnsi="Arial Narrow"/>
                <w:sz w:val="20"/>
                <w:szCs w:val="20"/>
                <w:vertAlign w:val="superscript"/>
              </w:rPr>
              <w:t>®</w:t>
            </w:r>
          </w:p>
        </w:tc>
      </w:tr>
    </w:tbl>
    <w:p w:rsidR="00AD107D" w:rsidRPr="00C40567" w:rsidRDefault="00AD107D" w:rsidP="00B005F1">
      <w:pPr>
        <w:spacing w:after="120"/>
        <w:rPr>
          <w:rFonts w:ascii="Arial Narrow" w:hAnsi="Arial Narrow" w:cstheme="minorHAnsi"/>
          <w:sz w:val="20"/>
          <w:szCs w:val="20"/>
        </w:rPr>
      </w:pPr>
    </w:p>
    <w:p w:rsidR="00AD107D" w:rsidRPr="00C40567" w:rsidRDefault="00AD107D" w:rsidP="00B005F1">
      <w:pPr>
        <w:pStyle w:val="3Bodytext"/>
        <w:keepNext/>
        <w:keepLines/>
        <w:numPr>
          <w:ilvl w:val="0"/>
          <w:numId w:val="0"/>
        </w:numPr>
        <w:spacing w:after="0"/>
        <w:rPr>
          <w:rFonts w:ascii="Arial Narrow" w:hAnsi="Arial Narrow" w:cs="Calibri"/>
          <w:bCs/>
          <w:color w:val="000000"/>
          <w:sz w:val="20"/>
          <w:szCs w:val="20"/>
        </w:rPr>
      </w:pPr>
      <w:r w:rsidRPr="00C40567">
        <w:rPr>
          <w:rFonts w:ascii="Arial Narrow" w:hAnsi="Arial Narrow" w:cs="Calibri"/>
          <w:bCs/>
          <w:color w:val="000000"/>
          <w:sz w:val="20"/>
          <w:szCs w:val="20"/>
        </w:rPr>
        <w:t xml:space="preserve">Add a clinical criterion stating </w:t>
      </w:r>
      <w:r w:rsidR="003C1911" w:rsidRPr="00C40567">
        <w:rPr>
          <w:rFonts w:ascii="Arial Narrow" w:hAnsi="Arial Narrow" w:cs="Calibri"/>
          <w:bCs/>
          <w:color w:val="000000"/>
          <w:sz w:val="20"/>
          <w:szCs w:val="20"/>
        </w:rPr>
        <w:t>‘Treatment</w:t>
      </w:r>
      <w:r w:rsidRPr="00C40567">
        <w:rPr>
          <w:rFonts w:ascii="Arial Narrow" w:hAnsi="Arial Narrow" w:cs="Calibri"/>
          <w:bCs/>
          <w:color w:val="000000"/>
          <w:sz w:val="20"/>
          <w:szCs w:val="20"/>
        </w:rPr>
        <w:t xml:space="preserve"> must be applied to the scrotum area’ to the following restriction summaries:</w:t>
      </w:r>
    </w:p>
    <w:p w:rsidR="00AD107D" w:rsidRPr="00C40567" w:rsidRDefault="00AD107D" w:rsidP="00B005F1">
      <w:pPr>
        <w:pStyle w:val="3Bodytext"/>
        <w:keepNext/>
        <w:keepLines/>
        <w:numPr>
          <w:ilvl w:val="0"/>
          <w:numId w:val="0"/>
        </w:numPr>
        <w:spacing w:after="0"/>
        <w:rPr>
          <w:rFonts w:ascii="Arial Narrow" w:hAnsi="Arial Narrow" w:cs="Calibri"/>
          <w:bCs/>
          <w:color w:val="000000"/>
          <w:sz w:val="20"/>
          <w:szCs w:val="20"/>
        </w:rPr>
      </w:pPr>
      <w:r w:rsidRPr="00C40567">
        <w:rPr>
          <w:rFonts w:ascii="Arial Narrow" w:hAnsi="Arial Narrow" w:cs="Calibri"/>
          <w:bCs/>
          <w:color w:val="000000"/>
          <w:sz w:val="20"/>
          <w:szCs w:val="20"/>
        </w:rPr>
        <w:t>Restriction Summary 6910 / ToC: 6910</w:t>
      </w:r>
    </w:p>
    <w:p w:rsidR="00AD107D" w:rsidRPr="00C40567" w:rsidRDefault="00AD107D" w:rsidP="00B005F1">
      <w:pPr>
        <w:pStyle w:val="3Bodytext"/>
        <w:keepNext/>
        <w:keepLines/>
        <w:numPr>
          <w:ilvl w:val="0"/>
          <w:numId w:val="0"/>
        </w:numPr>
        <w:spacing w:after="0"/>
        <w:rPr>
          <w:rFonts w:ascii="Arial Narrow" w:hAnsi="Arial Narrow" w:cs="Calibri"/>
          <w:bCs/>
          <w:color w:val="000000"/>
          <w:sz w:val="20"/>
          <w:szCs w:val="20"/>
        </w:rPr>
      </w:pPr>
      <w:r w:rsidRPr="00C40567">
        <w:rPr>
          <w:rFonts w:ascii="Arial Narrow" w:hAnsi="Arial Narrow" w:cs="Calibri"/>
          <w:bCs/>
          <w:color w:val="000000"/>
          <w:sz w:val="20"/>
          <w:szCs w:val="20"/>
        </w:rPr>
        <w:t>Restriction Summary 6324 / ToC: 6324</w:t>
      </w:r>
    </w:p>
    <w:p w:rsidR="00AD107D" w:rsidRPr="00C40567" w:rsidRDefault="00AD107D" w:rsidP="00B005F1">
      <w:pPr>
        <w:pStyle w:val="3Bodytext"/>
        <w:keepNext/>
        <w:keepLines/>
        <w:numPr>
          <w:ilvl w:val="0"/>
          <w:numId w:val="0"/>
        </w:numPr>
        <w:spacing w:after="0"/>
        <w:rPr>
          <w:rFonts w:ascii="Arial Narrow" w:hAnsi="Arial Narrow" w:cs="Calibri"/>
          <w:bCs/>
          <w:color w:val="000000"/>
          <w:sz w:val="20"/>
          <w:szCs w:val="20"/>
        </w:rPr>
      </w:pPr>
      <w:r w:rsidRPr="00C40567">
        <w:rPr>
          <w:rFonts w:ascii="Arial Narrow" w:hAnsi="Arial Narrow" w:cs="Calibri"/>
          <w:bCs/>
          <w:color w:val="000000"/>
          <w:sz w:val="20"/>
          <w:szCs w:val="20"/>
        </w:rPr>
        <w:t>Restriction Summary 6933 / ToC: 6933</w:t>
      </w:r>
    </w:p>
    <w:p w:rsidR="00AD107D" w:rsidRPr="00C40567" w:rsidRDefault="00AD107D" w:rsidP="00B005F1">
      <w:pPr>
        <w:pStyle w:val="3Bodytext"/>
        <w:keepNext/>
        <w:keepLines/>
        <w:numPr>
          <w:ilvl w:val="0"/>
          <w:numId w:val="0"/>
        </w:numPr>
        <w:spacing w:after="0"/>
        <w:rPr>
          <w:rFonts w:ascii="Arial Narrow" w:hAnsi="Arial Narrow" w:cs="Calibri"/>
          <w:bCs/>
          <w:color w:val="000000"/>
          <w:sz w:val="20"/>
          <w:szCs w:val="20"/>
        </w:rPr>
      </w:pPr>
      <w:r w:rsidRPr="00C40567">
        <w:rPr>
          <w:rFonts w:ascii="Arial Narrow" w:hAnsi="Arial Narrow" w:cs="Calibri"/>
          <w:bCs/>
          <w:color w:val="000000"/>
          <w:sz w:val="20"/>
          <w:szCs w:val="20"/>
        </w:rPr>
        <w:t>Restriction Summary 6919 / ToC: 6919</w:t>
      </w:r>
    </w:p>
    <w:p w:rsidR="00AD107D" w:rsidRPr="00C40567" w:rsidRDefault="00AD107D" w:rsidP="00B005F1">
      <w:pPr>
        <w:pStyle w:val="3Bodytext"/>
        <w:keepNext/>
        <w:keepLines/>
        <w:numPr>
          <w:ilvl w:val="0"/>
          <w:numId w:val="0"/>
        </w:numPr>
        <w:spacing w:after="0"/>
        <w:rPr>
          <w:rFonts w:ascii="Arial Narrow" w:hAnsi="Arial Narrow" w:cs="Calibri"/>
          <w:bCs/>
          <w:color w:val="000000"/>
          <w:sz w:val="20"/>
          <w:szCs w:val="20"/>
        </w:rPr>
      </w:pPr>
      <w:r w:rsidRPr="00C40567">
        <w:rPr>
          <w:rFonts w:ascii="Arial Narrow" w:hAnsi="Arial Narrow" w:cs="Calibri"/>
          <w:bCs/>
          <w:color w:val="000000"/>
          <w:sz w:val="20"/>
          <w:szCs w:val="20"/>
        </w:rPr>
        <w:t>Restriction Summary 6934 / ToC: 6934</w:t>
      </w:r>
    </w:p>
    <w:p w:rsidR="00B005F1" w:rsidRPr="00A4659F" w:rsidRDefault="00B005F1" w:rsidP="00B005F1">
      <w:pPr>
        <w:spacing w:after="120"/>
        <w:rPr>
          <w:rFonts w:asciiTheme="minorHAnsi" w:eastAsiaTheme="minorHAnsi" w:hAnsiTheme="minorHAnsi" w:cstheme="minorBidi"/>
          <w:b/>
          <w:i/>
          <w:color w:val="000000" w:themeColor="text1"/>
          <w:lang w:eastAsia="en-US"/>
        </w:rPr>
      </w:pPr>
    </w:p>
    <w:p w:rsidR="00B005F1" w:rsidRPr="00A4659F" w:rsidRDefault="00B005F1" w:rsidP="00B005F1">
      <w:pPr>
        <w:spacing w:after="120"/>
      </w:pPr>
      <w:r w:rsidRPr="00A4659F">
        <w:rPr>
          <w:rFonts w:asciiTheme="minorHAnsi" w:hAnsiTheme="minorHAnsi" w:cstheme="minorHAnsi"/>
          <w:b/>
          <w:i/>
        </w:rPr>
        <w:t>This restriction may be subject to further review. Should there be any changes made to the restriction the Sponsor will be informed.</w:t>
      </w:r>
    </w:p>
    <w:p w:rsidR="00311777" w:rsidRPr="00311777" w:rsidRDefault="00311777" w:rsidP="00311777">
      <w:pPr>
        <w:pStyle w:val="2-SectionHeading"/>
        <w:keepLines/>
      </w:pPr>
      <w:r w:rsidRPr="00C07617">
        <w:lastRenderedPageBreak/>
        <w:t>Context for Decision</w:t>
      </w:r>
    </w:p>
    <w:p w:rsidR="00311777" w:rsidRPr="007129F2" w:rsidRDefault="00311777" w:rsidP="00311777">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311777" w:rsidRPr="00311777" w:rsidRDefault="00311777" w:rsidP="00311777">
      <w:pPr>
        <w:pStyle w:val="2-SectionHeading"/>
        <w:keepLines/>
      </w:pPr>
      <w:r>
        <w:t>Sponsor’s Comment</w:t>
      </w:r>
    </w:p>
    <w:p w:rsidR="00311777" w:rsidRPr="001179AC" w:rsidRDefault="00311777" w:rsidP="00311777">
      <w:pPr>
        <w:spacing w:after="120"/>
        <w:ind w:left="426" w:firstLine="294"/>
        <w:rPr>
          <w:rFonts w:asciiTheme="minorHAnsi" w:hAnsiTheme="minorHAnsi" w:cs="Arial"/>
          <w:bCs/>
        </w:rPr>
      </w:pPr>
      <w:r w:rsidRPr="00C07617">
        <w:rPr>
          <w:rFonts w:asciiTheme="minorHAnsi" w:hAnsiTheme="minorHAnsi" w:cs="Arial"/>
          <w:bCs/>
        </w:rPr>
        <w:t>The sponsor had no comment.</w:t>
      </w:r>
    </w:p>
    <w:p w:rsidR="00B005F1" w:rsidRPr="00A4659F" w:rsidRDefault="00B005F1" w:rsidP="00B005F1">
      <w:pPr>
        <w:widowControl w:val="0"/>
        <w:rPr>
          <w:rFonts w:asciiTheme="minorHAnsi" w:hAnsiTheme="minorHAnsi" w:cs="Arial"/>
          <w:bCs/>
          <w:snapToGrid w:val="0"/>
        </w:rPr>
      </w:pPr>
    </w:p>
    <w:sectPr w:rsidR="00B005F1" w:rsidRPr="00A4659F" w:rsidSect="00F6318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FC2" w:rsidRDefault="00FD0FC2">
      <w:r>
        <w:separator/>
      </w:r>
    </w:p>
    <w:p w:rsidR="00FD0FC2" w:rsidRDefault="00FD0FC2"/>
  </w:endnote>
  <w:endnote w:type="continuationSeparator" w:id="0">
    <w:p w:rsidR="00FD0FC2" w:rsidRDefault="00FD0FC2">
      <w:r>
        <w:continuationSeparator/>
      </w:r>
    </w:p>
    <w:p w:rsidR="00FD0FC2" w:rsidRDefault="00FD0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4A6B18" w:rsidTr="005A3173">
      <w:trPr>
        <w:trHeight w:val="151"/>
      </w:trPr>
      <w:tc>
        <w:tcPr>
          <w:tcW w:w="2250" w:type="pct"/>
          <w:tcBorders>
            <w:top w:val="nil"/>
            <w:left w:val="nil"/>
            <w:bottom w:val="single" w:sz="4" w:space="0" w:color="4F81BD"/>
            <w:right w:val="nil"/>
          </w:tcBorders>
        </w:tcPr>
        <w:p w:rsidR="004A6B18" w:rsidRPr="005A3173" w:rsidRDefault="004A6B18" w:rsidP="005A3173">
          <w:pPr>
            <w:pStyle w:val="Header"/>
            <w:spacing w:line="276" w:lineRule="auto"/>
            <w:rPr>
              <w:rFonts w:eastAsia="MS Gothic"/>
              <w:b/>
              <w:bCs/>
              <w:color w:val="4F81BD"/>
            </w:rPr>
          </w:pPr>
        </w:p>
      </w:tc>
      <w:tc>
        <w:tcPr>
          <w:tcW w:w="500" w:type="pct"/>
          <w:vMerge w:val="restart"/>
          <w:noWrap/>
          <w:vAlign w:val="center"/>
          <w:hideMark/>
        </w:tcPr>
        <w:p w:rsidR="004A6B18" w:rsidRPr="005A3173" w:rsidRDefault="004A6B1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A6B18" w:rsidRPr="005A3173" w:rsidRDefault="004A6B18" w:rsidP="005A3173">
          <w:pPr>
            <w:pStyle w:val="Header"/>
            <w:spacing w:line="276" w:lineRule="auto"/>
            <w:rPr>
              <w:rFonts w:eastAsia="MS Gothic"/>
              <w:b/>
              <w:bCs/>
              <w:color w:val="4F81BD"/>
            </w:rPr>
          </w:pPr>
        </w:p>
      </w:tc>
    </w:tr>
    <w:tr w:rsidR="004A6B18" w:rsidTr="005A3173">
      <w:trPr>
        <w:trHeight w:val="150"/>
      </w:trPr>
      <w:tc>
        <w:tcPr>
          <w:tcW w:w="2250" w:type="pct"/>
          <w:tcBorders>
            <w:top w:val="single" w:sz="4" w:space="0" w:color="4F81BD"/>
            <w:left w:val="nil"/>
            <w:bottom w:val="nil"/>
            <w:right w:val="nil"/>
          </w:tcBorders>
        </w:tcPr>
        <w:p w:rsidR="004A6B18" w:rsidRPr="005A3173" w:rsidRDefault="004A6B18" w:rsidP="005A3173">
          <w:pPr>
            <w:pStyle w:val="Header"/>
            <w:spacing w:line="276" w:lineRule="auto"/>
            <w:rPr>
              <w:rFonts w:eastAsia="MS Gothic"/>
              <w:b/>
              <w:bCs/>
              <w:color w:val="4F81BD"/>
            </w:rPr>
          </w:pPr>
        </w:p>
      </w:tc>
      <w:tc>
        <w:tcPr>
          <w:tcW w:w="0" w:type="auto"/>
          <w:vMerge/>
          <w:vAlign w:val="center"/>
          <w:hideMark/>
        </w:tcPr>
        <w:p w:rsidR="004A6B18" w:rsidRPr="005A3173" w:rsidRDefault="004A6B18" w:rsidP="005A3173">
          <w:pPr>
            <w:rPr>
              <w:color w:val="365F91"/>
              <w:sz w:val="22"/>
              <w:szCs w:val="22"/>
            </w:rPr>
          </w:pPr>
        </w:p>
      </w:tc>
      <w:tc>
        <w:tcPr>
          <w:tcW w:w="2250" w:type="pct"/>
          <w:tcBorders>
            <w:top w:val="single" w:sz="4" w:space="0" w:color="4F81BD"/>
            <w:left w:val="nil"/>
            <w:bottom w:val="nil"/>
            <w:right w:val="nil"/>
          </w:tcBorders>
        </w:tcPr>
        <w:p w:rsidR="004A6B18" w:rsidRPr="005A3173" w:rsidRDefault="004A6B18" w:rsidP="005A3173">
          <w:pPr>
            <w:pStyle w:val="Header"/>
            <w:spacing w:line="276" w:lineRule="auto"/>
            <w:rPr>
              <w:rFonts w:eastAsia="MS Gothic"/>
              <w:b/>
              <w:bCs/>
              <w:color w:val="4F81BD"/>
            </w:rPr>
          </w:pPr>
        </w:p>
      </w:tc>
    </w:tr>
  </w:tbl>
  <w:p w:rsidR="004A6B18" w:rsidRDefault="004A6B18"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6B18" w:rsidRDefault="004A6B18">
    <w:pPr>
      <w:pStyle w:val="Footer"/>
    </w:pPr>
  </w:p>
  <w:p w:rsidR="004A6B18" w:rsidRDefault="004A6B1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A8A" w:rsidRDefault="00327A8A">
    <w:pPr>
      <w:pStyle w:val="Footer"/>
      <w:jc w:val="center"/>
    </w:pPr>
  </w:p>
  <w:p w:rsidR="00327A8A" w:rsidRPr="00327A8A" w:rsidRDefault="008223A0">
    <w:pPr>
      <w:pStyle w:val="Footer"/>
      <w:jc w:val="center"/>
      <w:rPr>
        <w:b/>
      </w:rPr>
    </w:pPr>
    <w:sdt>
      <w:sdtPr>
        <w:id w:val="2059660189"/>
        <w:docPartObj>
          <w:docPartGallery w:val="Page Numbers (Bottom of Page)"/>
          <w:docPartUnique/>
        </w:docPartObj>
      </w:sdtPr>
      <w:sdtEndPr>
        <w:rPr>
          <w:b/>
          <w:noProof/>
        </w:rPr>
      </w:sdtEndPr>
      <w:sdtContent>
        <w:r w:rsidR="00327A8A" w:rsidRPr="00327A8A">
          <w:rPr>
            <w:b/>
          </w:rPr>
          <w:fldChar w:fldCharType="begin"/>
        </w:r>
        <w:r w:rsidR="00327A8A" w:rsidRPr="00327A8A">
          <w:rPr>
            <w:b/>
          </w:rPr>
          <w:instrText xml:space="preserve"> PAGE   \* MERGEFORMAT </w:instrText>
        </w:r>
        <w:r w:rsidR="00327A8A" w:rsidRPr="00327A8A">
          <w:rPr>
            <w:b/>
          </w:rPr>
          <w:fldChar w:fldCharType="separate"/>
        </w:r>
        <w:r>
          <w:rPr>
            <w:b/>
            <w:noProof/>
          </w:rPr>
          <w:t>8</w:t>
        </w:r>
        <w:r w:rsidR="00327A8A" w:rsidRPr="00327A8A">
          <w:rPr>
            <w:b/>
            <w:noProof/>
          </w:rPr>
          <w:fldChar w:fldCharType="end"/>
        </w:r>
      </w:sdtContent>
    </w:sdt>
  </w:p>
  <w:p w:rsidR="004A6B18" w:rsidRPr="002214E3" w:rsidRDefault="004A6B18" w:rsidP="00A510E4">
    <w:pPr>
      <w:pStyle w:val="PBACFooter"/>
      <w:rPr>
        <w:rFonts w:asciiTheme="minorHAnsi" w:hAnsiTheme="minorHAnsi" w:cstheme="minorHAnsi"/>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4A6B18" w:rsidTr="005A3173">
      <w:trPr>
        <w:trHeight w:val="151"/>
      </w:trPr>
      <w:tc>
        <w:tcPr>
          <w:tcW w:w="2250" w:type="pct"/>
          <w:tcBorders>
            <w:top w:val="nil"/>
            <w:left w:val="nil"/>
            <w:bottom w:val="single" w:sz="4" w:space="0" w:color="4F81BD"/>
            <w:right w:val="nil"/>
          </w:tcBorders>
        </w:tcPr>
        <w:p w:rsidR="004A6B18" w:rsidRPr="005A3173" w:rsidRDefault="004A6B18" w:rsidP="005A3173">
          <w:pPr>
            <w:pStyle w:val="Header"/>
            <w:spacing w:line="276" w:lineRule="auto"/>
            <w:rPr>
              <w:rFonts w:eastAsia="MS Gothic"/>
              <w:b/>
              <w:bCs/>
              <w:color w:val="4F81BD"/>
            </w:rPr>
          </w:pPr>
        </w:p>
      </w:tc>
      <w:tc>
        <w:tcPr>
          <w:tcW w:w="500" w:type="pct"/>
          <w:vMerge w:val="restart"/>
          <w:noWrap/>
          <w:vAlign w:val="center"/>
          <w:hideMark/>
        </w:tcPr>
        <w:p w:rsidR="004A6B18" w:rsidRPr="005A3173" w:rsidRDefault="004A6B1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A6B18" w:rsidRPr="005A3173" w:rsidRDefault="004A6B18" w:rsidP="005A3173">
          <w:pPr>
            <w:pStyle w:val="Header"/>
            <w:spacing w:line="276" w:lineRule="auto"/>
            <w:rPr>
              <w:rFonts w:eastAsia="MS Gothic"/>
              <w:b/>
              <w:bCs/>
              <w:color w:val="4F81BD"/>
            </w:rPr>
          </w:pPr>
        </w:p>
      </w:tc>
    </w:tr>
    <w:tr w:rsidR="004A6B18" w:rsidTr="005A3173">
      <w:trPr>
        <w:trHeight w:val="150"/>
      </w:trPr>
      <w:tc>
        <w:tcPr>
          <w:tcW w:w="2250" w:type="pct"/>
          <w:tcBorders>
            <w:top w:val="single" w:sz="4" w:space="0" w:color="4F81BD"/>
            <w:left w:val="nil"/>
            <w:bottom w:val="nil"/>
            <w:right w:val="nil"/>
          </w:tcBorders>
        </w:tcPr>
        <w:p w:rsidR="004A6B18" w:rsidRPr="005A3173" w:rsidRDefault="004A6B18" w:rsidP="005A3173">
          <w:pPr>
            <w:pStyle w:val="Header"/>
            <w:spacing w:line="276" w:lineRule="auto"/>
            <w:rPr>
              <w:rFonts w:eastAsia="MS Gothic"/>
              <w:b/>
              <w:bCs/>
              <w:color w:val="4F81BD"/>
            </w:rPr>
          </w:pPr>
        </w:p>
      </w:tc>
      <w:tc>
        <w:tcPr>
          <w:tcW w:w="0" w:type="auto"/>
          <w:vMerge/>
          <w:vAlign w:val="center"/>
          <w:hideMark/>
        </w:tcPr>
        <w:p w:rsidR="004A6B18" w:rsidRPr="005A3173" w:rsidRDefault="004A6B18" w:rsidP="005A3173">
          <w:pPr>
            <w:rPr>
              <w:color w:val="365F91"/>
              <w:sz w:val="22"/>
              <w:szCs w:val="22"/>
            </w:rPr>
          </w:pPr>
        </w:p>
      </w:tc>
      <w:tc>
        <w:tcPr>
          <w:tcW w:w="2250" w:type="pct"/>
          <w:tcBorders>
            <w:top w:val="single" w:sz="4" w:space="0" w:color="4F81BD"/>
            <w:left w:val="nil"/>
            <w:bottom w:val="nil"/>
            <w:right w:val="nil"/>
          </w:tcBorders>
        </w:tcPr>
        <w:p w:rsidR="004A6B18" w:rsidRPr="005A3173" w:rsidRDefault="004A6B18"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4A6B18" w:rsidTr="005A3173">
      <w:trPr>
        <w:trHeight w:val="151"/>
      </w:trPr>
      <w:tc>
        <w:tcPr>
          <w:tcW w:w="2250" w:type="pct"/>
          <w:tcBorders>
            <w:top w:val="nil"/>
            <w:left w:val="nil"/>
            <w:bottom w:val="single" w:sz="4" w:space="0" w:color="4F81BD"/>
            <w:right w:val="nil"/>
          </w:tcBorders>
        </w:tcPr>
        <w:p w:rsidR="004A6B18" w:rsidRPr="005A3173" w:rsidRDefault="004A6B18" w:rsidP="005A3173">
          <w:pPr>
            <w:pStyle w:val="Header"/>
            <w:spacing w:line="276" w:lineRule="auto"/>
            <w:rPr>
              <w:rFonts w:eastAsia="MS Gothic"/>
              <w:b/>
              <w:bCs/>
              <w:color w:val="4F81BD"/>
            </w:rPr>
          </w:pPr>
        </w:p>
      </w:tc>
      <w:tc>
        <w:tcPr>
          <w:tcW w:w="500" w:type="pct"/>
          <w:vMerge w:val="restart"/>
          <w:noWrap/>
          <w:vAlign w:val="center"/>
          <w:hideMark/>
        </w:tcPr>
        <w:p w:rsidR="004A6B18" w:rsidRPr="005A3173" w:rsidRDefault="004A6B18"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A6B18" w:rsidRPr="005A3173" w:rsidRDefault="004A6B18" w:rsidP="005A3173">
          <w:pPr>
            <w:pStyle w:val="Header"/>
            <w:spacing w:line="276" w:lineRule="auto"/>
            <w:rPr>
              <w:rFonts w:eastAsia="MS Gothic"/>
              <w:b/>
              <w:bCs/>
              <w:color w:val="4F81BD"/>
            </w:rPr>
          </w:pPr>
        </w:p>
      </w:tc>
    </w:tr>
    <w:tr w:rsidR="004A6B18" w:rsidTr="005A3173">
      <w:trPr>
        <w:trHeight w:val="150"/>
      </w:trPr>
      <w:tc>
        <w:tcPr>
          <w:tcW w:w="2250" w:type="pct"/>
          <w:tcBorders>
            <w:top w:val="single" w:sz="4" w:space="0" w:color="4F81BD"/>
            <w:left w:val="nil"/>
            <w:bottom w:val="nil"/>
            <w:right w:val="nil"/>
          </w:tcBorders>
        </w:tcPr>
        <w:p w:rsidR="004A6B18" w:rsidRPr="005A3173" w:rsidRDefault="004A6B18" w:rsidP="005A3173">
          <w:pPr>
            <w:pStyle w:val="Header"/>
            <w:spacing w:line="276" w:lineRule="auto"/>
            <w:rPr>
              <w:rFonts w:eastAsia="MS Gothic"/>
              <w:b/>
              <w:bCs/>
              <w:color w:val="4F81BD"/>
            </w:rPr>
          </w:pPr>
        </w:p>
      </w:tc>
      <w:tc>
        <w:tcPr>
          <w:tcW w:w="0" w:type="auto"/>
          <w:vMerge/>
          <w:vAlign w:val="center"/>
          <w:hideMark/>
        </w:tcPr>
        <w:p w:rsidR="004A6B18" w:rsidRPr="005A3173" w:rsidRDefault="004A6B18" w:rsidP="005A3173">
          <w:pPr>
            <w:rPr>
              <w:color w:val="365F91"/>
              <w:sz w:val="22"/>
              <w:szCs w:val="22"/>
            </w:rPr>
          </w:pPr>
        </w:p>
      </w:tc>
      <w:tc>
        <w:tcPr>
          <w:tcW w:w="2250" w:type="pct"/>
          <w:tcBorders>
            <w:top w:val="single" w:sz="4" w:space="0" w:color="4F81BD"/>
            <w:left w:val="nil"/>
            <w:bottom w:val="nil"/>
            <w:right w:val="nil"/>
          </w:tcBorders>
        </w:tcPr>
        <w:p w:rsidR="004A6B18" w:rsidRPr="005A3173" w:rsidRDefault="004A6B18" w:rsidP="005A3173">
          <w:pPr>
            <w:pStyle w:val="Header"/>
            <w:spacing w:line="276" w:lineRule="auto"/>
            <w:rPr>
              <w:rFonts w:eastAsia="MS Gothic"/>
              <w:b/>
              <w:bCs/>
              <w:color w:val="4F81BD"/>
            </w:rPr>
          </w:pPr>
        </w:p>
      </w:tc>
    </w:tr>
  </w:tbl>
  <w:p w:rsidR="004A6B18" w:rsidRPr="007C0F57" w:rsidRDefault="004A6B18"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5464DC">
      <w:rPr>
        <w:rStyle w:val="PageNumber"/>
        <w:noProof/>
      </w:rPr>
      <w:t>1</w:t>
    </w:r>
    <w:r>
      <w:rPr>
        <w:rStyle w:val="PageNumber"/>
      </w:rPr>
      <w:fldChar w:fldCharType="end"/>
    </w:r>
    <w:r w:rsidRPr="007C0F57">
      <w:rPr>
        <w:b/>
        <w:i/>
        <w:sz w:val="20"/>
        <w:szCs w:val="20"/>
      </w:rPr>
      <w:t>BAC Meeting</w:t>
    </w:r>
  </w:p>
  <w:p w:rsidR="004A6B18" w:rsidRPr="007C0F57" w:rsidRDefault="004A6B18" w:rsidP="007C0F57">
    <w:pPr>
      <w:pStyle w:val="Footer"/>
      <w:jc w:val="center"/>
      <w:rPr>
        <w:b/>
        <w:i/>
        <w:sz w:val="20"/>
        <w:szCs w:val="20"/>
      </w:rPr>
    </w:pPr>
    <w:r w:rsidRPr="007C0F57">
      <w:rPr>
        <w:b/>
        <w:i/>
        <w:sz w:val="20"/>
        <w:szCs w:val="20"/>
      </w:rPr>
      <w:t>Commercial-in-Confidence</w:t>
    </w:r>
  </w:p>
  <w:p w:rsidR="004A6B18" w:rsidRDefault="004A6B1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FC2" w:rsidRDefault="00FD0FC2">
      <w:r>
        <w:separator/>
      </w:r>
    </w:p>
    <w:p w:rsidR="00FD0FC2" w:rsidRDefault="00FD0FC2"/>
  </w:footnote>
  <w:footnote w:type="continuationSeparator" w:id="0">
    <w:p w:rsidR="00FD0FC2" w:rsidRDefault="00FD0FC2">
      <w:r>
        <w:continuationSeparator/>
      </w:r>
    </w:p>
    <w:p w:rsidR="00FD0FC2" w:rsidRDefault="00FD0F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4A6B18" w:rsidRPr="008E0D90" w:rsidTr="00A06225">
      <w:trPr>
        <w:trHeight w:val="151"/>
      </w:trPr>
      <w:tc>
        <w:tcPr>
          <w:tcW w:w="2389" w:type="pct"/>
          <w:tcBorders>
            <w:top w:val="nil"/>
            <w:left w:val="nil"/>
            <w:bottom w:val="single" w:sz="4" w:space="0" w:color="4F81BD"/>
            <w:right w:val="nil"/>
          </w:tcBorders>
        </w:tcPr>
        <w:p w:rsidR="004A6B18" w:rsidRPr="00A06225" w:rsidRDefault="004A6B18">
          <w:pPr>
            <w:pStyle w:val="Header"/>
            <w:spacing w:line="276" w:lineRule="auto"/>
            <w:rPr>
              <w:rFonts w:ascii="Cambria" w:eastAsia="MS Gothic" w:hAnsi="Cambria"/>
              <w:b/>
              <w:bCs/>
              <w:color w:val="4F81BD"/>
            </w:rPr>
          </w:pPr>
        </w:p>
      </w:tc>
      <w:tc>
        <w:tcPr>
          <w:tcW w:w="333" w:type="pct"/>
          <w:vMerge w:val="restart"/>
          <w:noWrap/>
          <w:vAlign w:val="center"/>
          <w:hideMark/>
        </w:tcPr>
        <w:p w:rsidR="004A6B18" w:rsidRPr="00A06225" w:rsidRDefault="004A6B18"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4A6B18" w:rsidRPr="00A06225" w:rsidRDefault="004A6B18">
          <w:pPr>
            <w:pStyle w:val="Header"/>
            <w:spacing w:line="276" w:lineRule="auto"/>
            <w:rPr>
              <w:rFonts w:ascii="Cambria" w:eastAsia="MS Gothic" w:hAnsi="Cambria"/>
              <w:b/>
              <w:bCs/>
              <w:color w:val="4F81BD"/>
            </w:rPr>
          </w:pPr>
        </w:p>
      </w:tc>
    </w:tr>
    <w:tr w:rsidR="004A6B18" w:rsidRPr="008E0D90" w:rsidTr="00A06225">
      <w:trPr>
        <w:trHeight w:val="150"/>
      </w:trPr>
      <w:tc>
        <w:tcPr>
          <w:tcW w:w="2389" w:type="pct"/>
          <w:tcBorders>
            <w:top w:val="single" w:sz="4" w:space="0" w:color="4F81BD"/>
            <w:left w:val="nil"/>
            <w:bottom w:val="nil"/>
            <w:right w:val="nil"/>
          </w:tcBorders>
        </w:tcPr>
        <w:p w:rsidR="004A6B18" w:rsidRPr="00A06225" w:rsidRDefault="004A6B18">
          <w:pPr>
            <w:pStyle w:val="Header"/>
            <w:spacing w:line="276" w:lineRule="auto"/>
            <w:rPr>
              <w:rFonts w:ascii="Cambria" w:eastAsia="MS Gothic" w:hAnsi="Cambria"/>
              <w:b/>
              <w:bCs/>
              <w:color w:val="4F81BD"/>
            </w:rPr>
          </w:pPr>
        </w:p>
      </w:tc>
      <w:tc>
        <w:tcPr>
          <w:tcW w:w="0" w:type="auto"/>
          <w:vMerge/>
          <w:vAlign w:val="center"/>
          <w:hideMark/>
        </w:tcPr>
        <w:p w:rsidR="004A6B18" w:rsidRPr="00A06225" w:rsidRDefault="004A6B18">
          <w:pPr>
            <w:rPr>
              <w:rFonts w:ascii="Cambria" w:hAnsi="Cambria"/>
              <w:color w:val="4F81BD"/>
              <w:sz w:val="22"/>
              <w:szCs w:val="22"/>
            </w:rPr>
          </w:pPr>
        </w:p>
      </w:tc>
      <w:tc>
        <w:tcPr>
          <w:tcW w:w="2278" w:type="pct"/>
          <w:tcBorders>
            <w:top w:val="single" w:sz="4" w:space="0" w:color="4F81BD"/>
            <w:left w:val="nil"/>
            <w:bottom w:val="nil"/>
            <w:right w:val="nil"/>
          </w:tcBorders>
        </w:tcPr>
        <w:p w:rsidR="004A6B18" w:rsidRPr="00A06225" w:rsidRDefault="004A6B18">
          <w:pPr>
            <w:pStyle w:val="Header"/>
            <w:spacing w:line="276" w:lineRule="auto"/>
            <w:rPr>
              <w:rFonts w:ascii="Cambria" w:eastAsia="MS Gothic" w:hAnsi="Cambria"/>
              <w:b/>
              <w:bCs/>
              <w:color w:val="4F81BD"/>
            </w:rPr>
          </w:pPr>
        </w:p>
      </w:tc>
    </w:tr>
  </w:tbl>
  <w:p w:rsidR="004A6B18" w:rsidRDefault="004A6B18">
    <w:pPr>
      <w:pStyle w:val="Header"/>
    </w:pPr>
  </w:p>
  <w:p w:rsidR="004A6B18" w:rsidRDefault="004A6B1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B18" w:rsidRDefault="00311777" w:rsidP="00F6318A">
    <w:pPr>
      <w:keepNext/>
      <w:tabs>
        <w:tab w:val="center" w:pos="4513"/>
        <w:tab w:val="right" w:pos="9026"/>
      </w:tabs>
      <w:ind w:left="360"/>
      <w:jc w:val="center"/>
      <w:rPr>
        <w:rFonts w:eastAsia="Calibri" w:cs="Arial"/>
        <w:i/>
        <w:color w:val="808080"/>
        <w:lang w:eastAsia="en-US"/>
      </w:rPr>
    </w:pPr>
    <w:r>
      <w:rPr>
        <w:rFonts w:asciiTheme="minorHAnsi" w:hAnsiTheme="minorHAnsi" w:cstheme="minorHAnsi"/>
        <w:i/>
        <w:color w:val="808080"/>
      </w:rPr>
      <w:t>Public Summary Document</w:t>
    </w:r>
    <w:r w:rsidR="00327A8A" w:rsidRPr="000D25C1">
      <w:rPr>
        <w:rFonts w:eastAsia="Calibri" w:cs="Arial"/>
        <w:i/>
        <w:color w:val="808080"/>
        <w:lang w:eastAsia="en-US"/>
      </w:rPr>
      <w:t xml:space="preserve"> </w:t>
    </w:r>
    <w:r w:rsidR="004A6B18" w:rsidRPr="000D25C1">
      <w:rPr>
        <w:rFonts w:eastAsia="Calibri" w:cs="Arial"/>
        <w:i/>
        <w:color w:val="808080"/>
        <w:lang w:eastAsia="en-US"/>
      </w:rPr>
      <w:t xml:space="preserve">– </w:t>
    </w:r>
    <w:r w:rsidR="004A6B18">
      <w:rPr>
        <w:rFonts w:eastAsia="Calibri" w:cs="Arial"/>
        <w:i/>
        <w:color w:val="808080"/>
        <w:lang w:eastAsia="en-US"/>
      </w:rPr>
      <w:t>March 2021</w:t>
    </w:r>
    <w:r w:rsidR="004A6B18" w:rsidRPr="000D25C1">
      <w:rPr>
        <w:rFonts w:eastAsia="Calibri" w:cs="Arial"/>
        <w:i/>
        <w:color w:val="808080"/>
        <w:lang w:eastAsia="en-US"/>
      </w:rPr>
      <w:t xml:space="preserve"> PBAC Meeting</w:t>
    </w:r>
  </w:p>
  <w:p w:rsidR="008144A4" w:rsidRPr="000D25C1" w:rsidRDefault="008144A4" w:rsidP="00F6318A">
    <w:pPr>
      <w:keepNext/>
      <w:tabs>
        <w:tab w:val="center" w:pos="4513"/>
        <w:tab w:val="right" w:pos="9026"/>
      </w:tabs>
      <w:ind w:left="360"/>
      <w:jc w:val="center"/>
      <w:rPr>
        <w:rFonts w:eastAsia="Calibri" w:cs="Arial"/>
        <w:i/>
        <w:color w:val="808080"/>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819" w:rsidRDefault="00541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1465"/>
        </w:tabs>
        <w:ind w:left="-1465" w:hanging="360"/>
      </w:pPr>
    </w:lvl>
  </w:abstractNum>
  <w:abstractNum w:abstractNumId="1" w15:restartNumberingAfterBreak="0">
    <w:nsid w:val="27077A11"/>
    <w:multiLevelType w:val="hybridMultilevel"/>
    <w:tmpl w:val="ADC6F986"/>
    <w:lvl w:ilvl="0" w:tplc="7952C8B8">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3" w15:restartNumberingAfterBreak="0">
    <w:nsid w:val="3F1721A1"/>
    <w:multiLevelType w:val="hybridMultilevel"/>
    <w:tmpl w:val="8D22C1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784D033C"/>
    <w:multiLevelType w:val="multilevel"/>
    <w:tmpl w:val="E850E6E4"/>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0"/>
  </w:num>
  <w:num w:numId="3">
    <w:abstractNumId w:val="6"/>
  </w:num>
  <w:num w:numId="4">
    <w:abstractNumId w:val="5"/>
  </w:num>
  <w:num w:numId="5">
    <w:abstractNumId w:val="2"/>
  </w:num>
  <w:num w:numId="6">
    <w:abstractNumId w:val="4"/>
  </w:num>
  <w:num w:numId="7">
    <w:abstractNumId w:val="3"/>
  </w:num>
  <w:num w:numId="8">
    <w:abstractNumId w:val="6"/>
  </w:num>
  <w:num w:numId="9">
    <w:abstractNumId w:val="1"/>
  </w:num>
  <w:num w:numId="10">
    <w:abstractNumId w:val="6"/>
  </w:num>
  <w:num w:numId="1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03E2F"/>
    <w:rsid w:val="00011A59"/>
    <w:rsid w:val="00016A41"/>
    <w:rsid w:val="000214D1"/>
    <w:rsid w:val="00021A5C"/>
    <w:rsid w:val="0002464A"/>
    <w:rsid w:val="00025CFA"/>
    <w:rsid w:val="0003106B"/>
    <w:rsid w:val="00034905"/>
    <w:rsid w:val="000421A1"/>
    <w:rsid w:val="0004240E"/>
    <w:rsid w:val="00044126"/>
    <w:rsid w:val="00045E26"/>
    <w:rsid w:val="00046DC6"/>
    <w:rsid w:val="000514B5"/>
    <w:rsid w:val="00056B72"/>
    <w:rsid w:val="00060E64"/>
    <w:rsid w:val="00066755"/>
    <w:rsid w:val="000763D5"/>
    <w:rsid w:val="00077143"/>
    <w:rsid w:val="00082169"/>
    <w:rsid w:val="000823F2"/>
    <w:rsid w:val="000918CB"/>
    <w:rsid w:val="00091B06"/>
    <w:rsid w:val="0009209E"/>
    <w:rsid w:val="000951C4"/>
    <w:rsid w:val="00095ADA"/>
    <w:rsid w:val="000969AD"/>
    <w:rsid w:val="000A0DC3"/>
    <w:rsid w:val="000A3AA2"/>
    <w:rsid w:val="000A44B2"/>
    <w:rsid w:val="000A52F6"/>
    <w:rsid w:val="000B1B7E"/>
    <w:rsid w:val="000B44C3"/>
    <w:rsid w:val="000B558D"/>
    <w:rsid w:val="000C5F95"/>
    <w:rsid w:val="000C6996"/>
    <w:rsid w:val="000C76A0"/>
    <w:rsid w:val="000D09E9"/>
    <w:rsid w:val="000D113F"/>
    <w:rsid w:val="000D23BA"/>
    <w:rsid w:val="000D3E4E"/>
    <w:rsid w:val="000E5008"/>
    <w:rsid w:val="000E5EA1"/>
    <w:rsid w:val="000E681E"/>
    <w:rsid w:val="000F0003"/>
    <w:rsid w:val="000F3384"/>
    <w:rsid w:val="000F4E6A"/>
    <w:rsid w:val="000F7354"/>
    <w:rsid w:val="00101ABE"/>
    <w:rsid w:val="00102202"/>
    <w:rsid w:val="00104227"/>
    <w:rsid w:val="001107BF"/>
    <w:rsid w:val="00111269"/>
    <w:rsid w:val="00113649"/>
    <w:rsid w:val="0012417C"/>
    <w:rsid w:val="0012749D"/>
    <w:rsid w:val="00136DA5"/>
    <w:rsid w:val="00140E7E"/>
    <w:rsid w:val="00142395"/>
    <w:rsid w:val="00142714"/>
    <w:rsid w:val="001452ED"/>
    <w:rsid w:val="00147D84"/>
    <w:rsid w:val="00150467"/>
    <w:rsid w:val="001549C1"/>
    <w:rsid w:val="00154AD3"/>
    <w:rsid w:val="00162BDD"/>
    <w:rsid w:val="00162D4E"/>
    <w:rsid w:val="00163329"/>
    <w:rsid w:val="00164623"/>
    <w:rsid w:val="001652DE"/>
    <w:rsid w:val="00165B64"/>
    <w:rsid w:val="00167AFA"/>
    <w:rsid w:val="00172C7A"/>
    <w:rsid w:val="00175779"/>
    <w:rsid w:val="00176B9D"/>
    <w:rsid w:val="00177AC6"/>
    <w:rsid w:val="00180713"/>
    <w:rsid w:val="00180720"/>
    <w:rsid w:val="001830CE"/>
    <w:rsid w:val="001836E3"/>
    <w:rsid w:val="00184BC4"/>
    <w:rsid w:val="0018643B"/>
    <w:rsid w:val="00196307"/>
    <w:rsid w:val="001A255D"/>
    <w:rsid w:val="001A33EA"/>
    <w:rsid w:val="001A4C4F"/>
    <w:rsid w:val="001A76FB"/>
    <w:rsid w:val="001B017F"/>
    <w:rsid w:val="001B2BBC"/>
    <w:rsid w:val="001B3A40"/>
    <w:rsid w:val="001B3FFE"/>
    <w:rsid w:val="001B5129"/>
    <w:rsid w:val="001C0B4C"/>
    <w:rsid w:val="001C1195"/>
    <w:rsid w:val="001C19D2"/>
    <w:rsid w:val="001C2E42"/>
    <w:rsid w:val="001C4AB9"/>
    <w:rsid w:val="001D1F5F"/>
    <w:rsid w:val="001E06D2"/>
    <w:rsid w:val="001E7595"/>
    <w:rsid w:val="001F005B"/>
    <w:rsid w:val="001F1850"/>
    <w:rsid w:val="001F3189"/>
    <w:rsid w:val="001F43E9"/>
    <w:rsid w:val="00203FAC"/>
    <w:rsid w:val="00213CFB"/>
    <w:rsid w:val="00214D55"/>
    <w:rsid w:val="0021553C"/>
    <w:rsid w:val="0021557B"/>
    <w:rsid w:val="002174FD"/>
    <w:rsid w:val="00217BE1"/>
    <w:rsid w:val="002214E3"/>
    <w:rsid w:val="0022229C"/>
    <w:rsid w:val="00225772"/>
    <w:rsid w:val="00225EDE"/>
    <w:rsid w:val="0022730C"/>
    <w:rsid w:val="00234252"/>
    <w:rsid w:val="00237AC6"/>
    <w:rsid w:val="00244490"/>
    <w:rsid w:val="00245B9C"/>
    <w:rsid w:val="00253499"/>
    <w:rsid w:val="002551A4"/>
    <w:rsid w:val="00257664"/>
    <w:rsid w:val="00265151"/>
    <w:rsid w:val="00265C2C"/>
    <w:rsid w:val="00266168"/>
    <w:rsid w:val="0026637E"/>
    <w:rsid w:val="00266509"/>
    <w:rsid w:val="00271BA1"/>
    <w:rsid w:val="00275509"/>
    <w:rsid w:val="002762FA"/>
    <w:rsid w:val="00277505"/>
    <w:rsid w:val="002823B6"/>
    <w:rsid w:val="00286F9D"/>
    <w:rsid w:val="002878DC"/>
    <w:rsid w:val="00287CA0"/>
    <w:rsid w:val="00294274"/>
    <w:rsid w:val="0029458F"/>
    <w:rsid w:val="002A0E04"/>
    <w:rsid w:val="002A104C"/>
    <w:rsid w:val="002A1EF7"/>
    <w:rsid w:val="002A2787"/>
    <w:rsid w:val="002A494D"/>
    <w:rsid w:val="002A4960"/>
    <w:rsid w:val="002B0AE0"/>
    <w:rsid w:val="002B1AE6"/>
    <w:rsid w:val="002B1D51"/>
    <w:rsid w:val="002B2DE8"/>
    <w:rsid w:val="002B30F8"/>
    <w:rsid w:val="002B388A"/>
    <w:rsid w:val="002B5596"/>
    <w:rsid w:val="002C212F"/>
    <w:rsid w:val="002C7485"/>
    <w:rsid w:val="002D283A"/>
    <w:rsid w:val="002D4543"/>
    <w:rsid w:val="002E2EC4"/>
    <w:rsid w:val="002E3153"/>
    <w:rsid w:val="002E5292"/>
    <w:rsid w:val="002E72CA"/>
    <w:rsid w:val="002E7BB7"/>
    <w:rsid w:val="002F0296"/>
    <w:rsid w:val="002F1975"/>
    <w:rsid w:val="002F600D"/>
    <w:rsid w:val="00300AD6"/>
    <w:rsid w:val="00300B1B"/>
    <w:rsid w:val="003019D0"/>
    <w:rsid w:val="00301B82"/>
    <w:rsid w:val="00305D57"/>
    <w:rsid w:val="003064AF"/>
    <w:rsid w:val="00310B68"/>
    <w:rsid w:val="00311777"/>
    <w:rsid w:val="0031618A"/>
    <w:rsid w:val="00317C6C"/>
    <w:rsid w:val="00320CD3"/>
    <w:rsid w:val="00326E79"/>
    <w:rsid w:val="00327A8A"/>
    <w:rsid w:val="003301B1"/>
    <w:rsid w:val="00331189"/>
    <w:rsid w:val="0033263D"/>
    <w:rsid w:val="0033518A"/>
    <w:rsid w:val="00335FB4"/>
    <w:rsid w:val="003367EF"/>
    <w:rsid w:val="00341AE4"/>
    <w:rsid w:val="003476EE"/>
    <w:rsid w:val="00352064"/>
    <w:rsid w:val="003541DD"/>
    <w:rsid w:val="00354B01"/>
    <w:rsid w:val="00356E5B"/>
    <w:rsid w:val="00367FAE"/>
    <w:rsid w:val="003736C9"/>
    <w:rsid w:val="00374CB6"/>
    <w:rsid w:val="00384988"/>
    <w:rsid w:val="003872CF"/>
    <w:rsid w:val="0039782C"/>
    <w:rsid w:val="003A5B4A"/>
    <w:rsid w:val="003A5D95"/>
    <w:rsid w:val="003B1AF6"/>
    <w:rsid w:val="003B23C5"/>
    <w:rsid w:val="003B2A75"/>
    <w:rsid w:val="003B2D24"/>
    <w:rsid w:val="003B6124"/>
    <w:rsid w:val="003C093A"/>
    <w:rsid w:val="003C1911"/>
    <w:rsid w:val="003C1ECF"/>
    <w:rsid w:val="003C2FB5"/>
    <w:rsid w:val="003C61D6"/>
    <w:rsid w:val="003D24C5"/>
    <w:rsid w:val="003D311C"/>
    <w:rsid w:val="003D4AC4"/>
    <w:rsid w:val="003D63B7"/>
    <w:rsid w:val="003D74C5"/>
    <w:rsid w:val="003E468B"/>
    <w:rsid w:val="003E62BD"/>
    <w:rsid w:val="003F0C3A"/>
    <w:rsid w:val="003F3228"/>
    <w:rsid w:val="003F4260"/>
    <w:rsid w:val="003F5C8C"/>
    <w:rsid w:val="003F63CE"/>
    <w:rsid w:val="003F775A"/>
    <w:rsid w:val="00400BF6"/>
    <w:rsid w:val="00400E55"/>
    <w:rsid w:val="0040128E"/>
    <w:rsid w:val="0040216B"/>
    <w:rsid w:val="00403167"/>
    <w:rsid w:val="00406153"/>
    <w:rsid w:val="004252EC"/>
    <w:rsid w:val="00427EAC"/>
    <w:rsid w:val="00430D39"/>
    <w:rsid w:val="00431126"/>
    <w:rsid w:val="00443DA7"/>
    <w:rsid w:val="00446465"/>
    <w:rsid w:val="004465BD"/>
    <w:rsid w:val="00446938"/>
    <w:rsid w:val="00456B0F"/>
    <w:rsid w:val="00461A44"/>
    <w:rsid w:val="00466ADA"/>
    <w:rsid w:val="004702BB"/>
    <w:rsid w:val="0047494B"/>
    <w:rsid w:val="00476245"/>
    <w:rsid w:val="00477A9B"/>
    <w:rsid w:val="00481468"/>
    <w:rsid w:val="00483035"/>
    <w:rsid w:val="00485940"/>
    <w:rsid w:val="004904B9"/>
    <w:rsid w:val="00496662"/>
    <w:rsid w:val="004A0788"/>
    <w:rsid w:val="004A2484"/>
    <w:rsid w:val="004A5A85"/>
    <w:rsid w:val="004A6B18"/>
    <w:rsid w:val="004A71D1"/>
    <w:rsid w:val="004A7C5B"/>
    <w:rsid w:val="004B1845"/>
    <w:rsid w:val="004B2348"/>
    <w:rsid w:val="004B2E98"/>
    <w:rsid w:val="004B4C98"/>
    <w:rsid w:val="004B5640"/>
    <w:rsid w:val="004C03D0"/>
    <w:rsid w:val="004C0D66"/>
    <w:rsid w:val="004C1BD7"/>
    <w:rsid w:val="004C31FE"/>
    <w:rsid w:val="004C44B9"/>
    <w:rsid w:val="004C524C"/>
    <w:rsid w:val="004C5426"/>
    <w:rsid w:val="004C5FFA"/>
    <w:rsid w:val="004C691D"/>
    <w:rsid w:val="004C6C07"/>
    <w:rsid w:val="004C7E15"/>
    <w:rsid w:val="004D2405"/>
    <w:rsid w:val="004D4FF6"/>
    <w:rsid w:val="004D7B0D"/>
    <w:rsid w:val="004E692D"/>
    <w:rsid w:val="004E7D87"/>
    <w:rsid w:val="004E7F33"/>
    <w:rsid w:val="004F2553"/>
    <w:rsid w:val="004F55E6"/>
    <w:rsid w:val="00501554"/>
    <w:rsid w:val="005020BA"/>
    <w:rsid w:val="00502AFE"/>
    <w:rsid w:val="00503AD7"/>
    <w:rsid w:val="00504E0C"/>
    <w:rsid w:val="00506B8F"/>
    <w:rsid w:val="005109D4"/>
    <w:rsid w:val="00511D33"/>
    <w:rsid w:val="00513A77"/>
    <w:rsid w:val="00514CD7"/>
    <w:rsid w:val="00520D6A"/>
    <w:rsid w:val="00522DB6"/>
    <w:rsid w:val="0052792D"/>
    <w:rsid w:val="005319B2"/>
    <w:rsid w:val="00532402"/>
    <w:rsid w:val="00532C74"/>
    <w:rsid w:val="0053373B"/>
    <w:rsid w:val="00534E2E"/>
    <w:rsid w:val="00541819"/>
    <w:rsid w:val="00544552"/>
    <w:rsid w:val="00545130"/>
    <w:rsid w:val="005464DC"/>
    <w:rsid w:val="0055286A"/>
    <w:rsid w:val="00555745"/>
    <w:rsid w:val="00557D4F"/>
    <w:rsid w:val="00564123"/>
    <w:rsid w:val="0056484E"/>
    <w:rsid w:val="00566F53"/>
    <w:rsid w:val="00572901"/>
    <w:rsid w:val="005764CD"/>
    <w:rsid w:val="005775DD"/>
    <w:rsid w:val="00577A8B"/>
    <w:rsid w:val="00577C4D"/>
    <w:rsid w:val="00580532"/>
    <w:rsid w:val="00581932"/>
    <w:rsid w:val="00587101"/>
    <w:rsid w:val="00587B27"/>
    <w:rsid w:val="005901BB"/>
    <w:rsid w:val="00590FED"/>
    <w:rsid w:val="00591775"/>
    <w:rsid w:val="005963BB"/>
    <w:rsid w:val="005A3173"/>
    <w:rsid w:val="005A3223"/>
    <w:rsid w:val="005A3DA3"/>
    <w:rsid w:val="005A52C4"/>
    <w:rsid w:val="005A63A1"/>
    <w:rsid w:val="005A72EC"/>
    <w:rsid w:val="005B4197"/>
    <w:rsid w:val="005C1F9C"/>
    <w:rsid w:val="005C2A40"/>
    <w:rsid w:val="005C4F73"/>
    <w:rsid w:val="005C51FB"/>
    <w:rsid w:val="005D03AB"/>
    <w:rsid w:val="005D5017"/>
    <w:rsid w:val="005D63FA"/>
    <w:rsid w:val="005E0D82"/>
    <w:rsid w:val="005E1333"/>
    <w:rsid w:val="005E288D"/>
    <w:rsid w:val="005E3136"/>
    <w:rsid w:val="005E4BC7"/>
    <w:rsid w:val="005E507D"/>
    <w:rsid w:val="005E6CCA"/>
    <w:rsid w:val="005F0068"/>
    <w:rsid w:val="00601A91"/>
    <w:rsid w:val="00602BA3"/>
    <w:rsid w:val="00605B63"/>
    <w:rsid w:val="00605F9A"/>
    <w:rsid w:val="00606EED"/>
    <w:rsid w:val="00612E34"/>
    <w:rsid w:val="00613246"/>
    <w:rsid w:val="00614159"/>
    <w:rsid w:val="00616C5F"/>
    <w:rsid w:val="00616DAC"/>
    <w:rsid w:val="00617C00"/>
    <w:rsid w:val="006263BF"/>
    <w:rsid w:val="0062748A"/>
    <w:rsid w:val="00630A2C"/>
    <w:rsid w:val="006363C8"/>
    <w:rsid w:val="0063682E"/>
    <w:rsid w:val="00636B38"/>
    <w:rsid w:val="00642DA8"/>
    <w:rsid w:val="006436CD"/>
    <w:rsid w:val="00651169"/>
    <w:rsid w:val="00653D69"/>
    <w:rsid w:val="006552E6"/>
    <w:rsid w:val="00655794"/>
    <w:rsid w:val="00655C48"/>
    <w:rsid w:val="00657C63"/>
    <w:rsid w:val="006670BE"/>
    <w:rsid w:val="00670A76"/>
    <w:rsid w:val="006711AA"/>
    <w:rsid w:val="00672B57"/>
    <w:rsid w:val="00673F1F"/>
    <w:rsid w:val="00675622"/>
    <w:rsid w:val="0067747D"/>
    <w:rsid w:val="006818D5"/>
    <w:rsid w:val="00681CA4"/>
    <w:rsid w:val="00686CF6"/>
    <w:rsid w:val="0069039D"/>
    <w:rsid w:val="006906DB"/>
    <w:rsid w:val="00691E6C"/>
    <w:rsid w:val="00693DFB"/>
    <w:rsid w:val="0069501D"/>
    <w:rsid w:val="00696129"/>
    <w:rsid w:val="00697806"/>
    <w:rsid w:val="00697CF2"/>
    <w:rsid w:val="006A12A5"/>
    <w:rsid w:val="006A5E20"/>
    <w:rsid w:val="006B0D94"/>
    <w:rsid w:val="006B485D"/>
    <w:rsid w:val="006C0C45"/>
    <w:rsid w:val="006C334C"/>
    <w:rsid w:val="006C6ABD"/>
    <w:rsid w:val="006C6D98"/>
    <w:rsid w:val="006C708E"/>
    <w:rsid w:val="006D14E7"/>
    <w:rsid w:val="006D4444"/>
    <w:rsid w:val="006D6493"/>
    <w:rsid w:val="006D6EC7"/>
    <w:rsid w:val="006E1BCD"/>
    <w:rsid w:val="006E667C"/>
    <w:rsid w:val="006F0A71"/>
    <w:rsid w:val="006F2C55"/>
    <w:rsid w:val="006F40C2"/>
    <w:rsid w:val="006F5125"/>
    <w:rsid w:val="006F733D"/>
    <w:rsid w:val="00702B6F"/>
    <w:rsid w:val="00705DB8"/>
    <w:rsid w:val="00706A2F"/>
    <w:rsid w:val="0070718E"/>
    <w:rsid w:val="00710259"/>
    <w:rsid w:val="0071031F"/>
    <w:rsid w:val="00710392"/>
    <w:rsid w:val="0071340B"/>
    <w:rsid w:val="00715BBB"/>
    <w:rsid w:val="007174BB"/>
    <w:rsid w:val="0072025D"/>
    <w:rsid w:val="00723328"/>
    <w:rsid w:val="0073137C"/>
    <w:rsid w:val="007353D3"/>
    <w:rsid w:val="0074156B"/>
    <w:rsid w:val="00747092"/>
    <w:rsid w:val="0075113B"/>
    <w:rsid w:val="007514AE"/>
    <w:rsid w:val="007555E8"/>
    <w:rsid w:val="00756958"/>
    <w:rsid w:val="00757458"/>
    <w:rsid w:val="0076420C"/>
    <w:rsid w:val="007706C8"/>
    <w:rsid w:val="007707B8"/>
    <w:rsid w:val="00771D07"/>
    <w:rsid w:val="00773BE3"/>
    <w:rsid w:val="007743DD"/>
    <w:rsid w:val="00774E2C"/>
    <w:rsid w:val="007753C2"/>
    <w:rsid w:val="0077724B"/>
    <w:rsid w:val="007838B8"/>
    <w:rsid w:val="007915BA"/>
    <w:rsid w:val="007A6BED"/>
    <w:rsid w:val="007A7BAD"/>
    <w:rsid w:val="007B3DDC"/>
    <w:rsid w:val="007B72A6"/>
    <w:rsid w:val="007C0F57"/>
    <w:rsid w:val="007C2609"/>
    <w:rsid w:val="007C40B6"/>
    <w:rsid w:val="007C729F"/>
    <w:rsid w:val="007D23CF"/>
    <w:rsid w:val="007D503D"/>
    <w:rsid w:val="007E1D28"/>
    <w:rsid w:val="007F0021"/>
    <w:rsid w:val="007F2641"/>
    <w:rsid w:val="007F7C36"/>
    <w:rsid w:val="007F7E43"/>
    <w:rsid w:val="00800AC2"/>
    <w:rsid w:val="00804831"/>
    <w:rsid w:val="00806796"/>
    <w:rsid w:val="00811CC0"/>
    <w:rsid w:val="008133EA"/>
    <w:rsid w:val="008144A4"/>
    <w:rsid w:val="00814854"/>
    <w:rsid w:val="008151D6"/>
    <w:rsid w:val="00820527"/>
    <w:rsid w:val="00821527"/>
    <w:rsid w:val="008223A0"/>
    <w:rsid w:val="00822696"/>
    <w:rsid w:val="00825FFD"/>
    <w:rsid w:val="008268BB"/>
    <w:rsid w:val="00826F6D"/>
    <w:rsid w:val="008306F3"/>
    <w:rsid w:val="00830E40"/>
    <w:rsid w:val="00831630"/>
    <w:rsid w:val="00835C62"/>
    <w:rsid w:val="008377BF"/>
    <w:rsid w:val="008457B0"/>
    <w:rsid w:val="00846056"/>
    <w:rsid w:val="00847EC0"/>
    <w:rsid w:val="00852455"/>
    <w:rsid w:val="00855FD6"/>
    <w:rsid w:val="00856DDD"/>
    <w:rsid w:val="008603BE"/>
    <w:rsid w:val="00863E68"/>
    <w:rsid w:val="008647B5"/>
    <w:rsid w:val="0086559F"/>
    <w:rsid w:val="00871581"/>
    <w:rsid w:val="00875DCB"/>
    <w:rsid w:val="00877656"/>
    <w:rsid w:val="00882085"/>
    <w:rsid w:val="00883188"/>
    <w:rsid w:val="00890348"/>
    <w:rsid w:val="00896631"/>
    <w:rsid w:val="00897D58"/>
    <w:rsid w:val="00897F22"/>
    <w:rsid w:val="008A0B39"/>
    <w:rsid w:val="008A1956"/>
    <w:rsid w:val="008A4937"/>
    <w:rsid w:val="008A50F1"/>
    <w:rsid w:val="008A59D9"/>
    <w:rsid w:val="008A6819"/>
    <w:rsid w:val="008B2EC0"/>
    <w:rsid w:val="008C197D"/>
    <w:rsid w:val="008C3358"/>
    <w:rsid w:val="008D0D54"/>
    <w:rsid w:val="008D1B5C"/>
    <w:rsid w:val="008D3C82"/>
    <w:rsid w:val="008D447E"/>
    <w:rsid w:val="008D6E56"/>
    <w:rsid w:val="008D7A41"/>
    <w:rsid w:val="008E2C72"/>
    <w:rsid w:val="008E3680"/>
    <w:rsid w:val="008E5870"/>
    <w:rsid w:val="008F0213"/>
    <w:rsid w:val="008F1434"/>
    <w:rsid w:val="008F29DC"/>
    <w:rsid w:val="008F3B8E"/>
    <w:rsid w:val="008F54C3"/>
    <w:rsid w:val="008F7355"/>
    <w:rsid w:val="009023DC"/>
    <w:rsid w:val="009027C5"/>
    <w:rsid w:val="009067B7"/>
    <w:rsid w:val="00907000"/>
    <w:rsid w:val="0091080D"/>
    <w:rsid w:val="0091247A"/>
    <w:rsid w:val="00917D69"/>
    <w:rsid w:val="00923EAA"/>
    <w:rsid w:val="0092438B"/>
    <w:rsid w:val="00925712"/>
    <w:rsid w:val="00926560"/>
    <w:rsid w:val="00930937"/>
    <w:rsid w:val="00931F99"/>
    <w:rsid w:val="009324A6"/>
    <w:rsid w:val="00933E6C"/>
    <w:rsid w:val="00937958"/>
    <w:rsid w:val="00941602"/>
    <w:rsid w:val="00942160"/>
    <w:rsid w:val="0094267C"/>
    <w:rsid w:val="0095146F"/>
    <w:rsid w:val="00953248"/>
    <w:rsid w:val="00953492"/>
    <w:rsid w:val="0095568F"/>
    <w:rsid w:val="00957944"/>
    <w:rsid w:val="009602C5"/>
    <w:rsid w:val="00962223"/>
    <w:rsid w:val="00966D0D"/>
    <w:rsid w:val="0096783C"/>
    <w:rsid w:val="009722B3"/>
    <w:rsid w:val="00974C21"/>
    <w:rsid w:val="00975948"/>
    <w:rsid w:val="009772AE"/>
    <w:rsid w:val="00977BF3"/>
    <w:rsid w:val="009803E4"/>
    <w:rsid w:val="00980B0E"/>
    <w:rsid w:val="009836A3"/>
    <w:rsid w:val="009855A8"/>
    <w:rsid w:val="00990597"/>
    <w:rsid w:val="009913F4"/>
    <w:rsid w:val="00991782"/>
    <w:rsid w:val="00993656"/>
    <w:rsid w:val="00993CCF"/>
    <w:rsid w:val="0099465B"/>
    <w:rsid w:val="009951A1"/>
    <w:rsid w:val="009A0CDD"/>
    <w:rsid w:val="009A3168"/>
    <w:rsid w:val="009A61CA"/>
    <w:rsid w:val="009B0C64"/>
    <w:rsid w:val="009B0DFD"/>
    <w:rsid w:val="009B0F67"/>
    <w:rsid w:val="009B1451"/>
    <w:rsid w:val="009C3914"/>
    <w:rsid w:val="009C703C"/>
    <w:rsid w:val="009D206E"/>
    <w:rsid w:val="009D33EF"/>
    <w:rsid w:val="009D3CAA"/>
    <w:rsid w:val="009D6532"/>
    <w:rsid w:val="009E05AA"/>
    <w:rsid w:val="009E0F8F"/>
    <w:rsid w:val="009E2E8E"/>
    <w:rsid w:val="009E40E1"/>
    <w:rsid w:val="009E750B"/>
    <w:rsid w:val="009E7E89"/>
    <w:rsid w:val="009F0EFA"/>
    <w:rsid w:val="009F4E46"/>
    <w:rsid w:val="009F5B65"/>
    <w:rsid w:val="009F5F2E"/>
    <w:rsid w:val="009F618B"/>
    <w:rsid w:val="009F656A"/>
    <w:rsid w:val="00A01432"/>
    <w:rsid w:val="00A06225"/>
    <w:rsid w:val="00A128E6"/>
    <w:rsid w:val="00A144D3"/>
    <w:rsid w:val="00A22AC3"/>
    <w:rsid w:val="00A23287"/>
    <w:rsid w:val="00A23F3F"/>
    <w:rsid w:val="00A24067"/>
    <w:rsid w:val="00A24F65"/>
    <w:rsid w:val="00A2744D"/>
    <w:rsid w:val="00A34E6C"/>
    <w:rsid w:val="00A36398"/>
    <w:rsid w:val="00A37C8D"/>
    <w:rsid w:val="00A4020E"/>
    <w:rsid w:val="00A40FB5"/>
    <w:rsid w:val="00A42826"/>
    <w:rsid w:val="00A429B3"/>
    <w:rsid w:val="00A4519D"/>
    <w:rsid w:val="00A4659F"/>
    <w:rsid w:val="00A47F64"/>
    <w:rsid w:val="00A510E4"/>
    <w:rsid w:val="00A5273B"/>
    <w:rsid w:val="00A53A9D"/>
    <w:rsid w:val="00A53AC9"/>
    <w:rsid w:val="00A55FEE"/>
    <w:rsid w:val="00A57422"/>
    <w:rsid w:val="00A62C1A"/>
    <w:rsid w:val="00A6426D"/>
    <w:rsid w:val="00A65C1C"/>
    <w:rsid w:val="00A665C1"/>
    <w:rsid w:val="00A673A4"/>
    <w:rsid w:val="00A7001A"/>
    <w:rsid w:val="00A70622"/>
    <w:rsid w:val="00A70977"/>
    <w:rsid w:val="00A70D58"/>
    <w:rsid w:val="00A71B8C"/>
    <w:rsid w:val="00A744F9"/>
    <w:rsid w:val="00A74C1E"/>
    <w:rsid w:val="00A77107"/>
    <w:rsid w:val="00A77613"/>
    <w:rsid w:val="00A81851"/>
    <w:rsid w:val="00A8390C"/>
    <w:rsid w:val="00A8482C"/>
    <w:rsid w:val="00A866C8"/>
    <w:rsid w:val="00A86AE0"/>
    <w:rsid w:val="00A928BD"/>
    <w:rsid w:val="00A97129"/>
    <w:rsid w:val="00A97DE9"/>
    <w:rsid w:val="00AA0737"/>
    <w:rsid w:val="00AA12CD"/>
    <w:rsid w:val="00AA4D1C"/>
    <w:rsid w:val="00AA4D85"/>
    <w:rsid w:val="00AA52FD"/>
    <w:rsid w:val="00AA5E52"/>
    <w:rsid w:val="00AB5856"/>
    <w:rsid w:val="00AC193C"/>
    <w:rsid w:val="00AC4DE5"/>
    <w:rsid w:val="00AC5206"/>
    <w:rsid w:val="00AC76D5"/>
    <w:rsid w:val="00AD107D"/>
    <w:rsid w:val="00AD23FB"/>
    <w:rsid w:val="00AD4322"/>
    <w:rsid w:val="00AE11A5"/>
    <w:rsid w:val="00AE13E2"/>
    <w:rsid w:val="00AE22D3"/>
    <w:rsid w:val="00AE5A49"/>
    <w:rsid w:val="00AF62DF"/>
    <w:rsid w:val="00AF68CC"/>
    <w:rsid w:val="00AF70D7"/>
    <w:rsid w:val="00B005F1"/>
    <w:rsid w:val="00B02124"/>
    <w:rsid w:val="00B06478"/>
    <w:rsid w:val="00B07CFB"/>
    <w:rsid w:val="00B1059E"/>
    <w:rsid w:val="00B138BE"/>
    <w:rsid w:val="00B16273"/>
    <w:rsid w:val="00B170A5"/>
    <w:rsid w:val="00B17400"/>
    <w:rsid w:val="00B176C8"/>
    <w:rsid w:val="00B17EE5"/>
    <w:rsid w:val="00B205AA"/>
    <w:rsid w:val="00B22E84"/>
    <w:rsid w:val="00B233AD"/>
    <w:rsid w:val="00B23E25"/>
    <w:rsid w:val="00B25F75"/>
    <w:rsid w:val="00B26B3F"/>
    <w:rsid w:val="00B274CC"/>
    <w:rsid w:val="00B2778F"/>
    <w:rsid w:val="00B33635"/>
    <w:rsid w:val="00B42AF4"/>
    <w:rsid w:val="00B43E90"/>
    <w:rsid w:val="00B44EFC"/>
    <w:rsid w:val="00B467DC"/>
    <w:rsid w:val="00B56118"/>
    <w:rsid w:val="00B62594"/>
    <w:rsid w:val="00B6773F"/>
    <w:rsid w:val="00B70EB3"/>
    <w:rsid w:val="00B7525E"/>
    <w:rsid w:val="00B760FB"/>
    <w:rsid w:val="00B767AB"/>
    <w:rsid w:val="00B801BA"/>
    <w:rsid w:val="00B84D5C"/>
    <w:rsid w:val="00B929DC"/>
    <w:rsid w:val="00B95108"/>
    <w:rsid w:val="00BA0E08"/>
    <w:rsid w:val="00BA2DA8"/>
    <w:rsid w:val="00BA347C"/>
    <w:rsid w:val="00BA53A8"/>
    <w:rsid w:val="00BB066F"/>
    <w:rsid w:val="00BB071D"/>
    <w:rsid w:val="00BB5C49"/>
    <w:rsid w:val="00BB6240"/>
    <w:rsid w:val="00BB69F5"/>
    <w:rsid w:val="00BB7EC3"/>
    <w:rsid w:val="00BC19D2"/>
    <w:rsid w:val="00BC4B9A"/>
    <w:rsid w:val="00BC7B58"/>
    <w:rsid w:val="00BD02C3"/>
    <w:rsid w:val="00BD7483"/>
    <w:rsid w:val="00BD784C"/>
    <w:rsid w:val="00BE020A"/>
    <w:rsid w:val="00BE13DF"/>
    <w:rsid w:val="00BF092C"/>
    <w:rsid w:val="00BF27A0"/>
    <w:rsid w:val="00BF4CB6"/>
    <w:rsid w:val="00C00DA7"/>
    <w:rsid w:val="00C04CDE"/>
    <w:rsid w:val="00C12768"/>
    <w:rsid w:val="00C12D70"/>
    <w:rsid w:val="00C13D78"/>
    <w:rsid w:val="00C21B09"/>
    <w:rsid w:val="00C246EC"/>
    <w:rsid w:val="00C2673A"/>
    <w:rsid w:val="00C27B58"/>
    <w:rsid w:val="00C33186"/>
    <w:rsid w:val="00C35996"/>
    <w:rsid w:val="00C40567"/>
    <w:rsid w:val="00C4747E"/>
    <w:rsid w:val="00C50B7A"/>
    <w:rsid w:val="00C5151E"/>
    <w:rsid w:val="00C5342C"/>
    <w:rsid w:val="00C53B2B"/>
    <w:rsid w:val="00C60272"/>
    <w:rsid w:val="00C603D4"/>
    <w:rsid w:val="00C6256A"/>
    <w:rsid w:val="00C6390C"/>
    <w:rsid w:val="00C670A8"/>
    <w:rsid w:val="00C710E2"/>
    <w:rsid w:val="00C71C3F"/>
    <w:rsid w:val="00C7409E"/>
    <w:rsid w:val="00C74D6D"/>
    <w:rsid w:val="00C76E76"/>
    <w:rsid w:val="00C77891"/>
    <w:rsid w:val="00C85618"/>
    <w:rsid w:val="00C8579F"/>
    <w:rsid w:val="00C91449"/>
    <w:rsid w:val="00C92D10"/>
    <w:rsid w:val="00C9515A"/>
    <w:rsid w:val="00CA48D9"/>
    <w:rsid w:val="00CA7A98"/>
    <w:rsid w:val="00CB1193"/>
    <w:rsid w:val="00CB4767"/>
    <w:rsid w:val="00CB493D"/>
    <w:rsid w:val="00CC3B97"/>
    <w:rsid w:val="00CE10C4"/>
    <w:rsid w:val="00CE27B5"/>
    <w:rsid w:val="00CE6DAF"/>
    <w:rsid w:val="00CF410A"/>
    <w:rsid w:val="00CF5AA0"/>
    <w:rsid w:val="00CF74A2"/>
    <w:rsid w:val="00D0321E"/>
    <w:rsid w:val="00D07A8A"/>
    <w:rsid w:val="00D1455A"/>
    <w:rsid w:val="00D14A70"/>
    <w:rsid w:val="00D22093"/>
    <w:rsid w:val="00D31150"/>
    <w:rsid w:val="00D3138B"/>
    <w:rsid w:val="00D3280C"/>
    <w:rsid w:val="00D3406A"/>
    <w:rsid w:val="00D40B11"/>
    <w:rsid w:val="00D441F1"/>
    <w:rsid w:val="00D4572C"/>
    <w:rsid w:val="00D469B2"/>
    <w:rsid w:val="00D54B09"/>
    <w:rsid w:val="00D55523"/>
    <w:rsid w:val="00D6243E"/>
    <w:rsid w:val="00D6264E"/>
    <w:rsid w:val="00D65658"/>
    <w:rsid w:val="00D677BF"/>
    <w:rsid w:val="00D72B6F"/>
    <w:rsid w:val="00D741EB"/>
    <w:rsid w:val="00D7679C"/>
    <w:rsid w:val="00D81655"/>
    <w:rsid w:val="00D820F3"/>
    <w:rsid w:val="00D83605"/>
    <w:rsid w:val="00D84934"/>
    <w:rsid w:val="00D91271"/>
    <w:rsid w:val="00D919F5"/>
    <w:rsid w:val="00D94F03"/>
    <w:rsid w:val="00DA0A82"/>
    <w:rsid w:val="00DA0B50"/>
    <w:rsid w:val="00DA0D14"/>
    <w:rsid w:val="00DA1FC9"/>
    <w:rsid w:val="00DA2CB5"/>
    <w:rsid w:val="00DA4BAC"/>
    <w:rsid w:val="00DA6A8E"/>
    <w:rsid w:val="00DB0151"/>
    <w:rsid w:val="00DB29D8"/>
    <w:rsid w:val="00DC2C3E"/>
    <w:rsid w:val="00DC3137"/>
    <w:rsid w:val="00DC4880"/>
    <w:rsid w:val="00DE6D27"/>
    <w:rsid w:val="00DF01F8"/>
    <w:rsid w:val="00DF217D"/>
    <w:rsid w:val="00DF26A7"/>
    <w:rsid w:val="00DF3277"/>
    <w:rsid w:val="00DF7919"/>
    <w:rsid w:val="00E0207E"/>
    <w:rsid w:val="00E03912"/>
    <w:rsid w:val="00E078D9"/>
    <w:rsid w:val="00E10293"/>
    <w:rsid w:val="00E1323F"/>
    <w:rsid w:val="00E15627"/>
    <w:rsid w:val="00E164B3"/>
    <w:rsid w:val="00E16910"/>
    <w:rsid w:val="00E24E09"/>
    <w:rsid w:val="00E27234"/>
    <w:rsid w:val="00E30E66"/>
    <w:rsid w:val="00E3495C"/>
    <w:rsid w:val="00E42BDB"/>
    <w:rsid w:val="00E513B8"/>
    <w:rsid w:val="00E55D8A"/>
    <w:rsid w:val="00E57EEB"/>
    <w:rsid w:val="00E62D94"/>
    <w:rsid w:val="00E64F37"/>
    <w:rsid w:val="00E65091"/>
    <w:rsid w:val="00E65E54"/>
    <w:rsid w:val="00E661C7"/>
    <w:rsid w:val="00E80155"/>
    <w:rsid w:val="00E8134B"/>
    <w:rsid w:val="00E81E0D"/>
    <w:rsid w:val="00E81F28"/>
    <w:rsid w:val="00E848C0"/>
    <w:rsid w:val="00E91B96"/>
    <w:rsid w:val="00E93D1E"/>
    <w:rsid w:val="00E941A1"/>
    <w:rsid w:val="00E95CE3"/>
    <w:rsid w:val="00E96F7D"/>
    <w:rsid w:val="00EA252F"/>
    <w:rsid w:val="00EA2825"/>
    <w:rsid w:val="00EA6518"/>
    <w:rsid w:val="00EA7466"/>
    <w:rsid w:val="00EA7EDE"/>
    <w:rsid w:val="00EB0B63"/>
    <w:rsid w:val="00EB1936"/>
    <w:rsid w:val="00EB37BE"/>
    <w:rsid w:val="00EB416C"/>
    <w:rsid w:val="00EB5088"/>
    <w:rsid w:val="00EB7E44"/>
    <w:rsid w:val="00EC15B0"/>
    <w:rsid w:val="00ED1644"/>
    <w:rsid w:val="00ED2593"/>
    <w:rsid w:val="00ED7D55"/>
    <w:rsid w:val="00ED7D9C"/>
    <w:rsid w:val="00EE0595"/>
    <w:rsid w:val="00EE31A2"/>
    <w:rsid w:val="00EE34D0"/>
    <w:rsid w:val="00EE4028"/>
    <w:rsid w:val="00EF0069"/>
    <w:rsid w:val="00EF1CB8"/>
    <w:rsid w:val="00EF44A0"/>
    <w:rsid w:val="00EF4FED"/>
    <w:rsid w:val="00EF6FB3"/>
    <w:rsid w:val="00F007C6"/>
    <w:rsid w:val="00F0172E"/>
    <w:rsid w:val="00F050BD"/>
    <w:rsid w:val="00F05657"/>
    <w:rsid w:val="00F06F3E"/>
    <w:rsid w:val="00F07F7F"/>
    <w:rsid w:val="00F17ED6"/>
    <w:rsid w:val="00F209E2"/>
    <w:rsid w:val="00F25578"/>
    <w:rsid w:val="00F258E5"/>
    <w:rsid w:val="00F25B9C"/>
    <w:rsid w:val="00F26CC6"/>
    <w:rsid w:val="00F300BC"/>
    <w:rsid w:val="00F3263C"/>
    <w:rsid w:val="00F3334E"/>
    <w:rsid w:val="00F36CCB"/>
    <w:rsid w:val="00F374E5"/>
    <w:rsid w:val="00F37B93"/>
    <w:rsid w:val="00F37BAD"/>
    <w:rsid w:val="00F37ECA"/>
    <w:rsid w:val="00F43AF2"/>
    <w:rsid w:val="00F5007E"/>
    <w:rsid w:val="00F50EC4"/>
    <w:rsid w:val="00F52232"/>
    <w:rsid w:val="00F550CF"/>
    <w:rsid w:val="00F57A6D"/>
    <w:rsid w:val="00F6318A"/>
    <w:rsid w:val="00F638CC"/>
    <w:rsid w:val="00F64C9E"/>
    <w:rsid w:val="00F64CC1"/>
    <w:rsid w:val="00F72317"/>
    <w:rsid w:val="00F77AF6"/>
    <w:rsid w:val="00F80475"/>
    <w:rsid w:val="00F8247A"/>
    <w:rsid w:val="00F82E5C"/>
    <w:rsid w:val="00F93293"/>
    <w:rsid w:val="00F9629A"/>
    <w:rsid w:val="00F97EFC"/>
    <w:rsid w:val="00FA1BDD"/>
    <w:rsid w:val="00FA305C"/>
    <w:rsid w:val="00FA3F4A"/>
    <w:rsid w:val="00FA497C"/>
    <w:rsid w:val="00FA4DD5"/>
    <w:rsid w:val="00FA5883"/>
    <w:rsid w:val="00FA6055"/>
    <w:rsid w:val="00FB0B39"/>
    <w:rsid w:val="00FB322F"/>
    <w:rsid w:val="00FB442F"/>
    <w:rsid w:val="00FC118C"/>
    <w:rsid w:val="00FC1929"/>
    <w:rsid w:val="00FC30E0"/>
    <w:rsid w:val="00FC5B46"/>
    <w:rsid w:val="00FD0FC2"/>
    <w:rsid w:val="00FD6D8E"/>
    <w:rsid w:val="00FE0663"/>
    <w:rsid w:val="00FE0E94"/>
    <w:rsid w:val="00FE3CD9"/>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0F2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37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rPr>
      <w:lang w:val="en-AU" w:eastAsia="en-US" w:bidi="ar-SA"/>
    </w:rPr>
  </w:style>
  <w:style w:type="paragraph" w:styleId="Subtitle">
    <w:name w:val="Subtitle"/>
    <w:basedOn w:val="Normal"/>
    <w:link w:val="SubtitleChar"/>
    <w:qFormat/>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Styl moj,Akapit z listą1"/>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contextualSpacing/>
    </w:pPr>
  </w:style>
  <w:style w:type="paragraph" w:customStyle="1" w:styleId="Default">
    <w:name w:val="Default"/>
    <w:rsid w:val="00275509"/>
    <w:pPr>
      <w:autoSpaceDE w:val="0"/>
      <w:autoSpaceDN w:val="0"/>
      <w:adjustRightInd w:val="0"/>
    </w:pPr>
    <w:rPr>
      <w:color w:val="000000"/>
      <w:sz w:val="24"/>
      <w:szCs w:val="24"/>
    </w:rPr>
  </w:style>
  <w:style w:type="paragraph" w:styleId="NormalWeb">
    <w:name w:val="Normal (Web)"/>
    <w:basedOn w:val="Normal"/>
    <w:uiPriority w:val="99"/>
    <w:semiHidden/>
    <w:unhideWhenUsed/>
    <w:rsid w:val="00FC30E0"/>
    <w:pPr>
      <w:spacing w:after="150"/>
      <w:jc w:val="left"/>
    </w:pPr>
    <w:rPr>
      <w:rFonts w:ascii="Times New Roman" w:hAnsi="Times New Roman"/>
      <w:color w:val="222222"/>
    </w:rPr>
  </w:style>
  <w:style w:type="paragraph" w:styleId="Revision">
    <w:name w:val="Revision"/>
    <w:hidden/>
    <w:uiPriority w:val="71"/>
    <w:semiHidden/>
    <w:rsid w:val="0077724B"/>
    <w:rPr>
      <w:rFonts w:ascii="Calibri" w:hAnsi="Calibri"/>
      <w:sz w:val="24"/>
      <w:szCs w:val="24"/>
    </w:rPr>
  </w:style>
  <w:style w:type="paragraph" w:customStyle="1" w:styleId="TableParagraph">
    <w:name w:val="Table Paragraph"/>
    <w:basedOn w:val="Normal"/>
    <w:uiPriority w:val="1"/>
    <w:qFormat/>
    <w:rsid w:val="00591775"/>
    <w:pPr>
      <w:autoSpaceDE w:val="0"/>
      <w:autoSpaceDN w:val="0"/>
      <w:adjustRightInd w:val="0"/>
      <w:spacing w:before="18"/>
      <w:ind w:left="143"/>
      <w:jc w:val="center"/>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6056038">
      <w:bodyDiv w:val="1"/>
      <w:marLeft w:val="0"/>
      <w:marRight w:val="0"/>
      <w:marTop w:val="0"/>
      <w:marBottom w:val="0"/>
      <w:divBdr>
        <w:top w:val="none" w:sz="0" w:space="0" w:color="auto"/>
        <w:left w:val="none" w:sz="0" w:space="0" w:color="auto"/>
        <w:bottom w:val="none" w:sz="0" w:space="0" w:color="auto"/>
        <w:right w:val="none" w:sz="0" w:space="0" w:color="auto"/>
      </w:divBdr>
      <w:divsChild>
        <w:div w:id="83964985">
          <w:marLeft w:val="0"/>
          <w:marRight w:val="0"/>
          <w:marTop w:val="0"/>
          <w:marBottom w:val="0"/>
          <w:divBdr>
            <w:top w:val="none" w:sz="0" w:space="0" w:color="auto"/>
            <w:left w:val="none" w:sz="0" w:space="0" w:color="auto"/>
            <w:bottom w:val="none" w:sz="0" w:space="0" w:color="auto"/>
            <w:right w:val="none" w:sz="0" w:space="0" w:color="auto"/>
          </w:divBdr>
          <w:divsChild>
            <w:div w:id="2145157029">
              <w:marLeft w:val="0"/>
              <w:marRight w:val="0"/>
              <w:marTop w:val="0"/>
              <w:marBottom w:val="0"/>
              <w:divBdr>
                <w:top w:val="none" w:sz="0" w:space="0" w:color="auto"/>
                <w:left w:val="none" w:sz="0" w:space="0" w:color="auto"/>
                <w:bottom w:val="none" w:sz="0" w:space="0" w:color="auto"/>
                <w:right w:val="none" w:sz="0" w:space="0" w:color="auto"/>
              </w:divBdr>
              <w:divsChild>
                <w:div w:id="506873811">
                  <w:marLeft w:val="0"/>
                  <w:marRight w:val="0"/>
                  <w:marTop w:val="0"/>
                  <w:marBottom w:val="0"/>
                  <w:divBdr>
                    <w:top w:val="none" w:sz="0" w:space="0" w:color="auto"/>
                    <w:left w:val="none" w:sz="0" w:space="0" w:color="auto"/>
                    <w:bottom w:val="none" w:sz="0" w:space="0" w:color="auto"/>
                    <w:right w:val="none" w:sz="0" w:space="0" w:color="auto"/>
                  </w:divBdr>
                  <w:divsChild>
                    <w:div w:id="349570326">
                      <w:marLeft w:val="0"/>
                      <w:marRight w:val="0"/>
                      <w:marTop w:val="0"/>
                      <w:marBottom w:val="0"/>
                      <w:divBdr>
                        <w:top w:val="none" w:sz="0" w:space="0" w:color="auto"/>
                        <w:left w:val="none" w:sz="0" w:space="0" w:color="auto"/>
                        <w:bottom w:val="none" w:sz="0" w:space="0" w:color="auto"/>
                        <w:right w:val="none" w:sz="0" w:space="0" w:color="auto"/>
                      </w:divBdr>
                      <w:divsChild>
                        <w:div w:id="1308392864">
                          <w:marLeft w:val="0"/>
                          <w:marRight w:val="0"/>
                          <w:marTop w:val="0"/>
                          <w:marBottom w:val="0"/>
                          <w:divBdr>
                            <w:top w:val="none" w:sz="0" w:space="0" w:color="auto"/>
                            <w:left w:val="none" w:sz="0" w:space="0" w:color="auto"/>
                            <w:bottom w:val="none" w:sz="0" w:space="0" w:color="auto"/>
                            <w:right w:val="none" w:sz="0" w:space="0" w:color="auto"/>
                          </w:divBdr>
                          <w:divsChild>
                            <w:div w:id="15106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8384271">
      <w:bodyDiv w:val="1"/>
      <w:marLeft w:val="0"/>
      <w:marRight w:val="0"/>
      <w:marTop w:val="0"/>
      <w:marBottom w:val="0"/>
      <w:divBdr>
        <w:top w:val="none" w:sz="0" w:space="0" w:color="auto"/>
        <w:left w:val="none" w:sz="0" w:space="0" w:color="auto"/>
        <w:bottom w:val="none" w:sz="0" w:space="0" w:color="auto"/>
        <w:right w:val="none" w:sz="0" w:space="0" w:color="auto"/>
      </w:divBdr>
    </w:div>
    <w:div w:id="382601243">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794297019">
      <w:bodyDiv w:val="1"/>
      <w:marLeft w:val="0"/>
      <w:marRight w:val="0"/>
      <w:marTop w:val="0"/>
      <w:marBottom w:val="0"/>
      <w:divBdr>
        <w:top w:val="none" w:sz="0" w:space="0" w:color="auto"/>
        <w:left w:val="none" w:sz="0" w:space="0" w:color="auto"/>
        <w:bottom w:val="none" w:sz="0" w:space="0" w:color="auto"/>
        <w:right w:val="none" w:sz="0" w:space="0" w:color="auto"/>
      </w:divBdr>
      <w:divsChild>
        <w:div w:id="328680617">
          <w:marLeft w:val="0"/>
          <w:marRight w:val="0"/>
          <w:marTop w:val="0"/>
          <w:marBottom w:val="0"/>
          <w:divBdr>
            <w:top w:val="none" w:sz="0" w:space="0" w:color="auto"/>
            <w:left w:val="none" w:sz="0" w:space="0" w:color="auto"/>
            <w:bottom w:val="none" w:sz="0" w:space="0" w:color="auto"/>
            <w:right w:val="none" w:sz="0" w:space="0" w:color="auto"/>
          </w:divBdr>
          <w:divsChild>
            <w:div w:id="415908629">
              <w:marLeft w:val="0"/>
              <w:marRight w:val="0"/>
              <w:marTop w:val="0"/>
              <w:marBottom w:val="0"/>
              <w:divBdr>
                <w:top w:val="none" w:sz="0" w:space="0" w:color="auto"/>
                <w:left w:val="none" w:sz="0" w:space="0" w:color="auto"/>
                <w:bottom w:val="none" w:sz="0" w:space="0" w:color="auto"/>
                <w:right w:val="none" w:sz="0" w:space="0" w:color="auto"/>
              </w:divBdr>
              <w:divsChild>
                <w:div w:id="1861698074">
                  <w:marLeft w:val="0"/>
                  <w:marRight w:val="0"/>
                  <w:marTop w:val="0"/>
                  <w:marBottom w:val="0"/>
                  <w:divBdr>
                    <w:top w:val="none" w:sz="0" w:space="0" w:color="auto"/>
                    <w:left w:val="none" w:sz="0" w:space="0" w:color="auto"/>
                    <w:bottom w:val="none" w:sz="0" w:space="0" w:color="auto"/>
                    <w:right w:val="none" w:sz="0" w:space="0" w:color="auto"/>
                  </w:divBdr>
                  <w:divsChild>
                    <w:div w:id="878664363">
                      <w:marLeft w:val="0"/>
                      <w:marRight w:val="0"/>
                      <w:marTop w:val="0"/>
                      <w:marBottom w:val="0"/>
                      <w:divBdr>
                        <w:top w:val="none" w:sz="0" w:space="0" w:color="auto"/>
                        <w:left w:val="none" w:sz="0" w:space="0" w:color="auto"/>
                        <w:bottom w:val="none" w:sz="0" w:space="0" w:color="auto"/>
                        <w:right w:val="none" w:sz="0" w:space="0" w:color="auto"/>
                      </w:divBdr>
                      <w:divsChild>
                        <w:div w:id="1174152603">
                          <w:marLeft w:val="0"/>
                          <w:marRight w:val="0"/>
                          <w:marTop w:val="0"/>
                          <w:marBottom w:val="0"/>
                          <w:divBdr>
                            <w:top w:val="none" w:sz="0" w:space="0" w:color="auto"/>
                            <w:left w:val="none" w:sz="0" w:space="0" w:color="auto"/>
                            <w:bottom w:val="none" w:sz="0" w:space="0" w:color="auto"/>
                            <w:right w:val="none" w:sz="0" w:space="0" w:color="auto"/>
                          </w:divBdr>
                          <w:divsChild>
                            <w:div w:id="2325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29902612">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15141847">
      <w:bodyDiv w:val="1"/>
      <w:marLeft w:val="0"/>
      <w:marRight w:val="0"/>
      <w:marTop w:val="0"/>
      <w:marBottom w:val="0"/>
      <w:divBdr>
        <w:top w:val="none" w:sz="0" w:space="0" w:color="auto"/>
        <w:left w:val="none" w:sz="0" w:space="0" w:color="auto"/>
        <w:bottom w:val="none" w:sz="0" w:space="0" w:color="auto"/>
        <w:right w:val="none" w:sz="0" w:space="0" w:color="auto"/>
      </w:divBdr>
      <w:divsChild>
        <w:div w:id="815680619">
          <w:marLeft w:val="0"/>
          <w:marRight w:val="0"/>
          <w:marTop w:val="0"/>
          <w:marBottom w:val="0"/>
          <w:divBdr>
            <w:top w:val="none" w:sz="0" w:space="0" w:color="auto"/>
            <w:left w:val="none" w:sz="0" w:space="0" w:color="auto"/>
            <w:bottom w:val="none" w:sz="0" w:space="0" w:color="auto"/>
            <w:right w:val="none" w:sz="0" w:space="0" w:color="auto"/>
          </w:divBdr>
          <w:divsChild>
            <w:div w:id="1889145865">
              <w:marLeft w:val="0"/>
              <w:marRight w:val="0"/>
              <w:marTop w:val="0"/>
              <w:marBottom w:val="0"/>
              <w:divBdr>
                <w:top w:val="none" w:sz="0" w:space="0" w:color="auto"/>
                <w:left w:val="none" w:sz="0" w:space="0" w:color="auto"/>
                <w:bottom w:val="none" w:sz="0" w:space="0" w:color="auto"/>
                <w:right w:val="none" w:sz="0" w:space="0" w:color="auto"/>
              </w:divBdr>
              <w:divsChild>
                <w:div w:id="758522063">
                  <w:marLeft w:val="0"/>
                  <w:marRight w:val="0"/>
                  <w:marTop w:val="0"/>
                  <w:marBottom w:val="0"/>
                  <w:divBdr>
                    <w:top w:val="none" w:sz="0" w:space="0" w:color="auto"/>
                    <w:left w:val="none" w:sz="0" w:space="0" w:color="auto"/>
                    <w:bottom w:val="none" w:sz="0" w:space="0" w:color="auto"/>
                    <w:right w:val="none" w:sz="0" w:space="0" w:color="auto"/>
                  </w:divBdr>
                  <w:divsChild>
                    <w:div w:id="1563441164">
                      <w:marLeft w:val="0"/>
                      <w:marRight w:val="0"/>
                      <w:marTop w:val="0"/>
                      <w:marBottom w:val="0"/>
                      <w:divBdr>
                        <w:top w:val="none" w:sz="0" w:space="0" w:color="auto"/>
                        <w:left w:val="none" w:sz="0" w:space="0" w:color="auto"/>
                        <w:bottom w:val="none" w:sz="0" w:space="0" w:color="auto"/>
                        <w:right w:val="none" w:sz="0" w:space="0" w:color="auto"/>
                      </w:divBdr>
                      <w:divsChild>
                        <w:div w:id="874805552">
                          <w:marLeft w:val="0"/>
                          <w:marRight w:val="0"/>
                          <w:marTop w:val="0"/>
                          <w:marBottom w:val="0"/>
                          <w:divBdr>
                            <w:top w:val="none" w:sz="0" w:space="0" w:color="auto"/>
                            <w:left w:val="none" w:sz="0" w:space="0" w:color="auto"/>
                            <w:bottom w:val="none" w:sz="0" w:space="0" w:color="auto"/>
                            <w:right w:val="none" w:sz="0" w:space="0" w:color="auto"/>
                          </w:divBdr>
                          <w:divsChild>
                            <w:div w:id="63145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015364">
      <w:bodyDiv w:val="1"/>
      <w:marLeft w:val="0"/>
      <w:marRight w:val="0"/>
      <w:marTop w:val="0"/>
      <w:marBottom w:val="0"/>
      <w:divBdr>
        <w:top w:val="none" w:sz="0" w:space="0" w:color="auto"/>
        <w:left w:val="none" w:sz="0" w:space="0" w:color="auto"/>
        <w:bottom w:val="none" w:sz="0" w:space="0" w:color="auto"/>
        <w:right w:val="none" w:sz="0" w:space="0" w:color="auto"/>
      </w:divBdr>
      <w:divsChild>
        <w:div w:id="785277968">
          <w:marLeft w:val="0"/>
          <w:marRight w:val="0"/>
          <w:marTop w:val="0"/>
          <w:marBottom w:val="0"/>
          <w:divBdr>
            <w:top w:val="none" w:sz="0" w:space="0" w:color="auto"/>
            <w:left w:val="none" w:sz="0" w:space="0" w:color="auto"/>
            <w:bottom w:val="none" w:sz="0" w:space="0" w:color="auto"/>
            <w:right w:val="none" w:sz="0" w:space="0" w:color="auto"/>
          </w:divBdr>
          <w:divsChild>
            <w:div w:id="2000494081">
              <w:marLeft w:val="0"/>
              <w:marRight w:val="0"/>
              <w:marTop w:val="0"/>
              <w:marBottom w:val="0"/>
              <w:divBdr>
                <w:top w:val="none" w:sz="0" w:space="0" w:color="auto"/>
                <w:left w:val="none" w:sz="0" w:space="0" w:color="auto"/>
                <w:bottom w:val="none" w:sz="0" w:space="0" w:color="auto"/>
                <w:right w:val="none" w:sz="0" w:space="0" w:color="auto"/>
              </w:divBdr>
              <w:divsChild>
                <w:div w:id="1287351698">
                  <w:marLeft w:val="0"/>
                  <w:marRight w:val="0"/>
                  <w:marTop w:val="0"/>
                  <w:marBottom w:val="0"/>
                  <w:divBdr>
                    <w:top w:val="none" w:sz="0" w:space="0" w:color="auto"/>
                    <w:left w:val="none" w:sz="0" w:space="0" w:color="auto"/>
                    <w:bottom w:val="none" w:sz="0" w:space="0" w:color="auto"/>
                    <w:right w:val="none" w:sz="0" w:space="0" w:color="auto"/>
                  </w:divBdr>
                  <w:divsChild>
                    <w:div w:id="2098481336">
                      <w:marLeft w:val="0"/>
                      <w:marRight w:val="0"/>
                      <w:marTop w:val="0"/>
                      <w:marBottom w:val="0"/>
                      <w:divBdr>
                        <w:top w:val="none" w:sz="0" w:space="0" w:color="auto"/>
                        <w:left w:val="none" w:sz="0" w:space="0" w:color="auto"/>
                        <w:bottom w:val="none" w:sz="0" w:space="0" w:color="auto"/>
                        <w:right w:val="none" w:sz="0" w:space="0" w:color="auto"/>
                      </w:divBdr>
                      <w:divsChild>
                        <w:div w:id="95565864">
                          <w:marLeft w:val="0"/>
                          <w:marRight w:val="0"/>
                          <w:marTop w:val="0"/>
                          <w:marBottom w:val="0"/>
                          <w:divBdr>
                            <w:top w:val="none" w:sz="0" w:space="0" w:color="auto"/>
                            <w:left w:val="none" w:sz="0" w:space="0" w:color="auto"/>
                            <w:bottom w:val="none" w:sz="0" w:space="0" w:color="auto"/>
                            <w:right w:val="none" w:sz="0" w:space="0" w:color="auto"/>
                          </w:divBdr>
                          <w:divsChild>
                            <w:div w:id="109459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142571735">
      <w:bodyDiv w:val="1"/>
      <w:marLeft w:val="0"/>
      <w:marRight w:val="0"/>
      <w:marTop w:val="0"/>
      <w:marBottom w:val="0"/>
      <w:divBdr>
        <w:top w:val="none" w:sz="0" w:space="0" w:color="auto"/>
        <w:left w:val="none" w:sz="0" w:space="0" w:color="auto"/>
        <w:bottom w:val="none" w:sz="0" w:space="0" w:color="auto"/>
        <w:right w:val="none" w:sz="0" w:space="0" w:color="auto"/>
      </w:divBdr>
      <w:divsChild>
        <w:div w:id="1765148596">
          <w:marLeft w:val="0"/>
          <w:marRight w:val="0"/>
          <w:marTop w:val="0"/>
          <w:marBottom w:val="0"/>
          <w:divBdr>
            <w:top w:val="none" w:sz="0" w:space="0" w:color="auto"/>
            <w:left w:val="none" w:sz="0" w:space="0" w:color="auto"/>
            <w:bottom w:val="none" w:sz="0" w:space="0" w:color="auto"/>
            <w:right w:val="none" w:sz="0" w:space="0" w:color="auto"/>
          </w:divBdr>
          <w:divsChild>
            <w:div w:id="1488666618">
              <w:marLeft w:val="0"/>
              <w:marRight w:val="0"/>
              <w:marTop w:val="0"/>
              <w:marBottom w:val="0"/>
              <w:divBdr>
                <w:top w:val="none" w:sz="0" w:space="0" w:color="auto"/>
                <w:left w:val="none" w:sz="0" w:space="0" w:color="auto"/>
                <w:bottom w:val="none" w:sz="0" w:space="0" w:color="auto"/>
                <w:right w:val="none" w:sz="0" w:space="0" w:color="auto"/>
              </w:divBdr>
              <w:divsChild>
                <w:div w:id="795221052">
                  <w:marLeft w:val="0"/>
                  <w:marRight w:val="0"/>
                  <w:marTop w:val="0"/>
                  <w:marBottom w:val="0"/>
                  <w:divBdr>
                    <w:top w:val="none" w:sz="0" w:space="0" w:color="auto"/>
                    <w:left w:val="none" w:sz="0" w:space="0" w:color="auto"/>
                    <w:bottom w:val="none" w:sz="0" w:space="0" w:color="auto"/>
                    <w:right w:val="none" w:sz="0" w:space="0" w:color="auto"/>
                  </w:divBdr>
                  <w:divsChild>
                    <w:div w:id="2037995507">
                      <w:marLeft w:val="0"/>
                      <w:marRight w:val="0"/>
                      <w:marTop w:val="0"/>
                      <w:marBottom w:val="0"/>
                      <w:divBdr>
                        <w:top w:val="none" w:sz="0" w:space="0" w:color="auto"/>
                        <w:left w:val="none" w:sz="0" w:space="0" w:color="auto"/>
                        <w:bottom w:val="none" w:sz="0" w:space="0" w:color="auto"/>
                        <w:right w:val="none" w:sz="0" w:space="0" w:color="auto"/>
                      </w:divBdr>
                      <w:divsChild>
                        <w:div w:id="135225761">
                          <w:marLeft w:val="0"/>
                          <w:marRight w:val="0"/>
                          <w:marTop w:val="0"/>
                          <w:marBottom w:val="0"/>
                          <w:divBdr>
                            <w:top w:val="none" w:sz="0" w:space="0" w:color="auto"/>
                            <w:left w:val="none" w:sz="0" w:space="0" w:color="auto"/>
                            <w:bottom w:val="none" w:sz="0" w:space="0" w:color="auto"/>
                            <w:right w:val="none" w:sz="0" w:space="0" w:color="auto"/>
                          </w:divBdr>
                          <w:divsChild>
                            <w:div w:id="4753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CBD67-CBE0-45DF-BCDA-D601EFE75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2235</Words>
  <Characters>12307</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2021-06-30T05:50:00Z</dcterms:created>
  <dcterms:modified xsi:type="dcterms:W3CDTF">2021-06-30T05:50:00Z</dcterms:modified>
</cp:coreProperties>
</file>